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65601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8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124460</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103505</wp:posOffset>
            </wp:positionV>
            <wp:extent cx="1637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left="3200" w:right="660" w:hanging="3185"/>
        <w:spacing w:after="0" w:line="390" w:lineRule="auto"/>
        <w:tabs>
          <w:tab w:leader="none" w:pos="52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28, 2019</w:t>
      </w:r>
    </w:p>
    <w:p>
      <w:pPr>
        <w:spacing w:after="0" w:line="30" w:lineRule="exact"/>
        <w:rPr>
          <w:sz w:val="24"/>
          <w:szCs w:val="24"/>
          <w:color w:val="auto"/>
        </w:rPr>
      </w:pPr>
    </w:p>
    <w:p>
      <w:pPr>
        <w:ind w:left="520" w:hanging="505"/>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85725</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6"/>
          <w:szCs w:val="36"/>
          <w:b w:val="1"/>
          <w:bCs w:val="1"/>
          <w:color w:val="auto"/>
        </w:rPr>
        <w:t>,</w:t>
      </w:r>
      <w:r>
        <w:rPr>
          <w:rFonts w:ascii="Arial" w:cs="Arial" w:eastAsia="Arial" w:hAnsi="Arial"/>
          <w:sz w:val="29"/>
          <w:szCs w:val="29"/>
          <w:b w:val="1"/>
          <w:bCs w:val="1"/>
          <w:color w:val="auto"/>
        </w:rPr>
        <w:t xml:space="preserve"> INC.</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340"/>
          </w:cols>
          <w:pgMar w:left="780" w:top="665" w:right="779" w:bottom="1440" w:gutter="0" w:footer="0" w:header="0"/>
        </w:sectPr>
      </w:pPr>
    </w:p>
    <w:p>
      <w:pPr>
        <w:spacing w:after="0" w:line="86" w:lineRule="exact"/>
        <w:rPr>
          <w:sz w:val="24"/>
          <w:szCs w:val="24"/>
          <w:color w:val="auto"/>
        </w:rPr>
      </w:pPr>
    </w:p>
    <w:p>
      <w:pPr>
        <w:jc w:val="center"/>
        <w:ind w:right="4060"/>
        <w:spacing w:after="0"/>
        <w:rPr>
          <w:sz w:val="20"/>
          <w:szCs w:val="20"/>
          <w:color w:val="auto"/>
        </w:rPr>
      </w:pPr>
      <w:r>
        <w:rPr>
          <w:rFonts w:ascii="Arial" w:cs="Arial" w:eastAsia="Arial" w:hAnsi="Arial"/>
          <w:sz w:val="18"/>
          <w:szCs w:val="18"/>
          <w:b w:val="1"/>
          <w:bCs w:val="1"/>
          <w:color w:val="auto"/>
        </w:rPr>
        <w:t>New York</w:t>
      </w:r>
    </w:p>
    <w:p>
      <w:pPr>
        <w:jc w:val="center"/>
        <w:ind w:right="406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11-1890605</w:t>
      </w:r>
    </w:p>
    <w:p>
      <w:pPr>
        <w:jc w:val="center"/>
        <w:ind w:right="900"/>
        <w:spacing w:after="0" w:line="203" w:lineRule="auto"/>
        <w:rPr>
          <w:sz w:val="20"/>
          <w:szCs w:val="20"/>
          <w:color w:val="auto"/>
        </w:rPr>
      </w:pPr>
      <w:r>
        <w:rPr>
          <w:rFonts w:ascii="Arial" w:cs="Arial" w:eastAsia="Arial" w:hAnsi="Arial"/>
          <w:sz w:val="18"/>
          <w:szCs w:val="18"/>
          <w:color w:val="auto"/>
        </w:rPr>
        <w:t>(IRS Employer</w:t>
      </w: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380" w:space="720"/>
            <w:col w:w="2240"/>
          </w:cols>
          <w:pgMar w:left="780" w:top="665" w:right="779" w:bottom="1440" w:gutter="0" w:footer="0" w:header="0"/>
          <w:type w:val="continuous"/>
        </w:sectPr>
      </w:pPr>
    </w:p>
    <w:p>
      <w:pPr>
        <w:spacing w:after="0" w:line="11"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8"/>
          <w:szCs w:val="18"/>
          <w:b w:val="1"/>
          <w:bCs w:val="1"/>
          <w:color w:val="auto"/>
        </w:rPr>
        <w:t>85034</w:t>
      </w:r>
    </w:p>
    <w:p>
      <w:pPr>
        <w:jc w:val="center"/>
        <w:ind w:right="210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720" w:space="720"/>
            <w:col w:w="2900"/>
          </w:cols>
          <w:pgMar w:left="780" w:top="665" w:right="77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340"/>
          </w:cols>
          <w:pgMar w:left="780" w:top="665" w:right="7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Title of Each Class</w:t>
            </w: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Trading Symbol</w:t>
            </w: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30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76835</wp:posOffset>
            </wp:positionV>
            <wp:extent cx="1637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62" w:lineRule="exact"/>
        <w:rPr>
          <w:sz w:val="24"/>
          <w:szCs w:val="24"/>
          <w:color w:val="auto"/>
        </w:rPr>
      </w:pPr>
    </w:p>
    <w:p>
      <w:pPr>
        <w:jc w:val="both"/>
        <w:ind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7"/>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40"/>
          </w:cols>
          <w:pgMar w:left="780" w:top="665" w:right="779" w:bottom="1440" w:gutter="0" w:footer="0" w:header="0"/>
          <w:type w:val="continuous"/>
        </w:sectPr>
      </w:pPr>
    </w:p>
    <w:p>
      <w:pPr>
        <w:spacing w:after="0" w:line="54"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120" w:space="720"/>
            <w:col w:w="3500"/>
          </w:cols>
          <w:pgMar w:left="780" w:top="665" w:right="779" w:bottom="1440" w:gutter="0" w:footer="0" w:header="0"/>
          <w:type w:val="continuous"/>
        </w:sectPr>
      </w:pPr>
    </w:p>
    <w:p>
      <w:pPr>
        <w:ind w:firstLine="427"/>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4"/>
          <w:szCs w:val="24"/>
          <w:color w:val="auto"/>
        </w:rPr>
      </w:pPr>
    </w:p>
    <w:p>
      <w:pPr>
        <w:ind w:left="4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firstLine="427"/>
        <w:spacing w:after="0" w:line="277" w:lineRule="auto"/>
        <w:rPr>
          <w:sz w:val="20"/>
          <w:szCs w:val="20"/>
          <w:color w:val="auto"/>
        </w:rPr>
      </w:pPr>
      <w:r>
        <w:rPr>
          <w:rFonts w:ascii="Arial" w:cs="Arial" w:eastAsia="Arial" w:hAnsi="Arial"/>
          <w:sz w:val="18"/>
          <w:szCs w:val="18"/>
          <w:color w:val="auto"/>
        </w:rPr>
        <w:t>As of October 17, 2019, the total number of shares outstanding of the registrant’s Common Stock was 100,962,258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65601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656018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01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6560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ectPr>
          <w:pgSz w:w="11900" w:h="16838" w:orient="portrait"/>
          <w:cols w:equalWidth="0" w:num="1">
            <w:col w:w="10340"/>
          </w:cols>
          <w:pgMar w:left="780" w:top="665" w:right="7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12"/>
          </w:tcPr>
          <w:p>
            <w:pPr>
              <w:jc w:val="center"/>
              <w:ind w:right="186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2900" w:type="dxa"/>
            <w:vAlign w:val="bottom"/>
            <w:gridSpan w:val="7"/>
            <w:vMerge w:val="restart"/>
          </w:tcPr>
          <w:p>
            <w:pPr>
              <w:jc w:val="center"/>
              <w:ind w:right="2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20" w:type="dxa"/>
            <w:vAlign w:val="bottom"/>
            <w:gridSpan w:val="6"/>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900" w:type="dxa"/>
            <w:vAlign w:val="bottom"/>
            <w:tcBorders>
              <w:bottom w:val="single" w:sz="8" w:color="0000EE"/>
            </w:tcBorders>
            <w:gridSpan w:val="7"/>
            <w:vMerge w:val="continue"/>
          </w:tcPr>
          <w:p>
            <w:pPr>
              <w:spacing w:after="0"/>
              <w:rPr>
                <w:sz w:val="14"/>
                <w:szCs w:val="14"/>
                <w:color w:val="auto"/>
              </w:rPr>
            </w:pPr>
          </w:p>
        </w:tc>
        <w:tc>
          <w:tcPr>
            <w:tcW w:w="2620" w:type="dxa"/>
            <w:vAlign w:val="bottom"/>
            <w:gridSpan w:val="6"/>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September 28, 2019 and June 29, 2019</w:t>
              </w:r>
            </w:hyperlink>
          </w:p>
        </w:tc>
        <w:tc>
          <w:tcPr>
            <w:tcW w:w="26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first quarters ended September 28, 2019 and September 29,</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gridSpan w:val="3"/>
          </w:tcPr>
          <w:p>
            <w:pPr>
              <w:spacing w:after="0"/>
              <w:rPr>
                <w:sz w:val="17"/>
                <w:szCs w:val="17"/>
                <w:color w:val="auto"/>
              </w:rPr>
            </w:pPr>
          </w:p>
        </w:tc>
        <w:tc>
          <w:tcPr>
            <w:tcW w:w="480" w:type="dxa"/>
            <w:vAlign w:val="bottom"/>
            <w:tcBorders>
              <w:top w:val="single" w:sz="8" w:color="0000EE"/>
            </w:tcBorders>
            <w:gridSpan w:val="3"/>
          </w:tcPr>
          <w:p>
            <w:pPr>
              <w:ind w:left="12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for the first quarters ended September 28, 2019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September 29, 2018</w:t>
              </w:r>
            </w:hyperlink>
          </w:p>
        </w:tc>
        <w:tc>
          <w:tcPr>
            <w:tcW w:w="5900" w:type="dxa"/>
            <w:vAlign w:val="bottom"/>
            <w:tcBorders>
              <w:top w:val="single" w:sz="8" w:color="0000EE"/>
            </w:tcBorders>
            <w:gridSpan w:val="15"/>
          </w:tcPr>
          <w:p>
            <w:pPr>
              <w:spacing w:after="0"/>
              <w:rPr>
                <w:sz w:val="17"/>
                <w:szCs w:val="17"/>
                <w:color w:val="auto"/>
              </w:rPr>
            </w:pPr>
          </w:p>
        </w:tc>
        <w:tc>
          <w:tcPr>
            <w:tcW w:w="2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5"/>
          </w:tcPr>
          <w:p>
            <w:pPr>
              <w:jc w:val="center"/>
              <w:ind w:right="420"/>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for the first quarters ended September 28, 2019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29, 2018</w:t>
              </w:r>
            </w:hyperlink>
          </w:p>
        </w:tc>
        <w:tc>
          <w:tcPr>
            <w:tcW w:w="42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7"/>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Statements of Cash Flows for the first quarters ended September 28, 2019 and September</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gridSpan w:val="3"/>
          </w:tcPr>
          <w:p>
            <w:pPr>
              <w:spacing w:after="0"/>
              <w:rPr>
                <w:sz w:val="17"/>
                <w:szCs w:val="17"/>
                <w:color w:val="auto"/>
              </w:rPr>
            </w:pPr>
          </w:p>
        </w:tc>
        <w:tc>
          <w:tcPr>
            <w:tcW w:w="740" w:type="dxa"/>
            <w:vAlign w:val="bottom"/>
            <w:tcBorders>
              <w:top w:val="single" w:sz="8" w:color="0000EE"/>
            </w:tcBorders>
            <w:gridSpan w:val="4"/>
          </w:tcPr>
          <w:p>
            <w:pPr>
              <w:ind w:left="120"/>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29, 2018</w:t>
              </w:r>
            </w:hyperlink>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460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2. Management’s Discussion and Analysis of Financial Condition and Results of Operations</w:t>
              </w:r>
            </w:hyperlink>
          </w:p>
        </w:tc>
        <w:tc>
          <w:tcPr>
            <w:tcW w:w="106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31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278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618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648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2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4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w:t>
            </w:r>
          </w:p>
        </w:tc>
        <w:tc>
          <w:tcPr>
            <w:tcW w:w="5540" w:type="dxa"/>
            <w:vAlign w:val="bottom"/>
          </w:tcPr>
          <w:p>
            <w:pPr>
              <w:jc w:val="center"/>
              <w:ind w:left="151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60" w:type="dxa"/>
            <w:vAlign w:val="bottom"/>
            <w:gridSpan w:val="2"/>
            <w:vMerge w:val="continue"/>
          </w:tcPr>
          <w:p>
            <w:pPr>
              <w:spacing w:after="0"/>
              <w:rPr>
                <w:sz w:val="18"/>
                <w:szCs w:val="18"/>
                <w:color w:val="auto"/>
              </w:rPr>
            </w:pPr>
          </w:p>
        </w:tc>
        <w:tc>
          <w:tcPr>
            <w:tcW w:w="5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5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AVNET, INC. AND SUBSIDIARIES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5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40" w:type="dxa"/>
            <w:vAlign w:val="bottom"/>
          </w:tcPr>
          <w:p>
            <w:pPr>
              <w:jc w:val="center"/>
              <w:ind w:left="151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September 28,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right"/>
              <w:ind w:right="90"/>
              <w:spacing w:after="0" w:line="198"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6"/>
          </w:tcPr>
          <w:p>
            <w:pPr>
              <w:ind w:left="6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540" w:type="dxa"/>
            <w:vAlign w:val="bottom"/>
            <w:shd w:val="clear" w:color="auto" w:fill="CCEEFF"/>
          </w:tcPr>
          <w:p>
            <w:pPr>
              <w:jc w:val="center"/>
              <w:ind w:right="85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664,108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Receivables, less allowances of $50,541 and $53,499, respectively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3,129,387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3,168,369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3,025,980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3,008,424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169,471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6,988,946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6,876,336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437,467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assets (Note 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215,801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8,913,337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8,564,556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40" w:type="dxa"/>
            <w:vAlign w:val="bottom"/>
            <w:vMerge w:val="restart"/>
          </w:tcPr>
          <w:p>
            <w:pPr>
              <w:jc w:val="center"/>
              <w:ind w:right="85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Short-term debt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638,402</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1,864,342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418,230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 (Note 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3,137,299</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2,578,576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1,419,922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 (Note 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380,586</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4,955,266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4,424,083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$1.00 par; authorized 300,000,000 shares; issued 101,470,636 shares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104,037,769 shares, respectively</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1,580,706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1,573,005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2,767,469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(402,372)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3,958,071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4,140,473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8,913,337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8,564,556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September 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September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89"/>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4,630,009</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4,086,170</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543,839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456,503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475,146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62,738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146,816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financing expenses, net</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Borders>
              <w:top w:val="single" w:sz="8" w:color="CCEEFF"/>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income per share basic</w:t>
            </w:r>
          </w:p>
        </w:tc>
        <w:tc>
          <w:tcPr>
            <w:tcW w:w="11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26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Discontinued operations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per share diluted</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103,130</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104,377</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116,471</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1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September 28,</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September 29,</w:t>
            </w:r>
          </w:p>
        </w:tc>
        <w:tc>
          <w:tcPr>
            <w:tcW w:w="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41,752</w:t>
            </w:r>
          </w:p>
        </w:tc>
        <w:tc>
          <w:tcPr>
            <w:tcW w:w="58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83,724</w:t>
            </w: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4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comprehensive (loss) income</w:t>
            </w:r>
          </w:p>
        </w:tc>
        <w:tc>
          <w:tcPr>
            <w:tcW w:w="1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(56,581)</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78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9"/>
                <w:szCs w:val="19"/>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Total</w:t>
            </w:r>
          </w:p>
        </w:tc>
      </w:tr>
      <w:tr>
        <w:trPr>
          <w:trHeight w:val="230"/>
        </w:trPr>
        <w:tc>
          <w:tcPr>
            <w:tcW w:w="278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10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Retained</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56"/>
        </w:trPr>
        <w:tc>
          <w:tcPr>
            <w:tcW w:w="2780" w:type="dxa"/>
            <w:vAlign w:val="bottom"/>
          </w:tcPr>
          <w:p>
            <w:pPr>
              <w:spacing w:after="0"/>
              <w:rPr>
                <w:sz w:val="22"/>
                <w:szCs w:val="22"/>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(Loss) Income</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Equity</w:t>
            </w:r>
          </w:p>
        </w:tc>
      </w:tr>
      <w:tr>
        <w:trPr>
          <w:trHeight w:val="210"/>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89"/>
              </w:rPr>
              <w:t>(Thousands)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2780" w:type="dxa"/>
            <w:vAlign w:val="bottom"/>
          </w:tcPr>
          <w:p>
            <w:pPr>
              <w:spacing w:after="0"/>
              <w:rPr>
                <w:sz w:val="20"/>
                <w:szCs w:val="20"/>
                <w:color w:val="auto"/>
              </w:rPr>
            </w:pPr>
            <w:r>
              <w:rPr>
                <w:rFonts w:ascii="Arial" w:cs="Arial" w:eastAsia="Arial" w:hAnsi="Arial"/>
                <w:sz w:val="16"/>
                <w:szCs w:val="16"/>
                <w:b w:val="1"/>
                <w:bCs w:val="1"/>
                <w:color w:val="auto"/>
              </w:rPr>
              <w:t>Balance, June 29, 2019</w:t>
            </w:r>
          </w:p>
        </w:tc>
        <w:tc>
          <w:tcPr>
            <w:tcW w:w="720" w:type="dxa"/>
            <w:vAlign w:val="bottom"/>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1,573,005</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2,767,469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(304,039)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4,140,473</w:t>
            </w:r>
          </w:p>
        </w:tc>
      </w:tr>
      <w:tr>
        <w:trPr>
          <w:trHeight w:val="23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41,752</w:t>
            </w:r>
          </w:p>
        </w:tc>
      </w:tr>
      <w:tr>
        <w:trPr>
          <w:trHeight w:val="220"/>
        </w:trPr>
        <w:tc>
          <w:tcPr>
            <w:tcW w:w="27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(98,333)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(98,333)</w:t>
            </w:r>
          </w:p>
        </w:tc>
      </w:tr>
      <w:tr>
        <w:trPr>
          <w:trHeight w:val="23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(21,451)</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(21,451)</w:t>
            </w:r>
          </w:p>
        </w:tc>
      </w:tr>
      <w:tr>
        <w:trPr>
          <w:trHeight w:val="220"/>
        </w:trPr>
        <w:tc>
          <w:tcPr>
            <w:tcW w:w="2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(2,631)</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(109,504)</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(112,135)</w:t>
            </w:r>
          </w:p>
        </w:tc>
      </w:tr>
      <w:tr>
        <w:trPr>
          <w:trHeight w:val="246"/>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7,701</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7,765</w:t>
            </w:r>
          </w:p>
        </w:tc>
      </w:tr>
      <w:tr>
        <w:trPr>
          <w:trHeight w:val="227"/>
        </w:trPr>
        <w:tc>
          <w:tcPr>
            <w:tcW w:w="2780" w:type="dxa"/>
            <w:vAlign w:val="bottom"/>
          </w:tcPr>
          <w:p>
            <w:pPr>
              <w:spacing w:after="0"/>
              <w:rPr>
                <w:sz w:val="20"/>
                <w:szCs w:val="20"/>
                <w:color w:val="auto"/>
              </w:rPr>
            </w:pPr>
            <w:r>
              <w:rPr>
                <w:rFonts w:ascii="Arial" w:cs="Arial" w:eastAsia="Arial" w:hAnsi="Arial"/>
                <w:sz w:val="16"/>
                <w:szCs w:val="16"/>
                <w:b w:val="1"/>
                <w:bCs w:val="1"/>
                <w:color w:val="auto"/>
              </w:rPr>
              <w:t>Balance, September 28, 2019</w:t>
            </w:r>
          </w:p>
        </w:tc>
        <w:tc>
          <w:tcPr>
            <w:tcW w:w="720" w:type="dxa"/>
            <w:vAlign w:val="bottom"/>
          </w:tcPr>
          <w:p>
            <w:pPr>
              <w:jc w:val="right"/>
              <w:spacing w:after="0"/>
              <w:rPr>
                <w:sz w:val="20"/>
                <w:szCs w:val="20"/>
                <w:color w:val="auto"/>
              </w:rPr>
            </w:pPr>
            <w:r>
              <w:rPr>
                <w:rFonts w:ascii="Arial" w:cs="Arial" w:eastAsia="Arial" w:hAnsi="Arial"/>
                <w:sz w:val="16"/>
                <w:szCs w:val="16"/>
                <w:color w:val="auto"/>
              </w:rPr>
              <w:t>101,471</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101,471</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1,580,706</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2,678,266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(402,372)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3,958,071</w:t>
            </w:r>
          </w:p>
        </w:tc>
      </w:tr>
      <w:tr>
        <w:trPr>
          <w:trHeight w:val="20"/>
        </w:trPr>
        <w:tc>
          <w:tcPr>
            <w:tcW w:w="2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278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9"/>
                <w:szCs w:val="19"/>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Total</w:t>
            </w:r>
          </w:p>
        </w:tc>
      </w:tr>
      <w:tr>
        <w:trPr>
          <w:trHeight w:val="230"/>
        </w:trPr>
        <w:tc>
          <w:tcPr>
            <w:tcW w:w="278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10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Retained</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56"/>
        </w:trPr>
        <w:tc>
          <w:tcPr>
            <w:tcW w:w="2780" w:type="dxa"/>
            <w:vAlign w:val="bottom"/>
          </w:tcPr>
          <w:p>
            <w:pPr>
              <w:spacing w:after="0"/>
              <w:rPr>
                <w:sz w:val="22"/>
                <w:szCs w:val="22"/>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(Loss) Income</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Equity</w:t>
            </w:r>
          </w:p>
        </w:tc>
      </w:tr>
      <w:tr>
        <w:trPr>
          <w:trHeight w:val="220"/>
        </w:trPr>
        <w:tc>
          <w:tcPr>
            <w:tcW w:w="2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89"/>
              </w:rPr>
              <w:t>(Thousands)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30, 2018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1,528,713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3,235,894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(195,351)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4,685,081</w:t>
            </w:r>
          </w:p>
        </w:tc>
      </w:tr>
      <w:tr>
        <w:trPr>
          <w:trHeight w:val="220"/>
        </w:trPr>
        <w:tc>
          <w:tcPr>
            <w:tcW w:w="278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83,724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83,724</w:t>
            </w:r>
          </w:p>
        </w:tc>
      </w:tr>
      <w:tr>
        <w:trPr>
          <w:trHeight w:val="23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9,557</w:t>
            </w:r>
          </w:p>
        </w:tc>
      </w:tr>
      <w:tr>
        <w:trPr>
          <w:trHeight w:val="220"/>
        </w:trPr>
        <w:tc>
          <w:tcPr>
            <w:tcW w:w="2780" w:type="dxa"/>
            <w:vAlign w:val="bottom"/>
          </w:tcPr>
          <w:p>
            <w:pPr>
              <w:spacing w:after="0"/>
              <w:rPr>
                <w:sz w:val="20"/>
                <w:szCs w:val="20"/>
                <w:color w:val="auto"/>
              </w:rPr>
            </w:pPr>
            <w:r>
              <w:rPr>
                <w:rFonts w:ascii="Arial" w:cs="Arial" w:eastAsia="Arial" w:hAnsi="Arial"/>
                <w:sz w:val="16"/>
                <w:szCs w:val="16"/>
                <w:color w:val="auto"/>
              </w:rPr>
              <w:t>Cash dividends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(22,932)</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(22,932)</w:t>
            </w:r>
          </w:p>
        </w:tc>
      </w:tr>
      <w:tr>
        <w:trPr>
          <w:trHeight w:val="23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(3,315)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(3,315)</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(153,582)</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(156,897)</w:t>
            </w:r>
          </w:p>
        </w:tc>
      </w:tr>
      <w:tr>
        <w:trPr>
          <w:trHeight w:val="220"/>
        </w:trPr>
        <w:tc>
          <w:tcPr>
            <w:tcW w:w="2780" w:type="dxa"/>
            <w:vAlign w:val="bottom"/>
          </w:tcPr>
          <w:p>
            <w:pPr>
              <w:spacing w:after="0"/>
              <w:rPr>
                <w:sz w:val="20"/>
                <w:szCs w:val="20"/>
                <w:color w:val="auto"/>
              </w:rPr>
            </w:pPr>
            <w:r>
              <w:rPr>
                <w:rFonts w:ascii="Arial" w:cs="Arial" w:eastAsia="Arial" w:hAnsi="Arial"/>
                <w:sz w:val="16"/>
                <w:szCs w:val="16"/>
                <w:color w:val="auto"/>
              </w:rPr>
              <w:t>Effects of new accounting principles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(3,832)</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(3,832)</w:t>
            </w:r>
          </w:p>
        </w:tc>
      </w:tr>
      <w:tr>
        <w:trPr>
          <w:trHeight w:val="246"/>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25,851</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26,372</w:t>
            </w:r>
          </w:p>
        </w:tc>
      </w:tr>
      <w:tr>
        <w:trPr>
          <w:trHeight w:val="227"/>
        </w:trPr>
        <w:tc>
          <w:tcPr>
            <w:tcW w:w="2780" w:type="dxa"/>
            <w:vAlign w:val="bottom"/>
          </w:tcPr>
          <w:p>
            <w:pPr>
              <w:spacing w:after="0"/>
              <w:rPr>
                <w:sz w:val="20"/>
                <w:szCs w:val="20"/>
                <w:color w:val="auto"/>
              </w:rPr>
            </w:pPr>
            <w:r>
              <w:rPr>
                <w:rFonts w:ascii="Arial" w:cs="Arial" w:eastAsia="Arial" w:hAnsi="Arial"/>
                <w:sz w:val="16"/>
                <w:szCs w:val="16"/>
                <w:b w:val="1"/>
                <w:bCs w:val="1"/>
                <w:color w:val="auto"/>
              </w:rPr>
              <w:t>Balance, September 29, 2018</w:t>
            </w:r>
          </w:p>
        </w:tc>
        <w:tc>
          <w:tcPr>
            <w:tcW w:w="720" w:type="dxa"/>
            <w:vAlign w:val="bottom"/>
          </w:tcPr>
          <w:p>
            <w:pPr>
              <w:jc w:val="right"/>
              <w:spacing w:after="0"/>
              <w:rPr>
                <w:sz w:val="20"/>
                <w:szCs w:val="20"/>
                <w:color w:val="auto"/>
              </w:rPr>
            </w:pPr>
            <w:r>
              <w:rPr>
                <w:rFonts w:ascii="Arial" w:cs="Arial" w:eastAsia="Arial" w:hAnsi="Arial"/>
                <w:sz w:val="16"/>
                <w:szCs w:val="16"/>
                <w:color w:val="auto"/>
              </w:rPr>
              <w:t>113,031</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113,031</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1,554,564</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3,139,272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(185,794)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4,621,073</w:t>
            </w:r>
          </w:p>
        </w:tc>
      </w:tr>
      <w:tr>
        <w:trPr>
          <w:trHeight w:val="20"/>
        </w:trPr>
        <w:tc>
          <w:tcPr>
            <w:tcW w:w="2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First Quarters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September 28,</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September 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(Thousands)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41,752</w:t>
            </w:r>
          </w:p>
        </w:tc>
        <w:tc>
          <w:tcPr>
            <w:tcW w:w="520" w:type="dxa"/>
            <w:vAlign w:val="bottom"/>
            <w:gridSpan w:val="2"/>
          </w:tcPr>
          <w:p>
            <w:pPr>
              <w:jc w:val="right"/>
              <w:ind w:right="21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Income from discontinued operations, net of tax</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Income from continuing operations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41,752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Non-cash and other reconciling items: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19,911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operating lease asset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(net of effects from businesses acquired and divested):</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Receivables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(6,703)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(269,649)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189,746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expenses and other, net</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for operating activities - continuing operations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195,642</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(used) for operating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195,642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110,800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senior unsecured credit facility, net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Repayments under bank credit facilities and other debt, net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(110,805)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(149,094)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(21,451)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(22,753)</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(246,245)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financing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(246,245)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(29,864)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(12,515)</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provided by investing activities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79,058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(12,507)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 increase (decrease)</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(255,273)</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6"/>
                <w:szCs w:val="16"/>
                <w:color w:val="auto"/>
              </w:rPr>
              <w:t>— at beginning of period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546,105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621,125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29, 2019.</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reclassifications have been made in prior periods to conform to the current period presentation.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 xml:space="preserve">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its related amendments (collectively “ASC 842”) on June 30, 2019 (the first day of fiscal 2020) using the modified transition approach without restating the comparative period consolidated financial statements. The standard requires lessees to recognize a right-of-use (“ROU”) asset and lease liability for all leases.</w:t>
      </w:r>
    </w:p>
    <w:p>
      <w:pPr>
        <w:spacing w:after="0" w:line="187"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The adoption of ASC 842 did not have a material impact on the Company’s consolidated statements of operations or retained earnings. The Company elected the package of practical expedients permitted under the transition guidance that allowed, among other things, the historical lease classification to be carried forward without reassessment and the hindsight practical expedient. The Company elected to not separate lease and non-lease components for its real estate leases. Refer to Note 5 for additional disclosures related to leases.</w:t>
      </w:r>
    </w:p>
    <w:p>
      <w:pPr>
        <w:spacing w:after="0" w:line="188"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and its related amendments (collectively “ASC 815”), which improves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of hedging relationships to better portray the economic results of an entity’s risk management activities in its financial statements and makes certain targeted improvements to simplify the qualification and application of hedge accounting compared to current GAAP. This update is effective for fiscal years beginning after December 15, 2018, with early adoption permitted. The adoption of ASC 815 in the first quarter of fiscal 2020 did not have any impact on the Company’s consolidated financial statements.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18"/>
          <w:szCs w:val="18"/>
          <w:color w:val="auto"/>
        </w:rPr>
        <w:t xml:space="preserve">In August 2018, the FASB issued Accounting Standards Update No. 2018-15,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Internal-Use Software (Subtopic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2018-15 aligns 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In August 2018, the FASB issued Accounting Standards Update No. 2018-14, </w:t>
      </w:r>
      <w:r>
        <w:rPr>
          <w:rFonts w:ascii="Arial" w:cs="Arial" w:eastAsia="Arial" w:hAnsi="Arial"/>
          <w:sz w:val="16"/>
          <w:szCs w:val="16"/>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6"/>
          <w:szCs w:val="16"/>
          <w:color w:val="auto"/>
        </w:rPr>
        <w:t>(“ASU No. 2018-14”). The new guidance modifies the disclosure requirements for employers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sponsor defined benefit pension or other postretirement plans, including removing certain previous disclosure requirements, adding certain new disclosure requirements, and clarifying certain other disclosure requirements. The ASU will be effective for the Company in the first quarter of fiscal 2022, and early adoption is permitted. The Company’s planned adoption of ASU 2018-14 is not expected to have an impact on the Company’s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7"/>
          <w:szCs w:val="17"/>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 In August 2018, the Company executed a settlement agreement with the Buyer resulting in a final adjustment of $120.0 million and a final geographic allocation of the TS business sales price for tax reporting purposes. This incremental consideration received from the sale of the TS business as well as cash settlements from the resolution of indemnification claims and other cash reimbursements have been classified as cash flow from discontinued operations investing activities. Income tax payments related to the gain on sale of the TS business have been classified as cash flow from discontinued operations operating activities.</w:t>
      </w:r>
    </w:p>
    <w:p>
      <w:pPr>
        <w:spacing w:after="0" w:line="179"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Under the contractual terms of the sale of the TS business, the Company has indemnified the Buyer for certain liabilities including tax related matters, which may result in future indemnification expenses and indemnification payments to the Buyer depending upon the outcome of those matters subject to indemnification.</w:t>
      </w:r>
    </w:p>
    <w:p>
      <w:pPr>
        <w:spacing w:after="0" w:line="191" w:lineRule="exact"/>
        <w:rPr>
          <w:sz w:val="20"/>
          <w:szCs w:val="20"/>
          <w:color w:val="auto"/>
        </w:rPr>
      </w:pPr>
    </w:p>
    <w:p>
      <w:pPr>
        <w:ind w:left="440" w:right="6540" w:hanging="431"/>
        <w:spacing w:after="0" w:line="503"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 in goodwill by reportable segment for the three months ended September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Farnell</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29, 2019 </w:t>
            </w:r>
            <w:r>
              <w:rPr>
                <w:rFonts w:ascii="Arial" w:cs="Arial" w:eastAsia="Arial" w:hAnsi="Arial"/>
                <w:sz w:val="25"/>
                <w:szCs w:val="25"/>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Additions from acquisitions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translation</w:t>
            </w: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(18,072)</w:t>
            </w:r>
          </w:p>
        </w:tc>
      </w:tr>
      <w:tr>
        <w:trPr>
          <w:trHeight w:val="203"/>
        </w:trPr>
        <w:tc>
          <w:tcPr>
            <w:tcW w:w="4060" w:type="dxa"/>
            <w:vAlign w:val="bottom"/>
            <w:gridSpan w:val="3"/>
          </w:tcPr>
          <w:p>
            <w:pPr>
              <w:spacing w:after="0" w:line="203" w:lineRule="exact"/>
              <w:rPr>
                <w:sz w:val="20"/>
                <w:szCs w:val="20"/>
                <w:color w:val="auto"/>
              </w:rPr>
            </w:pPr>
            <w:r>
              <w:rPr>
                <w:rFonts w:ascii="Arial" w:cs="Arial" w:eastAsia="Arial" w:hAnsi="Arial"/>
                <w:sz w:val="16"/>
                <w:szCs w:val="16"/>
                <w:color w:val="auto"/>
              </w:rPr>
              <w:t xml:space="preserve">Carrying value at September 28, 2019 </w:t>
            </w:r>
            <w:r>
              <w:rPr>
                <w:rFonts w:ascii="Arial" w:cs="Arial" w:eastAsia="Arial" w:hAnsi="Arial"/>
                <w:sz w:val="23"/>
                <w:szCs w:val="23"/>
                <w:color w:val="auto"/>
                <w:vertAlign w:val="superscript"/>
              </w:rPr>
              <w:t>(1)</w:t>
            </w:r>
          </w:p>
        </w:tc>
        <w:tc>
          <w:tcPr>
            <w:tcW w:w="1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385,788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472,868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858,656</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60" w:type="dxa"/>
            <w:vAlign w:val="bottom"/>
            <w:tcBorders>
              <w:bottom w:val="single" w:sz="8" w:color="0D0D0D"/>
            </w:tcBorders>
          </w:tcPr>
          <w:p>
            <w:pPr>
              <w:spacing w:after="0"/>
              <w:rPr>
                <w:sz w:val="7"/>
                <w:szCs w:val="7"/>
                <w:color w:val="auto"/>
              </w:rPr>
            </w:pPr>
          </w:p>
        </w:tc>
        <w:tc>
          <w:tcPr>
            <w:tcW w:w="1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660" w:hanging="651"/>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5"/>
          <w:szCs w:val="15"/>
          <w:color w:val="auto"/>
        </w:rPr>
        <w:t>Includes accumulated impairment of $1,045,110 from fiscal 2009, $181,440 from fiscal 2018 and $137,396 from fiscal 2019</w:t>
      </w:r>
    </w:p>
    <w:p>
      <w:pPr>
        <w:spacing w:after="0" w:line="21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the macroeconomic or industry environments, (iii) the results of and the amount of time passed since the last goodwill impairment test and (iv) the long-term expected financial performance of its reporting units. During the first quarter of fiscal 2020, the Company concluded that an interim goodwill impairment test was not required.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9" w:name="page10"/>
    <w:bookmarkEnd w:id="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20" w:right="460" w:firstLine="427"/>
        <w:spacing w:after="0" w:line="277" w:lineRule="auto"/>
        <w:rPr>
          <w:sz w:val="20"/>
          <w:szCs w:val="20"/>
          <w:color w:val="auto"/>
        </w:rPr>
      </w:pPr>
      <w:r>
        <w:rPr>
          <w:rFonts w:ascii="Arial" w:cs="Arial" w:eastAsia="Arial" w:hAnsi="Arial"/>
          <w:sz w:val="18"/>
          <w:szCs w:val="18"/>
          <w:color w:val="auto"/>
        </w:rPr>
        <w:t>The following table presents the Company’s acquired intangible assets at September 28, 2019, and June 29, 2019, respectively.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17"/>
              <w:spacing w:after="0"/>
              <w:rPr>
                <w:sz w:val="20"/>
                <w:szCs w:val="20"/>
                <w:color w:val="auto"/>
              </w:rPr>
            </w:pPr>
            <w:r>
              <w:rPr>
                <w:rFonts w:ascii="Arial" w:cs="Arial" w:eastAsia="Arial" w:hAnsi="Arial"/>
                <w:sz w:val="18"/>
                <w:szCs w:val="18"/>
                <w:b w:val="1"/>
                <w:bCs w:val="1"/>
                <w:color w:val="auto"/>
                <w:w w:val="89"/>
              </w:rPr>
              <w:t>September 28, 2019</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29, 2019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Acquired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Net Book</w:t>
            </w:r>
          </w:p>
        </w:tc>
        <w:tc>
          <w:tcPr>
            <w:tcW w:w="20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Acquired</w:t>
            </w:r>
          </w:p>
        </w:tc>
        <w:tc>
          <w:tcPr>
            <w:tcW w:w="200" w:type="dxa"/>
            <w:vAlign w:val="bottom"/>
          </w:tcPr>
          <w:p>
            <w:pPr>
              <w:spacing w:after="0"/>
              <w:rPr>
                <w:sz w:val="17"/>
                <w:szCs w:val="17"/>
                <w:color w:val="auto"/>
              </w:rPr>
            </w:pPr>
          </w:p>
        </w:tc>
        <w:tc>
          <w:tcPr>
            <w:tcW w:w="130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8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284,993</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292,266</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Trade name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28,008</w:t>
            </w:r>
          </w:p>
        </w:tc>
        <w:tc>
          <w:tcPr>
            <w:tcW w:w="4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62,255</w:t>
            </w: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(33,923)</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398,571</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(278,432)</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120,139</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408,779</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(265,259)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143,520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20" w:firstLine="427"/>
        <w:spacing w:after="0" w:line="259" w:lineRule="auto"/>
        <w:rPr>
          <w:sz w:val="20"/>
          <w:szCs w:val="20"/>
          <w:color w:val="auto"/>
        </w:rPr>
      </w:pPr>
      <w:r>
        <w:rPr>
          <w:rFonts w:ascii="Arial" w:cs="Arial" w:eastAsia="Arial" w:hAnsi="Arial"/>
          <w:sz w:val="18"/>
          <w:szCs w:val="18"/>
          <w:color w:val="auto"/>
        </w:rPr>
        <w:t>Intangible asset amortization expense from continuing operations was $19.9 million and $20.8 million for the first quarters of fiscal 2020 and 2019, respectively. Intangible assets have a weighted average remaining useful life of approximately two years. The following table presents the estimated future amortization expense for the remainder of fiscal 2020 and the next five fiscal years (in thousands):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3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404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7"/>
              </w:rPr>
              <w:t>September 28,</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June 29,</w:t>
            </w:r>
          </w:p>
        </w:tc>
        <w:tc>
          <w:tcPr>
            <w:tcW w:w="1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440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Interest Rate</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92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notes due June 2020</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5.88 %</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400" w:type="dxa"/>
            <w:vAlign w:val="bottom"/>
          </w:tcPr>
          <w:p>
            <w:pPr>
              <w:ind w:left="120"/>
              <w:spacing w:after="0" w:line="203" w:lineRule="exact"/>
              <w:rPr>
                <w:sz w:val="20"/>
                <w:szCs w:val="20"/>
                <w:color w:val="auto"/>
              </w:rPr>
            </w:pPr>
            <w:r>
              <w:rPr>
                <w:rFonts w:ascii="Arial" w:cs="Arial" w:eastAsia="Arial" w:hAnsi="Arial"/>
                <w:sz w:val="18"/>
                <w:szCs w:val="18"/>
                <w:color w:val="auto"/>
              </w:rPr>
              <w:t>Short-term debt</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638,402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300,538</w:t>
            </w:r>
          </w:p>
        </w:tc>
        <w:tc>
          <w:tcPr>
            <w:tcW w:w="60" w:type="dxa"/>
            <w:vAlign w:val="bottom"/>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40"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44" w:right="1399" w:bottom="1440" w:gutter="0" w:footer="0" w:header="0"/>
        </w:sectPr>
      </w:pPr>
    </w:p>
    <w:bookmarkStart w:id="10" w:name="page11"/>
    <w:bookmarkEnd w:id="1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20" w:right="20" w:firstLine="427"/>
        <w:spacing w:after="0" w:line="268" w:lineRule="auto"/>
        <w:rPr>
          <w:sz w:val="20"/>
          <w:szCs w:val="20"/>
          <w:color w:val="auto"/>
        </w:rPr>
      </w:pPr>
      <w:r>
        <w:rPr>
          <w:rFonts w:ascii="Arial" w:cs="Arial" w:eastAsia="Arial" w:hAnsi="Arial"/>
          <w:sz w:val="17"/>
          <w:szCs w:val="17"/>
          <w:color w:val="auto"/>
        </w:rPr>
        <w:t>The Company has an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$839.6 million and $857.3 million at September 28, 2019, and June 29, 2019,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September 28, 2019, and June 29, 2019. The Securitization Program expires in August 2020 and as a result the Company has classified outstanding balances as short-term debt as of September 28, 2019. Interest on borrowings is calculated using a one-month LIBOR rate plus a spread of 0.75%. The facility fee on the unused balance of the facility is up to 0.35%.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September 28,</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29,</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28,</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4440" w:type="dxa"/>
            <w:vAlign w:val="bottom"/>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Interest Rate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Accounts receivable securitization program</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3.15 %</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227,300</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Facility</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Public notes due:</w:t>
            </w: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2021</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3.75 %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December 2022</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4.88 %</w:t>
            </w:r>
          </w:p>
        </w:tc>
        <w:tc>
          <w:tcPr>
            <w:tcW w:w="960" w:type="dxa"/>
            <w:vAlign w:val="bottom"/>
          </w:tcPr>
          <w:p>
            <w:pPr>
              <w:jc w:val="right"/>
              <w:spacing w:after="0"/>
              <w:rPr>
                <w:sz w:val="20"/>
                <w:szCs w:val="20"/>
                <w:color w:val="auto"/>
              </w:rPr>
            </w:pPr>
            <w:r>
              <w:rPr>
                <w:rFonts w:ascii="Arial" w:cs="Arial" w:eastAsia="Arial" w:hAnsi="Arial"/>
                <w:sz w:val="18"/>
                <w:szCs w:val="18"/>
                <w:color w:val="auto"/>
              </w:rPr>
              <w:t>4.88 %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2026</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4.63 %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r>
      <w:tr>
        <w:trPr>
          <w:trHeight w:val="223"/>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3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1.12 %</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60" w:type="dxa"/>
            <w:vAlign w:val="bottom"/>
            <w:tcBorders>
              <w:bottom w:val="single" w:sz="8" w:color="CCEEFF"/>
            </w:tcBorders>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8"/>
              </w:rPr>
              <w:t>Long-term debt before discount and debt issuance costs</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1,428,803</w:t>
            </w:r>
          </w:p>
        </w:tc>
        <w:tc>
          <w:tcPr>
            <w:tcW w:w="6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Discount and debt issuance costs – unamortized</w:t>
            </w: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(8,373)</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(8,881)</w:t>
            </w:r>
          </w:p>
        </w:tc>
      </w:tr>
      <w:tr>
        <w:trPr>
          <w:trHeight w:val="216"/>
        </w:trPr>
        <w:tc>
          <w:tcPr>
            <w:tcW w:w="44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1,419,922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20" w:firstLine="432"/>
        <w:spacing w:after="0" w:line="289"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September 28, 2019 and June 29, 2019. As of September 28, 2019, and June 29, 2019, there were $4.2 million and $4.0 million, respectively, in letters of credit issued under the Credit Facility.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44" w:right="13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As of September 28, 2019, the carrying value and fair value of the Company’s total debt was $1.83 billion and $1.91 billion, respectively. At June 29, 2019, the carrying value and fair value of the Company’s total debt was $1.72 billion and $1.78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firstLine="427"/>
        <w:spacing w:after="0" w:line="312" w:lineRule="auto"/>
        <w:rPr>
          <w:sz w:val="20"/>
          <w:szCs w:val="20"/>
          <w:color w:val="auto"/>
        </w:rPr>
      </w:pPr>
      <w:r>
        <w:rPr>
          <w:rFonts w:ascii="Arial" w:cs="Arial" w:eastAsia="Arial" w:hAnsi="Arial"/>
          <w:sz w:val="16"/>
          <w:szCs w:val="16"/>
          <w:color w:val="auto"/>
        </w:rPr>
        <w:t>Substantially all the Company’s leases are classified as operating leases and are predominately related to real property for distribution centers, office space and integration facilities with a remaining lease term of up to 19 years. The Company’s equipment leases are primarily for automobiles and equipment and are not material to the consolidated financial statements.</w:t>
      </w:r>
    </w:p>
    <w:p>
      <w:pPr>
        <w:spacing w:after="0" w:line="147"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The Company determines if an arrangement contains a lease at inception based on whether it conveys the right to control the use of an identified asset in exchange for consideration.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93"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The Company’s leases generally do not provide a readily determinable implicit borrowing rate, as such, the discount rate used to calculate present value is the Company’s incremental secured borrowing rate. The incremental secured borrowing rates used at the date of adoption for each lease varies in accordance with the remaining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ectPr>
          <w:pgSz w:w="11900" w:h="16838" w:orient="portrait"/>
          <w:cols w:equalWidth="0" w:num="1">
            <w:col w:w="9060"/>
          </w:cols>
          <w:pgMar w:left="1420" w:top="54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189"/>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jc w:val="center"/>
        <w:ind w:right="5309"/>
        <w:spacing w:after="0"/>
        <w:rPr>
          <w:sz w:val="20"/>
          <w:szCs w:val="20"/>
          <w:color w:val="auto"/>
        </w:rPr>
      </w:pPr>
      <w:r>
        <w:rPr>
          <w:rFonts w:ascii="Arial" w:cs="Arial" w:eastAsia="Arial" w:hAnsi="Arial"/>
          <w:sz w:val="15"/>
          <w:szCs w:val="15"/>
          <w:color w:val="auto"/>
        </w:rPr>
        <w:t>Variable lease cost</w:t>
      </w:r>
    </w:p>
    <w:p>
      <w:pPr>
        <w:spacing w:after="0" w:line="70" w:lineRule="exact"/>
        <w:rPr>
          <w:sz w:val="20"/>
          <w:szCs w:val="20"/>
          <w:color w:val="auto"/>
        </w:rPr>
      </w:pPr>
    </w:p>
    <w:p>
      <w:pPr>
        <w:jc w:val="center"/>
        <w:ind w:right="5309"/>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First Quarter</w:t>
      </w:r>
    </w:p>
    <w:p>
      <w:pPr>
        <w:spacing w:after="0" w:line="27" w:lineRule="exact"/>
        <w:rPr>
          <w:sz w:val="20"/>
          <w:szCs w:val="20"/>
          <w:color w:val="auto"/>
        </w:rPr>
      </w:pPr>
    </w:p>
    <w:p>
      <w:pPr>
        <w:ind w:left="551"/>
        <w:spacing w:after="0"/>
        <w:rPr>
          <w:sz w:val="20"/>
          <w:szCs w:val="20"/>
          <w:color w:val="auto"/>
        </w:rPr>
      </w:pPr>
      <w:r>
        <w:rPr>
          <w:rFonts w:ascii="Arial" w:cs="Arial" w:eastAsia="Arial" w:hAnsi="Arial"/>
          <w:sz w:val="18"/>
          <w:szCs w:val="18"/>
          <w:b w:val="1"/>
          <w:bCs w:val="1"/>
          <w:color w:val="auto"/>
        </w:rPr>
        <w:t>Ended</w:t>
      </w:r>
    </w:p>
    <w:p>
      <w:pPr>
        <w:spacing w:after="0" w:line="23" w:lineRule="exact"/>
        <w:rPr>
          <w:sz w:val="20"/>
          <w:szCs w:val="20"/>
          <w:color w:val="auto"/>
        </w:rPr>
      </w:pPr>
    </w:p>
    <w:p>
      <w:pPr>
        <w:ind w:left="51"/>
        <w:spacing w:after="0"/>
        <w:rPr>
          <w:sz w:val="20"/>
          <w:szCs w:val="20"/>
          <w:color w:val="auto"/>
        </w:rPr>
      </w:pPr>
      <w:r>
        <w:rPr>
          <w:rFonts w:ascii="Arial" w:cs="Arial" w:eastAsia="Arial" w:hAnsi="Arial"/>
          <w:sz w:val="16"/>
          <w:szCs w:val="16"/>
          <w:b w:val="1"/>
          <w:bCs w:val="1"/>
          <w:u w:val="single" w:color="auto"/>
          <w:color w:val="auto"/>
        </w:rPr>
        <w:t>September 28, 2019</w:t>
      </w:r>
    </w:p>
    <w:p>
      <w:pPr>
        <w:spacing w:after="0" w:line="45" w:lineRule="exact"/>
        <w:rPr>
          <w:sz w:val="20"/>
          <w:szCs w:val="20"/>
          <w:color w:val="auto"/>
        </w:rPr>
      </w:pPr>
    </w:p>
    <w:p>
      <w:pPr>
        <w:ind w:left="1031" w:hanging="1031"/>
        <w:spacing w:after="0"/>
        <w:tabs>
          <w:tab w:leader="none" w:pos="1031" w:val="left"/>
        </w:tabs>
        <w:numPr>
          <w:ilvl w:val="0"/>
          <w:numId w:val="5"/>
        </w:numPr>
        <w:rPr>
          <w:rFonts w:ascii="Arial" w:cs="Arial" w:eastAsia="Arial" w:hAnsi="Arial"/>
          <w:sz w:val="17"/>
          <w:szCs w:val="17"/>
          <w:color w:val="auto"/>
        </w:rPr>
      </w:pPr>
      <w:r>
        <w:rPr>
          <w:rFonts w:ascii="Arial" w:cs="Arial" w:eastAsia="Arial" w:hAnsi="Arial"/>
          <w:sz w:val="17"/>
          <w:szCs w:val="17"/>
          <w:color w:val="auto"/>
        </w:rPr>
        <w:t>18,802</w:t>
      </w:r>
    </w:p>
    <w:p>
      <w:pPr>
        <w:spacing w:after="0" w:line="34" w:lineRule="exact"/>
        <w:rPr>
          <w:rFonts w:ascii="Arial" w:cs="Arial" w:eastAsia="Arial" w:hAnsi="Arial"/>
          <w:sz w:val="17"/>
          <w:szCs w:val="17"/>
          <w:color w:val="auto"/>
        </w:rPr>
      </w:pPr>
    </w:p>
    <w:p>
      <w:pPr>
        <w:ind w:left="1131"/>
        <w:spacing w:after="0"/>
        <w:rPr>
          <w:rFonts w:ascii="Arial" w:cs="Arial" w:eastAsia="Arial" w:hAnsi="Arial"/>
          <w:sz w:val="17"/>
          <w:szCs w:val="17"/>
          <w:color w:val="auto"/>
        </w:rPr>
      </w:pPr>
      <w:r>
        <w:rPr>
          <w:rFonts w:ascii="Arial" w:cs="Arial" w:eastAsia="Arial" w:hAnsi="Arial"/>
          <w:sz w:val="16"/>
          <w:szCs w:val="16"/>
          <w:color w:val="auto"/>
        </w:rPr>
        <w:t>5,268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-262255</wp:posOffset>
            </wp:positionV>
            <wp:extent cx="57461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20320</wp:posOffset>
            </wp:positionV>
            <wp:extent cx="574611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25" w:lineRule="exact"/>
        <w:rPr>
          <w:sz w:val="20"/>
          <w:szCs w:val="20"/>
          <w:color w:val="auto"/>
        </w:rPr>
      </w:pPr>
    </w:p>
    <w:p>
      <w:pPr>
        <w:ind w:left="1031" w:hanging="1031"/>
        <w:spacing w:after="0"/>
        <w:tabs>
          <w:tab w:leader="none" w:pos="1031" w:val="left"/>
        </w:tabs>
        <w:numPr>
          <w:ilvl w:val="0"/>
          <w:numId w:val="6"/>
        </w:numPr>
        <w:rPr>
          <w:rFonts w:ascii="Arial" w:cs="Arial" w:eastAsia="Arial" w:hAnsi="Arial"/>
          <w:sz w:val="17"/>
          <w:szCs w:val="17"/>
          <w:color w:val="auto"/>
        </w:rPr>
      </w:pPr>
      <w:r>
        <w:rPr>
          <w:rFonts w:ascii="Arial" w:cs="Arial" w:eastAsia="Arial" w:hAnsi="Arial"/>
          <w:sz w:val="17"/>
          <w:szCs w:val="17"/>
          <w:color w:val="auto"/>
        </w:rPr>
        <w:t>24,070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1012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649" w:space="720"/>
            <w:col w:w="1691"/>
          </w:cols>
          <w:pgMar w:left="1420" w:top="544" w:right="1419" w:bottom="1440" w:gutter="0" w:footer="0" w:header="0"/>
          <w:type w:val="continuous"/>
        </w:sectPr>
      </w:pP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252525"/>
        </w:rPr>
        <w:t>Future minimum operating lease payments as of September 28, 2019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4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32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32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158,895</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operating lease payments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imputed interest on operating lease liabilities</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(69,404)</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lease liabilities</w:t>
            </w:r>
          </w:p>
        </w:tc>
        <w:tc>
          <w:tcPr>
            <w:tcW w:w="3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0" w:type="dxa"/>
            <w:vAlign w:val="bottom"/>
            <w:vMerge w:val="restart"/>
          </w:tcPr>
          <w:p>
            <w:pPr>
              <w:jc w:val="right"/>
              <w:ind w:right="315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44"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right="160" w:firstLine="427"/>
        <w:spacing w:after="0" w:line="277" w:lineRule="auto"/>
        <w:rPr>
          <w:sz w:val="20"/>
          <w:szCs w:val="20"/>
          <w:color w:val="auto"/>
        </w:rPr>
      </w:pPr>
      <w:r>
        <w:rPr>
          <w:rFonts w:ascii="Arial" w:cs="Arial" w:eastAsia="Arial" w:hAnsi="Arial"/>
          <w:sz w:val="18"/>
          <w:szCs w:val="18"/>
          <w:color w:val="252525"/>
        </w:rPr>
        <w:t>Prior to the Company’s adoption of ASC 842, future minimum operating lease payments as of June 29, 2019, were as follows (in thousands) on an undiscounted basis and excluding non-lease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85,196</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303,750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44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Term and Discount Rate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discount rate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3.8 %</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27"/>
        <w:spacing w:after="0" w:line="277" w:lineRule="auto"/>
        <w:rPr>
          <w:sz w:val="20"/>
          <w:szCs w:val="20"/>
          <w:color w:val="auto"/>
        </w:rPr>
      </w:pPr>
      <w:r>
        <w:rPr>
          <w:rFonts w:ascii="Arial" w:cs="Arial" w:eastAsia="Arial" w:hAnsi="Arial"/>
          <w:sz w:val="18"/>
          <w:szCs w:val="18"/>
          <w:color w:val="auto"/>
        </w:rPr>
        <w:t>Supplemental cash flow information related to the Company’s operating leases for the three months ended September 28, 2019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15,322</w:t>
            </w: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6,404</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September 28, 2019 and June 29, 2019.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5"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European and Asia/Pacific foreign currencies.</w:t>
      </w:r>
    </w:p>
    <w:p>
      <w:pPr>
        <w:sectPr>
          <w:pgSz w:w="11900" w:h="16838" w:orient="portrait"/>
          <w:cols w:equalWidth="0" w:num="1">
            <w:col w:w="9060"/>
          </w:cols>
          <w:pgMar w:left="1420" w:top="544"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jc w:val="both"/>
        <w:ind w:right="20"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September 28,</w:t>
            </w:r>
          </w:p>
        </w:tc>
        <w:tc>
          <w:tcPr>
            <w:tcW w:w="3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60" w:type="dxa"/>
            <w:vAlign w:val="bottom"/>
            <w:shd w:val="clear" w:color="auto" w:fill="CCEE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5,705</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6,154</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right="20" w:firstLine="427"/>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6440" w:type="dxa"/>
            <w:vAlign w:val="bottom"/>
          </w:tcPr>
          <w:p>
            <w:pPr>
              <w:spacing w:after="0"/>
              <w:rPr>
                <w:sz w:val="17"/>
                <w:szCs w:val="17"/>
                <w:color w:val="auto"/>
              </w:rPr>
            </w:pPr>
          </w:p>
        </w:tc>
        <w:tc>
          <w:tcPr>
            <w:tcW w:w="12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28,</w:t>
            </w:r>
          </w:p>
        </w:tc>
        <w:tc>
          <w:tcPr>
            <w:tcW w:w="22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September 29,</w:t>
            </w:r>
          </w:p>
        </w:tc>
      </w:tr>
      <w:tr>
        <w:trPr>
          <w:trHeight w:val="241"/>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16"/>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(Thousands)</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gain</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r>
    </w:tbl>
    <w:p>
      <w:pPr>
        <w:spacing w:after="0" w:line="202" w:lineRule="exact"/>
        <w:rPr>
          <w:sz w:val="20"/>
          <w:szCs w:val="20"/>
          <w:color w:val="auto"/>
        </w:rPr>
      </w:pPr>
    </w:p>
    <w:p>
      <w:pPr>
        <w:jc w:val="both"/>
        <w:ind w:right="20" w:firstLine="427"/>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20"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right="20" w:firstLine="42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right="20" w:firstLine="427"/>
        <w:spacing w:after="0" w:line="264" w:lineRule="auto"/>
        <w:rPr>
          <w:sz w:val="20"/>
          <w:szCs w:val="20"/>
          <w:color w:val="auto"/>
        </w:rPr>
      </w:pPr>
      <w:r>
        <w:rPr>
          <w:rFonts w:ascii="Arial" w:cs="Arial" w:eastAsia="Arial" w:hAnsi="Arial"/>
          <w:sz w:val="18"/>
          <w:szCs w:val="18"/>
          <w:color w:val="auto"/>
        </w:rPr>
        <w:t>As of September 28, 2019, and June 29, 2019, the Company had aggregate estimated liabilities of $14.7 million classified within accrued expenses and other for such compliance-related matters that were reasonably estimable as of such dates.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544" w:right="1399" w:bottom="1440" w:gutter="0" w:footer="0" w:header="0"/>
        </w:sectPr>
      </w:pPr>
    </w:p>
    <w:bookmarkStart w:id="14" w:name="page15"/>
    <w:bookmarkEnd w:id="1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left="20" w:firstLine="427"/>
        <w:spacing w:after="0" w:line="254" w:lineRule="auto"/>
        <w:rPr>
          <w:sz w:val="20"/>
          <w:szCs w:val="20"/>
          <w:color w:val="auto"/>
        </w:rPr>
      </w:pPr>
      <w:r>
        <w:rPr>
          <w:rFonts w:ascii="Arial" w:cs="Arial" w:eastAsia="Arial" w:hAnsi="Arial"/>
          <w:sz w:val="18"/>
          <w:szCs w:val="18"/>
          <w:color w:val="auto"/>
        </w:rPr>
        <w:t>The Company’s effective tax rate on its income from continuing operations before taxes was (22.7)% in the first quarter of fiscal 2020 as compared with 27.3% in the first quarter of fiscal 2019. During the first quarter of fiscal 2020, the Company’s effective tax rate was favorably impacted primarily by (i) the release of unrecognized tax benefit reserves and (ii) the mix of income in lower tax jurisdictions. During the first quarter of fiscal 2019, the Company’s effective tax rate was unfavorably impacted primarily by (i) an adjustment to the provisional estimate for the one-time mandatory deemed repatriation tax liability recorded under the requirements of recent tax law changes in the United States (the “Act”) and (ii) increases in unrecognized tax benefits, partially offset by (iii) an adjustment to the provisional deferred tax impacts of the Act and (iv) the mix of income in lower tax jurisdictions.</w:t>
      </w:r>
    </w:p>
    <w:p>
      <w:pPr>
        <w:spacing w:after="0" w:line="192" w:lineRule="exact"/>
        <w:rPr>
          <w:sz w:val="20"/>
          <w:szCs w:val="20"/>
          <w:color w:val="auto"/>
        </w:rPr>
      </w:pPr>
    </w:p>
    <w:p>
      <w:pPr>
        <w:jc w:val="both"/>
        <w:ind w:left="20" w:firstLine="427"/>
        <w:spacing w:after="0" w:line="257" w:lineRule="auto"/>
        <w:rPr>
          <w:sz w:val="20"/>
          <w:szCs w:val="20"/>
          <w:color w:val="auto"/>
        </w:rPr>
      </w:pPr>
      <w:r>
        <w:rPr>
          <w:rFonts w:ascii="Arial" w:cs="Arial" w:eastAsia="Arial" w:hAnsi="Arial"/>
          <w:sz w:val="18"/>
          <w:szCs w:val="18"/>
          <w:color w:val="auto"/>
        </w:rPr>
        <w:t>The Company’s effective tax rates in fiscal years 2019 and 2020 are based on the Company’s interpretation of tax regulations under the Act including the computation of Global Intangible Low Taxed Income (“GILTI”). The Company has made a policy election to account for any impacts of the GILTI tax as a period expense. The Company’s effective tax rate may change in future periods due to changes in U.S. tax regulations and the issuance of additional guidance related to the Act.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(the “Plan”). Components of net periodic pension cost for the Plan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6"/>
          </w:tcPr>
          <w:p>
            <w:pPr>
              <w:ind w:left="90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w w:val="97"/>
              </w:rPr>
              <w:t>September 28,</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w w:val="99"/>
              </w:rPr>
              <w:t>September 29,</w:t>
            </w:r>
          </w:p>
        </w:tc>
        <w:tc>
          <w:tcPr>
            <w:tcW w:w="140" w:type="dxa"/>
            <w:vAlign w:val="bottom"/>
            <w:gridSpan w:val="2"/>
          </w:tcPr>
          <w:p>
            <w:pPr>
              <w:spacing w:after="0"/>
              <w:rPr>
                <w:sz w:val="17"/>
                <w:szCs w:val="17"/>
                <w:color w:val="auto"/>
              </w:rPr>
            </w:pPr>
          </w:p>
        </w:tc>
      </w:tr>
      <w:tr>
        <w:trPr>
          <w:trHeight w:val="241"/>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gridSpan w:val="4"/>
          </w:tcPr>
          <w:p>
            <w:pPr>
              <w:jc w:val="right"/>
              <w:ind w:right="1330"/>
              <w:spacing w:after="0"/>
              <w:rPr>
                <w:sz w:val="20"/>
                <w:szCs w:val="20"/>
                <w:color w:val="auto"/>
              </w:rPr>
            </w:pPr>
            <w:r>
              <w:rPr>
                <w:rFonts w:ascii="Arial" w:cs="Arial" w:eastAsia="Arial" w:hAnsi="Arial"/>
                <w:sz w:val="18"/>
                <w:szCs w:val="18"/>
                <w:b w:val="1"/>
                <w:bCs w:val="1"/>
                <w:color w:val="auto"/>
              </w:rPr>
              <w:t>(Thousands)</w:t>
            </w:r>
          </w:p>
        </w:tc>
        <w:tc>
          <w:tcPr>
            <w:tcW w:w="140" w:type="dxa"/>
            <w:vAlign w:val="bottom"/>
            <w:gridSpan w:val="2"/>
          </w:tcPr>
          <w:p>
            <w:pPr>
              <w:spacing w:after="0"/>
              <w:rPr>
                <w:sz w:val="18"/>
                <w:szCs w:val="18"/>
                <w:color w:val="auto"/>
              </w:rPr>
            </w:pPr>
          </w:p>
        </w:tc>
      </w:tr>
      <w:tr>
        <w:trPr>
          <w:trHeight w:val="23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175"/>
        </w:trPr>
        <w:tc>
          <w:tcPr>
            <w:tcW w:w="5120" w:type="dxa"/>
            <w:vAlign w:val="bottom"/>
          </w:tcPr>
          <w:p>
            <w:pPr>
              <w:ind w:left="120"/>
              <w:spacing w:after="0" w:line="176" w:lineRule="exact"/>
              <w:rPr>
                <w:sz w:val="20"/>
                <w:szCs w:val="20"/>
                <w:color w:val="auto"/>
              </w:rPr>
            </w:pPr>
            <w:r>
              <w:rPr>
                <w:rFonts w:ascii="Arial" w:cs="Arial" w:eastAsia="Arial" w:hAnsi="Arial"/>
                <w:sz w:val="18"/>
                <w:szCs w:val="18"/>
                <w:color w:val="auto"/>
              </w:rPr>
              <w:t>Total net periodic pension cost within selling, general and</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12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3,786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5,638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(12,668)</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2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r>
      <w:tr>
        <w:trPr>
          <w:trHeight w:val="23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175"/>
        </w:trPr>
        <w:tc>
          <w:tcPr>
            <w:tcW w:w="5120" w:type="dxa"/>
            <w:vAlign w:val="bottom"/>
          </w:tcPr>
          <w:p>
            <w:pPr>
              <w:ind w:left="120"/>
              <w:spacing w:after="0" w:line="176" w:lineRule="exact"/>
              <w:rPr>
                <w:sz w:val="20"/>
                <w:szCs w:val="20"/>
                <w:color w:val="auto"/>
              </w:rPr>
            </w:pPr>
            <w:r>
              <w:rPr>
                <w:rFonts w:ascii="Arial" w:cs="Arial" w:eastAsia="Arial" w:hAnsi="Arial"/>
                <w:sz w:val="18"/>
                <w:szCs w:val="18"/>
                <w:color w:val="auto"/>
                <w:w w:val="96"/>
              </w:rPr>
              <w:t>Total net periodic pension benefit within other income (expense),</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120" w:type="dxa"/>
            <w:vAlign w:val="bottom"/>
          </w:tcPr>
          <w:p>
            <w:pPr>
              <w:ind w:left="12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(2,859)</w:t>
            </w:r>
          </w:p>
        </w:tc>
        <w:tc>
          <w:tcPr>
            <w:tcW w:w="22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0"/>
                <w:szCs w:val="20"/>
                <w:color w:val="auto"/>
              </w:rPr>
            </w:pPr>
          </w:p>
        </w:tc>
      </w:tr>
      <w:tr>
        <w:trPr>
          <w:trHeight w:val="236"/>
        </w:trPr>
        <w:tc>
          <w:tcPr>
            <w:tcW w:w="5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5120" w:type="dxa"/>
            <w:vAlign w:val="bottom"/>
          </w:tcPr>
          <w:p>
            <w:pPr>
              <w:ind w:left="120"/>
              <w:spacing w:after="0" w:line="203" w:lineRule="exact"/>
              <w:rPr>
                <w:sz w:val="20"/>
                <w:szCs w:val="20"/>
                <w:color w:val="auto"/>
              </w:rPr>
            </w:pPr>
            <w:r>
              <w:rPr>
                <w:rFonts w:ascii="Arial" w:cs="Arial" w:eastAsia="Arial" w:hAnsi="Arial"/>
                <w:sz w:val="18"/>
                <w:szCs w:val="18"/>
                <w:color w:val="auto"/>
              </w:rPr>
              <w:t>Net periodic pension cost (benefit)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927</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20" w:firstLine="427"/>
        <w:spacing w:after="0" w:line="277" w:lineRule="auto"/>
        <w:rPr>
          <w:sz w:val="20"/>
          <w:szCs w:val="20"/>
          <w:color w:val="auto"/>
        </w:rPr>
      </w:pPr>
      <w:r>
        <w:rPr>
          <w:rFonts w:ascii="Arial" w:cs="Arial" w:eastAsia="Arial" w:hAnsi="Arial"/>
          <w:sz w:val="18"/>
          <w:szCs w:val="18"/>
          <w:color w:val="auto"/>
        </w:rPr>
        <w:t>The Company expects to make contributions to the Plan of $8.0 million during fiscal 2020. There were no contributions made during the first quarter of fiscal 2020.</w:t>
      </w:r>
    </w:p>
    <w:p>
      <w:pPr>
        <w:spacing w:after="0" w:line="170" w:lineRule="exact"/>
        <w:rPr>
          <w:sz w:val="20"/>
          <w:szCs w:val="20"/>
          <w:color w:val="auto"/>
        </w:rPr>
      </w:pPr>
    </w:p>
    <w:p>
      <w:pPr>
        <w:jc w:val="both"/>
        <w:ind w:left="20"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net of tax, to other income (expense), net during the first quarters of fiscal 2020 and fiscal 2019 were not material and substantially all related to net periodic pension costs including recognition of actuarial losses and amortization of prior service costs and credits.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sectPr>
      </w:pPr>
    </w:p>
    <w:bookmarkStart w:id="15" w:name="page16"/>
    <w:bookmarkEnd w:id="1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460" w:right="6740" w:hanging="431"/>
        <w:spacing w:after="0" w:line="566" w:lineRule="auto"/>
        <w:tabs>
          <w:tab w:leader="none" w:pos="30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left="20" w:right="40" w:firstLine="427"/>
        <w:spacing w:after="0" w:line="255" w:lineRule="auto"/>
        <w:rPr>
          <w:sz w:val="20"/>
          <w:szCs w:val="20"/>
          <w:color w:val="auto"/>
        </w:rPr>
      </w:pPr>
      <w:r>
        <w:rPr>
          <w:rFonts w:ascii="Arial" w:cs="Arial" w:eastAsia="Arial" w:hAnsi="Arial"/>
          <w:sz w:val="18"/>
          <w:szCs w:val="18"/>
          <w:color w:val="auto"/>
        </w:rPr>
        <w:t>In August 2019, the Company’s Board of Directors authorized a $500 million increase in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corporate and regulatory requirements, and prevailing market conditions. During the three months ended September 28, 2019, the Company repurchased 2.6 million shares under this program for a total cost of $112.1 million. As of September 28, 2019, the Company had $593.3 million remaining under its share repurchase authorization.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left="20" w:right="60" w:firstLine="432"/>
        <w:spacing w:after="0" w:line="277" w:lineRule="auto"/>
        <w:rPr>
          <w:sz w:val="20"/>
          <w:szCs w:val="20"/>
          <w:color w:val="auto"/>
        </w:rPr>
      </w:pPr>
      <w:r>
        <w:rPr>
          <w:rFonts w:ascii="Arial" w:cs="Arial" w:eastAsia="Arial" w:hAnsi="Arial"/>
          <w:sz w:val="18"/>
          <w:szCs w:val="18"/>
          <w:color w:val="auto"/>
        </w:rPr>
        <w:t>In August 2019, the Company’s Board of Directors approved a dividend of $0.21 per common share and dividend payments of $21.5 million were made in September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11. Earnings 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September 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September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41,752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83,529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6220" w:type="dxa"/>
            <w:vAlign w:val="bottom"/>
            <w:gridSpan w:val="2"/>
          </w:tcPr>
          <w:p>
            <w:pPr>
              <w:spacing w:after="0" w:line="203"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41,752</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83,724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dilutive stock based compensation awards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116,471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 continuing operations</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0.40</w:t>
            </w:r>
          </w:p>
        </w:tc>
        <w:tc>
          <w:tcPr>
            <w:tcW w:w="1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 -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 - continuing operations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earnings per share - discontinued operations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2"/>
              </w:rPr>
              <w:t>Stock options excluded from earnings per share calculation due to anti-dilutive effect</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20"/>
          </w:cols>
          <w:pgMar w:left="1400" w:top="544" w:right="1379" w:bottom="1440" w:gutter="0" w:footer="0" w:header="0"/>
        </w:sectPr>
      </w:pPr>
    </w:p>
    <w:bookmarkStart w:id="16" w:name="page17"/>
    <w:bookmarkEnd w:id="1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gridSpan w:val="4"/>
          </w:tcPr>
          <w:p>
            <w:pPr>
              <w:ind w:left="200"/>
              <w:spacing w:after="0"/>
              <w:rPr>
                <w:sz w:val="20"/>
                <w:szCs w:val="20"/>
                <w:color w:val="auto"/>
              </w:rPr>
            </w:pPr>
            <w:r>
              <w:rPr>
                <w:rFonts w:ascii="Arial" w:cs="Arial" w:eastAsia="Arial" w:hAnsi="Arial"/>
                <w:sz w:val="18"/>
                <w:szCs w:val="18"/>
                <w:b w:val="1"/>
                <w:bCs w:val="1"/>
                <w:color w:val="auto"/>
              </w:rPr>
              <w:t>First Quarters Ended</w:t>
            </w:r>
          </w:p>
        </w:tc>
      </w:tr>
      <w:tr>
        <w:trPr>
          <w:trHeight w:val="234"/>
        </w:trPr>
        <w:tc>
          <w:tcPr>
            <w:tcW w:w="6500" w:type="dxa"/>
            <w:vAlign w:val="bottom"/>
          </w:tcPr>
          <w:p>
            <w:pPr>
              <w:spacing w:after="0"/>
              <w:rPr>
                <w:sz w:val="20"/>
                <w:szCs w:val="20"/>
                <w:color w:val="auto"/>
              </w:rPr>
            </w:pPr>
          </w:p>
        </w:tc>
        <w:tc>
          <w:tcPr>
            <w:tcW w:w="13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4"/>
              </w:rPr>
              <w:t>September 28,</w:t>
            </w: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9"/>
              </w:rPr>
              <w:t>September 29,</w:t>
            </w:r>
          </w:p>
        </w:tc>
        <w:tc>
          <w:tcPr>
            <w:tcW w:w="20" w:type="dxa"/>
            <w:vAlign w:val="bottom"/>
          </w:tcPr>
          <w:p>
            <w:pPr>
              <w:spacing w:after="0"/>
              <w:rPr>
                <w:sz w:val="20"/>
                <w:szCs w:val="20"/>
                <w:color w:val="auto"/>
              </w:rPr>
            </w:pPr>
          </w:p>
        </w:tc>
      </w:tr>
      <w:tr>
        <w:trPr>
          <w:trHeight w:val="259"/>
        </w:trPr>
        <w:tc>
          <w:tcPr>
            <w:tcW w:w="6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2"/>
                <w:szCs w:val="22"/>
                <w:color w:val="auto"/>
              </w:rPr>
            </w:pPr>
          </w:p>
        </w:tc>
      </w:tr>
      <w:tr>
        <w:trPr>
          <w:trHeight w:val="239"/>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b w:val="1"/>
                <w:bCs w:val="1"/>
                <w:color w:val="auto"/>
                <w:w w:val="90"/>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Activities: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7,500</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9,690</w:t>
            </w:r>
          </w:p>
        </w:tc>
        <w:tc>
          <w:tcPr>
            <w:tcW w:w="20" w:type="dxa"/>
            <w:vAlign w:val="bottom"/>
          </w:tcPr>
          <w:p>
            <w:pPr>
              <w:spacing w:after="0"/>
              <w:rPr>
                <w:sz w:val="20"/>
                <w:szCs w:val="20"/>
                <w:color w:val="auto"/>
              </w:rPr>
            </w:pPr>
          </w:p>
        </w:tc>
      </w:tr>
      <w:tr>
        <w:trPr>
          <w:trHeight w:val="24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Financing Activities: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Unsettled share repurchases</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2,734</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11,228</w:t>
            </w:r>
          </w:p>
        </w:tc>
        <w:tc>
          <w:tcPr>
            <w:tcW w:w="20" w:type="dxa"/>
            <w:vAlign w:val="bottom"/>
          </w:tcPr>
          <w:p>
            <w:pPr>
              <w:spacing w:after="0"/>
              <w:rPr>
                <w:sz w:val="20"/>
                <w:szCs w:val="20"/>
                <w:color w:val="auto"/>
              </w:rPr>
            </w:pPr>
          </w:p>
        </w:tc>
      </w:tr>
      <w:tr>
        <w:trPr>
          <w:trHeight w:val="24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7"/>
        </w:trPr>
        <w:tc>
          <w:tcPr>
            <w:tcW w:w="650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19,214</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13,826</w:t>
            </w:r>
          </w:p>
        </w:tc>
        <w:tc>
          <w:tcPr>
            <w:tcW w:w="20" w:type="dxa"/>
            <w:vAlign w:val="bottom"/>
          </w:tcPr>
          <w:p>
            <w:pPr>
              <w:spacing w:after="0"/>
              <w:rPr>
                <w:sz w:val="20"/>
                <w:szCs w:val="20"/>
                <w:color w:val="auto"/>
              </w:rPr>
            </w:pPr>
          </w:p>
        </w:tc>
      </w:tr>
      <w:tr>
        <w:trPr>
          <w:trHeight w:val="249"/>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(refunds) payments - continuing and discontinued operations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54,519</w:t>
            </w:r>
          </w:p>
        </w:tc>
        <w:tc>
          <w:tcPr>
            <w:tcW w:w="2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ind w:left="20" w:firstLine="432"/>
        <w:spacing w:after="0" w:line="264" w:lineRule="auto"/>
        <w:rPr>
          <w:sz w:val="20"/>
          <w:szCs w:val="20"/>
          <w:color w:val="auto"/>
        </w:rPr>
      </w:pPr>
      <w:r>
        <w:rPr>
          <w:rFonts w:ascii="Arial" w:cs="Arial" w:eastAsia="Arial" w:hAnsi="Arial"/>
          <w:sz w:val="18"/>
          <w:szCs w:val="18"/>
          <w:color w:val="auto"/>
        </w:rPr>
        <w:t>Included in cash and cash equivalents as of September 28, 2019 and June 29, 2019 was $16.1 million and $9.4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7"/>
          <w:szCs w:val="17"/>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September 28,</w:t>
            </w:r>
          </w:p>
        </w:tc>
        <w:tc>
          <w:tcPr>
            <w:tcW w:w="2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September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Electronic Components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4,294,187</w:t>
            </w: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4,710,825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1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4,630,009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5,089,879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Electronic Components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112,286</w:t>
            </w: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1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21,805</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Corporate </w:t>
            </w:r>
            <w:r>
              <w:rPr>
                <w:rFonts w:ascii="Arial" w:cs="Arial" w:eastAsia="Arial" w:hAnsi="Arial"/>
                <w:sz w:val="25"/>
                <w:szCs w:val="25"/>
                <w:color w:val="auto"/>
                <w:vertAlign w:val="superscript"/>
              </w:rPr>
              <w:t>(1)</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0" w:type="dxa"/>
            <w:vAlign w:val="bottom"/>
          </w:tcPr>
          <w:p>
            <w:pPr>
              <w:spacing w:after="0"/>
              <w:rPr>
                <w:sz w:val="1"/>
                <w:szCs w:val="1"/>
                <w:color w:val="auto"/>
              </w:rPr>
            </w:pPr>
          </w:p>
        </w:tc>
      </w:tr>
      <w:tr>
        <w:trPr>
          <w:trHeight w:val="243"/>
        </w:trPr>
        <w:tc>
          <w:tcPr>
            <w:tcW w:w="514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1"/>
                <w:szCs w:val="21"/>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62,738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146,816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Sales, by geographic area:</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(2)</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1,215,757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(3)</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1,470,924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1,714,917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25"/>
                <w:szCs w:val="25"/>
                <w:color w:val="auto"/>
                <w:vertAlign w:val="superscript"/>
              </w:rPr>
              <w:t>(4)</w:t>
            </w: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1,943,328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2,103,169</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3" w:lineRule="exact"/>
              <w:rPr>
                <w:sz w:val="20"/>
                <w:szCs w:val="20"/>
                <w:color w:val="auto"/>
              </w:rPr>
            </w:pPr>
            <w:r>
              <w:rPr>
                <w:rFonts w:ascii="Arial" w:cs="Arial" w:eastAsia="Arial" w:hAnsi="Arial"/>
                <w:sz w:val="18"/>
                <w:szCs w:val="18"/>
                <w:color w:val="auto"/>
              </w:rPr>
              <w:t>Sales</w:t>
            </w:r>
          </w:p>
        </w:tc>
        <w:tc>
          <w:tcPr>
            <w:tcW w:w="1380" w:type="dxa"/>
            <w:vAlign w:val="bottom"/>
          </w:tcPr>
          <w:p>
            <w:pPr>
              <w:spacing w:after="0"/>
              <w:rPr>
                <w:sz w:val="17"/>
                <w:szCs w:val="17"/>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4,630,009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5,089,879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408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71" w:lineRule="exact"/>
        <w:rPr>
          <w:sz w:val="20"/>
          <w:szCs w:val="20"/>
          <w:color w:val="auto"/>
        </w:rPr>
      </w:pPr>
    </w:p>
    <w:p>
      <w:pPr>
        <w:jc w:val="both"/>
        <w:ind w:left="340" w:hanging="331"/>
        <w:spacing w:after="0" w:line="226"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Corporate is not a reportable segment and represents certain centrally incurred overhead expenses and assets that are not included in the EC and Farnell measures of profitability or assets. Corporate amounts represent a reconciling item between segment measures of profitability or assets and total Avnet amounts reported in the consolidated financial statements.</w:t>
      </w:r>
    </w:p>
    <w:p>
      <w:pPr>
        <w:spacing w:after="0" w:line="203" w:lineRule="exact"/>
        <w:rPr>
          <w:rFonts w:ascii="Arial" w:cs="Arial" w:eastAsia="Arial" w:hAnsi="Arial"/>
          <w:sz w:val="27"/>
          <w:szCs w:val="27"/>
          <w:color w:val="auto"/>
          <w:vertAlign w:val="superscript"/>
        </w:rPr>
      </w:pPr>
    </w:p>
    <w:p>
      <w:pPr>
        <w:ind w:left="340" w:hanging="331"/>
        <w:spacing w:after="0" w:line="207"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$1.14 billion and $1.18 billion for the first quarters ended September 28, 2019 and September 29, 2018, respectively.</w:t>
      </w:r>
    </w:p>
    <w:p>
      <w:pPr>
        <w:spacing w:after="0" w:line="201" w:lineRule="exact"/>
        <w:rPr>
          <w:rFonts w:ascii="Arial" w:cs="Arial" w:eastAsia="Arial" w:hAnsi="Arial"/>
          <w:sz w:val="27"/>
          <w:szCs w:val="27"/>
          <w:color w:val="auto"/>
          <w:vertAlign w:val="superscript"/>
        </w:rPr>
      </w:pPr>
    </w:p>
    <w:p>
      <w:pPr>
        <w:jc w:val="both"/>
        <w:ind w:left="340" w:right="20" w:hanging="331"/>
        <w:spacing w:after="0" w:line="219"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sales from Germany and Belgium of $580.3 million and $277.8 million, respectively, for the first quarter ended September 28, 2019. Includes sales from Germany and Belgium of $685.7 million and $280.1 million, respectively, for the first quarter ended September 29, 2018.</w:t>
      </w:r>
    </w:p>
    <w:p>
      <w:pPr>
        <w:spacing w:after="0" w:line="203" w:lineRule="exact"/>
        <w:rPr>
          <w:rFonts w:ascii="Arial" w:cs="Arial" w:eastAsia="Arial" w:hAnsi="Arial"/>
          <w:sz w:val="27"/>
          <w:szCs w:val="27"/>
          <w:color w:val="auto"/>
          <w:vertAlign w:val="superscript"/>
        </w:rPr>
      </w:pPr>
    </w:p>
    <w:p>
      <w:pPr>
        <w:jc w:val="both"/>
        <w:ind w:left="340" w:hanging="331"/>
        <w:spacing w:after="0" w:line="226"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sales from China (including Hong Kong), Taiwan and Singapore of $623.5 million, $870.4 million and $239.6 million, respectively, for the first quarter ended September 28, 2019. Includes sales from China (including Hong Kong), Taiwan and Singapore of $693.1 million, $888.7 million and $280.4 million, respectively, for the first quarter ended September 29,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18" w:name="page19"/>
    <w:bookmarkEnd w:id="18"/>
    <w:tbl>
      <w:tblPr>
        <w:tblLayout w:type="fixed"/>
        <w:tblInd w:w="100" w:type="dxa"/>
        <w:tblCellMar>
          <w:top w:w="0" w:type="dxa"/>
          <w:left w:w="0" w:type="dxa"/>
          <w:bottom w:w="0" w:type="dxa"/>
          <w:right w:w="0" w:type="dxa"/>
        </w:tblCellMar>
      </w:tblPr>
      <w:tr>
        <w:trPr>
          <w:trHeight w:val="207"/>
        </w:trPr>
        <w:tc>
          <w:tcPr>
            <w:tcW w:w="63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402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AVNET, INC.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65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28,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29,</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208,925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213,802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200,379</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36,204</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37,990</w:t>
            </w:r>
          </w:p>
        </w:tc>
        <w:tc>
          <w:tcPr>
            <w:tcW w:w="18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437,467</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452,171</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20" w:type="dxa"/>
            <w:vAlign w:val="bottom"/>
            <w:tcBorders>
              <w:bottom w:val="single" w:sz="8" w:color="0D0D0D"/>
            </w:tcBorders>
          </w:tcPr>
          <w:p>
            <w:pPr>
              <w:spacing w:after="0"/>
              <w:rPr>
                <w:sz w:val="17"/>
                <w:szCs w:val="17"/>
                <w:color w:val="auto"/>
              </w:rPr>
            </w:pPr>
          </w:p>
        </w:tc>
        <w:tc>
          <w:tcPr>
            <w:tcW w:w="1260" w:type="dxa"/>
            <w:vAlign w:val="bottom"/>
            <w:tcBorders>
              <w:bottom w:val="single" w:sz="8" w:color="0D0D0D"/>
            </w:tcBorders>
          </w:tcPr>
          <w:p>
            <w:pPr>
              <w:spacing w:after="0"/>
              <w:rPr>
                <w:sz w:val="17"/>
                <w:szCs w:val="17"/>
                <w:color w:val="auto"/>
              </w:rPr>
            </w:pPr>
          </w:p>
        </w:tc>
        <w:tc>
          <w:tcPr>
            <w:tcW w:w="1000" w:type="dxa"/>
            <w:vAlign w:val="bottom"/>
            <w:tcBorders>
              <w:bottom w:val="single" w:sz="8" w:color="0D0D0D"/>
            </w:tcBorders>
          </w:tcPr>
          <w:p>
            <w:pPr>
              <w:spacing w:after="0"/>
              <w:rPr>
                <w:sz w:val="17"/>
                <w:szCs w:val="17"/>
                <w:color w:val="auto"/>
              </w:rPr>
            </w:pPr>
          </w:p>
        </w:tc>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94" w:lineRule="exact"/>
        <w:rPr>
          <w:sz w:val="20"/>
          <w:szCs w:val="20"/>
          <w:color w:val="auto"/>
        </w:rPr>
      </w:pPr>
    </w:p>
    <w:p>
      <w:pPr>
        <w:ind w:left="440" w:right="120" w:hanging="331"/>
        <w:spacing w:after="0" w:line="207" w:lineRule="auto"/>
        <w:tabs>
          <w:tab w:leader="none" w:pos="4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$205.4 million and $209.9 million as of September 28, 2019, and June 29, 2019, respectively, in the United States.</w:t>
      </w:r>
    </w:p>
    <w:p>
      <w:pPr>
        <w:spacing w:after="0" w:line="201" w:lineRule="exact"/>
        <w:rPr>
          <w:rFonts w:ascii="Arial" w:cs="Arial" w:eastAsia="Arial" w:hAnsi="Arial"/>
          <w:sz w:val="27"/>
          <w:szCs w:val="27"/>
          <w:color w:val="auto"/>
          <w:vertAlign w:val="superscript"/>
        </w:rPr>
      </w:pPr>
    </w:p>
    <w:p>
      <w:pPr>
        <w:jc w:val="both"/>
        <w:ind w:left="440" w:right="100" w:hanging="331"/>
        <w:spacing w:after="0" w:line="219" w:lineRule="auto"/>
        <w:tabs>
          <w:tab w:leader="none" w:pos="4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$87.3 million, $72.0 million and $23.5 million in Germany, the UK and Belgium, respectively, as of September 28, 2019; and $95.2 million, $70.5 million and $25.2 million in Germany, the UK and Belgium, respectively, as of June 29, 2019.</w:t>
      </w:r>
    </w:p>
    <w:p>
      <w:pPr>
        <w:spacing w:after="0" w:line="199" w:lineRule="exact"/>
        <w:rPr>
          <w:sz w:val="20"/>
          <w:szCs w:val="20"/>
          <w:color w:val="auto"/>
        </w:rPr>
      </w:pPr>
    </w:p>
    <w:p>
      <w:pPr>
        <w:ind w:left="540" w:right="7080" w:hanging="431"/>
        <w:spacing w:after="0" w:line="566" w:lineRule="auto"/>
        <w:tabs>
          <w:tab w:leader="none" w:pos="38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expenses </w:t>
      </w:r>
      <w:r>
        <w:rPr>
          <w:rFonts w:ascii="Arial" w:cs="Arial" w:eastAsia="Arial" w:hAnsi="Arial"/>
          <w:sz w:val="16"/>
          <w:szCs w:val="16"/>
          <w:i w:val="1"/>
          <w:iCs w:val="1"/>
          <w:color w:val="auto"/>
        </w:rPr>
        <w:t>Fiscal 2020</w:t>
      </w:r>
    </w:p>
    <w:p>
      <w:pPr>
        <w:spacing w:after="0" w:line="1" w:lineRule="exact"/>
        <w:rPr>
          <w:sz w:val="20"/>
          <w:szCs w:val="20"/>
          <w:color w:val="auto"/>
        </w:rPr>
      </w:pPr>
    </w:p>
    <w:p>
      <w:pPr>
        <w:jc w:val="both"/>
        <w:ind w:left="100" w:right="100" w:firstLine="432"/>
        <w:spacing w:after="0" w:line="259" w:lineRule="auto"/>
        <w:rPr>
          <w:sz w:val="20"/>
          <w:szCs w:val="20"/>
          <w:color w:val="auto"/>
        </w:rPr>
      </w:pPr>
      <w:r>
        <w:rPr>
          <w:rFonts w:ascii="Arial" w:cs="Arial" w:eastAsia="Arial" w:hAnsi="Arial"/>
          <w:sz w:val="18"/>
          <w:szCs w:val="18"/>
          <w:color w:val="auto"/>
        </w:rPr>
        <w:t>During fiscal 2020, the Company undertook restructuring actions in order to improve operating efficiencies and further integrate the acquisition of Farnell. Restructuring expenses are included as a component of restructuring, integration and other expenses in the consolidated statements of operations. The activity related to the restructuring liabilities and assets established during fiscal 2020 is presented in the following table: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Asset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5"/>
              </w:rPr>
              <w:t>Severance</w:t>
            </w:r>
          </w:p>
        </w:tc>
        <w:tc>
          <w:tcPr>
            <w:tcW w:w="14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Impairments</w:t>
            </w:r>
          </w:p>
        </w:tc>
        <w:tc>
          <w:tcPr>
            <w:tcW w:w="3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(Thousands)</w:t>
            </w: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 restructuring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20" w:type="dxa"/>
            <w:vAlign w:val="bottom"/>
          </w:tcPr>
          <w:p>
            <w:pPr>
              <w:spacing w:after="0"/>
              <w:rPr>
                <w:sz w:val="19"/>
                <w:szCs w:val="19"/>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(5,730)</w:t>
            </w:r>
          </w:p>
        </w:tc>
        <w:tc>
          <w:tcPr>
            <w:tcW w:w="14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(5,730)</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amounts</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20" w:type="dxa"/>
            <w:vAlign w:val="bottom"/>
          </w:tcPr>
          <w:p>
            <w:pPr>
              <w:spacing w:after="0"/>
              <w:rPr>
                <w:sz w:val="19"/>
                <w:szCs w:val="19"/>
                <w:color w:val="auto"/>
              </w:rPr>
            </w:pPr>
          </w:p>
        </w:tc>
      </w:tr>
      <w:tr>
        <w:trPr>
          <w:trHeight w:val="237"/>
        </w:trPr>
        <w:tc>
          <w:tcPr>
            <w:tcW w:w="4460" w:type="dxa"/>
            <w:vAlign w:val="bottom"/>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2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r>
      <w:tr>
        <w:trPr>
          <w:trHeight w:val="23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28, 2019</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0" w:right="100" w:firstLine="432"/>
        <w:spacing w:after="0" w:line="255" w:lineRule="auto"/>
        <w:rPr>
          <w:sz w:val="20"/>
          <w:szCs w:val="20"/>
          <w:color w:val="auto"/>
        </w:rPr>
      </w:pPr>
      <w:r>
        <w:rPr>
          <w:rFonts w:ascii="Arial" w:cs="Arial" w:eastAsia="Arial" w:hAnsi="Arial"/>
          <w:sz w:val="18"/>
          <w:szCs w:val="18"/>
          <w:color w:val="auto"/>
        </w:rPr>
        <w:t>Severance expense recorded in the first quarter of fiscal 2020 related to the reduction, or planned reduction, of over 200 employees, primarily in executive management, operations, information technology, warehouse, sales and business support functions. Asset impairments relate primarily to software assets that were impaired as a result of the restructuring of information technology operations including the re-prioritization of information technology initiatives and resources. Of the $18.3 million in restructuring expenses recorded during the first quarter of fiscal 2020, $15.1 million related to EC and $3.2 million related to Farnell. The Company expects the majority of the remaining severance amounts to be paid by the end of fiscal 2020.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260"/>
          </w:cols>
          <w:pgMar w:left="1320" w:top="527" w:right="1319" w:bottom="1440" w:gutter="0" w:footer="0" w:header="0"/>
        </w:sectPr>
      </w:pPr>
    </w:p>
    <w:bookmarkStart w:id="19" w:name="page20"/>
    <w:bookmarkEnd w:id="19"/>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2019 and prior</w:t>
      </w:r>
    </w:p>
    <w:p>
      <w:pPr>
        <w:spacing w:after="0" w:line="225" w:lineRule="exact"/>
        <w:rPr>
          <w:sz w:val="20"/>
          <w:szCs w:val="20"/>
          <w:color w:val="auto"/>
        </w:rPr>
      </w:pPr>
    </w:p>
    <w:p>
      <w:pPr>
        <w:jc w:val="both"/>
        <w:ind w:left="100" w:right="100" w:firstLine="432"/>
        <w:spacing w:after="0" w:line="259" w:lineRule="auto"/>
        <w:rPr>
          <w:sz w:val="20"/>
          <w:szCs w:val="20"/>
          <w:color w:val="auto"/>
        </w:rPr>
      </w:pPr>
      <w:r>
        <w:rPr>
          <w:rFonts w:ascii="Arial" w:cs="Arial" w:eastAsia="Arial" w:hAnsi="Arial"/>
          <w:sz w:val="18"/>
          <w:szCs w:val="18"/>
          <w:color w:val="auto"/>
        </w:rPr>
        <w:t>During fiscal 2019 and prior, the Company incurred restructuring expenses related to various restructuring actions intended to achieve planned synergies from acquired businesses and to reduce future operating expenses. The following table presents the activity during the first quarter of fiscal 2020 related to the remaining restructuring liabilities from continuing operations established during fiscal 2019 and prior: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Facility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and Contract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Exit Costs</w:t>
            </w:r>
          </w:p>
        </w:tc>
        <w:tc>
          <w:tcPr>
            <w:tcW w:w="3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30"/>
        </w:trPr>
        <w:tc>
          <w:tcPr>
            <w:tcW w:w="4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(Thousands)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29, 2019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w:t>
            </w:r>
          </w:p>
        </w:tc>
        <w:tc>
          <w:tcPr>
            <w:tcW w:w="20" w:type="dxa"/>
            <w:vAlign w:val="bottom"/>
          </w:tcPr>
          <w:p>
            <w:pPr>
              <w:spacing w:after="0"/>
              <w:rPr>
                <w:sz w:val="19"/>
                <w:szCs w:val="19"/>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(7,231)</w:t>
            </w:r>
          </w:p>
        </w:tc>
        <w:tc>
          <w:tcPr>
            <w:tcW w:w="1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(2,055)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(9,286)</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9"/>
                <w:szCs w:val="19"/>
                <w:color w:val="auto"/>
              </w:rPr>
            </w:pPr>
          </w:p>
        </w:tc>
      </w:tr>
      <w:tr>
        <w:trPr>
          <w:trHeight w:val="237"/>
        </w:trPr>
        <w:tc>
          <w:tcPr>
            <w:tcW w:w="4460" w:type="dxa"/>
            <w:vAlign w:val="bottom"/>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0"/>
                <w:szCs w:val="20"/>
                <w:color w:val="auto"/>
              </w:rPr>
            </w:pPr>
          </w:p>
        </w:tc>
      </w:tr>
      <w:tr>
        <w:trPr>
          <w:trHeight w:val="23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28, 2019</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expects the majority of the remaining amounts to be paid by the end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358140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260"/>
          </w:cols>
          <w:pgMar w:left="1320" w:top="544" w:right="1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September 28, 2019,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June 29, 2019.</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“constant currency.”</w:t>
      </w:r>
    </w:p>
    <w:p>
      <w:pPr>
        <w:spacing w:after="0" w:line="16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80" w:hanging="320"/>
        <w:spacing w:after="0" w:line="259"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80" w:hanging="320"/>
        <w:spacing w:after="0" w:line="312"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Operating income excluding (i) restructuring, integration and other expenses (see </w:t>
      </w:r>
      <w:r>
        <w:rPr>
          <w:rFonts w:ascii="Arial" w:cs="Arial" w:eastAsia="Arial" w:hAnsi="Arial"/>
          <w:sz w:val="16"/>
          <w:szCs w:val="16"/>
          <w:i w:val="1"/>
          <w:iCs w:val="1"/>
          <w:color w:val="auto"/>
        </w:rPr>
        <w:t>Restructuring, Integration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Expenses </w:t>
      </w:r>
      <w:r>
        <w:rPr>
          <w:rFonts w:ascii="Arial" w:cs="Arial" w:eastAsia="Arial" w:hAnsi="Arial"/>
          <w:sz w:val="16"/>
          <w:szCs w:val="16"/>
          <w:color w:val="auto"/>
        </w:rPr>
        <w:t>in this MD&amp;A), (ii) goodwill impairment expense and (iii) amortization of acquired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other. Operating income excluding such amounts is referred to as “adjusted operating income.”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6"/>
          </w:tcPr>
          <w:p>
            <w:pPr>
              <w:ind w:left="26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28,</w:t>
            </w: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September 29,</w:t>
            </w:r>
          </w:p>
        </w:tc>
        <w:tc>
          <w:tcPr>
            <w:tcW w:w="1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62,738</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24,598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14,788</w:t>
            </w:r>
          </w:p>
        </w:tc>
        <w:tc>
          <w:tcPr>
            <w:tcW w:w="14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Adjusted operating income</w:t>
            </w:r>
          </w:p>
        </w:tc>
        <w:tc>
          <w:tcPr>
            <w:tcW w:w="1180" w:type="dxa"/>
            <w:vAlign w:val="bottom"/>
          </w:tcPr>
          <w:p>
            <w:pPr>
              <w:spacing w:after="0"/>
              <w:rPr>
                <w:sz w:val="17"/>
                <w:szCs w:val="17"/>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107,414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182,531</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Avnet, Inc.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8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Avnet has two primary operating groups — Electronic Components (“EC”) and Farnell (“Farnell”). Both operating groups have operations in each of the three major economic regions of the world: (i) the Americas, (ii) Europe, Middle East and Africa (“EMEA”) and (iii) Asia/Pacific (“Asia”). A summary of each operating group is provided in Note 13, “Segment information” to the Company’s consolidated financial statements included in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Sales of $4.63 billion were down 9.0% year over year and 7.8% in constant currency as compared to prior year first quarter sales of $5.09 billion. Both operating groups in all three regions contributed to the year-over-year decline in sales as the global industry-wide slowdown resulted in weaker year over year demand.</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11.7% decreased 76 basis points compared to 12.5% in the first quarter of fiscal 2019 primarily due to gross profit declines at both EC and Farnell.</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Operating income of $62.7 million decreased $84.1 million or 57.3% as compared to the first quarter of fiscal 2019. Operating income margin was 1.4% in the first quarter of fiscal 2020 as compared with a 2.9% in the first quarter of fiscal 2019. Both periods included amortization and restructuring, integration and other expenses. Excluding these expenses from both periods, adjusted operating income margin was 2.3% in the first quarter of fiscal 2020 as compared to 3.6% in the first quarter of fiscal 2019, a decline of 127 basis points. The decrease in operating income and operating income margin is primarily due to the decrease in sales and gross profit margin, partially offset by reductions in operating expenses from the Company’s restructuring and integration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jc w:val="both"/>
        <w:ind w:right="40" w:firstLine="427"/>
        <w:spacing w:after="0" w:line="246" w:lineRule="auto"/>
        <w:rPr>
          <w:sz w:val="20"/>
          <w:szCs w:val="20"/>
          <w:color w:val="auto"/>
        </w:rPr>
      </w:pPr>
      <w:r>
        <w:rPr>
          <w:rFonts w:ascii="Arial" w:cs="Arial" w:eastAsia="Arial" w:hAnsi="Arial"/>
          <w:sz w:val="18"/>
          <w:szCs w:val="18"/>
          <w:color w:val="auto"/>
        </w:rPr>
        <w:t>The following table presents reported and organic sales growth rates between fiscal 2020 and fiscal 2019 for the first quarter of fiscal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First Quarters Ended</w:t>
            </w:r>
          </w:p>
        </w:tc>
        <w:tc>
          <w:tcPr>
            <w:tcW w:w="1440" w:type="dxa"/>
            <w:vAlign w:val="bottom"/>
            <w:tcBorders>
              <w:bottom w:val="single" w:sz="8" w:color="auto"/>
            </w:tcBorders>
          </w:tcPr>
          <w:p>
            <w:pPr>
              <w:spacing w:after="0"/>
              <w:rPr>
                <w:sz w:val="20"/>
                <w:szCs w:val="20"/>
                <w:color w:val="auto"/>
              </w:rPr>
            </w:pPr>
          </w:p>
        </w:tc>
      </w:tr>
      <w:tr>
        <w:trPr>
          <w:trHeight w:val="198"/>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Reported</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Sales</w:t>
            </w:r>
          </w:p>
        </w:tc>
        <w:tc>
          <w:tcPr>
            <w:tcW w:w="2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4"/>
              </w:rPr>
              <w:t>Sales</w:t>
            </w: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 Reported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and Organic</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as Reported</w:t>
            </w:r>
          </w:p>
        </w:tc>
        <w:tc>
          <w:tcPr>
            <w:tcW w:w="2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as Reported</w:t>
            </w: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and Organic</w:t>
            </w:r>
          </w:p>
        </w:tc>
        <w:tc>
          <w:tcPr>
            <w:tcW w:w="2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and Organic</w:t>
            </w: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Organic</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Fiscal</w:t>
            </w:r>
          </w:p>
        </w:tc>
        <w:tc>
          <w:tcPr>
            <w:tcW w:w="2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Fiscal</w:t>
            </w: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Year-Year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2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 Change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18"/>
                <w:szCs w:val="18"/>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4,630,009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5,089,879</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Avnet by region</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1,215,757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1,271,793</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1,470,924</w:t>
            </w:r>
          </w:p>
        </w:tc>
        <w:tc>
          <w:tcPr>
            <w:tcW w:w="28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1,714,917</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(14.2)</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(10.5)</w:t>
            </w: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1,943,328</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2,103,169</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Avnet by segment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4,294,187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4,710,825</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rPr>
              <w:t>Farnell</w:t>
            </w:r>
          </w:p>
        </w:tc>
        <w:tc>
          <w:tcPr>
            <w:tcW w:w="1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335,822</w:t>
            </w:r>
          </w:p>
        </w:tc>
        <w:tc>
          <w:tcPr>
            <w:tcW w:w="2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379,054</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(11.4)</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(9.0)</w:t>
            </w:r>
          </w:p>
        </w:tc>
      </w:tr>
    </w:tbl>
    <w:p>
      <w:pPr>
        <w:spacing w:after="0" w:line="18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Sales for the first quarter of fiscal 2020 were down $459.9 million, or 9.0%, from the prior year first quarter sales of $5.09 billion. Sales in constant currency decreased 7.8% over the prior year first quarter with all three regions of both operating groups contributing to the decline. These decreases are primarily due to the current industry-wide economic downturn.</w:t>
      </w:r>
    </w:p>
    <w:p>
      <w:pPr>
        <w:spacing w:after="0" w:line="187"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EC sales of $4.29 billion in the first quarter of fiscal 2020 decreased $416.6 million or 8.8% from the prior year first quarter sales of $4.71 billion. EC sales in constant currency declined 7.7% in constant currency year over year. Farnell sales for the first quarter of fiscal 2020 were $335.8 million, a decrease of $43.2 million or 11.4% from the prior year first quarter sales of $379.1 million. Farnell sales in constant currency declined 9.0% year over year.</w:t>
      </w:r>
    </w:p>
    <w:p>
      <w:pPr>
        <w:spacing w:after="0" w:line="171" w:lineRule="exact"/>
        <w:rPr>
          <w:sz w:val="20"/>
          <w:szCs w:val="20"/>
          <w:color w:val="auto"/>
        </w:rPr>
      </w:pPr>
    </w:p>
    <w:p>
      <w:pPr>
        <w:jc w:val="both"/>
        <w:ind w:right="40" w:firstLine="477"/>
        <w:spacing w:after="0" w:line="264" w:lineRule="auto"/>
        <w:rPr>
          <w:sz w:val="20"/>
          <w:szCs w:val="20"/>
          <w:color w:val="auto"/>
        </w:rPr>
      </w:pPr>
      <w:r>
        <w:rPr>
          <w:rFonts w:ascii="Arial" w:cs="Arial" w:eastAsia="Arial" w:hAnsi="Arial"/>
          <w:sz w:val="18"/>
          <w:szCs w:val="18"/>
          <w:color w:val="auto"/>
        </w:rPr>
        <w:t>On a regional basis, sales declined 4.4% in the Americas, 10.5% in EMEA in constant currency and 7.7% in Asia in constant currency. All the regional declines are primarily due to the industry-wide economic downturn impacting the demand for electronic components.</w:t>
      </w:r>
    </w:p>
    <w:p>
      <w:pPr>
        <w:spacing w:after="0" w:line="181"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As a result of the recent notification the Company received from Texas Instruments (“TI”) related to the termination of the Company’s distribution agreement, the Company may experience lower sales and gross profit in the future if the impact of the termination is not offset by sales growth, gross margin improvements or operating cost reductions from strategic initiatives designed to mitigate such impacts. Sales from TI products represented approximately 10% of total sales in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right="40" w:firstLine="432"/>
        <w:spacing w:after="0" w:line="273" w:lineRule="auto"/>
        <w:rPr>
          <w:sz w:val="20"/>
          <w:szCs w:val="20"/>
          <w:color w:val="auto"/>
        </w:rPr>
      </w:pPr>
      <w:r>
        <w:rPr>
          <w:rFonts w:ascii="Arial" w:cs="Arial" w:eastAsia="Arial" w:hAnsi="Arial"/>
          <w:sz w:val="17"/>
          <w:szCs w:val="17"/>
          <w:color w:val="auto"/>
        </w:rPr>
        <w:t>Gross profit for the first quarter of fiscal 2020 was $543.8 million, a decrease of $92.9 million, or 14.6%, from the first quarter of fiscal 2019 gross profit of $636.8 million driven primarily by the decline in sales. Gross profit margin decreased 76 basis points to 11.7% from the first quarter of fiscal 2019 gross profit margin of 12.5% driven by declines in gross profit margin in both operating segments, most predominately in the Company’s Farnell segment. The declines in gross profit margin in both operating groups are primarily due to a combination of product and customer mix, geographical market mix and overall declines in gross profit margin due to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544" w:right="1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Selling, general and administrative expenses (“SG&amp;A expenses”) were $456.5 million in the first quarter of fiscal 2020, a decrease of $18.6 million, or 3.9%, from the first quarter of fiscal 2019. The year-over-year decrease in SG&amp;A expenses was primarily due to a reduction of expenses resulting from management’s restructuring programs, the impact of changes in foreign currency translation rates year over year and from the decline in sales.</w:t>
      </w:r>
    </w:p>
    <w:p>
      <w:pPr>
        <w:spacing w:after="0" w:line="171" w:lineRule="exact"/>
        <w:rPr>
          <w:sz w:val="20"/>
          <w:szCs w:val="20"/>
          <w:color w:val="auto"/>
        </w:rPr>
      </w:pPr>
    </w:p>
    <w:p>
      <w:pPr>
        <w:jc w:val="both"/>
        <w:ind w:firstLine="427"/>
        <w:spacing w:after="0" w:line="276"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the first quarter of fiscal 2020, SG&amp;A expenses as a percentage of sales were 9.9% and as a percentage of gross profit were 83.9%, as compared with 9.3% and 74.6%, respectively, in the first quarter of fiscal 2019. The increase in SG&amp;A expenses as a percentage of both sales and gross profit is primarily the result of the decrease in sales and gross profit margin, partially offset by the decline in SG&amp;A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a result of management’s focus on improving operating efficiencies and further integrating the acquisition of Farnell, the Company has incurred certain restructuring costs. These costs also related to the continued transformation of the Company’s information technology, distribution center footprint and business operations including the re-prioritization of its information technology initiatives and resources. In addition, the Company incurred integration, accelerated depreciation and other costs. Integration costs are primarily related to the integration of acquired businesses including Farnell, the integration of certain regional and global businesses, and incremental costs incurred as part of the consolidation, relocation, sale and closure of distribution centers and office facilities. Accelerated depreciation relates to the incremental depreciation expense incurred related to the shortening of the estimated useful life for certain information technology assets. Other costs consist primarily of any other miscellaneous costs that relate to restructuring, integration and other expenses including acquisition related costs.</w:t>
      </w:r>
    </w:p>
    <w:p>
      <w:pPr>
        <w:spacing w:after="0" w:line="178"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The Company recorded restructuring, integration and other expenses of $24.6 million during the first quarter of fiscal 2020. The Company recorded $18.3 million of restructuring costs in the first quarter of fiscal 2020, which are expected to provide approximately $20.0 million in annual operating expense savings once such restructuring actions are completed. Included in the restructuring costs was severance costs of $11.6 million and a $6.7 million non-cash impairment expense related to information technology software. During the first quarter of fiscal 2020, the Company also incurred integration costs of $1.7 million, accelerated depreciation expense of $2.7 million, other costs of $2.1 million and a reversal of $0.2 million for changes in estimates for costs associated with prior year restructuring actions. The after-tax impact of restructuring, integration and other expenses were $18.4 million and $0.18 per share on a diluted basis.</w:t>
      </w:r>
    </w:p>
    <w:p>
      <w:pPr>
        <w:spacing w:after="0" w:line="16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Comparatively, in the first quarter of fiscal 2019, restructuring, integration and other expenses were $14.8 million. The after-tax impact of restructuring, integration, and other expenses was $11.5 million and $0.10 per share on a diluted basis.</w:t>
      </w:r>
    </w:p>
    <w:p>
      <w:pPr>
        <w:spacing w:after="0" w:line="124" w:lineRule="exact"/>
        <w:rPr>
          <w:sz w:val="20"/>
          <w:szCs w:val="20"/>
          <w:color w:val="auto"/>
        </w:rPr>
      </w:pPr>
    </w:p>
    <w:p>
      <w:pPr>
        <w:jc w:val="both"/>
        <w:ind w:firstLine="427"/>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7"/>
        <w:spacing w:after="0" w:line="273" w:lineRule="auto"/>
        <w:rPr>
          <w:sz w:val="20"/>
          <w:szCs w:val="20"/>
          <w:color w:val="auto"/>
        </w:rPr>
      </w:pPr>
      <w:r>
        <w:rPr>
          <w:rFonts w:ascii="Arial" w:cs="Arial" w:eastAsia="Arial" w:hAnsi="Arial"/>
          <w:sz w:val="17"/>
          <w:szCs w:val="17"/>
          <w:color w:val="auto"/>
        </w:rPr>
        <w:t>Operating income for the first quarter of fiscal 2020 was $62.7 million, a decrease of $84.1 million, or 57.3%, from the first quarter of fiscal 2019 of $146.8 million. The year over year decrease in operating income was primarily driven by the decline in sales and gross profit margin partially offset by the reduction in SG&amp;A expenses as compared to the first quarter of fiscal 2019. Adjusted operating income for the first quarter of fiscal 2020 was $107.4 million, a decrease of $75.1 million, or 41.2%, from the first quarter of fiscal 2019. The year over year decrease in adjusted operating income was primarily driven by the decline in sales and gross profit margin, partially offset by the reduction in SG&amp;A expenses.</w:t>
      </w:r>
    </w:p>
    <w:p>
      <w:pPr>
        <w:spacing w:after="0" w:line="178" w:lineRule="exact"/>
        <w:rPr>
          <w:sz w:val="20"/>
          <w:szCs w:val="20"/>
          <w:color w:val="auto"/>
        </w:rPr>
      </w:pPr>
    </w:p>
    <w:p>
      <w:pPr>
        <w:jc w:val="both"/>
        <w:ind w:right="20" w:firstLine="427"/>
        <w:spacing w:after="0" w:line="277" w:lineRule="auto"/>
        <w:rPr>
          <w:sz w:val="20"/>
          <w:szCs w:val="20"/>
          <w:color w:val="auto"/>
        </w:rPr>
      </w:pPr>
      <w:r>
        <w:rPr>
          <w:rFonts w:ascii="Arial" w:cs="Arial" w:eastAsia="Arial" w:hAnsi="Arial"/>
          <w:sz w:val="18"/>
          <w:szCs w:val="18"/>
          <w:color w:val="auto"/>
        </w:rPr>
        <w:t>EC operating income margin decreased 83 basis points year over year to 2.6% and Farnell operating income margin decreased 427 basis points year over year to 6.5%.</w:t>
      </w:r>
    </w:p>
    <w:p>
      <w:pPr>
        <w:sectPr>
          <w:pgSz w:w="11900" w:h="16838" w:orient="portrait"/>
          <w:cols w:equalWidth="0" w:num="1">
            <w:col w:w="9060"/>
          </w:cols>
          <w:pgMar w:left="1420" w:top="54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Financing Expenses, Net and Other Income (Expense), Net</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and other financing expenses in the first quarter of fiscal 2020 was $33.6 million, an increase of $3.5 million or 11.8%, as compared with interest and other financing expenses of $30.1 million in the first quarter of fiscal 2019. The increase in interest and other financing expenses in the first quarter of fiscal 2020 compared to the first quarter of fiscal 2019 was primarily related to increased expenses in foreign regions to finance working capital needs.</w:t>
      </w:r>
    </w:p>
    <w:p>
      <w:pPr>
        <w:spacing w:after="0" w:line="171"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7"/>
          <w:szCs w:val="17"/>
          <w:color w:val="auto"/>
        </w:rPr>
        <w:t>During the first quarter of fiscal 2020, the Company had $4.9 million of other income as compared with $1.9 million of other expense in the first quarter of fiscal 2019. The increase in other income was primarily due to favorable foreign currency gains in the first quarter of fiscal 2020 as compared to foreign currency losses in the first quarter of fiscal 2019.</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effective tax rate on its income from continuing operations before taxes was (22.7)% in the first quarter of fiscal 2020 as compared with 27.3% in the first quarter of fiscal 2019. During the first quarter of fiscal 2020, the Company’s effective tax rate was favorably impacted primarily by (i) the release of unrecognized tax benefit reserves and (ii) the mix of income in lower tax jurisdictions. During the first quarter of fiscal 2019, the Company’s effective tax rate was unfavorably impacted primarily by (i) an adjustment to the provisional estimate for the one-time mandatory deemed repatriation tax liability recorded under the requirements of recent tax law changes in the United States (the “Act”) and (ii) increases in unrecognized tax benefits, partially offset by (iii) an adjustment to the provisional deferred tax impacts of the Act and (iv) the mix of income in lower tax jurisdictions.</w:t>
      </w:r>
    </w:p>
    <w:p>
      <w:pPr>
        <w:spacing w:after="0" w:line="19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Income from discontinued operations was $0.2 million in the first quarter of fiscal 2019, primarily related to additional income tax expenses associated with the 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quarter of fiscal 2020 was $41.8 million, or $0.40 per share on a diluted basis, as compared with $83.7 million, or $0.72 per share on a diluted basis, in the first quarter of fiscal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During the first quarter of fiscal 2020, the Company generated $195.6 million of cash from its operating activities from continuing operations compared to $85.0 million of cash used in the first quarter of fiscal 2019. These operating cash flows were comprised of: (i) cash flow generated from net income from continuing operations, adjusted for the impact of non-cash and other items, which includes depreciation and amortization expenses, deferred income taxes, stock-based compensation expense, amortization of operating lease assets and other non-cash items (including provisions for doubtful accounts and net periodic pension costs) and (ii) cash flows used for, or generated from, working capital and other, excluding cash and cash equivalents. Cash generated from working capital and other was $82.2 million during the first quarter of fiscal 2020, including an increase in accounts payable of $189.7 million, offset by increases in inventories of $64.2 million and accounts receivable of $6.7 million, and a decrease in accrued expenses and other of $36.7 million. Comparatively, cash used for working capital and other was $275.6 million during the first quarter of fiscal 2019, including</w:t>
      </w:r>
    </w:p>
    <w:p>
      <w:pPr>
        <w:sectPr>
          <w:pgSz w:w="11900" w:h="16838" w:orient="portrait"/>
          <w:cols w:equalWidth="0" w:num="1">
            <w:col w:w="9060"/>
          </w:cols>
          <w:pgMar w:left="1420" w:top="544"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in inventories of $269.6 million, increases in accounts receivable of $19.3 million and a decrease in accrued expenses and other of $81.8 million, partially offset by increases in accounts payable of $95.1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first quarter of fiscal 2020, the Company received net proceeds of $110.8 million under the Securitization Program. During the first quarter of fiscal 2020, the Company paid dividends on common stock of $21.5 million and repurchased $110.8 million of common stock.</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2019, the Company made net repayments of $40.0 million under the Securitization Program and net repayments of $50.3 million from borrowings of various bank credit facilities. During the first quarter of fiscal 2019, the Company paid dividends on common stock of $22.9 million and repurchased $149.1 million of common stock. Additionally, included in other, net is approximately $17.6 million of cash received from the exercises of stock options.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first quarter of fiscal 2020, the Company used $29.9 million for capital expenditures primarily related to warehouse and facilities, and information technology hardware and software costs compared to $41.0 million for capital expenditures in the first quarter of fiscal 2019. In addition, the Company paid $12.8 million for other investing activities.</w:t>
      </w:r>
    </w:p>
    <w:p>
      <w:pPr>
        <w:spacing w:after="0" w:line="166"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During the first quarter of fiscal 2019, the Company received $120.0 million of cash from investing activities – discontinued operations from the sale of the 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29, 2019.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September 28, 2019. The Company was in compliance with all covenants under the Credit Facility and the Securitization Program as of September 28, 2019 and June 29, 2019.</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first quarter of fiscal 2020 was $0.6 million.</w:t>
      </w:r>
    </w:p>
    <w:p>
      <w:pPr>
        <w:spacing w:after="0" w:line="187"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receivables are recorded within “Interest and other financing expenses, net” and were not material.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$664.1 million as of September 28, 2019, of which $592.6 million was held outside the United States. As of June 29, 2019, the Company held cash and cash equivalents of $546.1 million, of which $476.6 million was held outside of the United States.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of the end of the first quarter of fiscal 2020, the Company had a combined total borrowing capacity of $1.75 billion under the Credit Facility and the Securitization Program. There were no borrowings outstanding and $4.2 million in letters of credit issued under the Credit Facility and $338.1 million in borrowings outstanding under the Securitization Program, resulting in approximately $1.41 billion of total availability as of September 28, 2019. Availability under the Securitization Program is subject to the Company having sufficient eligible trade accounts receivable to support desired borrowings. The Company expects to renew or replace the Securitization Program on similar terms, subject to market conditions, before its maturity in August 2020. The Company expects to redeem the $300.0 million of Notes due June 2020 either through the issuance of new notes or from available borrowing capacity under the Credit Facility. During the first quarter of fiscal 2020, the Company had an average daily balance outstanding of approximately $50.6 million under the Credit Facility and approximately $488.4 million under the Securitization Program. During the first quarter of fiscal 2019, the Company had an average daily balance outstanding of approximately $65.0 million under the Securitization Program.</w:t>
      </w:r>
    </w:p>
    <w:p>
      <w:pPr>
        <w:spacing w:after="0" w:line="173"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$871.7 million in cash flows from operating activities over the trailing four fiscal quarters ended September 28, 2019 from continuing operations.</w:t>
      </w:r>
    </w:p>
    <w:p>
      <w:pPr>
        <w:spacing w:after="0" w:line="171"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including capacity for the non-recourse sale of accounts receivable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Historically the Company has made, and expects to continue to make, strategic investments through acquisition activity to the extent the investments strengthen Avnet’s competitive position, further its business strategies and meet management’s return on financial thresholds. As the Company implements the operating cost savings restructuring plans, responds to current business environment challenges and pursues ways to become more efficient and cost effective, the Company expects to use cash for restructuring, integration and other expenses.</w:t>
      </w:r>
    </w:p>
    <w:p>
      <w:pPr>
        <w:spacing w:after="0" w:line="173" w:lineRule="exact"/>
        <w:rPr>
          <w:sz w:val="20"/>
          <w:szCs w:val="20"/>
          <w:color w:val="auto"/>
        </w:rPr>
      </w:pPr>
    </w:p>
    <w:p>
      <w:pPr>
        <w:jc w:val="both"/>
        <w:ind w:firstLine="427"/>
        <w:spacing w:after="0" w:line="289" w:lineRule="auto"/>
        <w:rPr>
          <w:sz w:val="20"/>
          <w:szCs w:val="20"/>
          <w:color w:val="auto"/>
        </w:rPr>
      </w:pPr>
      <w:r>
        <w:rPr>
          <w:rFonts w:ascii="Arial" w:cs="Arial" w:eastAsia="Arial" w:hAnsi="Arial"/>
          <w:sz w:val="16"/>
          <w:szCs w:val="16"/>
          <w:color w:val="auto"/>
        </w:rPr>
        <w:t>In addition to continuing to make investments in acquisitions, as of September 28, 2019, the Company may repurchase up to an aggregate of $593.3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first quarter of fiscal 2020, the Board of Directors approved a dividend of $0.21 per share, which resulted in $21.5 million of dividend payments during the quarter.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June 29, 2019, for further discussion of market risks associated with foreign currency exchange rates and interest rates. Avnet’s exposure to such risks has not changed materially since June 29, 2019,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 to mitigate the exposure to fluctuation in market interest rates.</w:t>
      </w:r>
    </w:p>
    <w:p>
      <w:pPr>
        <w:spacing w:after="0" w:line="178"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September 28, 2019, 82% of the Company’s debt bears interest at a fixed rate and 18% of the Company’s debt bears interest at variable rates. Therefore, a hypothetical 1.0% (100 basis points) increase in interest rates would result in a $0.8 million decrease in income from continuing operations before income taxes in the Company’s consolidated statement of operations for the first quarter of fiscal 2020.</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2020,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w:t>
      </w:r>
    </w:p>
    <w:p>
      <w:pPr>
        <w:sectPr>
          <w:pgSz w:w="11900" w:h="16838" w:orient="portrait"/>
          <w:cols w:equalWidth="0" w:num="1">
            <w:col w:w="9060"/>
          </w:cols>
          <w:pgMar w:left="1420" w:top="544"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the Company has appropriately accrued in its consolidated financial statements for its share of the estimable costs of environmental and other compliance related matters.</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June 29, 2019,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September 28, 2019, there have been no material changes to the risk factors set forth in the Company’s Annual Report on Form 10-K for the fiscal year ended June 29, 2019.</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August 2019, the Company’s Board of Directors authorized a $500 million increase in the Company’s existing share repurchase program, increasing the cumulative total of authorized share repurchases to $2.95 billion of the Company’s common stock. The following table includes the Company’s monthly purchases of the Company’s common stock during the first quarter of fiscal 2020, under the share repurchase program, which is part of a publicly announced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8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40" w:type="dxa"/>
            <w:vAlign w:val="bottom"/>
            <w:gridSpan w:val="4"/>
          </w:tcPr>
          <w:p>
            <w:pPr>
              <w:ind w:left="180"/>
              <w:spacing w:after="0"/>
              <w:rPr>
                <w:sz w:val="20"/>
                <w:szCs w:val="20"/>
                <w:color w:val="auto"/>
              </w:rPr>
            </w:pPr>
            <w:r>
              <w:rPr>
                <w:rFonts w:ascii="Arial" w:cs="Arial" w:eastAsia="Arial" w:hAnsi="Arial"/>
                <w:sz w:val="18"/>
                <w:szCs w:val="18"/>
                <w:b w:val="1"/>
                <w:bCs w:val="1"/>
                <w:color w:val="auto"/>
              </w:rPr>
              <w:t>Paid per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29 – July 27</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186,605,000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July 28 – August 24</w:t>
            </w:r>
          </w:p>
        </w:tc>
        <w:tc>
          <w:tcPr>
            <w:tcW w:w="1000" w:type="dxa"/>
            <w:vAlign w:val="bottom"/>
          </w:tcPr>
          <w:p>
            <w:pPr>
              <w:jc w:val="right"/>
              <w:spacing w:after="0"/>
              <w:rPr>
                <w:sz w:val="20"/>
                <w:szCs w:val="20"/>
                <w:color w:val="auto"/>
              </w:rPr>
            </w:pPr>
            <w:r>
              <w:rPr>
                <w:rFonts w:ascii="Arial" w:cs="Arial" w:eastAsia="Arial" w:hAnsi="Arial"/>
                <w:sz w:val="18"/>
                <w:szCs w:val="18"/>
                <w:color w:val="auto"/>
              </w:rPr>
              <w:t>829,869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41.52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829,869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652,146,000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 September 28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1,372,037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593,295,000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99"/>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Executive Officer pursuant to Section 302 of the Sarbanes-Oxley Act of 2002.</w:t>
              </w:r>
            </w:hyperlink>
          </w:p>
        </w:tc>
        <w:tc>
          <w:tcPr>
            <w:tcW w:w="440" w:type="dxa"/>
            <w:vAlign w:val="bottom"/>
          </w:tcPr>
          <w:p>
            <w:pPr>
              <w:spacing w:after="0"/>
              <w:rPr>
                <w:sz w:val="24"/>
                <w:szCs w:val="24"/>
                <w:color w:val="auto"/>
              </w:rPr>
            </w:pP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8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Certification of Chief Financial Officer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Executive Officer pursuant to Section 906 of the Sarbanes-Oxley Act of 2002.</w:t>
              </w:r>
            </w:hyperlink>
          </w:p>
        </w:tc>
        <w:tc>
          <w:tcPr>
            <w:tcW w:w="440" w:type="dxa"/>
            <w:vAlign w:val="bottom"/>
          </w:tcPr>
          <w:p>
            <w:pPr>
              <w:spacing w:after="0"/>
              <w:rPr>
                <w:sz w:val="24"/>
                <w:szCs w:val="24"/>
                <w:color w:val="auto"/>
              </w:rPr>
            </w:pP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80" w:type="dxa"/>
            <w:vAlign w:val="bottom"/>
            <w:gridSpan w:val="3"/>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Certification of Chief Financial Officer pursuant to Section 906 of the Sarbanes-Oxley Act of 2002.</w:t>
              </w:r>
            </w:hyperlink>
          </w:p>
        </w:tc>
      </w:tr>
      <w:tr>
        <w:trPr>
          <w:trHeight w:val="20"/>
        </w:trPr>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w w:val="94"/>
              </w:rPr>
              <w:t>XBRL - the instance document does not appear in the Interactive Data File because its XBRL tags are</w:t>
            </w:r>
          </w:p>
        </w:tc>
      </w:tr>
      <w:tr>
        <w:trPr>
          <w:trHeight w:val="230"/>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0" w:hanging="536"/>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00" w:right="60" w:hanging="536"/>
        <w:spacing w:after="0" w:line="25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-130175</wp:posOffset>
            </wp:positionV>
            <wp:extent cx="26244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44" w:right="1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661225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40" w:hanging="32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LIGUORI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66122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September 28, 2019 (the “Report”), I, William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September 28, 2019 (the “Report”), I, Thomas Liguori, Chief Financial Officer of Avnet, Inc. (the “Company”) hereby certify that:</w:t>
      </w:r>
    </w:p>
    <w:p>
      <w:pPr>
        <w:spacing w:after="0" w:line="62" w:lineRule="exact"/>
        <w:rPr>
          <w:sz w:val="20"/>
          <w:szCs w:val="20"/>
          <w:color w:val="auto"/>
        </w:rPr>
      </w:pPr>
    </w:p>
    <w:p>
      <w:pPr>
        <w:ind w:left="660" w:right="2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4"/>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2019-12-28T04:49:27Z</dcterms:created>
  <dcterms:modified xsi:type="dcterms:W3CDTF">2019-12-28T04:49:27Z</dcterms:modified>
</cp:coreProperties>
</file>