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124460</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144145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October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137795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AVNET, INC.</w:t>
      </w: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143510</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IRS Employer Identification No. 11-1890605</w:t>
      </w:r>
    </w:p>
    <w:p>
      <w:pPr>
        <w:spacing w:after="0" w:line="18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2211 South 47</w:t>
      </w:r>
      <w:r>
        <w:rPr>
          <w:rFonts w:ascii="Arial" w:cs="Arial" w:eastAsia="Arial" w:hAnsi="Arial"/>
          <w:sz w:val="15"/>
          <w:szCs w:val="15"/>
          <w:color w:val="auto"/>
        </w:rPr>
        <w:t>th</w:t>
      </w:r>
      <w:r>
        <w:rPr>
          <w:rFonts w:ascii="Arial" w:cs="Arial" w:eastAsia="Arial" w:hAnsi="Arial"/>
          <w:sz w:val="18"/>
          <w:szCs w:val="18"/>
          <w:color w:val="auto"/>
        </w:rPr>
        <w:t xml:space="preserve"> Street, Phoenix, Arizona 85034</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134620</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66" w:lineRule="exact"/>
        <w:rPr>
          <w:sz w:val="20"/>
          <w:szCs w:val="20"/>
          <w:color w:val="auto"/>
        </w:rPr>
      </w:pPr>
    </w:p>
    <w:p>
      <w:pPr>
        <w:jc w:val="both"/>
        <w:ind w:left="340" w:right="17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firstLine="38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159" w:firstLine="38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Non-accelerated filer 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jc w:val="center"/>
        <w:ind w:right="159"/>
        <w:spacing w:after="0"/>
        <w:rPr>
          <w:sz w:val="20"/>
          <w:szCs w:val="20"/>
          <w:color w:val="auto"/>
        </w:rPr>
      </w:pPr>
      <w:r>
        <w:rPr>
          <w:rFonts w:ascii="Arial" w:cs="Arial" w:eastAsia="Arial" w:hAnsi="Arial"/>
          <w:sz w:val="16"/>
          <w:szCs w:val="16"/>
          <w:color w:val="auto"/>
        </w:rPr>
        <w:t>Smaller Reporting Company o</w:t>
      </w:r>
    </w:p>
    <w:p>
      <w:pPr>
        <w:spacing w:after="0" w:line="377" w:lineRule="exact"/>
        <w:rPr>
          <w:sz w:val="20"/>
          <w:szCs w:val="20"/>
          <w:color w:val="auto"/>
        </w:rPr>
      </w:pPr>
    </w:p>
    <w:p>
      <w:pPr>
        <w:sectPr>
          <w:pgSz w:w="11900" w:h="16838" w:orient="portrait"/>
          <w:cols w:equalWidth="0" w:num="4">
            <w:col w:w="2160" w:space="480"/>
            <w:col w:w="1340" w:space="360"/>
            <w:col w:w="3340" w:space="160"/>
            <w:col w:w="2379"/>
          </w:cols>
          <w:pgMar w:left="240" w:top="122" w:right="1440"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Indicate by checkmark whether the registrant is a shell company (as defined in Rule 12b-2 of the Exchange Act). Yes o No </w:t>
      </w:r>
      <w:r>
        <w:rPr>
          <w:rFonts w:ascii="MS PGothic" w:cs="MS PGothic" w:eastAsia="MS PGothic" w:hAnsi="MS PGothic"/>
          <w:sz w:val="16"/>
          <w:szCs w:val="16"/>
          <w:color w:val="auto"/>
        </w:rPr>
        <w:t>☑</w:t>
      </w:r>
    </w:p>
    <w:p>
      <w:pPr>
        <w:spacing w:after="0" w:line="240"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As of October 22, 2010, the total number of shares outstanding of the registrant’s Common Stock was 151,961,006 shares, net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108585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125730</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4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9"/>
              </w:rPr>
              <w:t>AVNET, INC. AND SUBSIDIARIES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80" w:type="dxa"/>
            <w:vAlign w:val="bottom"/>
            <w:gridSpan w:val="10"/>
            <w:vMerge w:val="restart"/>
          </w:tcPr>
          <w:p>
            <w:pPr>
              <w:jc w:val="center"/>
              <w:ind w:right="23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80" w:type="dxa"/>
            <w:vAlign w:val="bottom"/>
            <w:gridSpan w:val="10"/>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1220" w:type="dxa"/>
            <w:vAlign w:val="bottom"/>
            <w:gridSpan w:val="2"/>
          </w:tcPr>
          <w:p>
            <w:pPr>
              <w:spacing w:after="0"/>
              <w:rPr>
                <w:sz w:val="24"/>
                <w:szCs w:val="24"/>
                <w:color w:val="auto"/>
              </w:rPr>
            </w:pPr>
          </w:p>
        </w:tc>
        <w:tc>
          <w:tcPr>
            <w:tcW w:w="3060" w:type="dxa"/>
            <w:vAlign w:val="bottom"/>
            <w:tcBorders>
              <w:top w:val="single" w:sz="8" w:color="0000EE"/>
            </w:tcBorders>
            <w:gridSpan w:val="6"/>
          </w:tcPr>
          <w:p>
            <w:pPr>
              <w:spacing w:after="0"/>
              <w:rPr>
                <w:sz w:val="24"/>
                <w:szCs w:val="24"/>
                <w:color w:val="auto"/>
              </w:rPr>
            </w:pPr>
          </w:p>
        </w:tc>
        <w:tc>
          <w:tcPr>
            <w:tcW w:w="232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at October 2, 2010 and July 3, 2010</w:t>
              </w:r>
            </w:hyperlink>
          </w:p>
        </w:tc>
        <w:tc>
          <w:tcPr>
            <w:tcW w:w="37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first quarters ended October 2, 2010 and October 3, 2009</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first quarters ended October 2, 2010 and October 3, 2009</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4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9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6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246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678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7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 Page</w:t>
              </w:r>
            </w:hyperlink>
          </w:p>
        </w:tc>
        <w:tc>
          <w:tcPr>
            <w:tcW w:w="60" w:type="dxa"/>
            <w:vAlign w:val="bottom"/>
            <w:tcBorders>
              <w:top w:val="single" w:sz="8" w:color="0000EE"/>
            </w:tcBorders>
          </w:tcPr>
          <w:p>
            <w:pPr>
              <w:spacing w:after="0"/>
              <w:rPr>
                <w:sz w:val="24"/>
                <w:szCs w:val="24"/>
                <w:color w:val="auto"/>
              </w:rPr>
            </w:pPr>
          </w:p>
        </w:tc>
        <w:tc>
          <w:tcPr>
            <w:tcW w:w="752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620" w:type="dxa"/>
            <w:vAlign w:val="bottom"/>
            <w:gridSpan w:val="19"/>
          </w:tcPr>
          <w:p>
            <w:pPr>
              <w:spacing w:after="0"/>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76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AVNET, INC. AND SUBSIDIARIES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jc w:val="center"/>
              <w:ind w:left="16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(Unaudited)</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8"/>
              </w:rPr>
              <w:t>October 2,</w:t>
            </w:r>
          </w:p>
        </w:tc>
        <w:tc>
          <w:tcPr>
            <w:tcW w:w="1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jc w:val="right"/>
              <w:ind w:right="520"/>
              <w:spacing w:after="0" w:line="191" w:lineRule="exact"/>
              <w:rPr>
                <w:sz w:val="20"/>
                <w:szCs w:val="20"/>
                <w:color w:val="auto"/>
              </w:rPr>
            </w:pPr>
            <w:r>
              <w:rPr>
                <w:rFonts w:ascii="Arial" w:cs="Arial" w:eastAsia="Arial" w:hAnsi="Arial"/>
                <w:sz w:val="18"/>
                <w:szCs w:val="18"/>
                <w:b w:val="1"/>
                <w:bCs w:val="1"/>
                <w:color w:val="auto"/>
              </w:rPr>
              <w:t>(Thousands, except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share amounts)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661,706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1,092,102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Receivables, less allowances of $95,799 and $81,197 respectively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4,415,707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3,574,541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2,495,497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1,812,766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268,026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150,759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7,840,936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6,630,168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346,219</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302,583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(Notes 2 and 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773,931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341,651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283,322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9,302,737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7,782,382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vMerge w:val="restart"/>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Borrowings due within one year (Note 4)</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498,398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3,454,992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2,862,290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647,235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540,776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4,600,625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3,439,615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Long-term debt (Note 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1,260,119</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1,243,681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111,795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89,969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5,972,539</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4,773,265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Shareholders’ equity (Notes 8 and 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$1.00 par; authorized 300,000,000 shares; issued 151,990,000 shares and</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151,874,000 shares, respectively</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151,990</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1,213,271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1,206,132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1,762,615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1,624,441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(Note 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203,014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37,793 shares and 37,769 shares, respectively</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3,330,198</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3,009,117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9,302,737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7,782,382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AVNET,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First Quarters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October 2,</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7"/>
              </w:rPr>
              <w:t>(Thousands, except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per share data)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6,182,388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4,355,036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5,459,243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3,855,298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723,145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500,616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392,666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integration and other charges (Note 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28,067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(22,025)</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(15,282)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bargain purchase and other (Note 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29,023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66,625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(Note 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0.91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(Note 9):</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4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2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tcPr>
          <w:p>
            <w:pPr>
              <w:jc w:val="center"/>
              <w:ind w:left="14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9"/>
              </w:rPr>
              <w:t>First Quarters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October 2,</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3,</w:t>
            </w: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138,174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50,895</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and other reconciling items: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20,843</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15,647</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(13,020)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11,757</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8,602</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15,124</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bargain purchase and other (Note 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(29,023)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21,270</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4,504</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(net of effects from businesses acquired):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(110,909)</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(219,366)</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(269,768)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(135,520)</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130,710</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312,827</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expenses and other,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(49,642)</w:t>
            </w:r>
          </w:p>
        </w:tc>
      </w:tr>
      <w:tr>
        <w:trPr>
          <w:trHeight w:val="223"/>
        </w:trPr>
        <w:tc>
          <w:tcPr>
            <w:tcW w:w="340" w:type="dxa"/>
            <w:vAlign w:val="bottom"/>
          </w:tcPr>
          <w:p>
            <w:pPr>
              <w:spacing w:after="0"/>
              <w:rPr>
                <w:sz w:val="19"/>
                <w:szCs w:val="19"/>
                <w:color w:val="auto"/>
              </w:rPr>
            </w:pPr>
          </w:p>
        </w:tc>
        <w:tc>
          <w:tcPr>
            <w:tcW w:w="7140" w:type="dxa"/>
            <w:vAlign w:val="bottom"/>
            <w:gridSpan w:val="2"/>
          </w:tcPr>
          <w:p>
            <w:pPr>
              <w:ind w:left="600"/>
              <w:spacing w:after="0"/>
              <w:rPr>
                <w:sz w:val="20"/>
                <w:szCs w:val="20"/>
                <w:color w:val="auto"/>
              </w:rPr>
            </w:pPr>
            <w:r>
              <w:rPr>
                <w:rFonts w:ascii="Arial" w:cs="Arial" w:eastAsia="Arial" w:hAnsi="Arial"/>
                <w:sz w:val="18"/>
                <w:szCs w:val="18"/>
                <w:color w:val="auto"/>
              </w:rPr>
              <w:t>Net cash flows (used for) provided by operating activities</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(112,330)</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Borrowings under accounts receivable securitization program (Note 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190,000</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Repayments of notes (Note 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Proceeds from bank debt, net (Note 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60,445</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29,349</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other debt, net (Note 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16,210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provided by financing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261,532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31,432</w:t>
            </w:r>
          </w:p>
        </w:tc>
      </w:tr>
      <w:tr>
        <w:trPr>
          <w:trHeight w:val="439"/>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(31,938)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(10,314)</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Cash proceeds from sales of property, plant and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 of operations, net of cash acquired (Note 2) and other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(574,815)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r>
      <w:tr>
        <w:trPr>
          <w:trHeight w:val="223"/>
        </w:trPr>
        <w:tc>
          <w:tcPr>
            <w:tcW w:w="340" w:type="dxa"/>
            <w:vAlign w:val="bottom"/>
          </w:tcPr>
          <w:p>
            <w:pPr>
              <w:spacing w:after="0"/>
              <w:rPr>
                <w:sz w:val="19"/>
                <w:szCs w:val="19"/>
                <w:color w:val="auto"/>
              </w:rPr>
            </w:pPr>
          </w:p>
        </w:tc>
        <w:tc>
          <w:tcPr>
            <w:tcW w:w="7140" w:type="dxa"/>
            <w:vAlign w:val="bottom"/>
            <w:gridSpan w:val="2"/>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(606,365)</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(9,549)</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26,767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15,266</w:t>
            </w:r>
          </w:p>
        </w:tc>
      </w:tr>
      <w:tr>
        <w:trPr>
          <w:trHeight w:val="439"/>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(decrease) increase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(430,396)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43,375</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 at beginning of period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1,092,102</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943,921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at end of period</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661,706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987,296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cash flow information (Note 10)</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gain on bargain purchase discussed in Note 2 and (ii) the restructuring, integration and other charges discussed in Note 12.</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5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operates on a “52/53 week” fiscal year, and as a result, the quarter ended October 2, 2010 contained thirteen weeks while the quarter ended October 3, 2009 contained fourteen weeks. 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3, 2010.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During the first quarter of fiscal 2011, the Company acquired three businesses: Bell Microproducts Inc. (“Bell”), which is described further below; Tallard Technologies, a value-added distributor of IT solutions in Latin America with annualized revenues of approximately $250 million, which is reported as part of the TS Americas region; and Unidux, Inc., (“Unidux”) an electronics component distributor in Japan with annualized revenues of approximately $370 million, which is reported as part of the EM Asia region.</w:t>
      </w:r>
    </w:p>
    <w:p>
      <w:pPr>
        <w:spacing w:after="0" w:line="16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Unidux, a Japanese publicly traded company, was acquired through a tender offer in which the Company obtained over 95% controlling interest. The non-controlling interest was recorded at fair value but was not material. The acquisition of the non-controlling interest in Unidux is expected to be completed during the second quarter of fiscal 2011. As mentioned, Unidux was a publicly traded company which shares were trading below its book value for a period of time. In the tender offer, Avnet offered a purchase price per share for Unidux that was above the prevailing trading price and represented a premium to recent trading levels. Even though the purchase price was below book value, 95% of the Unidux shareholders tendered their shares. As a result, the Company recognized a gain on bargain purchase of $30,990,000 pre- and after tax and $0.20 per share on a diluted basis. Prior to recognizing the gain, the Company reassessed the assets acquired and liabilities assumed in the acquisition.</w:t>
      </w:r>
    </w:p>
    <w:p>
      <w:pPr>
        <w:spacing w:after="0" w:line="138"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During fiscal 2011, the Company recognized restructuring and integration charges, and transaction and other costs associated with the acquisitions, all of which were recognized in the consolidated statement of operations and are described further in Note 12.</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Bell</w:t>
      </w:r>
    </w:p>
    <w:p>
      <w:pPr>
        <w:spacing w:after="0" w:line="20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July 6, 2010, subsequent to fiscal year 2010, the Company completed its previously announced acquisition of Bell, a value-added distributor of storage and server products and solutions and computer components products, providing integration and support services to OEMs, VARs, system builders and end users in the US, Canada, EMEA and Latin America. Bell operated both a distribution and single tier reseller business and generated sales of approximately $3.0 billion in calendar 2009, of which 42%, 41% and 17% was generated in North America, EMEA and Latin America, respectively. The consideration for the transaction totaled $255,691,000 which consisted of $7.00 cash per share of Bell common stock, cash payment for Bell equity awards, and cash payments required under existing Bell change of control agreements, plus the assumption of $323,321,000 of Bell net debt. Of the debt acquired, Avnet repaid approximately $209,651,000 of debt immediately after closing. The Company is integrating Bell into both the EM and TS operating groups and expects significant cost saving synergies upon completion of the integration activities, which are anticipated to be completed by the end of fiscal 2011.</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Preliminary allocation of purchase price</w:t>
      </w:r>
    </w:p>
    <w:p>
      <w:pPr>
        <w:spacing w:after="0" w:line="185"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Bell acquisition is accounted for as a purchase business combination. Assets acquired and liabilities assumed are recorded in the accompanying consolidated balance sheet at their estimated fair values, using management’s estimates and assumptions, as of July 6, 2010 (see following table). The Company has not yet completed its evaluation of the fair value of certain assets and liabilities acquired, primarily (i) the final valuation of amortizable intangible assets identified as a result of the acquisition (see Note 3),</w:t>
      </w:r>
    </w:p>
    <w:p>
      <w:pPr>
        <w:spacing w:after="0" w:line="2" w:lineRule="exact"/>
        <w:rPr>
          <w:sz w:val="20"/>
          <w:szCs w:val="20"/>
          <w:color w:val="auto"/>
        </w:rPr>
      </w:pPr>
    </w:p>
    <w:p>
      <w:pPr>
        <w:jc w:val="both"/>
        <w:ind w:left="340" w:right="179" w:hanging="8"/>
        <w:spacing w:after="0" w:line="254"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contingent liabilities associated with the former Bell Latin America business, one of which relates to potential unpaid import duties and associated penalties for periods prior to the acquisition by Avnet, and (iii) the final valuation of certain income tax accounts. The Company expects these final valuations will be completed in fiscal 2011 which may result in adjustments to the preliminary values presented in the following table.</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July 6, 2010</w:t>
            </w:r>
          </w:p>
        </w:tc>
      </w:tr>
      <w:tr>
        <w:trPr>
          <w:trHeight w:val="210"/>
        </w:trPr>
        <w:tc>
          <w:tcPr>
            <w:tcW w:w="866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(Thousands)</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711,228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12,873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188,371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Estimated intangible asset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36,836</w:t>
            </w:r>
          </w:p>
        </w:tc>
      </w:tr>
      <w:tr>
        <w:trPr>
          <w:trHeight w:val="230"/>
        </w:trPr>
        <w:tc>
          <w:tcPr>
            <w:tcW w:w="866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1,024,308</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excluding current portion of long-term debt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379,946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30,218</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358,453</w:t>
            </w:r>
          </w:p>
        </w:tc>
      </w:tr>
      <w:tr>
        <w:trPr>
          <w:trHeight w:val="230"/>
        </w:trPr>
        <w:tc>
          <w:tcPr>
            <w:tcW w:w="866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768,617</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255,691</w:t>
            </w:r>
          </w:p>
        </w:tc>
      </w:tr>
      <w:tr>
        <w:trPr>
          <w:trHeight w:val="20"/>
        </w:trPr>
        <w:tc>
          <w:tcPr>
            <w:tcW w:w="8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Approximately $22,000,000 of goodwill associated with the Bell acquisition is expected to be deductible for tax purposes.</w:t>
      </w:r>
    </w:p>
    <w:p>
      <w:pPr>
        <w:spacing w:after="0" w:line="2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Management believes significant synergies can be obtained in the combined business of Avnet and Bell, thus allowing for operating cost reductions upon completion of the integration of Bell which was a primary driver of the excess of purchase price paid over the value of assets and liabilities acquired.</w:t>
      </w:r>
    </w:p>
    <w:p>
      <w:pPr>
        <w:spacing w:after="0" w:line="141"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Company recognized certain contingent liabilities as part of the purchase price allocation which were recorded to the extent the amounts were probable and reasonably estimable because the fair value was not determinable. The total preliminary contingent liabilities recorded were not significant. As mentioned previously, certain contingent liabilities are still being evaluated from information available in order to determine if an amount that is reasonably possible should be recorded. As a result, since amounts have not yet been recorded, it is possible that adjustments may be recorded in future quarters during fiscal 2011. In addition, the Company acquired accounts receivable which were recorded at the estimated fair value amounts; however, adjustments to acquired amounts were not significant as book value approximated fair value due to the short term nature of accounts receivables. The gross amount of accounts receivable acquired was $381,805,000 and the fair value recorded was $363,524,000, which is expected to be collected.</w:t>
      </w:r>
    </w:p>
    <w:p>
      <w:pPr>
        <w:spacing w:after="0" w:line="200" w:lineRule="exact"/>
        <w:rPr>
          <w:sz w:val="20"/>
          <w:szCs w:val="20"/>
          <w:color w:val="auto"/>
        </w:rPr>
      </w:pPr>
    </w:p>
    <w:p>
      <w:pPr>
        <w:spacing w:after="0" w:line="3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results</w:t>
      </w:r>
    </w:p>
    <w:p>
      <w:pPr>
        <w:spacing w:after="0" w:line="18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Unaudited pro forma financial information is presented below as if the acquisition of Bell occurred at the beginning of fiscal 2010. The pro forma information presented below does not purport to present what actual results would have been had the acquisition in fact occurred at the beginning of fiscal 2010, nor does the information project results for any future period.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Pro Forma Results</w:t>
            </w:r>
          </w:p>
        </w:tc>
      </w:tr>
      <w:tr>
        <w:trPr>
          <w:trHeight w:val="216"/>
        </w:trPr>
        <w:tc>
          <w:tcPr>
            <w:tcW w:w="8200" w:type="dxa"/>
            <w:vAlign w:val="bottom"/>
          </w:tcPr>
          <w:p>
            <w:pPr>
              <w:spacing w:after="0"/>
              <w:rPr>
                <w:sz w:val="18"/>
                <w:szCs w:val="18"/>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First Quarter Ended</w:t>
            </w:r>
          </w:p>
        </w:tc>
      </w:tr>
      <w:tr>
        <w:trPr>
          <w:trHeight w:val="230"/>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3, 2009</w:t>
            </w:r>
          </w:p>
        </w:tc>
      </w:tr>
      <w:tr>
        <w:trPr>
          <w:trHeight w:val="195"/>
        </w:trPr>
        <w:tc>
          <w:tcPr>
            <w:tcW w:w="8200" w:type="dxa"/>
            <w:vAlign w:val="bottom"/>
          </w:tcPr>
          <w:p>
            <w:pPr>
              <w:spacing w:after="0"/>
              <w:rPr>
                <w:sz w:val="16"/>
                <w:szCs w:val="16"/>
                <w:color w:val="auto"/>
              </w:rPr>
            </w:pPr>
          </w:p>
        </w:tc>
        <w:tc>
          <w:tcPr>
            <w:tcW w:w="1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(Thousands, except</w:t>
            </w:r>
          </w:p>
        </w:tc>
        <w:tc>
          <w:tcPr>
            <w:tcW w:w="100" w:type="dxa"/>
            <w:vAlign w:val="bottom"/>
          </w:tcPr>
          <w:p>
            <w:pPr>
              <w:spacing w:after="0"/>
              <w:rPr>
                <w:sz w:val="16"/>
                <w:szCs w:val="16"/>
                <w:color w:val="auto"/>
              </w:rPr>
            </w:pPr>
          </w:p>
        </w:tc>
      </w:tr>
      <w:tr>
        <w:trPr>
          <w:trHeight w:val="230"/>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 share data)</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 forma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5,120,192</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 forma operating income</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91,098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47,863</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r>
    </w:tbl>
    <w:p>
      <w:pPr>
        <w:spacing w:after="0" w:line="16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combined results for Avnet and Bell for the first quarter ended fiscal 2010 were adjusted for the following in order to create the pro forma results in the table above:</w:t>
      </w:r>
    </w:p>
    <w:p>
      <w:pPr>
        <w:spacing w:after="0" w:line="143" w:lineRule="exact"/>
        <w:rPr>
          <w:sz w:val="20"/>
          <w:szCs w:val="20"/>
          <w:color w:val="auto"/>
        </w:rPr>
      </w:pPr>
    </w:p>
    <w:p>
      <w:pPr>
        <w:ind w:left="1080" w:right="179" w:hanging="370"/>
        <w:spacing w:after="0" w:line="277" w:lineRule="auto"/>
        <w:tabs>
          <w:tab w:leader="none" w:pos="10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$2,500,000 pre-tax, $1,529,000 after-tax, or $0.01 per diluted share, of intangible asset amortization related to the preliminary determination of fair value of the intangible asset associated with the Bell acquisition; and</w:t>
      </w:r>
    </w:p>
    <w:p>
      <w:pPr>
        <w:spacing w:after="0" w:line="129"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$5,181,000 pre-tax, $3,168,000 after tax, or $0.02 per diluted share for Bell transaction costs that were expensed upon closing.</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Pro forma results above exclude any benefits that may result from the acquisition due to synergies that were derived from the elimination of any duplicative costs and lower interest costs.</w:t>
      </w:r>
    </w:p>
    <w:p>
      <w:pPr>
        <w:spacing w:after="0" w:line="143"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Pro forma financial information is not presented for fiscal 2011 because the Bell acquisition occurred on July 6, 2010, which is three days after the beginning of the Company’s fiscal year 2011. As a result, the accompanying consolidated statement of operations for the first quarter of fiscal 2011 included sales of $781,135,000 related to the acquired Bell business. Currently, the Company is in the process of integrating the Bell business into the Avnet existing business, which includes IT systems integration, and administrative, sales and logistics operations integrations. As a result, after the first quarter of fiscal 2011, the Company will not be able to identify the acquired Bell business separately from the on-going Avnet business.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year acquisition-related exit activity accounted for in purchase accounting</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Prior to fiscal 2010, certain restructuring charges were recognized as part of purchase accounting under previous accounting standards. During fiscal 2007 and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During the first quarter of fiscal 2011, the Company paid $153,000 in cash associated with these reserves and, as of October 2, 2010, the total remaining reserve was $5,391,000 which related primarily to facility exit costs and other contractual lease obligations which management expects to be substantially utilized by fiscal 2013.</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Goodwill and intangible assets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presents the carrying amount of goodwill, by reportable segment, for the three months ended October 2,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ind w:left="40"/>
              <w:spacing w:after="0"/>
              <w:rPr>
                <w:sz w:val="20"/>
                <w:szCs w:val="20"/>
                <w:color w:val="auto"/>
              </w:rPr>
            </w:pPr>
            <w:r>
              <w:rPr>
                <w:rFonts w:ascii="Arial" w:cs="Arial" w:eastAsia="Arial" w:hAnsi="Arial"/>
                <w:sz w:val="18"/>
                <w:szCs w:val="18"/>
                <w:b w:val="1"/>
                <w:bCs w:val="1"/>
                <w:color w:val="auto"/>
              </w:rPr>
              <w:t>Electronics</w:t>
            </w:r>
          </w:p>
        </w:tc>
        <w:tc>
          <w:tcPr>
            <w:tcW w:w="22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Technology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4"/>
          </w:tcPr>
          <w:p>
            <w:pPr>
              <w:ind w:left="60"/>
              <w:spacing w:after="0"/>
              <w:rPr>
                <w:sz w:val="20"/>
                <w:szCs w:val="20"/>
                <w:color w:val="auto"/>
              </w:rPr>
            </w:pPr>
            <w:r>
              <w:rPr>
                <w:rFonts w:ascii="Arial" w:cs="Arial" w:eastAsia="Arial" w:hAnsi="Arial"/>
                <w:sz w:val="18"/>
                <w:szCs w:val="18"/>
                <w:b w:val="1"/>
                <w:bCs w:val="1"/>
                <w:color w:val="auto"/>
              </w:rPr>
              <w:t>Marketing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5"/>
              </w:rPr>
              <w:t>Solutions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July 3, 2010</w:t>
            </w:r>
          </w:p>
        </w:tc>
        <w:tc>
          <w:tcPr>
            <w:tcW w:w="2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242,626</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323,683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51,312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145,776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197,088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10,534</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Carrying value at October 2, 2010</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299,515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474,416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773,931</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goodwill additions are a result of the Bell and Tallard acquisitions that occurred in the first quarter of fiscal 2011 (see Note 2). The Unidux acquisition resulted in $30,990,000 of negative goodwill which was recognized in “Gain on bargain purchase and other” on the consolidated statement of operations.</w:t>
      </w:r>
    </w:p>
    <w:p>
      <w:pPr>
        <w:spacing w:after="0" w:line="154"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presents the gross amount of goodwill and accumulated impairment since fiscal 2009 as of July 3, 2010 and October 2, 2010. All of the accumulated impairment was recognized in fiscal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Electronics</w:t>
            </w:r>
          </w:p>
        </w:tc>
        <w:tc>
          <w:tcPr>
            <w:tcW w:w="18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Technology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5"/>
              </w:rPr>
              <w:t>Solutions</w:t>
            </w:r>
          </w:p>
        </w:tc>
        <w:tc>
          <w:tcPr>
            <w:tcW w:w="1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goodwill at July 3, 2010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1,287,736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658,307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1,946,043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(1,045,110)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(334,624)</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(1,379,734)</w:t>
            </w: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July 3, 2010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242,626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566,309</w:t>
            </w: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40" w:type="dxa"/>
            <w:vAlign w:val="bottom"/>
          </w:tcPr>
          <w:p>
            <w:pPr>
              <w:spacing w:after="0"/>
              <w:rPr>
                <w:sz w:val="20"/>
                <w:szCs w:val="20"/>
                <w:color w:val="auto"/>
              </w:rPr>
            </w:pPr>
            <w:r>
              <w:rPr>
                <w:rFonts w:ascii="Arial" w:cs="Arial" w:eastAsia="Arial" w:hAnsi="Arial"/>
                <w:sz w:val="18"/>
                <w:szCs w:val="18"/>
                <w:color w:val="auto"/>
              </w:rPr>
              <w:t>Gross goodwill at October 2, 2010</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1,344,625</w:t>
            </w:r>
          </w:p>
        </w:tc>
        <w:tc>
          <w:tcPr>
            <w:tcW w:w="20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809,040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2,153,665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(1,045,110)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(334,624)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(1,379,734)</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Carrying value at October 2, 2010</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299,515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474,416</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773,931</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As described in Note 2, the Company has not yet completed its evaluation of the intangible asset related to the Bell acquisition. However, in the first quarter of fiscal 2011, the Company recognized a preliminary estimate of $75,000,000 for a customer relationship intangible asset. The final determination is expected to be completed in the second quarter of fiscal 2011.</w:t>
      </w:r>
    </w:p>
    <w:p>
      <w:pPr>
        <w:spacing w:after="0" w:line="125"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As of October 2, 2010, “Other assets” included customer relationship intangible assets with a carrying value of $127,261,000; consisting of $160,094,000 in original cost value and $32,833,000 of accumulated amortization and foreign currency translation. These assets are being amortized over a weighted average life of nine years. Intangible asset amortization expense was $5,008,000 and $2,175,000 for the first quarter of fiscal 2011 and 2010, respectively. Amortization expense for fiscal 2012 through 2015 is expected to be approximately $16,000,000 each year and $14,000,000 for fiscal 2016.</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000" w:type="dxa"/>
            <w:vAlign w:val="bottom"/>
          </w:tcPr>
          <w:p>
            <w:pPr>
              <w:ind w:left="380"/>
              <w:spacing w:after="0"/>
              <w:rPr>
                <w:sz w:val="20"/>
                <w:szCs w:val="20"/>
                <w:color w:val="auto"/>
              </w:rPr>
            </w:pPr>
            <w:r>
              <w:rPr>
                <w:rFonts w:ascii="Arial" w:cs="Arial" w:eastAsia="Arial" w:hAnsi="Arial"/>
                <w:sz w:val="18"/>
                <w:szCs w:val="18"/>
                <w:color w:val="auto"/>
              </w:rPr>
              <w:t>Short-term debt consists of the following:</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October 2,</w:t>
            </w:r>
          </w:p>
        </w:tc>
        <w:tc>
          <w:tcPr>
            <w:tcW w:w="1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r>
      <w:tr>
        <w:trPr>
          <w:trHeight w:val="234"/>
        </w:trPr>
        <w:tc>
          <w:tcPr>
            <w:tcW w:w="6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6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144,467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Borrowings under the accounts receivable securitization program</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3.75% Notes due March 2024 (redeemable in March 2011)</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104,795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debt due within one year</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59,136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7"/>
        </w:trPr>
        <w:tc>
          <w:tcPr>
            <w:tcW w:w="6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498,398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36,549</w:t>
            </w:r>
          </w:p>
        </w:tc>
      </w:tr>
      <w:tr>
        <w:trPr>
          <w:trHeight w:val="20"/>
        </w:trPr>
        <w:tc>
          <w:tcPr>
            <w:tcW w:w="6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2.4% at October 2, 2010 and 4.0% at July 3, 2010. In connection with the first quarter fiscal 2011 acquisitions (see Note 2), the Company acquired debt of $420,259,000, of which $211,933,000 was repaid at the acquisition dates. As of the end of the first quarter of fiscal 2011, the outstanding balances associated with the acquired debt and credit facilities consisted of $67,876,000 in bank credit facilities and other debt primarly used to support the acquired foreign operations and $104,795,000 of 3.75% Notes due March 2024.</w:t>
      </w:r>
    </w:p>
    <w:p>
      <w:pPr>
        <w:spacing w:after="0" w:line="14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Prior to the Bell acquisition, the 3.75% Notes were convertible into Bell common stock; however, as a result of the acquisition, the debt is no longer convertible into shares. Under the terms of the 3.75% Notes, the Company may redeem some or all of the 3.75% Notes for cash anytime on or after March 5, 2011 and the note holders may require the Company to purchase for cash some or all of the 3.75% Notes on March 5, 2011, March 5, 2014 or March 5, 2019 at a redemption price equal to 100% of the principal amount plus interest. During the first quarter of fiscal 2011, the Company issued a tender offer for the 3.75% Notes for which $5,205,000 was tendered and paid in September 2010. As the note holders may require the Company to repurchase all of the remaining 3.75% Notes in March 2011 for cash, the debt has been classified as short-term.</w:t>
      </w:r>
    </w:p>
    <w:p>
      <w:pPr>
        <w:spacing w:after="0" w:line="13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the first quarter of fiscal 2011, the Company amended its accounts receivable securitization program (the “Program”) with a group of financial institutions to allow the Company to sell, on a revolving basis, an undivided interest of up to $600,000,000 ($450,000,000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October 2, 2010. The Program has a one year term that expires in August 2011. There were $190,000,000 in borrowings outstanding under the Program at October 2, 2010. There were no borrowings outstanding at July 3, 2010.</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debt consists of the following: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6"/>
              </w:rPr>
              <w:t>October 2,</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r>
      <w:tr>
        <w:trPr>
          <w:trHeight w:val="234"/>
        </w:trPr>
        <w:tc>
          <w:tcPr>
            <w:tcW w:w="56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28"/>
        </w:trPr>
        <w:tc>
          <w:tcPr>
            <w:tcW w:w="5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r>
      <w:tr>
        <w:trPr>
          <w:trHeight w:val="198"/>
        </w:trPr>
        <w:tc>
          <w:tcPr>
            <w:tcW w:w="56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5.875%</w:t>
            </w:r>
          </w:p>
        </w:tc>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March 15, 2014</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6.00% Notes due September 1, 2015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6.625%</w:t>
            </w:r>
          </w:p>
        </w:tc>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September 15, 2016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88"/>
              </w:rPr>
              <w:t>5.875%</w:t>
            </w:r>
          </w:p>
        </w:tc>
        <w:tc>
          <w:tcPr>
            <w:tcW w:w="6740" w:type="dxa"/>
            <w:vAlign w:val="bottom"/>
          </w:tcPr>
          <w:p>
            <w:pPr>
              <w:ind w:left="40"/>
              <w:spacing w:after="0"/>
              <w:rPr>
                <w:sz w:val="20"/>
                <w:szCs w:val="20"/>
                <w:color w:val="auto"/>
              </w:rPr>
            </w:pPr>
            <w:r>
              <w:rPr>
                <w:rFonts w:ascii="Arial" w:cs="Arial" w:eastAsia="Arial" w:hAnsi="Arial"/>
                <w:sz w:val="18"/>
                <w:szCs w:val="18"/>
                <w:color w:val="auto"/>
              </w:rPr>
              <w:t>Notes due June 15, 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113,522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97,217</w:t>
            </w:r>
          </w:p>
        </w:tc>
      </w:tr>
      <w:tr>
        <w:trPr>
          <w:trHeight w:val="223"/>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1,263,522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1,247,217</w:t>
            </w:r>
          </w:p>
        </w:tc>
        <w:tc>
          <w:tcPr>
            <w:tcW w:w="100" w:type="dxa"/>
            <w:vAlign w:val="bottom"/>
          </w:tcPr>
          <w:p>
            <w:pPr>
              <w:spacing w:after="0"/>
              <w:rPr>
                <w:sz w:val="19"/>
                <w:szCs w:val="19"/>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on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(3,536)</w:t>
            </w:r>
          </w:p>
        </w:tc>
      </w:tr>
      <w:tr>
        <w:trPr>
          <w:trHeight w:val="223"/>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1,260,119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1,243,681</w:t>
            </w:r>
          </w:p>
        </w:tc>
        <w:tc>
          <w:tcPr>
            <w:tcW w:w="1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has a five-year $500,000,000 unsecured revolving credit facility (the “Credit Agreement”) with a syndicate of banks which expires in September 2012. Under the Credit Agreement, the Company may elect from various interest rate options, currencies and maturities. The Credit Agreement contains certain covenants, all of which the Company was in compliance with as of October 2, 2010. At October 2, 2010, there were $110,189,000 in borrowings outstanding under the Credit Agreement included in “other long-term debt” in the preceding table. In addition, there were $9,154,000 in letters of credit issued under the Credit Agreement which represent a utilization of the Credit Agreement capacity but are not recorded in the consolidated balance sheet as the letters of credit are not debt. At July 3, 2010, there were $93,682,000 in borrowings outstanding under the Credit Agreement and $8,597,000 in letters of credit issued under the Credit Agreement.</w:t>
      </w:r>
    </w:p>
    <w:p>
      <w:pPr>
        <w:spacing w:after="0" w:line="13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At October 2, 2010, the carrying value and fair value of the Company’s debt was $1,758,517,000 and $1,880,406,000, respectively. Fair value was estimated primarily based upon quoted market prices.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left="340" w:right="1360" w:firstLine="389"/>
        <w:spacing w:after="0" w:line="287" w:lineRule="auto"/>
        <w:rPr>
          <w:sz w:val="20"/>
          <w:szCs w:val="20"/>
          <w:color w:val="auto"/>
        </w:rPr>
      </w:pPr>
      <w:r>
        <w:rPr>
          <w:rFonts w:ascii="Arial" w:cs="Arial" w:eastAsia="Arial" w:hAnsi="Arial"/>
          <w:sz w:val="16"/>
          <w:szCs w:val="16"/>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In addition, the Company did not have material gains or losses related to the forward contracts which are recorded in “other income, net” in the accompanying consolidated statements of operations.</w:t>
      </w:r>
    </w:p>
    <w:p>
      <w:pPr>
        <w:spacing w:after="0" w:line="132" w:lineRule="exact"/>
        <w:rPr>
          <w:sz w:val="20"/>
          <w:szCs w:val="20"/>
          <w:color w:val="auto"/>
        </w:rPr>
      </w:pPr>
    </w:p>
    <w:p>
      <w:pPr>
        <w:jc w:val="both"/>
        <w:ind w:left="340" w:right="1380" w:firstLine="389"/>
        <w:spacing w:after="0" w:line="342" w:lineRule="auto"/>
        <w:rPr>
          <w:sz w:val="20"/>
          <w:szCs w:val="20"/>
          <w:color w:val="auto"/>
        </w:rPr>
      </w:pPr>
      <w:r>
        <w:rPr>
          <w:rFonts w:ascii="Arial" w:cs="Arial" w:eastAsia="Arial" w:hAnsi="Arial"/>
          <w:sz w:val="16"/>
          <w:szCs w:val="16"/>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jc w:val="both"/>
        <w:ind w:left="340" w:right="1380" w:firstLine="389"/>
        <w:spacing w:after="0" w:line="286" w:lineRule="auto"/>
        <w:rPr>
          <w:sz w:val="20"/>
          <w:szCs w:val="20"/>
          <w:color w:val="auto"/>
        </w:rPr>
      </w:pPr>
      <w:r>
        <w:rPr>
          <w:rFonts w:ascii="Arial" w:cs="Arial" w:eastAsia="Arial" w:hAnsi="Arial"/>
          <w:sz w:val="17"/>
          <w:szCs w:val="17"/>
          <w:color w:val="auto"/>
        </w:rPr>
        <w:t>From time to time, the Company may become a party to, or otherwise involved in pending and threatened litigation, tax, environmental and other matters arising in the ordinary course of conducting its business. Management does not anticipate that any contingent matters will have a material adverse effect on the Company’s financial condition, liquidity or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Pension plan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noncontributory defined benefit pension plan (the “Plan”) covers substantially all domestic employees.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periodic pension costs during the quarters ended October 2, 2010 and October 3, 2009 were as follows: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8"/>
              </w:rPr>
              <w:t>First Quarters Ended</w:t>
            </w:r>
          </w:p>
        </w:tc>
      </w:tr>
      <w:tr>
        <w:trPr>
          <w:trHeight w:val="191"/>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6"/>
              </w:rPr>
              <w:t>October 2,</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3,</w:t>
            </w:r>
          </w:p>
        </w:tc>
        <w:tc>
          <w:tcPr>
            <w:tcW w:w="100" w:type="dxa"/>
            <w:vAlign w:val="bottom"/>
          </w:tcPr>
          <w:p>
            <w:pPr>
              <w:spacing w:after="0"/>
              <w:rPr>
                <w:sz w:val="16"/>
                <w:szCs w:val="16"/>
                <w:color w:val="auto"/>
              </w:rPr>
            </w:pP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3,937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(6,975)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color w:val="auto"/>
              </w:rPr>
              <w:t>Net periodic pension cost (income)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There were no contributions made to the Plan during the first quarter of fiscal 2011. The significant increase in pension cost as compared with last year was primarily due to the resumption of benefits at the beginning of fiscal 2011 (reflected in “Service cost” in the above table) which had been temporarily suspended during fiscal 2010.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8. Comprehensive income</w:t>
            </w: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First Quarters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October 2,</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October 3,</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138,174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175,652</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60,213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3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313,826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111,108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40" w:type="dxa"/>
            <w:vAlign w:val="bottom"/>
            <w:vMerge w:val="restart"/>
          </w:tcPr>
          <w:p>
            <w:pPr>
              <w:jc w:val="right"/>
              <w:ind w:right="227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9. Earnings per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1"/>
        </w:trPr>
        <w:tc>
          <w:tcPr>
            <w:tcW w:w="6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October 2,</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October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60" w:type="dxa"/>
            <w:vAlign w:val="bottom"/>
            <w:gridSpan w:val="7"/>
          </w:tcPr>
          <w:p>
            <w:pPr>
              <w:spacing w:after="0"/>
              <w:rPr>
                <w:sz w:val="20"/>
                <w:szCs w:val="20"/>
                <w:color w:val="auto"/>
              </w:rPr>
            </w:pPr>
            <w:r>
              <w:rPr>
                <w:rFonts w:ascii="Arial" w:cs="Arial" w:eastAsia="Arial" w:hAnsi="Arial"/>
                <w:sz w:val="18"/>
                <w:szCs w:val="18"/>
                <w:b w:val="1"/>
                <w:bCs w:val="1"/>
                <w:color w:val="auto"/>
                <w:w w:val="90"/>
              </w:rPr>
              <w:t>(Thousands, except per share data)</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138,174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50,895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Weighted average common shares for basic earnings per share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152,004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151,276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effect of dilutive stock options and performance share awards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3"/>
        </w:trPr>
        <w:tc>
          <w:tcPr>
            <w:tcW w:w="6940" w:type="dxa"/>
            <w:vAlign w:val="bottom"/>
          </w:tcPr>
          <w:p>
            <w:pPr>
              <w:ind w:left="200"/>
              <w:spacing w:after="0"/>
              <w:rPr>
                <w:sz w:val="20"/>
                <w:szCs w:val="20"/>
                <w:color w:val="auto"/>
              </w:rPr>
            </w:pPr>
            <w:r>
              <w:rPr>
                <w:rFonts w:ascii="Arial" w:cs="Arial" w:eastAsia="Arial" w:hAnsi="Arial"/>
                <w:sz w:val="18"/>
                <w:szCs w:val="18"/>
                <w:color w:val="auto"/>
              </w:rPr>
              <w:t>Weighted average common shares for diluted earnings per share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153,645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Options to purchase 667,000 and 1,635,000 shares of the Company’s stock were excluded from the calculations of diluted earnings per share for the quarters ended October 2, 2010 and October 3, 2009, respectively, because the exercise price for those options was above the average market price of the Company’s stock. Therefore, inclusion of these options in the diluted earnings per share calculation would have had an anti-dilutive effect.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Additional cash flow information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Interest and income taxes paid in the three months ended October 2, 2010 and October 3, 2009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First Quarters Ended</w:t>
            </w:r>
          </w:p>
        </w:tc>
        <w:tc>
          <w:tcPr>
            <w:tcW w:w="13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October 2,</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October 3,</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ind w:left="480"/>
              <w:spacing w:after="0"/>
              <w:rPr>
                <w:sz w:val="20"/>
                <w:szCs w:val="20"/>
                <w:color w:val="auto"/>
              </w:rPr>
            </w:pPr>
            <w:r>
              <w:rPr>
                <w:rFonts w:ascii="Arial" w:cs="Arial" w:eastAsia="Arial" w:hAnsi="Arial"/>
                <w:sz w:val="18"/>
                <w:szCs w:val="18"/>
                <w:b w:val="1"/>
                <w:bCs w:val="1"/>
                <w:color w:val="auto"/>
                <w:w w:val="88"/>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30,104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27,181</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Income taxes</w:t>
            </w:r>
          </w:p>
        </w:tc>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42,994</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26,710</w:t>
            </w:r>
          </w:p>
        </w:tc>
        <w:tc>
          <w:tcPr>
            <w:tcW w:w="13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40" w:type="dxa"/>
            <w:vAlign w:val="bottom"/>
          </w:tcPr>
          <w:p>
            <w:pPr>
              <w:jc w:val="right"/>
              <w:ind w:right="22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11. Segment information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9"/>
              </w:rPr>
              <w:t>First Quarters Ended</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6"/>
              </w:rPr>
              <w:t>October 2,</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Electronics Marketing</w:t>
            </w:r>
          </w:p>
        </w:tc>
        <w:tc>
          <w:tcPr>
            <w:tcW w:w="180" w:type="dxa"/>
            <w:vAlign w:val="bottom"/>
            <w:gridSpan w:val="2"/>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3,620,604</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2,438,081</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2,561,784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1,916,955</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6,182,388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4,355,036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Electronics Marketing</w:t>
            </w:r>
          </w:p>
        </w:tc>
        <w:tc>
          <w:tcPr>
            <w:tcW w:w="180" w:type="dxa"/>
            <w:vAlign w:val="bottom"/>
            <w:gridSpan w:val="2"/>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192,084</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81,411</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56,689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51,398</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(26,244)</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(25,737)</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222,529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107,072</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Restructuring, integration and other charges (Note 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(28,067)</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194,462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Sales, by geographic area: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(1)</w:t>
            </w:r>
          </w:p>
        </w:tc>
        <w:tc>
          <w:tcPr>
            <w:tcW w:w="180" w:type="dxa"/>
            <w:vAlign w:val="bottom"/>
            <w:gridSpan w:val="2"/>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2,721,214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1,919,127</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1,887,504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1,347,315</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1,573,670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1,088,594</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6,182,388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4,355,036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179" w:hanging="388"/>
        <w:spacing w:after="0" w:line="277"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sales in the United States of $2.4 billion and $1.7 billion for the quarters ended October 2, 2010 and October 3, 2009, respectively.</w:t>
      </w:r>
    </w:p>
    <w:p>
      <w:pPr>
        <w:spacing w:after="0" w:line="21" w:lineRule="exact"/>
        <w:rPr>
          <w:rFonts w:ascii="Arial" w:cs="Arial" w:eastAsia="Arial" w:hAnsi="Arial"/>
          <w:sz w:val="15"/>
          <w:szCs w:val="15"/>
          <w:color w:val="auto"/>
        </w:rPr>
      </w:pPr>
    </w:p>
    <w:p>
      <w:pPr>
        <w:ind w:left="720" w:right="159" w:hanging="388"/>
        <w:spacing w:after="0" w:line="277"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sales in Germany and United Kingdom of $700.1 million and $425.8 million, respectively, for the quarter ended October 2, 2010, and $466.1 million and $284.8 million, respectively, for the quarter ended October 3, 2009.</w:t>
      </w:r>
    </w:p>
    <w:p>
      <w:pPr>
        <w:spacing w:after="0" w:line="21" w:lineRule="exact"/>
        <w:rPr>
          <w:rFonts w:ascii="Arial" w:cs="Arial" w:eastAsia="Arial" w:hAnsi="Arial"/>
          <w:sz w:val="15"/>
          <w:szCs w:val="15"/>
          <w:color w:val="auto"/>
        </w:rPr>
      </w:pPr>
    </w:p>
    <w:p>
      <w:pPr>
        <w:jc w:val="both"/>
        <w:ind w:left="720" w:right="179" w:hanging="388"/>
        <w:spacing w:after="0" w:line="264"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sales in Taiwan, China (including Hong Kong) and Singapore of $443.1 million, $590.9 million and $287.7 million, respectively, for the quarter ended October 2, 2010 and $318.9 million, $417.6 million and $231.2 million, respectively, for the quarter ended October 3,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October 2,</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Electronics Marketing</w:t>
            </w:r>
          </w:p>
        </w:tc>
        <w:tc>
          <w:tcPr>
            <w:tcW w:w="18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5,529,319</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4,441,758</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3,481,530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2,553,844</w:t>
            </w: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291,888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786,780</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9,302,737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7,782,382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 by geographic area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(4)</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202,771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182,231</w:t>
            </w: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118,546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98,460</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Asia/Pacific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24,902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346,219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179" w:hanging="388"/>
        <w:spacing w:after="0" w:line="277"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property, plant and equipment, net, of $194.1 million and $178.2 million as of October 2, 2010 and July 3, 2010, respectively, in the United States.</w:t>
      </w:r>
    </w:p>
    <w:p>
      <w:pPr>
        <w:spacing w:after="0" w:line="21" w:lineRule="exact"/>
        <w:rPr>
          <w:rFonts w:ascii="Arial" w:cs="Arial" w:eastAsia="Arial" w:hAnsi="Arial"/>
          <w:sz w:val="15"/>
          <w:szCs w:val="15"/>
          <w:color w:val="auto"/>
        </w:rPr>
      </w:pPr>
    </w:p>
    <w:p>
      <w:pPr>
        <w:jc w:val="both"/>
        <w:ind w:left="720" w:right="159" w:hanging="388"/>
        <w:spacing w:after="0" w:line="264"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property, plant and equipment, net, of $61.2 million, $22.1 million and $17.2 million in Germany, Belgium and the United Kingdom, respectively, as of October 2, 2010 and $48.0 million, $20.4 million and $13.4 million, respectively, as of July 3,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Restructuring, integration and other charges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2011</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During the first quarter of fiscal 2011, the Company incurred charges related to the acquisition and integration activities associated with acquired businesses.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Quarter ended</w:t>
            </w:r>
          </w:p>
        </w:tc>
      </w:tr>
      <w:tr>
        <w:trPr>
          <w:trHeight w:val="234"/>
        </w:trPr>
        <w:tc>
          <w:tcPr>
            <w:tcW w:w="840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2, 2010</w:t>
            </w:r>
          </w:p>
        </w:tc>
      </w:tr>
      <w:tr>
        <w:trPr>
          <w:trHeight w:val="210"/>
        </w:trPr>
        <w:tc>
          <w:tcPr>
            <w:tcW w:w="8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(Thousands)</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10,762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Integration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Reversal of excess prior year restructuring reserves</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r>
      <w:tr>
        <w:trPr>
          <w:trHeight w:val="27"/>
        </w:trPr>
        <w:tc>
          <w:tcPr>
            <w:tcW w:w="8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restructuring, integration and other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28,067</w:t>
            </w:r>
          </w:p>
        </w:tc>
      </w:tr>
      <w:tr>
        <w:trPr>
          <w:trHeight w:val="20"/>
        </w:trPr>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activity related to the restructuring charges incurred during the first quarter of fiscal 2011 is presented in the following table:</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7"/>
              </w:rPr>
              <w:t>Reserves</w:t>
            </w:r>
          </w:p>
        </w:tc>
        <w:tc>
          <w:tcPr>
            <w:tcW w:w="1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7"/>
              </w:rPr>
              <w:t>Exit Costs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Fiscal 2011 pre-tax charges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w:t>
            </w:r>
          </w:p>
        </w:tc>
      </w:tr>
      <w:tr>
        <w:trPr>
          <w:trHeight w:val="216"/>
        </w:trPr>
        <w:tc>
          <w:tcPr>
            <w:tcW w:w="594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(3,921)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(4,299)</w:t>
            </w:r>
          </w:p>
        </w:tc>
      </w:tr>
      <w:tr>
        <w:trPr>
          <w:trHeight w:val="216"/>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Balance at October 2, 2010</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Severance charges recorded in the first quarter of fiscal 2011 related to personnel reductions of over 140 employees in administrative, finance and sales functions primarily in connection with the integration of the acquired Bell business into the existing EM Americas, TS Americas and TS EMEA regions. Of the $10,704,000 pre-tax restructuring charges, $6,170,000 related to EM and $4,534,000 related to TS. Facility exit costs consisted of lease liabilities and fixed asset write-downs associated with 11 vacated facilities in the Americas, two in EMEA and two in the Asia/Pac region. Cash payments of $4,247,000 are reflected in the amounts utilized during the first quarter of fiscal 2011 and the remaining amounts were related to non-cash asset write downs. As of October 2, 2010, management expects the majority of the remaining severance reserves to be utilized by the end of fiscal 2011 and the remaining facility exit cost reserves to be utilized by the end of fiscal 2014.</w:t>
      </w:r>
    </w:p>
    <w:p>
      <w:pPr>
        <w:spacing w:after="0" w:line="13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Transaction costs incurred during the first quarter of fiscal 2011 related primarily to professional fees for advisory and broker services and legal and accounting due diligence procedures and other legal costs associated with acquisitions.</w:t>
      </w:r>
    </w:p>
    <w:p>
      <w:pPr>
        <w:spacing w:after="0" w:line="14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Integration costs included certain professional fees, facility moving costs, travel, meeting, marketing and communication costs that were incrementally incurred as a result of the integration efforts of acquired businesses. Also included in integration costs are incremental salary and employee benefit costs, primarily of the acquired businesses’ personnel who were retained by Avnet for extended periods following the close of the acquisitions solely to assist in the integration of the acquired business’ IT systems, and administrative and logistics operations into those of Avnet. These identified personnel have no other meaningful day-to-day operational responsibilities outside of the integration effort.</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During fiscal 2010, the Company incurred restructuring, integration and other charges related to the remaining cost reduction actions announced in fiscal 2009, which were taken in response to market conditions, as well as integration costs associated with acquired businesses. The following table presents the activity during the first quarter of fiscal 2011 related to the remaining restructuring reserves established during fiscal 2010.</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Reserves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Exit Costs</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7"/>
        </w:trPr>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3,141</w:t>
            </w:r>
          </w:p>
        </w:tc>
      </w:tr>
      <w:tr>
        <w:trPr>
          <w:trHeight w:val="20"/>
        </w:trPr>
        <w:tc>
          <w:tcPr>
            <w:tcW w:w="4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amounts utilized during the first quarter of fiscal 2011 represent cash payments. As of October 2, 2010, management expects the majority of the remaining severance and other reserves to be utilized by the end of fiscal 2011 and the remaining facility exit cost reserves to be utilized by the end of fiscal 2013.</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2009</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fiscal 2009, the Company incurred restructuring, integration and other charges related to cost reduction actions, costs for integration activity for acquired businesses and other items. The following table presents the activity during the first quarter of fiscal 2011 related to the remaining restructuring reserves established during fiscal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Reserves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Exit Costs</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20,690</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(1,676)</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(2,784)</w:t>
            </w: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r>
      <w:tr>
        <w:trPr>
          <w:trHeight w:val="27"/>
        </w:trPr>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15,282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18,023</w:t>
            </w:r>
          </w:p>
        </w:tc>
      </w:tr>
      <w:tr>
        <w:trPr>
          <w:trHeight w:val="20"/>
        </w:trPr>
        <w:tc>
          <w:tcPr>
            <w:tcW w:w="4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amounts utilized during the first quarter of fiscal 2011 represent cash payments. Management expects the majority of the remaining severance and other reserves to be utilized by the end of fiscal 2012 and the remaining facility exit cost reserves to be utilized by the end of fiscal 2015.</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2008 and prior restructuring reserves</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fiscal year 2008 and prior, the Company incurred restructuring charges under five separate restructuring plans. As of October 2, 2010, the remaining reserves associated with these actions totaled $1,111,000 which are expected to be fully utilized by the end of fiscal 2012.</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October 2, 2010, this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(“MD&amp;A”) should be read in conjunction with the consolidated financial statements,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notes, appearing in Item 1 of this Report, as well as the Company’s Annual Report on Form 10-K for the year ended July 3, 2010. The Company operates on a “52/53 week” fiscal year, and as a result, the first quarter of fiscal 2011 contained 13 weeks while the first quarter of fiscal 2010 contained 14 weeks. This extra week impacts the year-over-year analysis for the first quarter of fiscal 2011 in this MD&amp;A.</w:t>
      </w:r>
    </w:p>
    <w:p>
      <w:pPr>
        <w:spacing w:after="0" w:line="14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weakened against the Euro by approximately 10% when comparing the first quarter of fiscal 2011 with the first quarter of fiscal 2010; therefore, part of the fluctuation between the first quarter of fiscal 2011 results of operations and the prior year first quarter are a result of changes in foreign currency exchange rates.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13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 addition to disclosing financial results that are determined in accordance with US generally accepted accounting principles (“GAAP”), the Company also discloses certain non-GAAP financial information, including:</w:t>
      </w:r>
    </w:p>
    <w:p>
      <w:pPr>
        <w:spacing w:after="0" w:line="143" w:lineRule="exact"/>
        <w:rPr>
          <w:sz w:val="20"/>
          <w:szCs w:val="20"/>
          <w:color w:val="auto"/>
        </w:rPr>
      </w:pPr>
    </w:p>
    <w:p>
      <w:pPr>
        <w:ind w:left="1480" w:right="15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Income or expense items as adjusted for the translation impact of changes in foreign currency exchange rates, as discussed above.</w:t>
      </w:r>
    </w:p>
    <w:p>
      <w:pPr>
        <w:spacing w:after="0" w:line="129" w:lineRule="exact"/>
        <w:rPr>
          <w:rFonts w:ascii="Arial" w:cs="Arial" w:eastAsia="Arial" w:hAnsi="Arial"/>
          <w:sz w:val="18"/>
          <w:szCs w:val="18"/>
          <w:b w:val="1"/>
          <w:bCs w:val="1"/>
          <w:color w:val="auto"/>
        </w:rPr>
      </w:pPr>
    </w:p>
    <w:p>
      <w:pPr>
        <w:jc w:val="both"/>
        <w:ind w:left="1480" w:right="159" w:hanging="378"/>
        <w:spacing w:after="0" w:line="291" w:lineRule="auto"/>
        <w:tabs>
          <w:tab w:leader="none" w:pos="14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Sales adjusted for certain items that impact the year-over-year analysis, which included (i) the impact of acquisitions by adjusting Avnet’s prior periods to include the sales of businesses acquired as if the acquisitions had occurred at the beginning of the period presented; (ii) the impact of the extra week of sales in the prior year first quarter due to the “52/53 week” fiscal year; and (iii) the impact of the transfer of the existing embedded business from TS Americas to EM Americas which occurred in the first quarter of fiscal 2011 in conjunction with the Bell acquisition so that substantially all embedded business in the Americas resides in the EM operating group. Sales taking into account the combination of adjustments (i) through (iii) are referred to as “pro forma sales” or “organic sales.”</w:t>
      </w:r>
    </w:p>
    <w:p>
      <w:pPr>
        <w:spacing w:after="0" w:line="126" w:lineRule="exact"/>
        <w:rPr>
          <w:rFonts w:ascii="Arial" w:cs="Arial" w:eastAsia="Arial" w:hAnsi="Arial"/>
          <w:sz w:val="16"/>
          <w:szCs w:val="16"/>
          <w:b w:val="1"/>
          <w:bCs w:val="1"/>
          <w:color w:val="auto"/>
        </w:rPr>
      </w:pPr>
    </w:p>
    <w:p>
      <w:pPr>
        <w:ind w:left="1480" w:right="15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Operating income excluding restructuring, integration and other charges incurred in the first quarters of fiscal 2011 and fiscal 2010. The reconciliation to GAAP is presented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First Quarters Ended</w:t>
            </w:r>
          </w:p>
        </w:tc>
      </w:tr>
      <w:tr>
        <w:trPr>
          <w:trHeight w:val="191"/>
        </w:trPr>
        <w:tc>
          <w:tcPr>
            <w:tcW w:w="5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October 2,</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October 3,</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2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194,462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89,000</w:t>
            </w: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Restructuring, integration and other charges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28,067</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18,072</w:t>
            </w:r>
          </w:p>
        </w:tc>
      </w:tr>
      <w:tr>
        <w:trPr>
          <w:trHeight w:val="27"/>
        </w:trPr>
        <w:tc>
          <w:tcPr>
            <w:tcW w:w="5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222,529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107,072</w:t>
            </w:r>
          </w:p>
        </w:tc>
      </w:tr>
      <w:tr>
        <w:trPr>
          <w:trHeight w:val="20"/>
        </w:trPr>
        <w:tc>
          <w:tcPr>
            <w:tcW w:w="5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pacing w:after="0" w:line="12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160" w:lineRule="exact"/>
        <w:rPr>
          <w:sz w:val="20"/>
          <w:szCs w:val="20"/>
          <w:color w:val="auto"/>
        </w:rPr>
      </w:pPr>
    </w:p>
    <w:p>
      <w:pPr>
        <w:jc w:val="both"/>
        <w:ind w:left="1080" w:right="159" w:hanging="370"/>
        <w:spacing w:after="0" w:line="254"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pacing w:after="0" w:line="151" w:lineRule="exact"/>
        <w:rPr>
          <w:rFonts w:ascii="Arial" w:cs="Arial" w:eastAsia="Arial" w:hAnsi="Arial"/>
          <w:sz w:val="18"/>
          <w:szCs w:val="18"/>
          <w:b w:val="1"/>
          <w:bCs w:val="1"/>
          <w:color w:val="auto"/>
        </w:rPr>
      </w:pPr>
    </w:p>
    <w:p>
      <w:pPr>
        <w:jc w:val="both"/>
        <w:ind w:left="1080" w:right="159" w:hanging="370"/>
        <w:spacing w:after="0" w:line="255"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 As a global technology sales and marketing organization, TS has dedicated sales and marketing divisions focused on specific customer segments including OEMs, independent software vendors, system builders, system integrators and VARs.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Revenue of $6.18 billion for the first quarter of fiscal 2011 increased 42.0% year over year driven by the combination of double digit organic growth in both EM and TS and the impact of acquisitions. The year-over-year comparison of first quarter results were impacted by (i) acquisitions, (ii) the extra week of sales in the prior year first quarter due to the “52/53 week” fiscal year; (iii) the transfer of the existing embedded business from TS Americas to EM Americas which occurred in the first quarter of fiscal 2011 in conjunction with the Bell acquisition so that substantially all embedded business in the Americas resides in the EM operating group; and (iv) the translation impact of changes in foreign currency exchange rates. As mentioned earlier in this MD&amp;A, sales adjusted for items (i) through (iii) are defined as “pro forma” or “organic sales.” Organic sales increased 26.4% and increased 29.3% excluding the translation impact of changes in foreign currency exchange rates. Both operating groups contributed to the year-over-year increase with double digit organic sales growth.</w:t>
      </w:r>
    </w:p>
    <w:p>
      <w:pPr>
        <w:spacing w:after="0" w:line="141"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Gross profit margin improved 23 basis points year over year but declined 69 basis points sequentially as the Bell acquisition, which has lower gross profit margins than the Company’s legacy businesses, negatively impacted gross profit margins. Although the Bell business has a lower gross profit margin profile due to its product mix, it is expected to have a higher working capital velocity which should result in a similar return on working capital as the existing Avnet business following the realization of the anticipated synergies of at least $60 million. EM gross profit margin declined 69 basis points sequentially primarily as a result of the lower gross profit margins in the recently acquired embedded business in the Americas and business mix. Excluding the embedded business in EM, gross profit margins increased year over year in all three regions. TS gross profit margin was slightly lower year over year, down 12 basis points, and down 54 basis points sequentially. Both the year-over-year and sequential declines were primarily attributable to the EMEA region due to the combination of the impact of the integration of the Bell business, which has a lower gross profit margin profile than the legacy TS EMEA businesses, and a less favorable product mix in the existing TS EMEA businesses.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firstLine="389"/>
        <w:spacing w:after="0" w:line="276" w:lineRule="auto"/>
        <w:rPr>
          <w:sz w:val="20"/>
          <w:szCs w:val="20"/>
          <w:color w:val="auto"/>
        </w:rPr>
      </w:pPr>
      <w:r>
        <w:rPr>
          <w:rFonts w:ascii="Arial" w:cs="Arial" w:eastAsia="Arial" w:hAnsi="Arial"/>
          <w:sz w:val="17"/>
          <w:szCs w:val="17"/>
          <w:color w:val="auto"/>
        </w:rPr>
        <w:t>Operating income margins improved 111 basis points year over year but declined 101 basis points sequentially. EM operating income margins improved significantly (197 basis points) year over year to 5.3%, which is within management’s target range for EM, due to improvement in all three regions. TS operating income margin declined 47 basis points year over year and 77 basis points sequentially primarily due to the combination of expense synergies not yet realized related to the recent acquisitions and lower operating margins of the acquired businesses as compared with the existing TS businesses.</w:t>
      </w:r>
    </w:p>
    <w:p>
      <w:pPr>
        <w:spacing w:after="0" w:line="146"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The Company continued to focus on managing working capital velocity, defined as quarterly sales annualized divided by the monthly average of receivables plus inventory less accounts payable, which was 7.6 for the first quarter of fiscal 2011. Working capital increased sequentially, primarily due to the impact of acquisitions, the translation impact of changes in foreign currency exchange rates and additional working capital necessary to support the strong growth in sales.</w:t>
      </w:r>
    </w:p>
    <w:p>
      <w:pPr>
        <w:spacing w:after="0" w:line="146" w:lineRule="exact"/>
        <w:rPr>
          <w:sz w:val="20"/>
          <w:szCs w:val="20"/>
          <w:color w:val="auto"/>
        </w:rPr>
      </w:pPr>
    </w:p>
    <w:p>
      <w:pPr>
        <w:jc w:val="both"/>
        <w:ind w:left="340" w:right="1360" w:firstLine="389"/>
        <w:spacing w:after="0" w:line="270" w:lineRule="auto"/>
        <w:rPr>
          <w:sz w:val="20"/>
          <w:szCs w:val="20"/>
          <w:color w:val="auto"/>
        </w:rPr>
      </w:pPr>
      <w:r>
        <w:rPr>
          <w:rFonts w:ascii="Arial" w:cs="Arial" w:eastAsia="Arial" w:hAnsi="Arial"/>
          <w:sz w:val="17"/>
          <w:szCs w:val="17"/>
          <w:color w:val="auto"/>
        </w:rPr>
        <w:t>As mentioned above, the Company completed its previously announced acquisition of Bell, a value-added distributor of storage and server products and solutions and computer components product, providing integration and support services to OEMs, VARs, system builders and end users in the US, Canada, EMEA and Latin America. Bell operated both a distribution and single tier reseller business and generated sales of approximately $3.0 billion in calendar 2009, of which 42%, 41% and 17% was generated in North America, EMEA and Latin America, respectively. The Company is integrating Bell into the EM Americas, TS Americas and TS EMEA regions and expects cost saving synergies of at least $60 million upon completion of the integration activities, which are anticipated to be completed by the end of fiscal 2011. Also during the first quarter of fiscal 2011, the Company acquired Tallard, a value-added distributor of IT solutions in Latin America with annualized revenues of approximately $250 million which is reported as part of the TS Americas region, and Unidux, an electronics component distributor in Japan with annualized revenues of approximately $370 million which is reported as part of the EM Asia region.</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w:t>
      </w:r>
    </w:p>
    <w:p>
      <w:pPr>
        <w:spacing w:after="0" w:line="198" w:lineRule="exact"/>
        <w:rPr>
          <w:sz w:val="20"/>
          <w:szCs w:val="20"/>
          <w:color w:val="auto"/>
        </w:rPr>
      </w:pPr>
    </w:p>
    <w:p>
      <w:pPr>
        <w:jc w:val="both"/>
        <w:ind w:left="340" w:right="1360" w:firstLine="389"/>
        <w:spacing w:after="0" w:line="290" w:lineRule="auto"/>
        <w:rPr>
          <w:sz w:val="20"/>
          <w:szCs w:val="20"/>
          <w:color w:val="auto"/>
        </w:rPr>
      </w:pPr>
      <w:r>
        <w:rPr>
          <w:rFonts w:ascii="Arial" w:cs="Arial" w:eastAsia="Arial" w:hAnsi="Arial"/>
          <w:sz w:val="16"/>
          <w:szCs w:val="16"/>
          <w:color w:val="auto"/>
        </w:rPr>
        <w:t>The table below provides the comparison of first quarter of fiscal 2011 and 2010 sales for the Company and its operating groups. In addition, there were several items that impacted the comparison of first quarter sales to sales in the prior year first quarter; therefore, the table below also provides pro forma (or organic) sales which represents sales adjusted for (i) the impact of acquisitions by adjusting Avnet’s prior periods to include the sales of businesses acquired as if the acquisitions had occurred at the beginning of the period presented; (ii) the impact of the extra week of sales in the prior year first quarter due to the “52/53 week” fiscal year; and (iii) the impact of the transfer of the existing embedded business from TS Americas to EM Americas which occurred in the first quarter of fiscal 2011 in conjunction with the Bell acquisition so that substantially all embedded business in the Americas resides in the EM operating group. Sales taking into account the combination of these adjustments is referred to as “pro forma sales” or “organic sales.”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Year-Year</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Pro forma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Year-Year</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80" w:type="dxa"/>
            <w:vAlign w:val="bottom"/>
            <w:gridSpan w:val="4"/>
          </w:tcPr>
          <w:p>
            <w:pPr>
              <w:ind w:left="500"/>
              <w:spacing w:after="0"/>
              <w:rPr>
                <w:sz w:val="20"/>
                <w:szCs w:val="20"/>
                <w:color w:val="auto"/>
              </w:rPr>
            </w:pPr>
            <w:r>
              <w:rPr>
                <w:rFonts w:ascii="Arial" w:cs="Arial" w:eastAsia="Arial" w:hAnsi="Arial"/>
                <w:sz w:val="18"/>
                <w:szCs w:val="18"/>
                <w:b w:val="1"/>
                <w:bCs w:val="1"/>
                <w:color w:val="auto"/>
              </w:rPr>
              <w:t>Q1-Fiscal ’11</w:t>
            </w:r>
          </w:p>
        </w:tc>
        <w:tc>
          <w:tcPr>
            <w:tcW w:w="124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Q1-Fiscal ’10</w:t>
            </w:r>
          </w:p>
        </w:tc>
        <w:tc>
          <w:tcPr>
            <w:tcW w:w="1400" w:type="dxa"/>
            <w:vAlign w:val="bottom"/>
            <w:gridSpan w:val="3"/>
          </w:tcPr>
          <w:p>
            <w:pPr>
              <w:ind w:left="20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Q1-Fiscal ’11</w:t>
            </w:r>
          </w:p>
        </w:tc>
        <w:tc>
          <w:tcPr>
            <w:tcW w:w="1480" w:type="dxa"/>
            <w:vAlign w:val="bottom"/>
            <w:gridSpan w:val="4"/>
          </w:tcPr>
          <w:p>
            <w:pPr>
              <w:ind w:left="160"/>
              <w:spacing w:after="0"/>
              <w:rPr>
                <w:sz w:val="20"/>
                <w:szCs w:val="20"/>
                <w:color w:val="auto"/>
              </w:rPr>
            </w:pPr>
            <w:r>
              <w:rPr>
                <w:rFonts w:ascii="Arial" w:cs="Arial" w:eastAsia="Arial" w:hAnsi="Arial"/>
                <w:sz w:val="18"/>
                <w:szCs w:val="18"/>
                <w:b w:val="1"/>
                <w:bCs w:val="1"/>
                <w:color w:val="auto"/>
              </w:rPr>
              <w:t>Q1-Fiscal ’10</w:t>
            </w: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(Dollars</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in</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6,182,388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4,355,036</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6,203,775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4,906,430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ind w:left="200"/>
              <w:spacing w:after="0"/>
              <w:rPr>
                <w:sz w:val="20"/>
                <w:szCs w:val="20"/>
                <w:color w:val="auto"/>
              </w:rPr>
            </w:pPr>
            <w:r>
              <w:rPr>
                <w:rFonts w:ascii="Arial" w:cs="Arial" w:eastAsia="Arial" w:hAnsi="Arial"/>
                <w:sz w:val="18"/>
                <w:szCs w:val="18"/>
                <w:color w:val="auto"/>
              </w:rPr>
              <w:t>EM</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3,620,604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2,438,081</w:t>
            </w: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3,641,991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2,605,114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2,561,784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1,916,955</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2,301,316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EM</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1,259,731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757,588</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948,175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ind w:left="20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1,079,704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788,595</w:t>
            </w: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722,197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1,281,169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891,898</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934,742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1,461,483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1,161,539</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1,284,613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ind w:left="20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807,800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558,720</w:t>
            </w: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794,359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196,696</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222,344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Totals by Region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2,721,214</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1,919,127</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2,232,788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tcPr>
          <w:p>
            <w:pPr>
              <w:ind w:left="20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1,887,504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1,347,315</w:t>
            </w: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1,516,556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1,573,670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1,088,594</w:t>
            </w:r>
          </w:p>
        </w:tc>
        <w:tc>
          <w:tcPr>
            <w:tcW w:w="1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1,157,086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3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tables present the reconciliation of the reported sales to pro forma sales for first quarter of fiscal 2011 and 2010.</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6"/>
              </w:rPr>
              <w:t>As</w:t>
            </w:r>
          </w:p>
        </w:tc>
        <w:tc>
          <w:tcPr>
            <w:tcW w:w="4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Acquisition</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Pro forma</w:t>
            </w:r>
          </w:p>
        </w:tc>
      </w:tr>
      <w:tr>
        <w:trPr>
          <w:trHeight w:val="234"/>
        </w:trPr>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Reported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 xml:space="preserve">Sales </w:t>
            </w:r>
            <w:r>
              <w:rPr>
                <w:rFonts w:ascii="Arial" w:cs="Arial" w:eastAsia="Arial" w:hAnsi="Arial"/>
                <w:sz w:val="15"/>
                <w:szCs w:val="15"/>
                <w:b w:val="1"/>
                <w:bCs w:val="1"/>
                <w:color w:val="auto"/>
                <w:w w:val="88"/>
              </w:rPr>
              <w:t>(1)</w:t>
            </w:r>
          </w:p>
        </w:tc>
        <w:tc>
          <w:tcPr>
            <w:tcW w:w="16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Sales</w:t>
            </w:r>
          </w:p>
        </w:tc>
      </w:tr>
      <w:tr>
        <w:trPr>
          <w:trHeight w:val="210"/>
        </w:trPr>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Q1 Fiscal 2011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Avnet, Inc.</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6,182,388</w:t>
            </w:r>
          </w:p>
        </w:tc>
        <w:tc>
          <w:tcPr>
            <w:tcW w:w="3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21,387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6,203,775</w:t>
            </w: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3,620,604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3,641,991</w:t>
            </w: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EM Asia</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1,281,169</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21,387</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1,302,556</w:t>
            </w:r>
          </w:p>
        </w:tc>
      </w:tr>
      <w:tr>
        <w:trPr>
          <w:trHeight w:val="391"/>
        </w:trPr>
        <w:tc>
          <w:tcPr>
            <w:tcW w:w="174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322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Includes the following acquisition:</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740" w:type="dxa"/>
            <w:vAlign w:val="bottom"/>
            <w:gridSpan w:val="6"/>
          </w:tcPr>
          <w:p>
            <w:pPr>
              <w:ind w:left="780"/>
              <w:spacing w:after="0"/>
              <w:rPr>
                <w:sz w:val="20"/>
                <w:szCs w:val="20"/>
                <w:color w:val="auto"/>
              </w:rPr>
            </w:pPr>
            <w:r>
              <w:rPr>
                <w:rFonts w:ascii="Arial" w:cs="Arial" w:eastAsia="Arial" w:hAnsi="Arial"/>
                <w:sz w:val="18"/>
                <w:szCs w:val="18"/>
                <w:color w:val="auto"/>
                <w:w w:val="94"/>
              </w:rPr>
              <w:t>Unidux acquired July 22, 2010 in the EM Asia region</w:t>
            </w: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14"/>
        </w:trPr>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Transfer of</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As</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Acquisition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rPr>
              <w:t>Extra Week</w:t>
            </w:r>
          </w:p>
        </w:tc>
        <w:tc>
          <w:tcPr>
            <w:tcW w:w="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TS Business</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Pro forma</w:t>
            </w:r>
          </w:p>
        </w:tc>
      </w:tr>
      <w:tr>
        <w:trPr>
          <w:trHeight w:val="234"/>
        </w:trPr>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Reported</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 xml:space="preserve">Sales </w:t>
            </w:r>
            <w:r>
              <w:rPr>
                <w:rFonts w:ascii="Arial" w:cs="Arial" w:eastAsia="Arial" w:hAnsi="Arial"/>
                <w:sz w:val="15"/>
                <w:szCs w:val="15"/>
                <w:b w:val="1"/>
                <w:bCs w:val="1"/>
                <w:color w:val="auto"/>
                <w:w w:val="93"/>
              </w:rPr>
              <w:t>(1)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 xml:space="preserve">in FY10 </w:t>
            </w:r>
            <w:r>
              <w:rPr>
                <w:rFonts w:ascii="Arial" w:cs="Arial" w:eastAsia="Arial" w:hAnsi="Arial"/>
                <w:sz w:val="15"/>
                <w:szCs w:val="15"/>
                <w:b w:val="1"/>
                <w:bCs w:val="1"/>
                <w:color w:val="auto"/>
              </w:rPr>
              <w:t>(2)</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to EM</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20"/>
                <w:szCs w:val="20"/>
                <w:color w:val="auto"/>
              </w:rPr>
            </w:pPr>
          </w:p>
        </w:tc>
      </w:tr>
      <w:tr>
        <w:trPr>
          <w:trHeight w:val="210"/>
        </w:trPr>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(Dollars in thousands)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Q1 Fiscal 2010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Avnet,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4,355,036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969,174</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(417,780)</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4,906,430</w:t>
            </w: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2,438,082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243,291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(174,305)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98,047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2,605,114</w:t>
            </w: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TS</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1,916,955</w:t>
            </w:r>
          </w:p>
        </w:tc>
        <w:tc>
          <w:tcPr>
            <w:tcW w:w="12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725,883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(243,475)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(98,047)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2,301,316</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757,589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143,433</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(50,893)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98,047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948,175</w:t>
            </w: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788,595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(66,398)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722,197</w:t>
            </w: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Asia</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891,898</w:t>
            </w:r>
          </w:p>
        </w:tc>
        <w:tc>
          <w:tcPr>
            <w:tcW w:w="12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99,858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(57,014)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934,742</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1,161,539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383,701</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(162,580)</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(98,047)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1,284,613</w:t>
            </w: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558,720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304,784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(69,145)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794,359</w:t>
            </w: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Asia</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196,696</w:t>
            </w:r>
          </w:p>
        </w:tc>
        <w:tc>
          <w:tcPr>
            <w:tcW w:w="12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37,398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(11,750)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239395</wp:posOffset>
            </wp:positionV>
            <wp:extent cx="1115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the following acquisitions:</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Bell Microproducts acquired July 6, 2010 in the EM Americas, TS Americas and TS EMEA regions</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Tallard Technologies acquired July 6, 2010 in the TS Americas region</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Unidux acquired July 22, 2010 in the EM Asia region</w:t>
      </w:r>
    </w:p>
    <w:p>
      <w:pPr>
        <w:spacing w:after="0" w:line="77" w:lineRule="exact"/>
        <w:rPr>
          <w:sz w:val="20"/>
          <w:szCs w:val="20"/>
          <w:color w:val="auto"/>
        </w:rPr>
      </w:pPr>
    </w:p>
    <w:p>
      <w:pPr>
        <w:jc w:val="both"/>
        <w:ind w:left="720" w:right="159" w:hanging="388"/>
        <w:spacing w:after="0" w:line="286"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7"/>
          <w:szCs w:val="17"/>
          <w:color w:val="auto"/>
        </w:rPr>
        <w:t>Due to sales fluctuations that occur from the first month of each quarter to the last month of each quarter, estimating the effect of an additional week’s activity in the first quarter of fiscal 2010 is not precise; however, management estimated the impact by taking an average of the first week’s sales and the last week’s sales in the first quarter of fiscal 2010.</w:t>
      </w:r>
    </w:p>
    <w:p>
      <w:pPr>
        <w:spacing w:after="0" w:line="12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Consolidated sales for the first quarter of fiscal 2011 were $6.18 billion, an increase of 42.0%, or $1.83 billion, from the prior year first quarter consolidated sales of $4.36 billion due primarily to strong organic sales growth and the impact of the recent acquisitions. Organic sales (as defined earlier in this MD&amp;A) increased 26.4% and increased 29.3% excluding the translation impact of foreign currency exchange rates. Both operating groups contributed to the year-over-year increase with double digit organic sales growth.</w:t>
      </w:r>
    </w:p>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EM sales of $3.62 billion in the first quarter of fiscal 2011 increased 48.5% over the prior year first quarter sales of $2.44 billion. Organic sales increased 39.8% and increased 43.1% excluding the translation impact of foreign currency exchange rates. All three regions contributed to the year-over-year organic sales growth with 32.9%, 49.5% and 39.4% in the Americas, EMEA and Asia, respectively, due to stronger end demand and inventory replenishment experienced across the technology industry in all three regions. The EMEA results were negatively impacted by the strengthening of the US dollar against the Euro during the first quarter of fiscal 2011 as compared with the prior year first quarter as the EMEA region sales increased 63.4% excluding the translation impact of changes in foreign currency exchange rates.</w:t>
      </w:r>
    </w:p>
    <w:p>
      <w:pPr>
        <w:spacing w:after="0" w:line="149"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TS sales of $2.56 billion in the first quarter of fiscal 2011 increased 33.6% over the prior year first quarter sales of $1.92 billion. Organic sales increased 11.3% and increased 13.6% excluding the translation impact of foreign currency exchange rates. Organic sales increased 13.8% and 31.6% in the Americas and Asia regions, respectively. The EMEA results were negatively impacted by the strengthening of the US dollar against the Euro as organic sales increased 1.7% and increased 9.7% year over year excluding the impact of changes in foreign currency exchange rates. All three regions experienced stronger sales of networking, storage and microprocessors partially offset by a decline in sales of proprietary servers.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02"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Consolidated gross profit for the first quarter of fiscal 2011 was $723.1 million, an increase of $223.4 million, or 44.7%, from the prior year first quarter due primarily to strong organic sales growth and the increase in sales related to acquisitions Gross profit margin of 11.7% increased 23 basis points over the prior year first quarter and declined 69 basis points sequentially, which was expected with the acquisition of Bell because it has a lower gross profit margin profile as a result of its product mix. Although Bell has a lower gross profit margin profile, it is expected to have a higher working capital velocity which should result in a similar return on working capital as the existing Avnet businesses following the realization of the expected synergies. For EM, gross profit margin increased 27 basis points year over year with EMEA and Asia increases offsetting the decline in the Americas, which was due to the impact of the acquisition of Bell and the transfer of the lower margin embedded business from TS Americas to EM Americas. EM gross profit margin declined 69 basis points sequentially due also to the impact of the Bell acquisition, the transfer of the lower margin embedded business from TS and business mix. Excluding the impact of the Bell acquisition and the embedded business transferred from TS, EM gross profit margins increased year over year in all three regions. TS gross profit margin was slightly lower year over year, down 12 basis points, and down 54 basis points sequentially. Both the year-over-year and sequential declines were primarily attributable to the EMEA region which was impacted by the combination of the acquisition of the Bell business, which has a lower gross profit margin profile than the existing TS EMEA businesses, and a less favorable product mix in the existing TS EMEA businesses.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Selling, general and administrative expenses (“SG&amp;A expenses”) were $500.6 million in the first quarter of fiscal 2011, which was an increase of $108.0 million, or 27.5%, from the prior year first quarter. The increase in SG&amp;A expenses was primarily a result of the additional SG&amp;A expenses of approximately $80 million associated with acquisitions partially offset by the translation impact of changes in foreign currency exchange rates of approximately $15 million and the extra week of expenses of approximately $15 million due to the Company’s fiscal calendar as noted above. The remaining increase in SG&amp;A expenses was primarily a result of the incremental costs necessary to support the year-over-year double digit organic sales growth. Metrics that management monitors with respect to its operating expenses are SG&amp;A expenses as a percentage of sales and as a percentage of gross profit. In the first quarter of fiscal 2011, SG&amp;A expenses were 8.1% of sales and 69.2% of gross profit as compared with 9.0% and 78.6%, respectively, in the first quarter of fiscal 2010.</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189"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Restructuring, integration and other charges amounted to $28.1 million pre-tax, $21.2 million after tax and $0.13 per share on a diluted basis during the first quarter of fiscal 2011 as compared with $18.1 million pre-tax, $13.2 million after tax and $0.09 per share on a diluted basis in the prior year first quarter. For the first quarter of fiscal 2011, restructuring costs included $8.3 million pre-tax for severance and $2.4 million pre-tax for facility exit costs for lease liabilities and fixed asset write downs associated with vacated facilities. Transaction costs of $10.8 million pre-tax consisted primarily of professional fees for brokering the deals, due diligence work and other legal costs. Integration costs of $7.3 million pre-tax included professional fees associated with legal and IT consulting, facility moving costs, travel, meeting, marketing and communication costs that were incrementally incurred as a result of the integration activity. Also included in integration costs are incremental salary and employee benefits costs, primarily of the acquired businesses’ personnel who where retained by Avnet for extended periods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The Company also recorded a reversal of $0.7 million to adjust reserves related to prior year restructuring activity which were no longer required.</w:t>
      </w:r>
    </w:p>
    <w:p>
      <w:pPr>
        <w:spacing w:after="0" w:line="12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In the first quarter of fiscal 2010, the restructuring, integration and other charges of $18.1 million pre-tax related to the remaining cost reduction actions announced in fiscal 2009 as well as costs associated with the integration of acquired businesses. Restructuring costs included $9.7 million pre-tax of severance, $3.7 million pre-tax of facility exit costs, $3.7 million pre-tax of other charges related to contract termination costs, fixed asset write-downs and other charges and $2.9 million pre-tax of integration costs. The Company also recorded a reversal of $1.9 million to adjust reserves related to prior year restructuring activity which were no longer required.</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Income</w:t>
      </w:r>
    </w:p>
    <w:p>
      <w:pPr>
        <w:spacing w:after="0" w:line="202"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During the first quarter of fiscal 2011, the Company generated operating income of $194.5 million, up 118.5% as compared with operating income of $89.0 million in the prior year first quarter. Consolidated operating income margin was 3.2% as compared with 2.0% in the prior year first quarter. EM operating income increased 135.9% to $192.1 million and its operating income margin increased 197 basis points year over year to 5.3%, which is within management’s target range for EM for the third consecutive quarter. TS operating income of $56.7 million increased 10.3% year over year and operating income margin declined 47 basis points. The decline in TS operating income margin was impacted by the acquisition of Bell which, as noted above, has a lower gross margin profile than the TS legacy business and its associated expenses. In addition, the anticipated synergies for Bell of at least $60 million have not yet been fully realized. Corporate operating expenses were $26.2 million in the first quarter of fiscal 2011 as compared with $25.7 million in the first quarter of fiscal 2010. In addition, during the first quarter of fiscal 2011, restructuring, integration and other charges amounted to $28.1 million pre-tax, $20.2 million after tax and $0.13 per share on a diluted basis as compared with $18.1 million pre-tax, $13.2 million and $0.09 per share on a diluted basis for the prior year first quarter.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Interest expense for the first quarter of fiscal 2011 was $22.0 million, up $6.7 million, or 44.1%, from interest expense of $15.2 million in the first quarter of fiscal 2010. The year-over-year increase in interest expense was due primarily to the $300.0 million 5.875% Notes issued in June 2010, additional borrowings assumed through acquisitions, including foreign bank credit facilities and a $104.8 million 3.75% Note acquired in the Bell acquisition. See </w:t>
      </w:r>
      <w:r>
        <w:rPr>
          <w:rFonts w:ascii="Arial" w:cs="Arial" w:eastAsia="Arial" w:hAnsi="Arial"/>
          <w:sz w:val="18"/>
          <w:szCs w:val="18"/>
          <w:i w:val="1"/>
          <w:iCs w:val="1"/>
          <w:color w:val="auto"/>
        </w:rPr>
        <w:t>Financing Transactions</w:t>
      </w:r>
      <w:r>
        <w:rPr>
          <w:rFonts w:ascii="Arial" w:cs="Arial" w:eastAsia="Arial" w:hAnsi="Arial"/>
          <w:sz w:val="18"/>
          <w:szCs w:val="18"/>
          <w:color w:val="auto"/>
        </w:rPr>
        <w:t xml:space="preserve"> for further discussion of the Company’s outstanding debt.</w:t>
      </w:r>
    </w:p>
    <w:p>
      <w:pPr>
        <w:spacing w:after="0" w:line="16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During the first quarter of fiscal 2011, the Company recognized $3.3 million in other income as compared with $2.9 million in the first quarter of the prior year.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on Bargain Purchase and Other</w:t>
      </w:r>
    </w:p>
    <w:p>
      <w:pPr>
        <w:spacing w:after="0" w:line="189"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During the first quarter of fiscal 2011, the Company acquired Unidux, a Japanese publicly traded company, through a tender offer in which the Company obtained over 95% of the controlling interest. After reassessing all assets acquired and liabilities assumed, the consideration paid was below the fair value of the acquired net assets and, as a result, the Company recognized a gain on bargain purchase of $31.0 million pre- and after tax and $0.20 per share on a diluted basis. In addition, the Company recognized other charges of $2.0 million primarily related to an impairment of buildings in EMEA.</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The Company’s effective tax rate on its income before income taxes was 32.5% in the first quarter of fiscal 2011 as compared with 33.6% in the first quarter of fiscal 2010. During the first quarter of fiscal 2011, the Company recognized an income tax adjustment of $13.9 million primarily related to the non-cash write-off of a deferred tax asset associated with the integration of an acquisition. As mentioned previously, the Company recognized a gain of $31.0 million on the bargain purchase of Unidux which was not taxable.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Income</w:t>
      </w:r>
    </w:p>
    <w:p>
      <w:pPr>
        <w:spacing w:after="0" w:line="20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consolidated net income for the first quarter of fiscal 2011 was $138.2 million and $0.90 per share on a diluted basis, as compared with $50.9 million and $0.33 per share on a diluted basis in the prior year first quarter.</w:t>
      </w:r>
    </w:p>
    <w:p>
      <w:pPr>
        <w:spacing w:after="0" w:line="13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During the first quarter of fiscal 2011, the Company used $112.3 million of cash and cash equivalents for its operating activities as compared with a generation of $6.2 million in the first quarter of fiscal 2010. These results are comprised of: (1)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(2) cash flow used for working capital, excluding cash and cash equivalents. Cash used for working capital during the first quarter of fiscal 2011 consisted of accounts receivable growth of $110.9 million and inventory growth of $269.8 million, partially offset by growth in payables of $130.7 million. During growth periods, the Company has been more likely to utilize operating cash flows for working capital to support business growth. Net days outstanding, in particular, receivable days, continue to be at or near pre-recession levels as there have not been any significant change in terms provided to customers.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Comparatively, the working capital outflow in the first quarter of fiscal 2010 consisted of accounts receivable growth ($219.4 million) and growth in inventories ($135.5 million), offset by growth in payables ($312.8 million) and growth in accrued expenses and other ($49.6 million). The improvement in working capital velocity contributed to the generation of $6.2 million of cash from operating activities during the first quarter of fiscal 2010 as sales grew nearly $590 million or over 15% sequentially.</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 received net proceeds of $261.5 million primarily from borrowings under the accounts receivable securitization program and bank credit facilities during the first quarter of fiscal 2011 which, along with available cash, was primarily used to fund acquisitions and the working capital needs of the business as the Company experienced 18% sequential growth in revenue. During the first quarter of fiscal 2010, the Company received proceeds of $31.4 million from bank credit facilities and other debt.</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used $574.8 million of cash for acquisitions, net of cash acquired, and $31.5 million for capital expenditures primarily related to system development costs and computer hardware and software expenditures. During the first quarter of fiscal 2010, the Company used $9.5 million of cash primarily for capital expenditures related to building and leasehold improvements, system development costs, computer hardware and software.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summarizes the Company’s capital structure as of the end of the first quarter of fiscal 2011 with a comparison to fiscal 2010 year-end: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October 2,</w:t>
            </w:r>
          </w:p>
        </w:tc>
        <w:tc>
          <w:tcPr>
            <w:tcW w:w="15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July 3,</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0"/>
              </w:rPr>
              <w:t>Capitalization</w:t>
            </w: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Capitalization</w:t>
            </w:r>
          </w:p>
        </w:tc>
      </w:tr>
      <w:tr>
        <w:trPr>
          <w:trHeight w:val="210"/>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in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498,398</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36,549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Long-term debt</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1,260,119</w:t>
            </w:r>
          </w:p>
        </w:tc>
        <w:tc>
          <w:tcPr>
            <w:tcW w:w="360" w:type="dxa"/>
            <w:vAlign w:val="bottom"/>
          </w:tcPr>
          <w:p>
            <w:pPr>
              <w:spacing w:after="0"/>
              <w:rPr>
                <w:sz w:val="19"/>
                <w:szCs w:val="19"/>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1,243,681</w:t>
            </w: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1,758,517</w:t>
            </w: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1,280,230</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3,330,198</w:t>
            </w:r>
          </w:p>
        </w:tc>
        <w:tc>
          <w:tcPr>
            <w:tcW w:w="360" w:type="dxa"/>
            <w:vAlign w:val="bottom"/>
          </w:tcPr>
          <w:p>
            <w:pPr>
              <w:spacing w:after="0"/>
              <w:rPr>
                <w:sz w:val="19"/>
                <w:szCs w:val="19"/>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65.4</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3,009,117</w:t>
            </w: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70.2</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capitalization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5,088,715</w:t>
            </w: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4,289,347</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 xml:space="preserve">For a description of the Company’s long-term debt and lease commitments for the next five years and thereafter, see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appearing in Item 7 of the Company’s Annual Report on Form 10-K for the year ended July 3, 2010.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of the Company’s debt transactions discussed herein, there are no material changes to this information outside of normal lease payments.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Transactions</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has a five-year $500.0 million unsecured revolving credit facility (the “Credit Agreement”) with a syndicate of banks which expires in September 2012. Under the Credit Agreement, the Company may elect from various interest rate options, currencies and maturities. As of the end of the first quarter of fiscal 2011, there were $110.2 million in borrowings outstanding under the Credit Agreement included in “long-term debt” in the consolidated financial statements. In addition, there were $9.2 million in letters of credit issued under the Credit Agreement which represent a utilization of Credit Agreement capacity but are not recorded in the consolidated balance sheet as the letters of credit are not debt. As of July 3, 2010, there were $93.7 million in borrowings outstanding and $8.6 million in letters of credit issued under the Credit Agreement.</w:t>
      </w:r>
    </w:p>
    <w:p>
      <w:pPr>
        <w:spacing w:after="0" w:line="13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the first quarter of fiscal 2011, the Company amended its accounts receivable securitization program (the “Program”) with a group of financial institutions to allow the Company to sell, on a revolving basis, an undivided interest of up to $600.0 million ($450.0 million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October 2, 2010. The Program has a one year term that expires in August 2011. There were $190.0 million in borrowings outstanding under the Program at October 2, 2010. There were no borrowings outstanding at July 3,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As a result of acquisitions during the first quarter of fiscal 2011, the Company acquired debt of $420.3 million, of which $211.9 million was repaid at the acquisition dates. As of the end of the first quarter of fiscal 2011, the outstanding balances associated with the acquired debt and credit facilities consisted of $67.9 million in bank credit facilities and other debt primarly used to support the acquired foreign operations and $104.8 million of 3.75% Notes due March 2024 (see further description below).</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outstanding at October 2, 2010 consisted of:</w:t>
      </w:r>
    </w:p>
    <w:p>
      <w:pPr>
        <w:spacing w:after="0" w:line="185" w:lineRule="exact"/>
        <w:rPr>
          <w:sz w:val="20"/>
          <w:szCs w:val="20"/>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March 15, 2014</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$250.0 million of 6.00% Notes due September 1, 2015</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$300.0 million of 6.625% Notes due September 15, 2016</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June 15, 2020</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$104.8 million of 3.75% Notes due March 5, 2024 (redeemable in March 2011)</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$104.8 million of 3.75% Notes due March 5, 2024 were assumed in the Bell acquisition. Prior to the Bell acquisition, the 3.75% Notes were convertible into Bell common stock; however, as a result of the acquisition, the debt is no longer convertible into shares.</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Under the terms of the 3.75% Notes, the Company may redeem some or all of the 3.75% Notes for cash anytime on or after March 5, 2011 and the note holders may require the Company to purchase for cash some or all of the 3.75% Notes on March 5, 2011, March 5, 2014 or March 5, 2019 at a redemption price equal to 100% of the principal amount plus interest. During the first quarter of fiscal 2011, the Company issued a tender offer for the 3.75% Notes for which approximately $5.2 million was tendered and paid in Septebmer 2010. As the note holders may require the Company to repurchase all of the remaining 3.75% Notes in March 2011 for cash, the debt has been classified as short-term.</w:t>
      </w:r>
    </w:p>
    <w:p>
      <w:pPr>
        <w:spacing w:after="0" w:line="15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Credit Agreement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October 2, 2010.</w:t>
      </w:r>
    </w:p>
    <w:p>
      <w:pPr>
        <w:spacing w:after="0" w:line="148"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Securitization Program requires the Company to maintain certain minimum interest coverage and leverage ratios as defined in the Credit Agreement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as of October 2, 2010.</w:t>
      </w: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had total borrowing capacity of $1.1 billion at October 2, 2010 under the Credit Agreement and the Securitization Program. There were $110.2 million in borrowings outstanding and $9.2 million in letters of credit issued under the Credit Agreement and $190.0 million outstanding under the Securitization Program, resulting in $790.6 million of net availability at the end of the first quarter. The Company also had $661.7 million of cash and cash equivalents at October 2, 2010.</w:t>
      </w:r>
    </w:p>
    <w:p>
      <w:pPr>
        <w:spacing w:after="0" w:line="13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During the first quarter of fiscal 2011, the Company utilized $574.8 million of cash, net of cash acquired, for acquisitions, which included repayments of certain debt assumed in the acquisitions. The Company assumed a total of $420.3 million of debt as a result of the acquisitions and repaid $211.9 million of assumed debt at the acquisition dates. The Company has been making and expects to continue to make strategic investments through acquisition activity to the extent the investments strengthen Avnet’s competitive position and meet management’s return on capital thresholds.</w:t>
      </w:r>
    </w:p>
    <w:p>
      <w:pPr>
        <w:spacing w:after="0" w:line="14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During periods of weakening demand in the electronic component and enterprise computer solutions industry, the Company typically generates cash from operating activities. Conversely, the Company is also more likely to use operating cash flows for working capital requirements during periods of higher growth. In the first quarter of fiscal 2011, the Company utilized $112.3 million of cash for operations. Management believes that Avnet’s borrowing capacity, its current cash availability and the Company’s expected ability to generate operating cash flows in the future are sufficient to meet its projected financing needs.</w:t>
      </w:r>
    </w:p>
    <w:p>
      <w:pPr>
        <w:spacing w:after="0" w:line="14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first quarter of fiscal 2011 with a comparison to the fiscal 2010 year-end:</w:t>
      </w:r>
    </w:p>
    <w:p>
      <w:pPr>
        <w:spacing w:after="0" w:line="1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(Dollars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October 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July 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Percentage</w:t>
            </w:r>
          </w:p>
        </w:tc>
      </w:tr>
      <w:tr>
        <w:trPr>
          <w:trHeight w:val="234"/>
        </w:trPr>
        <w:tc>
          <w:tcPr>
            <w:tcW w:w="5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7,840.9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6,630.2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Quick Assets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5,077.4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4,666.6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3,439.6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Working Capital (1)</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3,240.3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3,190.6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1,280.2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Capital (total debt plus total shareholders’ equity)</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5,088.7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4,289.3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Quick Ratio</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Working Capital Ratio</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1.9:1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Debt to Total Capital</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This calculation of working capital is defined as current assets less current liabilities.</w:t>
      </w:r>
    </w:p>
    <w:p>
      <w:pPr>
        <w:spacing w:after="0" w:line="18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The Company’s quick assets (consisting of cash and cash equivalents and receivables) increased 8.8% from July 3, 2010 to October 2, 2010 due primarily to the increase in receivables resulting primarily from the receivables assumed with the acquisitions of Bell, Tallard and Unidux, the impact of the change in foreign currency exchange spot rates at October 2, 2010 as compared with July 3, 2010 (for example, the US Dollar to Euro spot rate increased approximately 9% during that period) and the significant increase in sequential sales. Current assets increased 18.3% due to the increase in receivables and inventory, also a result of the recent acquisitions, the impact of the change in foreign currency exchange spot rates and the growth in sales. Current liabilities increased 33.8% primarily due to the increase in short-term borrowings used to support the 18% sequential growth in sales and due to debt assumed in the acquisitions. In addition, current liabilities increased due to growth in accounts payable, which was impacted by acquisitions and the exchange rate changes mentioned previously. As a result of the factors noted above, total working capital increased by 1.6% during the first quarter. Total debt increased by 37.4%, total capital increased 18.6% and the debt to capital ratio increased to 34.6% as compared with July 3, 2010.</w:t>
      </w:r>
    </w:p>
    <w:p>
      <w:pPr>
        <w:spacing w:after="0" w:line="15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Quantitative and Qualitative Disclosures About Market Risk</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the Company’s Annual Report on Form 10-K for the year ended July 3, 2010 for further discussion of market risks associated with interest rates and foreign currency exchange. Avnet’s exposure to foreign exchange risks have not changed materially since July 3, 2010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48"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Form 10-Q for further discussion of the Company’s financing facilities and capital structure. As of October 2, 2010, 71% of the Company’s debt bears interest at a fixed rate and 29% of the Company’s debt bears interest at variable rates. Therefore, a hypothetical 1.0% (100 basis points) increase in interest rates would result in a $1.3 million impact on income before income taxes in the Company’s consolidated statement of operations for the quarter ended October 2, 2010.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41"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During the first quarter of fiscal 2011, the Company acquired Bell Microproducts Inc., a publicly traded company which, prior to acquisition by Avnet, had identified material weaknesses as part of Bell’s management assessment of the effectiveness of Bell’s internal controls over financial reporting. The material weaknesses were identified as part of and in conjunction with a restatement of Bell’s financial statements which were filed with the Securities and Exchange Commission. Bell’s management also reported in its December 31, 2009 Form 10-K/A that Bell’s management had completed certain remediation actions and also had planned additional remediation actions to address the internal control weaknesses identified. Upon the acquisition of Bell, Avnet evaluated the potential impact of Bell’s material weaknesses and the completed remediation actions and performed procedures to ensure that Avnet’s consolidated financial statements for the quarter ended October 2, 2010 are materially correct. There have been no other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6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02"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152"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discussion of Avnet’s business and operations should be read together with the risk factors contained in Item 1A of its 2010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October 2, 2010, there have been no material changes to the risk factors set forth in the Company’s 2010 Annual Report on Form 10-K.</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includes the Company’s monthly purchases of common stock during the first quarter ended October 2, 2010:</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 Number 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 Purchased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Total Number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 Part of Publicly</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Shares</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Announced Plans or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Purchased</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Paid per Share</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Programs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3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5,600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24.60</w:t>
            </w:r>
          </w:p>
        </w:tc>
        <w:tc>
          <w:tcPr>
            <w:tcW w:w="18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August</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6,300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24.10</w:t>
            </w:r>
          </w:p>
        </w:tc>
        <w:tc>
          <w:tcPr>
            <w:tcW w:w="18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6,100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25.91</w:t>
            </w:r>
          </w:p>
        </w:tc>
        <w:tc>
          <w:tcPr>
            <w:tcW w:w="18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6"/>
              </w:rPr>
              <w:t xml:space="preserve">Item 6. </w:t>
            </w:r>
            <w:r>
              <w:rPr>
                <w:rFonts w:ascii="Arial" w:cs="Arial" w:eastAsia="Arial" w:hAnsi="Arial"/>
                <w:sz w:val="18"/>
                <w:szCs w:val="18"/>
                <w:b w:val="1"/>
                <w:bCs w:val="1"/>
                <w:i w:val="1"/>
                <w:iCs w:val="1"/>
                <w:color w:val="auto"/>
                <w:w w:val="96"/>
              </w:rPr>
              <w:t>Exhibits</w:t>
            </w:r>
          </w:p>
        </w:tc>
        <w:tc>
          <w:tcPr>
            <w:tcW w:w="120" w:type="dxa"/>
            <w:vAlign w:val="bottom"/>
          </w:tcPr>
          <w:p>
            <w:pPr>
              <w:spacing w:after="0"/>
              <w:rPr>
                <w:sz w:val="20"/>
                <w:szCs w:val="20"/>
                <w:color w:val="auto"/>
              </w:rPr>
            </w:pPr>
          </w:p>
        </w:tc>
        <w:tc>
          <w:tcPr>
            <w:tcW w:w="8300" w:type="dxa"/>
            <w:vAlign w:val="bottom"/>
          </w:tcPr>
          <w:p>
            <w:pPr>
              <w:spacing w:after="0"/>
              <w:rPr>
                <w:sz w:val="20"/>
                <w:szCs w:val="20"/>
                <w:color w:val="auto"/>
              </w:rPr>
            </w:pPr>
          </w:p>
        </w:tc>
      </w:tr>
      <w:tr>
        <w:trPr>
          <w:trHeight w:val="414"/>
        </w:trPr>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234"/>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r>
      <w:tr>
        <w:trPr>
          <w:trHeight w:val="20"/>
        </w:trPr>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00" w:type="dxa"/>
            <w:vAlign w:val="bottom"/>
            <w:shd w:val="clear" w:color="auto" w:fill="000000"/>
          </w:tcPr>
          <w:p>
            <w:pPr>
              <w:spacing w:after="0" w:line="20" w:lineRule="exact"/>
              <w:rPr>
                <w:sz w:val="1"/>
                <w:szCs w:val="1"/>
                <w:color w:val="auto"/>
              </w:rPr>
            </w:pPr>
          </w:p>
        </w:tc>
      </w:tr>
      <w:tr>
        <w:trPr>
          <w:trHeight w:val="426"/>
        </w:trPr>
        <w:tc>
          <w:tcPr>
            <w:tcW w:w="1120" w:type="dxa"/>
            <w:vAlign w:val="bottom"/>
          </w:tcPr>
          <w:p>
            <w:pPr>
              <w:ind w:left="5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w w:val="97"/>
              </w:rPr>
              <w:t>Certification by Roy Vallee, Chief Executive Officer, under Section 302 of the Sarbanes-Oxley Act of 2002.</w:t>
            </w:r>
          </w:p>
        </w:tc>
      </w:tr>
      <w:tr>
        <w:trPr>
          <w:trHeight w:val="418"/>
        </w:trPr>
        <w:tc>
          <w:tcPr>
            <w:tcW w:w="1120" w:type="dxa"/>
            <w:vAlign w:val="bottom"/>
          </w:tcPr>
          <w:p>
            <w:pPr>
              <w:ind w:left="5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w w:val="96"/>
              </w:rPr>
              <w:t>Certification by Raymond Sadowski, Chief Financial Officer, under Section 302 of the Sarbanes-Oxley Act of</w:t>
            </w:r>
          </w:p>
        </w:tc>
      </w:tr>
      <w:tr>
        <w:trPr>
          <w:trHeight w:val="230"/>
        </w:trPr>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2002.</w:t>
            </w:r>
          </w:p>
        </w:tc>
      </w:tr>
      <w:tr>
        <w:trPr>
          <w:trHeight w:val="432"/>
        </w:trPr>
        <w:tc>
          <w:tcPr>
            <w:tcW w:w="1120" w:type="dxa"/>
            <w:vAlign w:val="bottom"/>
          </w:tcPr>
          <w:p>
            <w:pPr>
              <w:ind w:left="5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w w:val="97"/>
              </w:rPr>
              <w:t>Certification by Roy Vallee, Chief Executive Officer, under Section 906 of the Sarbanes-Oxley Act of 2002.</w:t>
            </w:r>
          </w:p>
        </w:tc>
      </w:tr>
      <w:tr>
        <w:trPr>
          <w:trHeight w:val="418"/>
        </w:trPr>
        <w:tc>
          <w:tcPr>
            <w:tcW w:w="1120" w:type="dxa"/>
            <w:vAlign w:val="bottom"/>
          </w:tcPr>
          <w:p>
            <w:pPr>
              <w:ind w:left="5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w w:val="96"/>
              </w:rPr>
              <w:t>Certification by Raymond Sadowski, Chief Financial Officer, under Section 906 of the Sarbanes-Oxley Act of</w:t>
            </w:r>
          </w:p>
        </w:tc>
      </w:tr>
      <w:tr>
        <w:trPr>
          <w:trHeight w:val="230"/>
        </w:trPr>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2002.</w:t>
            </w:r>
          </w:p>
        </w:tc>
      </w:tr>
      <w:tr>
        <w:trPr>
          <w:trHeight w:val="432"/>
        </w:trPr>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101.INS***</w:t>
            </w: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101.SCH***</w:t>
            </w: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101.CAL***</w:t>
            </w: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101.LAB***</w:t>
            </w: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101.PRE***</w:t>
            </w: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1150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jc w:val="both"/>
        <w:ind w:left="720" w:right="159" w:hanging="388"/>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RAYMOND SADOWSKI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-130810</wp:posOffset>
            </wp:positionV>
            <wp:extent cx="2195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October 29, 2010</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19" w:right="1440" w:bottom="1440" w:gutter="0" w:footer="0" w:header="0"/>
        </w:sectPr>
      </w:pPr>
    </w:p>
    <w:bookmarkStart w:id="29" w:name="page30"/>
    <w:bookmarkEnd w:id="29"/>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Roy Vallee, certify that:</w:t>
      </w:r>
    </w:p>
    <w:p>
      <w:pPr>
        <w:spacing w:after="0" w:line="225" w:lineRule="exact"/>
        <w:rPr>
          <w:sz w:val="20"/>
          <w:szCs w:val="20"/>
          <w:color w:val="auto"/>
        </w:rPr>
      </w:pPr>
    </w:p>
    <w:p>
      <w:pPr>
        <w:ind w:left="460" w:hanging="37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225" w:lineRule="exact"/>
        <w:rPr>
          <w:rFonts w:ascii="Arial" w:cs="Arial" w:eastAsia="Arial" w:hAnsi="Arial"/>
          <w:sz w:val="18"/>
          <w:szCs w:val="18"/>
          <w:color w:val="auto"/>
        </w:rPr>
      </w:pPr>
    </w:p>
    <w:p>
      <w:pPr>
        <w:ind w:left="460" w:right="359" w:hanging="373"/>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39" w:hanging="373"/>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60" w:right="799" w:hanging="373"/>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860" w:right="239" w:hanging="382"/>
        <w:spacing w:after="0" w:line="312" w:lineRule="auto"/>
        <w:tabs>
          <w:tab w:leader="none" w:pos="8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860" w:right="499" w:hanging="382"/>
        <w:spacing w:after="0" w:line="312" w:lineRule="auto"/>
        <w:tabs>
          <w:tab w:leader="none" w:pos="8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ind w:left="860" w:right="359" w:hanging="382"/>
        <w:spacing w:after="0" w:line="264"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860" w:right="179" w:hanging="382"/>
        <w:spacing w:after="0" w:line="312" w:lineRule="auto"/>
        <w:tabs>
          <w:tab w:leader="none" w:pos="8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460" w:right="519" w:hanging="373"/>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860" w:right="339" w:hanging="382"/>
        <w:spacing w:after="0" w:line="264"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719" w:hanging="382"/>
        <w:spacing w:after="0" w:line="277"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2010</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color w:val="auto"/>
        </w:rPr>
        <w:t xml:space="preserve">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-10160</wp:posOffset>
            </wp:positionV>
            <wp:extent cx="14420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208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Roy Vallee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0" w:name="page31"/>
    <w:bookmarkEnd w:id="30"/>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225" w:lineRule="exact"/>
        <w:rPr>
          <w:sz w:val="20"/>
          <w:szCs w:val="20"/>
          <w:color w:val="auto"/>
        </w:rPr>
      </w:pPr>
    </w:p>
    <w:p>
      <w:pPr>
        <w:ind w:left="460" w:hanging="37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225" w:lineRule="exact"/>
        <w:rPr>
          <w:rFonts w:ascii="Arial" w:cs="Arial" w:eastAsia="Arial" w:hAnsi="Arial"/>
          <w:sz w:val="18"/>
          <w:szCs w:val="18"/>
          <w:color w:val="auto"/>
        </w:rPr>
      </w:pPr>
    </w:p>
    <w:p>
      <w:pPr>
        <w:ind w:left="460" w:right="359" w:hanging="373"/>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39" w:hanging="373"/>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60" w:right="799" w:hanging="373"/>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860" w:right="239" w:hanging="382"/>
        <w:spacing w:after="0" w:line="312" w:lineRule="auto"/>
        <w:tabs>
          <w:tab w:leader="none" w:pos="8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860" w:right="499" w:hanging="382"/>
        <w:spacing w:after="0" w:line="312" w:lineRule="auto"/>
        <w:tabs>
          <w:tab w:leader="none" w:pos="8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ind w:left="860" w:right="359" w:hanging="382"/>
        <w:spacing w:after="0" w:line="264" w:lineRule="auto"/>
        <w:tabs>
          <w:tab w:leader="none" w:pos="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860" w:right="179" w:hanging="382"/>
        <w:spacing w:after="0" w:line="312" w:lineRule="auto"/>
        <w:tabs>
          <w:tab w:leader="none" w:pos="8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460" w:right="519" w:hanging="373"/>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860" w:right="339" w:hanging="382"/>
        <w:spacing w:after="0" w:line="264" w:lineRule="auto"/>
        <w:tabs>
          <w:tab w:leader="none" w:pos="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719" w:hanging="382"/>
        <w:spacing w:after="0" w:line="277" w:lineRule="auto"/>
        <w:tabs>
          <w:tab w:leader="none" w:pos="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2010</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-10160</wp:posOffset>
            </wp:positionV>
            <wp:extent cx="21202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2026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Raymond Sadowski</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31" w:name="page32"/>
    <w:bookmarkEnd w:id="31"/>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61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2, 2010 (the “Report”), I, Roy Vallee, Chief Executive Officer of Avnet, Inc., (the “Company”) hereby certify that:</w:t>
      </w:r>
    </w:p>
    <w:p>
      <w:pPr>
        <w:spacing w:after="0" w:line="170" w:lineRule="exact"/>
        <w:rPr>
          <w:sz w:val="20"/>
          <w:szCs w:val="20"/>
          <w:color w:val="auto"/>
        </w:rPr>
      </w:pPr>
    </w:p>
    <w:p>
      <w:pPr>
        <w:ind w:left="740" w:right="239" w:hanging="370"/>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40" w:right="719" w:hanging="370"/>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2010</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-10160</wp:posOffset>
            </wp:positionV>
            <wp:extent cx="16643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4335"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Roy Vallee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9879"/>
          </w:cols>
          <w:pgMar w:left="580" w:top="121" w:right="1440" w:bottom="1440" w:gutter="0" w:footer="0" w:header="0"/>
        </w:sectPr>
      </w:pPr>
    </w:p>
    <w:bookmarkStart w:id="32" w:name="page33"/>
    <w:bookmarkEnd w:id="32"/>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2, 2010 (the “Report”), I, Raymond Sadowski, Chief Financial Officer of Avnet, Inc., (the “Company”) hereby certify that:</w:t>
      </w:r>
    </w:p>
    <w:p>
      <w:pPr>
        <w:spacing w:after="0" w:line="170" w:lineRule="exact"/>
        <w:rPr>
          <w:sz w:val="20"/>
          <w:szCs w:val="20"/>
          <w:color w:val="auto"/>
        </w:rPr>
      </w:pPr>
    </w:p>
    <w:p>
      <w:pPr>
        <w:ind w:left="740" w:right="239" w:hanging="370"/>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40" w:right="719" w:hanging="370"/>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2010</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-10160</wp:posOffset>
            </wp:positionV>
            <wp:extent cx="20624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62480"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Raymond Sadowski</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2"/>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2019-12-09T22:08:53Z</dcterms:created>
  <dcterms:modified xsi:type="dcterms:W3CDTF">2019-12-09T22:08:53Z</dcterms:modified>
</cp:coreProperties>
</file>