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383540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201930</wp:posOffset>
            </wp:positionV>
            <wp:extent cx="1431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92710</wp:posOffset>
            </wp:positionV>
            <wp:extent cx="14319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October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85725</wp:posOffset>
            </wp:positionV>
            <wp:extent cx="1431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#1-4224</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AVNET, INC.</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Incorporated in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83185</wp:posOffset>
            </wp:positionV>
            <wp:extent cx="14319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IRS Employer Identification No. 11-1890605</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2211 South 47</w:t>
      </w:r>
      <w:r>
        <w:rPr>
          <w:rFonts w:ascii="Arial" w:cs="Arial" w:eastAsia="Arial" w:hAnsi="Arial"/>
          <w:sz w:val="8"/>
          <w:szCs w:val="8"/>
          <w:color w:val="auto"/>
        </w:rPr>
        <w:t>th</w:t>
      </w:r>
      <w:r>
        <w:rPr>
          <w:rFonts w:ascii="Arial" w:cs="Arial" w:eastAsia="Arial" w:hAnsi="Arial"/>
          <w:sz w:val="18"/>
          <w:szCs w:val="18"/>
          <w:color w:val="auto"/>
        </w:rPr>
        <w:t xml:space="preserve"> Street, Phoenix, Arizona 85034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(480) 643-2000</w:t>
      </w:r>
    </w:p>
    <w:p>
      <w:pPr>
        <w:spacing w:after="0" w:line="63" w:lineRule="exact"/>
        <w:rPr>
          <w:sz w:val="24"/>
          <w:szCs w:val="24"/>
          <w:color w:val="auto"/>
        </w:rPr>
      </w:pPr>
    </w:p>
    <w:p>
      <w:pPr>
        <w:jc w:val="both"/>
        <w:ind w:firstLine="432"/>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42" w:lineRule="exact"/>
        <w:rPr>
          <w:sz w:val="24"/>
          <w:szCs w:val="24"/>
          <w:color w:val="auto"/>
        </w:rPr>
      </w:pPr>
    </w:p>
    <w:p>
      <w:pPr>
        <w:jc w:val="both"/>
        <w:ind w:firstLine="432"/>
        <w:spacing w:after="0" w:line="274"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6" w:lineRule="exact"/>
        <w:rPr>
          <w:sz w:val="24"/>
          <w:szCs w:val="24"/>
          <w:color w:val="auto"/>
        </w:rPr>
      </w:pPr>
    </w:p>
    <w:p>
      <w:pPr>
        <w:jc w:val="both"/>
        <w:ind w:firstLine="42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41" w:lineRule="exact"/>
        <w:rPr>
          <w:sz w:val="24"/>
          <w:szCs w:val="24"/>
          <w:color w:val="auto"/>
        </w:rPr>
      </w:pPr>
    </w:p>
    <w:p>
      <w:pPr>
        <w:ind w:left="2240" w:right="120" w:hanging="4119"/>
        <w:spacing w:after="0" w:line="253" w:lineRule="exact"/>
        <w:tabs>
          <w:tab w:leader="none" w:pos="22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reporting company)</w:t>
      </w:r>
    </w:p>
    <w:p>
      <w:pPr>
        <w:spacing w:after="0" w:line="265"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p>
    <w:p>
      <w:pPr>
        <w:spacing w:after="0" w:line="41" w:lineRule="exact"/>
        <w:rPr>
          <w:sz w:val="24"/>
          <w:szCs w:val="24"/>
          <w:color w:val="auto"/>
        </w:rPr>
      </w:pPr>
    </w:p>
    <w:p>
      <w:pPr>
        <w:ind w:left="200" w:hanging="197"/>
        <w:spacing w:after="0" w:line="207" w:lineRule="exact"/>
        <w:tabs>
          <w:tab w:leader="none" w:pos="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54"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As of October 20, 2016, the total number of shares outstanding of the registrant’s Common Stock was 127,630,975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5754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5754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940435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33" w:right="1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140" w:type="dxa"/>
            <w:vAlign w:val="bottom"/>
            <w:gridSpan w:val="24"/>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60" w:type="dxa"/>
            <w:vAlign w:val="bottom"/>
            <w:tcBorders>
              <w:top w:val="single" w:sz="8" w:color="0563C1"/>
            </w:tcBorders>
          </w:tcPr>
          <w:p>
            <w:pPr>
              <w:spacing w:after="0"/>
              <w:rPr>
                <w:sz w:val="24"/>
                <w:szCs w:val="24"/>
                <w:color w:val="auto"/>
              </w:rPr>
            </w:pPr>
          </w:p>
        </w:tc>
        <w:tc>
          <w:tcPr>
            <w:tcW w:w="32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62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80" w:type="dxa"/>
            <w:vAlign w:val="bottom"/>
            <w:gridSpan w:val="11"/>
          </w:tcPr>
          <w:p>
            <w:pPr>
              <w:jc w:val="center"/>
              <w:ind w:right="1840"/>
              <w:spacing w:after="0"/>
              <w:rPr>
                <w:sz w:val="20"/>
                <w:szCs w:val="20"/>
                <w:color w:val="auto"/>
              </w:rPr>
            </w:pPr>
            <w:r>
              <w:rPr>
                <w:rFonts w:ascii="Arial" w:cs="Arial" w:eastAsia="Arial" w:hAnsi="Arial"/>
                <w:sz w:val="18"/>
                <w:szCs w:val="18"/>
                <w:b w:val="1"/>
                <w:bCs w:val="1"/>
                <w:color w:val="auto"/>
                <w:w w:val="99"/>
              </w:rPr>
              <w:t>AVNET, INC. AND SUBSIDIARIES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0" w:type="dxa"/>
            <w:vAlign w:val="bottom"/>
            <w:gridSpan w:val="10"/>
          </w:tcPr>
          <w:p>
            <w:pPr>
              <w:jc w:val="center"/>
              <w:ind w:right="2620"/>
              <w:spacing w:after="0"/>
              <w:rPr>
                <w:sz w:val="20"/>
                <w:szCs w:val="20"/>
                <w:color w:val="auto"/>
              </w:rPr>
            </w:pPr>
            <w:r>
              <w:rPr>
                <w:rFonts w:ascii="Arial" w:cs="Arial" w:eastAsia="Arial" w:hAnsi="Arial"/>
                <w:sz w:val="18"/>
                <w:szCs w:val="18"/>
                <w:b w:val="1"/>
                <w:bCs w:val="1"/>
                <w:color w:val="auto"/>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7"/>
            <w:vMerge w:val="restart"/>
          </w:tcPr>
          <w:p>
            <w:pPr>
              <w:jc w:val="cente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2640" w:type="dxa"/>
            <w:vAlign w:val="bottom"/>
            <w:gridSpan w:val="5"/>
            <w:vMerge w:val="restart"/>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80" w:type="dxa"/>
            <w:vAlign w:val="bottom"/>
            <w:tcBorders>
              <w:bottom w:val="single" w:sz="8" w:color="0000EE"/>
            </w:tcBorders>
            <w:gridSpan w:val="7"/>
            <w:vMerge w:val="continue"/>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20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Item 1. Financial Statements</w:t>
              </w:r>
            </w:hyperlink>
          </w:p>
        </w:tc>
        <w:tc>
          <w:tcPr>
            <w:tcW w:w="6020" w:type="dxa"/>
            <w:vAlign w:val="bottom"/>
            <w:gridSpan w:val="14"/>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at October 1, 2016 and July 2, 2016</w:t>
              </w:r>
            </w:hyperlink>
          </w:p>
        </w:tc>
        <w:tc>
          <w:tcPr>
            <w:tcW w:w="304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50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for the first quarters ended October 1, 2016 and October 3, 2015</w:t>
              </w:r>
            </w:hyperlink>
          </w:p>
        </w:tc>
        <w:tc>
          <w:tcPr>
            <w:tcW w:w="260" w:type="dxa"/>
            <w:vAlign w:val="bottom"/>
            <w:gridSpan w:val="2"/>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60" w:type="dxa"/>
            <w:vAlign w:val="bottom"/>
            <w:gridSpan w:val="22"/>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Consolidated Statements of Comprehensive Income for the first quarters ended October 1, 2016 and</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1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October 3, 2015</w:t>
              </w:r>
            </w:hyperlink>
          </w:p>
        </w:tc>
        <w:tc>
          <w:tcPr>
            <w:tcW w:w="5900" w:type="dxa"/>
            <w:vAlign w:val="bottom"/>
            <w:tcBorders>
              <w:top w:val="single" w:sz="8" w:color="0000EE"/>
            </w:tcBorders>
            <w:gridSpan w:val="13"/>
          </w:tcPr>
          <w:p>
            <w:pPr>
              <w:spacing w:after="0"/>
              <w:rPr>
                <w:sz w:val="17"/>
                <w:szCs w:val="17"/>
                <w:color w:val="auto"/>
              </w:rPr>
            </w:pPr>
          </w:p>
        </w:tc>
        <w:tc>
          <w:tcPr>
            <w:tcW w:w="560" w:type="dxa"/>
            <w:vAlign w:val="bottom"/>
            <w:gridSpan w:val="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60" w:type="dxa"/>
            <w:vAlign w:val="bottom"/>
            <w:gridSpan w:val="22"/>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Consolidated Statements of Cash Flows for the first quarters ended October 1, 2016 and October 3, 2015</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Consolidated Financial Statements</w:t>
              </w:r>
            </w:hyperlink>
          </w:p>
        </w:tc>
        <w:tc>
          <w:tcPr>
            <w:tcW w:w="4380" w:type="dxa"/>
            <w:vAlign w:val="bottom"/>
            <w:tcBorders>
              <w:top w:val="single" w:sz="8" w:color="0000EE"/>
            </w:tcBorders>
            <w:gridSpan w:val="9"/>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700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0"/>
              </w:rPr>
              <w:t>Item 2. Management's Discussion and Analysis of Financial Condition and Results of Operations</w:t>
            </w:r>
          </w:p>
        </w:tc>
        <w:tc>
          <w:tcPr>
            <w:tcW w:w="108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92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Item 3. Quantitative and Qualitative Disclosures About Market Risk</w:t>
              </w:r>
            </w:hyperlink>
          </w:p>
        </w:tc>
        <w:tc>
          <w:tcPr>
            <w:tcW w:w="316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4. Controls and Procedures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Borders>
              <w:bottom w:val="single" w:sz="8" w:color="0000EE"/>
            </w:tcBorders>
            <w:gridSpan w:val="5"/>
          </w:tcPr>
          <w:p>
            <w:pPr>
              <w:jc w:val="center"/>
              <w:spacing w:after="0"/>
              <w:rPr>
                <w:rFonts w:ascii="Arial" w:cs="Arial" w:eastAsia="Arial" w:hAnsi="Arial"/>
                <w:sz w:val="18"/>
                <w:szCs w:val="18"/>
                <w:color w:val="0000EE"/>
                <w:w w:val="96"/>
              </w:rPr>
            </w:pPr>
            <w:hyperlink w:anchor="page30">
              <w:r>
                <w:rPr>
                  <w:rFonts w:ascii="Arial" w:cs="Arial" w:eastAsia="Arial" w:hAnsi="Arial"/>
                  <w:sz w:val="18"/>
                  <w:szCs w:val="18"/>
                  <w:color w:val="0000EE"/>
                  <w:w w:val="96"/>
                </w:rPr>
                <w:t>PART II. OTHER INFORMATION</w:t>
              </w:r>
            </w:hyperlink>
          </w:p>
        </w:tc>
        <w:tc>
          <w:tcPr>
            <w:tcW w:w="280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 Legal Proceedings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880" w:type="dxa"/>
            <w:vAlign w:val="bottom"/>
            <w:tcBorders>
              <w:top w:val="single" w:sz="8" w:color="0000EE"/>
            </w:tcBorders>
            <w:gridSpan w:val="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1A. Risk Factors</w:t>
              </w:r>
            </w:hyperlink>
          </w:p>
        </w:tc>
        <w:tc>
          <w:tcPr>
            <w:tcW w:w="6200" w:type="dxa"/>
            <w:vAlign w:val="bottom"/>
            <w:gridSpan w:val="1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318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2. Unregistered Sales of Equity Securities and Use of Proceeds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1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Item 6. Exhibits</w:t>
              </w:r>
            </w:hyperlink>
          </w:p>
        </w:tc>
        <w:tc>
          <w:tcPr>
            <w:tcW w:w="3740" w:type="dxa"/>
            <w:vAlign w:val="bottom"/>
            <w:tcBorders>
              <w:top w:val="single" w:sz="8" w:color="0000EE"/>
            </w:tcBorders>
            <w:gridSpan w:val="10"/>
          </w:tcPr>
          <w:p>
            <w:pPr>
              <w:spacing w:after="0"/>
              <w:rPr>
                <w:sz w:val="24"/>
                <w:szCs w:val="24"/>
                <w:color w:val="auto"/>
              </w:rPr>
            </w:pPr>
          </w:p>
        </w:tc>
        <w:tc>
          <w:tcPr>
            <w:tcW w:w="318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Signature Page</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5420" w:type="dxa"/>
            <w:vAlign w:val="bottom"/>
          </w:tcPr>
          <w:p>
            <w:pPr>
              <w:jc w:val="center"/>
              <w:ind w:left="1350"/>
              <w:spacing w:after="0"/>
              <w:rPr>
                <w:sz w:val="20"/>
                <w:szCs w:val="20"/>
                <w:color w:val="auto"/>
              </w:rPr>
            </w:pPr>
            <w:r>
              <w:rPr>
                <w:rFonts w:ascii="Arial" w:cs="Arial" w:eastAsia="Arial" w:hAnsi="Arial"/>
                <w:sz w:val="18"/>
                <w:szCs w:val="18"/>
                <w:b w:val="1"/>
                <w:bCs w:val="1"/>
                <w:color w:val="auto"/>
                <w:w w:val="98"/>
              </w:rPr>
              <w:t>PART I</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0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5420" w:type="dxa"/>
            <w:vAlign w:val="bottom"/>
          </w:tcPr>
          <w:p>
            <w:pPr>
              <w:jc w:val="center"/>
              <w:ind w:left="1350"/>
              <w:spacing w:after="0"/>
              <w:rPr>
                <w:sz w:val="20"/>
                <w:szCs w:val="20"/>
                <w:color w:val="auto"/>
              </w:rPr>
            </w:pPr>
            <w:r>
              <w:rPr>
                <w:rFonts w:ascii="Arial" w:cs="Arial" w:eastAsia="Arial" w:hAnsi="Arial"/>
                <w:sz w:val="18"/>
                <w:szCs w:val="18"/>
                <w:b w:val="1"/>
                <w:bCs w:val="1"/>
                <w:color w:val="auto"/>
              </w:rPr>
              <w:t>FINANCIAL INFORMATION</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1100" w:type="dxa"/>
            <w:vAlign w:val="bottom"/>
            <w:vMerge w:val="continue"/>
          </w:tcPr>
          <w:p>
            <w:pPr>
              <w:spacing w:after="0"/>
              <w:rPr>
                <w:sz w:val="18"/>
                <w:szCs w:val="18"/>
                <w:color w:val="auto"/>
              </w:rPr>
            </w:pPr>
          </w:p>
        </w:tc>
        <w:tc>
          <w:tcPr>
            <w:tcW w:w="54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Statements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420" w:type="dxa"/>
            <w:vAlign w:val="bottom"/>
          </w:tcPr>
          <w:p>
            <w:pPr>
              <w:jc w:val="center"/>
              <w:ind w:left="1350"/>
              <w:spacing w:after="0"/>
              <w:rPr>
                <w:sz w:val="20"/>
                <w:szCs w:val="20"/>
                <w:color w:val="auto"/>
              </w:rPr>
            </w:pPr>
            <w:r>
              <w:rPr>
                <w:rFonts w:ascii="Arial" w:cs="Arial" w:eastAsia="Arial" w:hAnsi="Arial"/>
                <w:sz w:val="18"/>
                <w:szCs w:val="18"/>
                <w:b w:val="1"/>
                <w:bCs w:val="1"/>
                <w:color w:val="auto"/>
                <w:w w:val="99"/>
              </w:rPr>
              <w:t>AVNET, INC. AND SUBSIDIARIES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420" w:type="dxa"/>
            <w:vAlign w:val="bottom"/>
          </w:tcPr>
          <w:p>
            <w:pPr>
              <w:jc w:val="center"/>
              <w:ind w:left="1370"/>
              <w:spacing w:after="0"/>
              <w:rPr>
                <w:sz w:val="20"/>
                <w:szCs w:val="20"/>
                <w:color w:val="auto"/>
              </w:rPr>
            </w:pPr>
            <w:r>
              <w:rPr>
                <w:rFonts w:ascii="Arial" w:cs="Arial" w:eastAsia="Arial" w:hAnsi="Arial"/>
                <w:sz w:val="18"/>
                <w:szCs w:val="18"/>
                <w:b w:val="1"/>
                <w:bCs w:val="1"/>
                <w:color w:val="auto"/>
                <w:w w:val="99"/>
              </w:rPr>
              <w:t>CONSOLIDATED BALANCE SHEETS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5420" w:type="dxa"/>
            <w:vAlign w:val="bottom"/>
          </w:tcPr>
          <w:p>
            <w:pPr>
              <w:jc w:val="center"/>
              <w:ind w:left="135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1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2,</w:t>
            </w:r>
          </w:p>
        </w:tc>
        <w:tc>
          <w:tcPr>
            <w:tcW w:w="0" w:type="dxa"/>
            <w:vAlign w:val="bottom"/>
          </w:tcPr>
          <w:p>
            <w:pPr>
              <w:spacing w:after="0"/>
              <w:rPr>
                <w:sz w:val="1"/>
                <w:szCs w:val="1"/>
                <w:color w:val="auto"/>
              </w:rPr>
            </w:pPr>
          </w:p>
        </w:tc>
      </w:tr>
      <w:tr>
        <w:trPr>
          <w:trHeight w:val="241"/>
        </w:trPr>
        <w:tc>
          <w:tcPr>
            <w:tcW w:w="110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0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5"/>
          </w:tcPr>
          <w:p>
            <w:pPr>
              <w:jc w:val="center"/>
              <w:ind w:right="10"/>
              <w:spacing w:after="0" w:line="198" w:lineRule="exact"/>
              <w:rPr>
                <w:sz w:val="20"/>
                <w:szCs w:val="20"/>
                <w:color w:val="auto"/>
              </w:rPr>
            </w:pPr>
            <w:r>
              <w:rPr>
                <w:rFonts w:ascii="Arial" w:cs="Arial" w:eastAsia="Arial" w:hAnsi="Arial"/>
                <w:sz w:val="18"/>
                <w:szCs w:val="18"/>
                <w:b w:val="1"/>
                <w:bCs w:val="1"/>
                <w:color w:val="auto"/>
                <w:w w:val="87"/>
              </w:rPr>
              <w:t>(Thousands, except share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88"/>
              </w:rPr>
              <w:t>amounts)</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5420" w:type="dxa"/>
            <w:vAlign w:val="bottom"/>
            <w:shd w:val="clear" w:color="auto" w:fill="CCEEFF"/>
          </w:tcPr>
          <w:p>
            <w:pPr>
              <w:jc w:val="center"/>
              <w:ind w:right="1010"/>
              <w:spacing w:after="0"/>
              <w:rPr>
                <w:sz w:val="20"/>
                <w:szCs w:val="20"/>
                <w:color w:val="auto"/>
              </w:rPr>
            </w:pPr>
            <w:r>
              <w:rPr>
                <w:rFonts w:ascii="Arial" w:cs="Arial" w:eastAsia="Arial" w:hAnsi="Arial"/>
                <w:sz w:val="18"/>
                <w:szCs w:val="18"/>
                <w:b w:val="1"/>
                <w:bCs w:val="1"/>
                <w:color w:val="auto"/>
                <w:w w:val="94"/>
              </w:rPr>
              <w:t>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88"/>
              </w:rPr>
              <w:t>Current assets:</w:t>
            </w:r>
          </w:p>
        </w:tc>
        <w:tc>
          <w:tcPr>
            <w:tcW w:w="5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1,196,545</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1,031,478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ind w:left="120"/>
              <w:spacing w:after="0"/>
              <w:rPr>
                <w:sz w:val="20"/>
                <w:szCs w:val="20"/>
                <w:color w:val="auto"/>
              </w:rPr>
            </w:pPr>
            <w:r>
              <w:rPr>
                <w:rFonts w:ascii="Arial" w:cs="Arial" w:eastAsia="Arial" w:hAnsi="Arial"/>
                <w:sz w:val="18"/>
                <w:szCs w:val="18"/>
                <w:color w:val="auto"/>
              </w:rPr>
              <w:t>Receivables, less allowances of $30,756 and $27,448, respectively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2,876,346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2,803,678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5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2,418,761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2,589,659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ind w:left="12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76,514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81,196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Assets held for sale (Note 3)</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3,131,587</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2,497,962</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52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9,699,753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9,003,973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ind w:left="120"/>
              <w:spacing w:after="0"/>
              <w:rPr>
                <w:sz w:val="20"/>
                <w:szCs w:val="20"/>
                <w:color w:val="auto"/>
              </w:rPr>
            </w:pPr>
            <w:r>
              <w:rPr>
                <w:rFonts w:ascii="Arial" w:cs="Arial" w:eastAsia="Arial" w:hAnsi="Arial"/>
                <w:sz w:val="18"/>
                <w:szCs w:val="18"/>
                <w:color w:val="auto"/>
              </w:rPr>
              <w:t>Goodwill</w:t>
            </w:r>
          </w:p>
        </w:tc>
        <w:tc>
          <w:tcPr>
            <w:tcW w:w="5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620,850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621,852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ind w:left="120"/>
              <w:spacing w:after="0"/>
              <w:rPr>
                <w:sz w:val="20"/>
                <w:szCs w:val="20"/>
                <w:color w:val="auto"/>
              </w:rPr>
            </w:pPr>
            <w:r>
              <w:rPr>
                <w:rFonts w:ascii="Arial" w:cs="Arial" w:eastAsia="Arial" w:hAnsi="Arial"/>
                <w:sz w:val="18"/>
                <w:szCs w:val="18"/>
                <w:color w:val="auto"/>
                <w:w w:val="94"/>
              </w:rPr>
              <w:t>Other assets</w:t>
            </w:r>
          </w:p>
        </w:tc>
        <w:tc>
          <w:tcPr>
            <w:tcW w:w="5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233,376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Non-current assets held for sale (Note 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899,067</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bottom w:val="single" w:sz="8" w:color="CCEEFF"/>
            </w:tcBorders>
            <w:gridSpan w:val="2"/>
          </w:tcPr>
          <w:p>
            <w:pPr>
              <w:ind w:left="320"/>
              <w:spacing w:after="0" w:line="203" w:lineRule="exact"/>
              <w:rPr>
                <w:sz w:val="20"/>
                <w:szCs w:val="20"/>
                <w:color w:val="auto"/>
              </w:rPr>
            </w:pPr>
            <w:r>
              <w:rPr>
                <w:rFonts w:ascii="Arial" w:cs="Arial" w:eastAsia="Arial" w:hAnsi="Arial"/>
                <w:sz w:val="18"/>
                <w:szCs w:val="18"/>
                <w:color w:val="auto"/>
              </w:rPr>
              <w:t>Total assets</w:t>
            </w: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11,046,123</w:t>
            </w:r>
          </w:p>
        </w:tc>
        <w:tc>
          <w:tcPr>
            <w:tcW w:w="20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11,239,805</w:t>
            </w:r>
          </w:p>
        </w:tc>
        <w:tc>
          <w:tcPr>
            <w:tcW w:w="4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5420" w:type="dxa"/>
            <w:vAlign w:val="bottom"/>
            <w:shd w:val="clear" w:color="auto" w:fill="CCEEFF"/>
          </w:tcPr>
          <w:p>
            <w:pPr>
              <w:jc w:val="center"/>
              <w:ind w:right="99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Short-term debt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98,017</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1,152,599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ind w:left="12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1,463,555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1,616,694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Accrued expenses and other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419,445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Liabilities held for sale (Note 3)</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1,452,851</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1,778,312</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3,433,868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4,942,493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ind w:left="1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2,609,617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1,339,204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gridSpan w:val="2"/>
          </w:tcPr>
          <w:p>
            <w:pPr>
              <w:ind w:left="120"/>
              <w:spacing w:after="0"/>
              <w:rPr>
                <w:sz w:val="20"/>
                <w:szCs w:val="20"/>
                <w:color w:val="auto"/>
              </w:rPr>
            </w:pPr>
            <w:r>
              <w:rPr>
                <w:rFonts w:ascii="Arial" w:cs="Arial" w:eastAsia="Arial" w:hAnsi="Arial"/>
                <w:sz w:val="18"/>
                <w:szCs w:val="18"/>
                <w:color w:val="auto"/>
              </w:rPr>
              <w:t>Non-current liabilities held for sale (Note 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43,769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52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6,257,097</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6,548,519</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520" w:type="dxa"/>
            <w:vAlign w:val="bottom"/>
            <w:gridSpan w:val="2"/>
          </w:tcPr>
          <w:p>
            <w:pPr>
              <w:ind w:left="120"/>
              <w:spacing w:after="0" w:line="203" w:lineRule="exact"/>
              <w:rPr>
                <w:sz w:val="20"/>
                <w:szCs w:val="20"/>
                <w:color w:val="auto"/>
              </w:rPr>
            </w:pPr>
            <w:r>
              <w:rPr>
                <w:rFonts w:ascii="Arial" w:cs="Arial" w:eastAsia="Arial" w:hAnsi="Arial"/>
                <w:sz w:val="18"/>
                <w:szCs w:val="18"/>
                <w:color w:val="auto"/>
              </w:rPr>
              <w:t>Commitments and contingencies (Note 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2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1"/>
              </w:rPr>
              <w:t>Common stock $1.00 par; authorized 300,000,000 shares; issued 127,574,528 shares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20" w:type="dxa"/>
            <w:vAlign w:val="bottom"/>
            <w:gridSpan w:val="2"/>
          </w:tcPr>
          <w:p>
            <w:pPr>
              <w:ind w:left="220"/>
              <w:spacing w:after="0"/>
              <w:rPr>
                <w:sz w:val="20"/>
                <w:szCs w:val="20"/>
                <w:color w:val="auto"/>
              </w:rPr>
            </w:pPr>
            <w:r>
              <w:rPr>
                <w:rFonts w:ascii="Arial" w:cs="Arial" w:eastAsia="Arial" w:hAnsi="Arial"/>
                <w:sz w:val="18"/>
                <w:szCs w:val="18"/>
                <w:color w:val="auto"/>
              </w:rPr>
              <w:t>and 127,377,466 shares, respectively</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127,575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127,377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1,470,725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1,452,678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ind w:left="22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3,679,438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3,632,271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(488,495)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gridSpan w:val="2"/>
          </w:tcPr>
          <w:p>
            <w:pPr>
              <w:ind w:left="220"/>
              <w:spacing w:after="0"/>
              <w:rPr>
                <w:sz w:val="20"/>
                <w:szCs w:val="20"/>
                <w:color w:val="auto"/>
              </w:rPr>
            </w:pPr>
            <w:r>
              <w:rPr>
                <w:rFonts w:ascii="Arial" w:cs="Arial" w:eastAsia="Arial" w:hAnsi="Arial"/>
                <w:sz w:val="18"/>
                <w:szCs w:val="18"/>
                <w:color w:val="auto"/>
              </w:rPr>
              <w:t>Treasury stock at cost, 25,613 shares and 27,314 shares, respectively</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6"/>
        </w:trPr>
        <w:tc>
          <w:tcPr>
            <w:tcW w:w="652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4,789,026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4,691,286</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2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Total liabilities and shareholders’ equity</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11,046,123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11,239,805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2"/>
              </w:rPr>
              <w:t>First Quarters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ind w:left="120"/>
              <w:spacing w:after="0" w:line="198" w:lineRule="exact"/>
              <w:rPr>
                <w:sz w:val="20"/>
                <w:szCs w:val="20"/>
                <w:color w:val="auto"/>
              </w:rPr>
            </w:pPr>
            <w:r>
              <w:rPr>
                <w:rFonts w:ascii="Arial" w:cs="Arial" w:eastAsia="Arial" w:hAnsi="Arial"/>
                <w:sz w:val="18"/>
                <w:szCs w:val="18"/>
                <w:b w:val="1"/>
                <w:bCs w:val="1"/>
                <w:color w:val="auto"/>
              </w:rPr>
              <w:t>October 1,</w:t>
            </w: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30"/>
              <w:spacing w:after="0" w:line="198" w:lineRule="exact"/>
              <w:rPr>
                <w:sz w:val="20"/>
                <w:szCs w:val="20"/>
                <w:color w:val="auto"/>
              </w:rPr>
            </w:pPr>
            <w:r>
              <w:rPr>
                <w:rFonts w:ascii="Arial" w:cs="Arial" w:eastAsia="Arial" w:hAnsi="Arial"/>
                <w:sz w:val="18"/>
                <w:szCs w:val="18"/>
                <w:b w:val="1"/>
                <w:bCs w:val="1"/>
                <w:color w:val="auto"/>
                <w:w w:val="98"/>
              </w:rPr>
              <w:t>October 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6"/>
          </w:tcPr>
          <w:p>
            <w:pPr>
              <w:jc w:val="center"/>
              <w:spacing w:after="0"/>
              <w:rPr>
                <w:sz w:val="20"/>
                <w:szCs w:val="20"/>
                <w:color w:val="auto"/>
              </w:rPr>
            </w:pPr>
            <w:r>
              <w:rPr>
                <w:rFonts w:ascii="Arial" w:cs="Arial" w:eastAsia="Arial" w:hAnsi="Arial"/>
                <w:sz w:val="18"/>
                <w:szCs w:val="18"/>
                <w:b w:val="1"/>
                <w:bCs w:val="1"/>
                <w:color w:val="auto"/>
                <w:w w:val="87"/>
              </w:rPr>
              <w:t>(Thousands, except per share amounts)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4,173,405</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4,600,802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3,647,920</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4,037,546</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525,485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365,025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380,751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Restructuring, integration and other expenses</w:t>
            </w:r>
          </w:p>
        </w:tc>
        <w:tc>
          <w:tcPr>
            <w:tcW w:w="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29,469</w:t>
            </w:r>
          </w:p>
        </w:tc>
        <w:tc>
          <w:tcPr>
            <w:tcW w:w="2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12,518</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line="203" w:lineRule="exact"/>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130,991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169,987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(27,237)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90,021</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148,837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21,435</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37,849</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w w:val="95"/>
              </w:rPr>
              <w:t>Income from discontinued operations, net of income taxes of $21,295 and</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257</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19,266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$9,403, respectively</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68,843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130,254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00"/>
              <w:spacing w:after="0"/>
              <w:rPr>
                <w:sz w:val="20"/>
                <w:szCs w:val="20"/>
                <w:color w:val="auto"/>
              </w:rPr>
            </w:pPr>
            <w:r>
              <w:rPr>
                <w:rFonts w:ascii="Arial" w:cs="Arial" w:eastAsia="Arial" w:hAnsi="Arial"/>
                <w:sz w:val="18"/>
                <w:szCs w:val="18"/>
                <w:color w:val="auto"/>
              </w:rPr>
              <w:t>Continuing operations</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0.54</w:t>
            </w:r>
          </w:p>
        </w:tc>
        <w:tc>
          <w:tcPr>
            <w:tcW w:w="260" w:type="dxa"/>
            <w:vAlign w:val="bottom"/>
          </w:tcPr>
          <w:p>
            <w:pPr>
              <w:spacing w:after="0"/>
              <w:rPr>
                <w:sz w:val="18"/>
                <w:szCs w:val="18"/>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18"/>
                <w:szCs w:val="18"/>
                <w:color w:val="auto"/>
              </w:rPr>
              <w:t>Net income per share - basic</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0.54</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Earnings per share - diluted: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Continuing operations</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income per share - diluted</w:t>
            </w: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127,531</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133,783</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129,763</w:t>
            </w:r>
          </w:p>
        </w:tc>
        <w:tc>
          <w:tcPr>
            <w:tcW w:w="2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136,326</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20" w:type="dxa"/>
            <w:vAlign w:val="bottom"/>
            <w:gridSpan w:val="2"/>
          </w:tcPr>
          <w:p>
            <w:pPr>
              <w:spacing w:after="0" w:line="203" w:lineRule="exact"/>
              <w:rPr>
                <w:sz w:val="20"/>
                <w:szCs w:val="20"/>
                <w:color w:val="auto"/>
              </w:rPr>
            </w:pPr>
            <w:r>
              <w:rPr>
                <w:rFonts w:ascii="Arial" w:cs="Arial" w:eastAsia="Arial" w:hAnsi="Arial"/>
                <w:sz w:val="18"/>
                <w:szCs w:val="18"/>
                <w:color w:val="auto"/>
              </w:rPr>
              <w:t>Cash dividends paid per common share</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0.17</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AVNET, INC. AND SUBSIDIARIES CONSOLIDATED STATEMENTS OF COMPREHENSIVE INCOME (Unaudited)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First Quarters Ended</w:t>
            </w:r>
          </w:p>
        </w:tc>
      </w:tr>
      <w:tr>
        <w:trPr>
          <w:trHeight w:val="198"/>
        </w:trPr>
        <w:tc>
          <w:tcPr>
            <w:tcW w:w="5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9"/>
              </w:rPr>
              <w:t>October 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9"/>
              </w:rPr>
              <w:t>October 3,</w:t>
            </w:r>
          </w:p>
        </w:tc>
      </w:tr>
      <w:tr>
        <w:trPr>
          <w:trHeight w:val="241"/>
        </w:trPr>
        <w:tc>
          <w:tcPr>
            <w:tcW w:w="5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r>
      <w:tr>
        <w:trPr>
          <w:trHeight w:val="216"/>
        </w:trPr>
        <w:tc>
          <w:tcPr>
            <w:tcW w:w="5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(Thousands)</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68,843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130,254</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 and other</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(40,248)</w:t>
            </w:r>
          </w:p>
        </w:tc>
      </w:tr>
      <w:tr>
        <w:trPr>
          <w:trHeight w:val="223"/>
        </w:trPr>
        <w:tc>
          <w:tcPr>
            <w:tcW w:w="5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Pension adjustments, net</w:t>
            </w:r>
          </w:p>
        </w:tc>
        <w:tc>
          <w:tcPr>
            <w:tcW w:w="14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w:t>
            </w:r>
          </w:p>
        </w:tc>
      </w:tr>
      <w:tr>
        <w:trPr>
          <w:trHeight w:val="223"/>
        </w:trPr>
        <w:tc>
          <w:tcPr>
            <w:tcW w:w="5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comprehensive income</w:t>
            </w:r>
          </w:p>
        </w:tc>
        <w:tc>
          <w:tcPr>
            <w:tcW w:w="1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101,123</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92,073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5"/>
          </w:tcPr>
          <w:p>
            <w:pPr>
              <w:jc w:val="right"/>
              <w:ind w:right="319"/>
              <w:spacing w:after="0"/>
              <w:rPr>
                <w:sz w:val="20"/>
                <w:szCs w:val="20"/>
                <w:color w:val="auto"/>
              </w:rPr>
            </w:pPr>
            <w:r>
              <w:rPr>
                <w:rFonts w:ascii="Arial" w:cs="Arial" w:eastAsia="Arial" w:hAnsi="Arial"/>
                <w:sz w:val="16"/>
                <w:szCs w:val="16"/>
                <w:b w:val="1"/>
                <w:bCs w:val="1"/>
                <w:color w:val="auto"/>
              </w:rPr>
              <w:t>First Quarters Ended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October 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October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5"/>
          </w:tcPr>
          <w:p>
            <w:pPr>
              <w:jc w:val="right"/>
              <w:ind w:right="639"/>
              <w:spacing w:after="0"/>
              <w:rPr>
                <w:sz w:val="20"/>
                <w:szCs w:val="20"/>
                <w:color w:val="auto"/>
              </w:rPr>
            </w:pPr>
            <w:r>
              <w:rPr>
                <w:rFonts w:ascii="Arial" w:cs="Arial" w:eastAsia="Arial" w:hAnsi="Arial"/>
                <w:sz w:val="16"/>
                <w:szCs w:val="16"/>
                <w:b w:val="1"/>
                <w:bCs w:val="1"/>
                <w:color w:val="auto"/>
              </w:rPr>
              <w:t>(Thousands)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68,843</w:t>
            </w:r>
          </w:p>
        </w:tc>
        <w:tc>
          <w:tcPr>
            <w:tcW w:w="18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130,254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Less: Income from discontinued operations, net of tax</w:t>
            </w: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19,266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20" w:type="dxa"/>
            <w:vAlign w:val="bottom"/>
          </w:tcPr>
          <w:p>
            <w:pPr>
              <w:ind w:left="100"/>
              <w:spacing w:after="0"/>
              <w:rPr>
                <w:sz w:val="20"/>
                <w:szCs w:val="20"/>
                <w:color w:val="auto"/>
              </w:rPr>
            </w:pPr>
            <w:r>
              <w:rPr>
                <w:rFonts w:ascii="Arial" w:cs="Arial" w:eastAsia="Arial" w:hAnsi="Arial"/>
                <w:sz w:val="16"/>
                <w:szCs w:val="16"/>
                <w:color w:val="auto"/>
              </w:rPr>
              <w:t>Income from continuing operations</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68,586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110,988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100"/>
              <w:spacing w:after="0"/>
              <w:rPr>
                <w:sz w:val="20"/>
                <w:szCs w:val="20"/>
                <w:color w:val="auto"/>
              </w:rPr>
            </w:pPr>
            <w:r>
              <w:rPr>
                <w:rFonts w:ascii="Arial" w:cs="Arial" w:eastAsia="Arial" w:hAnsi="Arial"/>
                <w:sz w:val="16"/>
                <w:szCs w:val="16"/>
                <w:color w:val="auto"/>
              </w:rPr>
              <w:t>Non-cash and other reconciling items:</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Depreciation</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19,694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300"/>
              <w:spacing w:after="0"/>
              <w:rPr>
                <w:sz w:val="20"/>
                <w:szCs w:val="20"/>
                <w:color w:val="auto"/>
              </w:rPr>
            </w:pPr>
            <w:r>
              <w:rPr>
                <w:rFonts w:ascii="Arial" w:cs="Arial" w:eastAsia="Arial" w:hAnsi="Arial"/>
                <w:sz w:val="16"/>
                <w:szCs w:val="16"/>
                <w:color w:val="auto"/>
              </w:rPr>
              <w:t>Amortization</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1,930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income taxes</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300"/>
              <w:spacing w:after="0"/>
              <w:rPr>
                <w:sz w:val="20"/>
                <w:szCs w:val="20"/>
                <w:color w:val="auto"/>
              </w:rPr>
            </w:pPr>
            <w:r>
              <w:rPr>
                <w:rFonts w:ascii="Arial" w:cs="Arial" w:eastAsia="Arial" w:hAnsi="Arial"/>
                <w:sz w:val="16"/>
                <w:szCs w:val="16"/>
                <w:color w:val="auto"/>
              </w:rPr>
              <w:t>Stock-based compensation</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17,576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24,350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net</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100"/>
              <w:spacing w:after="0"/>
              <w:rPr>
                <w:sz w:val="20"/>
                <w:szCs w:val="20"/>
                <w:color w:val="auto"/>
              </w:rPr>
            </w:pPr>
            <w:r>
              <w:rPr>
                <w:rFonts w:ascii="Arial" w:cs="Arial" w:eastAsia="Arial" w:hAnsi="Arial"/>
                <w:sz w:val="16"/>
                <w:szCs w:val="16"/>
                <w:color w:val="auto"/>
              </w:rPr>
              <w:t>Changes in (net of effects from businesses acquired):</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Receivables</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(64,587)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300"/>
              <w:spacing w:after="0"/>
              <w:rPr>
                <w:sz w:val="20"/>
                <w:szCs w:val="20"/>
                <w:color w:val="auto"/>
              </w:rPr>
            </w:pPr>
            <w:r>
              <w:rPr>
                <w:rFonts w:ascii="Arial" w:cs="Arial" w:eastAsia="Arial" w:hAnsi="Arial"/>
                <w:sz w:val="16"/>
                <w:szCs w:val="16"/>
                <w:color w:val="auto"/>
              </w:rPr>
              <w:t>Inventories</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182,240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(282,846)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(164,777)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Accrued expenses and other, net</w:t>
            </w:r>
          </w:p>
        </w:tc>
        <w:tc>
          <w:tcPr>
            <w:tcW w:w="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33,522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Net cash flows provided (used) for operating activities - continuing operations</w:t>
            </w: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111,310</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(27,478)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Net cash flows used for operating activities - discontinued operations</w:t>
            </w:r>
          </w:p>
        </w:tc>
        <w:tc>
          <w:tcPr>
            <w:tcW w:w="6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(111,446)</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Net cash flows used for operating activates</w:t>
            </w: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(33,741)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100"/>
              <w:spacing w:after="0"/>
              <w:rPr>
                <w:sz w:val="20"/>
                <w:szCs w:val="20"/>
                <w:color w:val="auto"/>
              </w:rPr>
            </w:pPr>
            <w:r>
              <w:rPr>
                <w:rFonts w:ascii="Arial" w:cs="Arial" w:eastAsia="Arial" w:hAnsi="Arial"/>
                <w:sz w:val="16"/>
                <w:szCs w:val="16"/>
                <w:color w:val="auto"/>
              </w:rPr>
              <w:t>Repayment of notes</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(300,000)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Repayments under accounts receivable securitization, net</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(150,265)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100"/>
              <w:spacing w:after="0"/>
              <w:rPr>
                <w:sz w:val="20"/>
                <w:szCs w:val="20"/>
                <w:color w:val="auto"/>
              </w:rPr>
            </w:pPr>
            <w:r>
              <w:rPr>
                <w:rFonts w:ascii="Arial" w:cs="Arial" w:eastAsia="Arial" w:hAnsi="Arial"/>
                <w:sz w:val="16"/>
                <w:szCs w:val="16"/>
                <w:color w:val="auto"/>
              </w:rPr>
              <w:t>Borrowings of bank and revolving debt, net</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669,803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418,756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Repurchases of common stock (Note 10)</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100"/>
              <w:spacing w:after="0"/>
              <w:rPr>
                <w:sz w:val="20"/>
                <w:szCs w:val="20"/>
                <w:color w:val="auto"/>
              </w:rPr>
            </w:pPr>
            <w:r>
              <w:rPr>
                <w:rFonts w:ascii="Arial" w:cs="Arial" w:eastAsia="Arial" w:hAnsi="Arial"/>
                <w:sz w:val="16"/>
                <w:szCs w:val="16"/>
                <w:color w:val="auto"/>
              </w:rPr>
              <w:t>Dividends paid on common stock</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(21,676)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(22,612)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Net cash flows provided (used) for financing activities - continuing operations</w:t>
            </w:r>
          </w:p>
        </w:tc>
        <w:tc>
          <w:tcPr>
            <w:tcW w:w="6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198,544</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Net cash flows used for financing activities - discontinued operations</w:t>
            </w: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(4,756)</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Net cash flows provided (used) for financing activities</w:t>
            </w:r>
          </w:p>
        </w:tc>
        <w:tc>
          <w:tcPr>
            <w:tcW w:w="6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193,788</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(33,289)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Purchases of property, plant and equipment</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(34,729)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net</w:t>
            </w:r>
          </w:p>
        </w:tc>
        <w:tc>
          <w:tcPr>
            <w:tcW w:w="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Net cash flows used for investing activities - continuing operations</w:t>
            </w: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(34,297)</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(29,637)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Net cash flows used for investing activities - discontinued operations</w:t>
            </w:r>
          </w:p>
        </w:tc>
        <w:tc>
          <w:tcPr>
            <w:tcW w:w="6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Net cash flows used for investing activities</w:t>
            </w: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(34,392)</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(32,032)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Effect of currency exchange rate changes on cash and cash equivalents</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165,067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(107,858)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1,031,478</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932,553</w:t>
            </w:r>
          </w:p>
        </w:tc>
        <w:tc>
          <w:tcPr>
            <w:tcW w:w="0" w:type="dxa"/>
            <w:vAlign w:val="bottom"/>
          </w:tcPr>
          <w:p>
            <w:pPr>
              <w:spacing w:after="0"/>
              <w:rPr>
                <w:sz w:val="1"/>
                <w:szCs w:val="1"/>
                <w:color w:val="auto"/>
              </w:rPr>
            </w:pPr>
          </w:p>
        </w:tc>
      </w:tr>
      <w:tr>
        <w:trPr>
          <w:trHeight w:val="197"/>
        </w:trPr>
        <w:tc>
          <w:tcPr>
            <w:tcW w:w="6140" w:type="dxa"/>
            <w:vAlign w:val="bottom"/>
            <w:gridSpan w:val="2"/>
          </w:tcPr>
          <w:p>
            <w:pPr>
              <w:spacing w:after="0"/>
              <w:rPr>
                <w:sz w:val="20"/>
                <w:szCs w:val="20"/>
                <w:color w:val="auto"/>
              </w:rPr>
            </w:pPr>
            <w:r>
              <w:rPr>
                <w:rFonts w:ascii="Arial" w:cs="Arial" w:eastAsia="Arial" w:hAnsi="Arial"/>
                <w:sz w:val="16"/>
                <w:szCs w:val="16"/>
                <w:color w:val="auto"/>
              </w:rPr>
              <w:t>Cash and cash equivalents at end of period</w:t>
            </w:r>
          </w:p>
        </w:tc>
        <w:tc>
          <w:tcPr>
            <w:tcW w:w="6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1,196,545</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824,695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new accounting pronouncements</w:t>
      </w:r>
    </w:p>
    <w:p>
      <w:pPr>
        <w:spacing w:after="0" w:line="22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adjustments necessary to present fairly Avnet, Inc.’s and its consolidated subsidiaries’ (collectively, the “Company” or “Avnet”) financial position, results of operations, comprehensive income (loss) and cash flows. All such adjustments are of a normal recurring nature.</w:t>
      </w:r>
    </w:p>
    <w:p>
      <w:pPr>
        <w:spacing w:after="0" w:line="187"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in the U.S. (“GAAP”) requires management to make estimates and assumptions that affect the amounts reported in the consolidated financial statements. Actual results may differ from these estimates.</w:t>
      </w:r>
    </w:p>
    <w:p>
      <w:pPr>
        <w:spacing w:after="0" w:line="181"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July 2, 2016.</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Discontinued Operations</w:t>
      </w:r>
    </w:p>
    <w:p>
      <w:pPr>
        <w:spacing w:after="0" w:line="225"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results of operations for Avnet’s Technology Solutions (“TS”) business have been classified as discontinued operations for all periods presented in the consolidated statements of operations and the consolidated statements of cash flows. The assets and liabilities of TS are classified as held for sale in the consolidated balance sheets. See Note 3 for additional information.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year</w:t>
      </w:r>
    </w:p>
    <w:p>
      <w:pPr>
        <w:spacing w:after="0" w:line="225"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Company operates on a “52/53 week” fiscal year and fiscal 2017 contains 52 weeks compared to 53 weeks in fiscal 2016. As a result, the first quarter of fiscal 2017 contained 13 weeks compared to the first quarter of fiscal 2016, which contained 14 weeks.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New accounting pronouncements</w:t>
      </w:r>
    </w:p>
    <w:p>
      <w:pPr>
        <w:spacing w:after="0" w:line="225"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The update requires a lessee to recognize assets and liabilities on the consolidated balance sheets for leases with lease terms greater than 12 months. ASU 2016-02 is effective for fiscal years, and interim periods within those fiscal years, beginning after December 15, 2018. Early adoption is permitted. The update will be effective for the Company in the first quarter of fiscal 2020, using a modified retrospective approach. The Company is currently evaluating the impact of the adoption of ASU 2016-02 on its consolidated financial statements.</w:t>
      </w:r>
    </w:p>
    <w:p>
      <w:pPr>
        <w:spacing w:after="0" w:line="178" w:lineRule="exact"/>
        <w:rPr>
          <w:sz w:val="20"/>
          <w:szCs w:val="20"/>
          <w:color w:val="auto"/>
        </w:rPr>
      </w:pPr>
    </w:p>
    <w:p>
      <w:pPr>
        <w:jc w:val="both"/>
        <w:ind w:firstLine="428"/>
        <w:spacing w:after="0" w:line="287" w:lineRule="auto"/>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as amended, to supersede nearly all existing revenue recognition guidance under GAAP. The core principles of ASU 2014-09 are to recognize revenue when promised goods or services are transferred to customers in an amount that reflects the consideration that is expected to be received for those goods or services. Application of the guidance in ASU 2014-09 may require more judgment and estimates within the revenue recognition process compared to existing GAAP. In July 2015, the FASB approved a one-year delay in the effective date of ASU 2014-09, which makes the effective date for the Company the first quarter of fiscal 2019. The Company may adopt the requirements of ASU 2014-09 using either of two acceptable adoption methods: (i) retrospective adoption to each prior reporting period presented with the option to elect certain practical expedients as defined within ASU 2014-09; or (ii) adoption with the cumulative effect of initially applying ASU 2014-09 recognized at the date of initial application and providing certain additional disclosures as defined within ASU 2014-09. The Company is currently evaluating the impact of the future adoption of ASU 2014-09 on its consolidated financial statements, including the method of adoption to be used.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229"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color w:val="auto"/>
        </w:rPr>
        <w:t>In July 2016, the Company publicly announced an offer to acquire all of the outstanding and to be issued share capital of Premier Farnell plc (“PF”), a public limited company organized under English law, in exchange for £1.85 per share, representing a purchase price offer of approximately £691 million. In connection with the acquisition, in September 2016, the Company entered into foreign currency derivative financial instruments to economically hedge the foreign currency purchase price. The Company used a combination of foreign cash on hand and new borrowings to fund the purchase price. See Note 5 and Note 6 for additional information. In October 2016, subsequent to the end of the first quarter of fiscal 2017, the Company completed its acquisition of PF.</w:t>
      </w:r>
    </w:p>
    <w:p>
      <w:pPr>
        <w:spacing w:after="0" w:line="178"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During the second quarter of fiscal 2016, the Company acquired two businesses with aggregated annualized sales of approximately $120.0 million for an aggregate purchase price of $36.4 million. The Company paid cash of $19.7 million, net of cash acquired, for such acquisitions in the second quarter of fiscal 2016. The Company has not disclosed the pro-forma impact of the fiscal 2016 acquisitions, as such impact was not material to the Company’s consolidated financial position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229"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In September 2016, the Company entered into a definitive agreement to sell its TS business to Tech Data Corporation, a Florida corporation (the “Buyer”), for approximately $2.60 billion in a combination of $2.40 billion in cash and 2.8 million shares of the Buyer. The ultimate selling price and related sale proceeds will be adjusted for changes in certain net assets provided to the Buyer as of the closing date, as compared to certain net assets expected in the definitive agreement. As a result of the agreement, at October 1, 2016, the assets and liabilities of the Company’s TS business were classified as held for sale, and the TS business has been classified as a discontinued operation for all periods presented as the sale of the TS business represents a strategic shift to Avnet. As of October 1, 2016, the TS business continues to be a reportable segment, as discussed in Note 13. Upon completion of the sale of TS, which is expected to occur by the end of fiscal 2017, the Company expects to record a gain on sale as the selling price is in excess of the carrying value. After completion of the sale of TS, the Company will provide certain customary transition services to the Buyer for a period of time, and the compensation received for such transition services will be reflected as a reduction to the underlying expenses incurred by the Company to provide such transition services.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Summarized assets and liabilities of the TS business, classified as held for sale as of October 1, 2016, and July 2, 2016,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89"/>
              </w:rPr>
              <w:t>October 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July 2,</w:t>
            </w:r>
          </w:p>
        </w:tc>
      </w:tr>
      <w:tr>
        <w:trPr>
          <w:trHeight w:val="241"/>
        </w:trPr>
        <w:tc>
          <w:tcPr>
            <w:tcW w:w="5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r>
      <w:tr>
        <w:trPr>
          <w:trHeight w:val="216"/>
        </w:trPr>
        <w:tc>
          <w:tcPr>
            <w:tcW w:w="5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(Thousands)</w:t>
            </w:r>
          </w:p>
        </w:tc>
        <w:tc>
          <w:tcPr>
            <w:tcW w:w="60" w:type="dxa"/>
            <w:vAlign w:val="bottom"/>
          </w:tcPr>
          <w:p>
            <w:pPr>
              <w:spacing w:after="0"/>
              <w:rPr>
                <w:sz w:val="18"/>
                <w:szCs w:val="18"/>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Receivables, less allowances of $36,452 and $39,356, respectively</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1,945,304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2,171,442</w:t>
            </w:r>
          </w:p>
        </w:tc>
        <w:tc>
          <w:tcPr>
            <w:tcW w:w="60" w:type="dxa"/>
            <w:vAlign w:val="bottom"/>
            <w:shd w:val="clear" w:color="auto" w:fill="CCEEFF"/>
          </w:tcPr>
          <w:p>
            <w:pPr>
              <w:spacing w:after="0"/>
              <w:rPr>
                <w:sz w:val="18"/>
                <w:szCs w:val="18"/>
                <w:color w:val="auto"/>
              </w:rPr>
            </w:pPr>
          </w:p>
        </w:tc>
      </w:tr>
      <w:tr>
        <w:trPr>
          <w:trHeight w:val="216"/>
        </w:trPr>
        <w:tc>
          <w:tcPr>
            <w:tcW w:w="586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226,668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266,572</w:t>
            </w:r>
          </w:p>
        </w:tc>
        <w:tc>
          <w:tcPr>
            <w:tcW w:w="60" w:type="dxa"/>
            <w:vAlign w:val="bottom"/>
          </w:tcPr>
          <w:p>
            <w:pPr>
              <w:spacing w:after="0"/>
              <w:rPr>
                <w:sz w:val="18"/>
                <w:szCs w:val="18"/>
                <w:color w:val="auto"/>
              </w:rPr>
            </w:pPr>
          </w:p>
        </w:tc>
      </w:tr>
      <w:tr>
        <w:trPr>
          <w:trHeight w:val="236"/>
        </w:trPr>
        <w:tc>
          <w:tcPr>
            <w:tcW w:w="5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Prepaid and other current assets</w:t>
            </w: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57,487</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59,948</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5860" w:type="dxa"/>
            <w:vAlign w:val="bottom"/>
          </w:tcPr>
          <w:p>
            <w:pPr>
              <w:ind w:left="120"/>
              <w:spacing w:after="0" w:line="203" w:lineRule="exact"/>
              <w:rPr>
                <w:sz w:val="20"/>
                <w:szCs w:val="20"/>
                <w:color w:val="auto"/>
              </w:rPr>
            </w:pPr>
            <w:r>
              <w:rPr>
                <w:rFonts w:ascii="Arial" w:cs="Arial" w:eastAsia="Arial" w:hAnsi="Arial"/>
                <w:sz w:val="18"/>
                <w:szCs w:val="18"/>
                <w:color w:val="auto"/>
              </w:rPr>
              <w:t>Total current assets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2,229,459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w w:val="94"/>
              </w:rPr>
              <w:t>2,497,962</w:t>
            </w:r>
          </w:p>
        </w:tc>
        <w:tc>
          <w:tcPr>
            <w:tcW w:w="60" w:type="dxa"/>
            <w:vAlign w:val="bottom"/>
          </w:tcPr>
          <w:p>
            <w:pPr>
              <w:spacing w:after="0"/>
              <w:rPr>
                <w:sz w:val="17"/>
                <w:szCs w:val="17"/>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plant and equipment, net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153,194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159,449</w:t>
            </w:r>
          </w:p>
        </w:tc>
        <w:tc>
          <w:tcPr>
            <w:tcW w:w="60" w:type="dxa"/>
            <w:vAlign w:val="bottom"/>
            <w:shd w:val="clear" w:color="auto" w:fill="CCEEFF"/>
          </w:tcPr>
          <w:p>
            <w:pPr>
              <w:spacing w:after="0"/>
              <w:rPr>
                <w:sz w:val="18"/>
                <w:szCs w:val="18"/>
                <w:color w:val="auto"/>
              </w:rPr>
            </w:pPr>
          </w:p>
        </w:tc>
      </w:tr>
      <w:tr>
        <w:trPr>
          <w:trHeight w:val="216"/>
        </w:trPr>
        <w:tc>
          <w:tcPr>
            <w:tcW w:w="5860" w:type="dxa"/>
            <w:vAlign w:val="bottom"/>
          </w:tcPr>
          <w:p>
            <w:pPr>
              <w:ind w:left="120"/>
              <w:spacing w:after="0"/>
              <w:rPr>
                <w:sz w:val="20"/>
                <w:szCs w:val="20"/>
                <w:color w:val="auto"/>
              </w:rPr>
            </w:pPr>
            <w:r>
              <w:rPr>
                <w:rFonts w:ascii="Arial" w:cs="Arial" w:eastAsia="Arial" w:hAnsi="Arial"/>
                <w:sz w:val="18"/>
                <w:szCs w:val="18"/>
                <w:color w:val="auto"/>
              </w:rPr>
              <w:t>Goodwill</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661,812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659,368</w:t>
            </w:r>
          </w:p>
        </w:tc>
        <w:tc>
          <w:tcPr>
            <w:tcW w:w="60" w:type="dxa"/>
            <w:vAlign w:val="bottom"/>
          </w:tcPr>
          <w:p>
            <w:pPr>
              <w:spacing w:after="0"/>
              <w:rPr>
                <w:sz w:val="18"/>
                <w:szCs w:val="18"/>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55,826</w:t>
            </w:r>
          </w:p>
        </w:tc>
        <w:tc>
          <w:tcPr>
            <w:tcW w:w="60" w:type="dxa"/>
            <w:vAlign w:val="bottom"/>
            <w:shd w:val="clear" w:color="auto" w:fill="CCEEFF"/>
          </w:tcPr>
          <w:p>
            <w:pPr>
              <w:spacing w:after="0"/>
              <w:rPr>
                <w:sz w:val="18"/>
                <w:szCs w:val="18"/>
                <w:color w:val="auto"/>
              </w:rPr>
            </w:pPr>
          </w:p>
        </w:tc>
      </w:tr>
      <w:tr>
        <w:trPr>
          <w:trHeight w:val="223"/>
        </w:trPr>
        <w:tc>
          <w:tcPr>
            <w:tcW w:w="5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assets</w:t>
            </w: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35,551</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24,424</w:t>
            </w:r>
          </w:p>
        </w:tc>
        <w:tc>
          <w:tcPr>
            <w:tcW w:w="60" w:type="dxa"/>
            <w:vAlign w:val="bottom"/>
            <w:tcBorders>
              <w:bottom w:val="single" w:sz="8" w:color="CCEEFF"/>
            </w:tcBorders>
          </w:tcPr>
          <w:p>
            <w:pPr>
              <w:spacing w:after="0"/>
              <w:rPr>
                <w:sz w:val="19"/>
                <w:szCs w:val="19"/>
                <w:color w:val="auto"/>
              </w:rPr>
            </w:pPr>
          </w:p>
        </w:tc>
      </w:tr>
      <w:tr>
        <w:trPr>
          <w:trHeight w:val="223"/>
        </w:trPr>
        <w:tc>
          <w:tcPr>
            <w:tcW w:w="58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3,131,587</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3,397,029</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16"/>
        </w:trPr>
        <w:tc>
          <w:tcPr>
            <w:tcW w:w="5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1,253,698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1,617,087</w:t>
            </w:r>
          </w:p>
        </w:tc>
        <w:tc>
          <w:tcPr>
            <w:tcW w:w="60" w:type="dxa"/>
            <w:vAlign w:val="bottom"/>
            <w:shd w:val="clear" w:color="auto" w:fill="CCEEFF"/>
          </w:tcPr>
          <w:p>
            <w:pPr>
              <w:spacing w:after="0"/>
              <w:rPr>
                <w:sz w:val="18"/>
                <w:szCs w:val="18"/>
                <w:color w:val="auto"/>
              </w:rPr>
            </w:pPr>
          </w:p>
        </w:tc>
      </w:tr>
      <w:tr>
        <w:trPr>
          <w:trHeight w:val="223"/>
        </w:trPr>
        <w:tc>
          <w:tcPr>
            <w:tcW w:w="5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Accrued expenses and other</w:t>
            </w: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148,475</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161,225</w:t>
            </w:r>
          </w:p>
        </w:tc>
        <w:tc>
          <w:tcPr>
            <w:tcW w:w="60" w:type="dxa"/>
            <w:vAlign w:val="bottom"/>
            <w:tcBorders>
              <w:bottom w:val="single" w:sz="8" w:color="CCEEFF"/>
            </w:tcBorders>
          </w:tcPr>
          <w:p>
            <w:pPr>
              <w:spacing w:after="0"/>
              <w:rPr>
                <w:sz w:val="19"/>
                <w:szCs w:val="19"/>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 liabilities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1,402,173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1,778,312</w:t>
            </w:r>
          </w:p>
        </w:tc>
        <w:tc>
          <w:tcPr>
            <w:tcW w:w="60" w:type="dxa"/>
            <w:vAlign w:val="bottom"/>
            <w:shd w:val="clear" w:color="auto" w:fill="CCEEFF"/>
          </w:tcPr>
          <w:p>
            <w:pPr>
              <w:spacing w:after="0"/>
              <w:rPr>
                <w:sz w:val="18"/>
                <w:szCs w:val="18"/>
                <w:color w:val="auto"/>
              </w:rPr>
            </w:pPr>
          </w:p>
        </w:tc>
      </w:tr>
      <w:tr>
        <w:trPr>
          <w:trHeight w:val="223"/>
        </w:trPr>
        <w:tc>
          <w:tcPr>
            <w:tcW w:w="5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Long-term liabilities</w:t>
            </w: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50,678</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43,769</w:t>
            </w:r>
          </w:p>
        </w:tc>
        <w:tc>
          <w:tcPr>
            <w:tcW w:w="60" w:type="dxa"/>
            <w:vAlign w:val="bottom"/>
            <w:tcBorders>
              <w:bottom w:val="single" w:sz="8" w:color="CCEEFF"/>
            </w:tcBorders>
          </w:tcPr>
          <w:p>
            <w:pPr>
              <w:spacing w:after="0"/>
              <w:rPr>
                <w:sz w:val="19"/>
                <w:szCs w:val="19"/>
                <w:color w:val="auto"/>
              </w:rPr>
            </w:pPr>
          </w:p>
        </w:tc>
      </w:tr>
      <w:tr>
        <w:trPr>
          <w:trHeight w:val="223"/>
        </w:trPr>
        <w:tc>
          <w:tcPr>
            <w:tcW w:w="58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1,452,851</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1,822,081</w:t>
            </w:r>
          </w:p>
        </w:tc>
        <w:tc>
          <w:tcPr>
            <w:tcW w:w="6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Summarized results of the TS business discontinued operations for the three months ended October 1, 2016,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October 3, 2015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October 1,</w:t>
            </w:r>
          </w:p>
        </w:tc>
        <w:tc>
          <w:tcPr>
            <w:tcW w:w="20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rPr>
              <w:t>October 3,</w:t>
            </w:r>
          </w:p>
        </w:tc>
      </w:tr>
      <w:tr>
        <w:trPr>
          <w:trHeight w:val="241"/>
        </w:trPr>
        <w:tc>
          <w:tcPr>
            <w:tcW w:w="5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0"/>
                <w:szCs w:val="20"/>
                <w:color w:val="auto"/>
              </w:rPr>
            </w:pPr>
          </w:p>
        </w:tc>
      </w:tr>
      <w:tr>
        <w:trPr>
          <w:trHeight w:val="216"/>
        </w:trPr>
        <w:tc>
          <w:tcPr>
            <w:tcW w:w="5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(Thousands)</w:t>
            </w:r>
          </w:p>
        </w:tc>
        <w:tc>
          <w:tcPr>
            <w:tcW w:w="6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1,866,901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2,368,892</w:t>
            </w:r>
          </w:p>
        </w:tc>
        <w:tc>
          <w:tcPr>
            <w:tcW w:w="60" w:type="dxa"/>
            <w:vAlign w:val="bottom"/>
            <w:shd w:val="clear" w:color="auto" w:fill="CCEEFF"/>
          </w:tcPr>
          <w:p>
            <w:pPr>
              <w:spacing w:after="0"/>
              <w:rPr>
                <w:sz w:val="18"/>
                <w:szCs w:val="18"/>
                <w:color w:val="auto"/>
              </w:rPr>
            </w:pPr>
          </w:p>
        </w:tc>
      </w:tr>
      <w:tr>
        <w:trPr>
          <w:trHeight w:val="223"/>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3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1,676,458</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2,140,672</w:t>
            </w:r>
          </w:p>
        </w:tc>
        <w:tc>
          <w:tcPr>
            <w:tcW w:w="60" w:type="dxa"/>
            <w:vAlign w:val="bottom"/>
            <w:tcBorders>
              <w:bottom w:val="single" w:sz="8" w:color="CCEEFF"/>
            </w:tcBorders>
          </w:tcPr>
          <w:p>
            <w:pPr>
              <w:spacing w:after="0"/>
              <w:rPr>
                <w:sz w:val="19"/>
                <w:szCs w:val="19"/>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228,220</w:t>
            </w:r>
          </w:p>
        </w:tc>
        <w:tc>
          <w:tcPr>
            <w:tcW w:w="6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164,672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177,805</w:t>
            </w:r>
          </w:p>
        </w:tc>
        <w:tc>
          <w:tcPr>
            <w:tcW w:w="60" w:type="dxa"/>
            <w:vAlign w:val="bottom"/>
          </w:tcPr>
          <w:p>
            <w:pPr>
              <w:spacing w:after="0"/>
              <w:rPr>
                <w:sz w:val="18"/>
                <w:szCs w:val="18"/>
                <w:color w:val="auto"/>
              </w:rPr>
            </w:pPr>
          </w:p>
        </w:tc>
      </w:tr>
      <w:tr>
        <w:trPr>
          <w:trHeight w:val="236"/>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Restructuring, integration and other expenses</w:t>
            </w:r>
          </w:p>
        </w:tc>
        <w:tc>
          <w:tcPr>
            <w:tcW w:w="1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13,440</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5520" w:type="dxa"/>
            <w:vAlign w:val="bottom"/>
          </w:tcPr>
          <w:p>
            <w:pPr>
              <w:spacing w:after="0" w:line="203" w:lineRule="exact"/>
              <w:rPr>
                <w:sz w:val="20"/>
                <w:szCs w:val="20"/>
                <w:color w:val="auto"/>
              </w:rPr>
            </w:pPr>
            <w:r>
              <w:rPr>
                <w:rFonts w:ascii="Arial" w:cs="Arial" w:eastAsia="Arial" w:hAnsi="Arial"/>
                <w:sz w:val="18"/>
                <w:szCs w:val="18"/>
                <w:color w:val="auto"/>
              </w:rPr>
              <w:t>Operating income</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21,547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36,975</w:t>
            </w:r>
          </w:p>
        </w:tc>
        <w:tc>
          <w:tcPr>
            <w:tcW w:w="60" w:type="dxa"/>
            <w:vAlign w:val="bottom"/>
          </w:tcPr>
          <w:p>
            <w:pPr>
              <w:spacing w:after="0"/>
              <w:rPr>
                <w:sz w:val="17"/>
                <w:szCs w:val="17"/>
                <w:color w:val="auto"/>
              </w:rPr>
            </w:pPr>
          </w:p>
        </w:tc>
      </w:tr>
      <w:tr>
        <w:trPr>
          <w:trHeight w:val="236"/>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(8,306)</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5520" w:type="dxa"/>
            <w:vAlign w:val="bottom"/>
          </w:tcPr>
          <w:p>
            <w:pPr>
              <w:spacing w:after="0" w:line="203" w:lineRule="exact"/>
              <w:rPr>
                <w:sz w:val="20"/>
                <w:szCs w:val="20"/>
                <w:color w:val="auto"/>
              </w:rPr>
            </w:pPr>
            <w:r>
              <w:rPr>
                <w:rFonts w:ascii="Arial" w:cs="Arial" w:eastAsia="Arial" w:hAnsi="Arial"/>
                <w:sz w:val="18"/>
                <w:szCs w:val="18"/>
                <w:color w:val="auto"/>
              </w:rPr>
              <w:t>Income from discontinued operations before income taxes</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21,552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28,669</w:t>
            </w:r>
          </w:p>
        </w:tc>
        <w:tc>
          <w:tcPr>
            <w:tcW w:w="60" w:type="dxa"/>
            <w:vAlign w:val="bottom"/>
          </w:tcPr>
          <w:p>
            <w:pPr>
              <w:spacing w:after="0"/>
              <w:rPr>
                <w:sz w:val="17"/>
                <w:szCs w:val="17"/>
                <w:color w:val="auto"/>
              </w:rPr>
            </w:pPr>
          </w:p>
        </w:tc>
      </w:tr>
      <w:tr>
        <w:trPr>
          <w:trHeight w:val="236"/>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21,295</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9,403</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10"/>
        </w:trPr>
        <w:tc>
          <w:tcPr>
            <w:tcW w:w="5520" w:type="dxa"/>
            <w:vAlign w:val="bottom"/>
          </w:tcPr>
          <w:p>
            <w:pPr>
              <w:spacing w:after="0" w:line="203" w:lineRule="exact"/>
              <w:rPr>
                <w:sz w:val="20"/>
                <w:szCs w:val="20"/>
                <w:color w:val="auto"/>
              </w:rPr>
            </w:pPr>
            <w:r>
              <w:rPr>
                <w:rFonts w:ascii="Arial" w:cs="Arial" w:eastAsia="Arial" w:hAnsi="Arial"/>
                <w:sz w:val="18"/>
                <w:szCs w:val="18"/>
                <w:color w:val="auto"/>
              </w:rPr>
              <w:t>Income from discontinued operations, net of taxes</w:t>
            </w:r>
          </w:p>
        </w:tc>
        <w:tc>
          <w:tcPr>
            <w:tcW w:w="132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257</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19,266</w:t>
            </w: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Sales in the first quarter of fiscal 2016 included the impact of an extra week of sales as discussed further in Note 1.</w:t>
      </w:r>
    </w:p>
    <w:p>
      <w:pPr>
        <w:spacing w:after="0" w:line="248"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Included within selling, general and administrative expenses of discontinued operations was $12.5 million and $15.1 million of Corporate expenses specific to or benefiting the TS business for the first quarters ending October 1, 2016, and October 3, 2015, respectively. Corporate costs related to general overhead were not allocated to the TS business. Also included in selling, general and administrative expenses of discontinued operations was $4.5 million and $4.6 million of amortization expense for the first quarters ending October 1, 2016, and October 3, 2015, respectively.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Included in income tax expense from discontinued operations in the first quarter of fiscal 2017, as discussed further in Note 8, was $17.0 million of deferred tax expense associated with the establishment of a non-cash deferred tax liability. The establishment of such deferred tax liability was the result of the TS business being classified as held for sale, which impacted the Company’s historical assertion related to foreign earnings of the TS business being permanently reinvested. Upon completion of the sale, the Company will incur cash taxes related to the gain on sale.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change in goodwill by reportable segment for the three months ended October 1,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of the accumulated impairment was recognized in fiscal 2009.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Electronics</w:t>
            </w:r>
          </w:p>
        </w:tc>
        <w:tc>
          <w:tcPr>
            <w:tcW w:w="180" w:type="dxa"/>
            <w:vAlign w:val="bottom"/>
          </w:tcPr>
          <w:p>
            <w:pPr>
              <w:spacing w:after="0"/>
              <w:rPr>
                <w:sz w:val="18"/>
                <w:szCs w:val="18"/>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Technology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4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Marketing</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Solutions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6"/>
        </w:trPr>
        <w:tc>
          <w:tcPr>
            <w:tcW w:w="4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(Thousands)</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goodwill</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1,666,962</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993,992</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2,660,954</w:t>
            </w:r>
          </w:p>
        </w:tc>
        <w:tc>
          <w:tcPr>
            <w:tcW w:w="60" w:type="dxa"/>
            <w:vAlign w:val="bottom"/>
            <w:shd w:val="clear" w:color="auto" w:fill="CCEEFF"/>
          </w:tcPr>
          <w:p>
            <w:pPr>
              <w:spacing w:after="0"/>
              <w:rPr>
                <w:sz w:val="18"/>
                <w:szCs w:val="18"/>
                <w:color w:val="auto"/>
              </w:rPr>
            </w:pPr>
          </w:p>
        </w:tc>
      </w:tr>
      <w:tr>
        <w:trPr>
          <w:trHeight w:val="223"/>
        </w:trPr>
        <w:tc>
          <w:tcPr>
            <w:tcW w:w="4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Accumulated impairment</w:t>
            </w:r>
          </w:p>
        </w:tc>
        <w:tc>
          <w:tcPr>
            <w:tcW w:w="16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(1,045,110)</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(334,624)</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(1,379,734)</w:t>
            </w:r>
          </w:p>
        </w:tc>
        <w:tc>
          <w:tcPr>
            <w:tcW w:w="60" w:type="dxa"/>
            <w:vAlign w:val="bottom"/>
            <w:tcBorders>
              <w:bottom w:val="single" w:sz="8" w:color="CCEEFF"/>
            </w:tcBorders>
          </w:tcPr>
          <w:p>
            <w:pPr>
              <w:spacing w:after="0"/>
              <w:rPr>
                <w:sz w:val="19"/>
                <w:szCs w:val="19"/>
                <w:color w:val="auto"/>
              </w:rPr>
            </w:pPr>
          </w:p>
        </w:tc>
      </w:tr>
      <w:tr>
        <w:trPr>
          <w:trHeight w:val="236"/>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value at July 2, 2016</w:t>
            </w: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621,852</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659,368</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1,281,220</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4060" w:type="dxa"/>
            <w:vAlign w:val="bottom"/>
          </w:tcPr>
          <w:p>
            <w:pPr>
              <w:ind w:left="120"/>
              <w:spacing w:after="0" w:line="203" w:lineRule="exact"/>
              <w:rPr>
                <w:sz w:val="20"/>
                <w:szCs w:val="20"/>
                <w:color w:val="auto"/>
              </w:rPr>
            </w:pPr>
            <w:r>
              <w:rPr>
                <w:rFonts w:ascii="Arial" w:cs="Arial" w:eastAsia="Arial" w:hAnsi="Arial"/>
                <w:sz w:val="18"/>
                <w:szCs w:val="18"/>
                <w:color w:val="auto"/>
              </w:rPr>
              <w:t>Additions</w:t>
            </w: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16"/>
        </w:trPr>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 currency translation</w:t>
            </w:r>
          </w:p>
        </w:tc>
        <w:tc>
          <w:tcPr>
            <w:tcW w:w="16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60" w:type="dxa"/>
            <w:vAlign w:val="bottom"/>
            <w:tcBorders>
              <w:bottom w:val="single" w:sz="8" w:color="CCEEFF"/>
            </w:tcBorders>
          </w:tcPr>
          <w:p>
            <w:pPr>
              <w:spacing w:after="0"/>
              <w:rPr>
                <w:sz w:val="19"/>
                <w:szCs w:val="19"/>
                <w:color w:val="auto"/>
              </w:rPr>
            </w:pPr>
          </w:p>
        </w:tc>
      </w:tr>
      <w:tr>
        <w:trPr>
          <w:trHeight w:val="236"/>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value at October 1, 2016</w:t>
            </w: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620,850</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661,812</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1,282,662</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4060" w:type="dxa"/>
            <w:vAlign w:val="bottom"/>
          </w:tcPr>
          <w:p>
            <w:pPr>
              <w:ind w:left="120"/>
              <w:spacing w:after="0" w:line="203" w:lineRule="exact"/>
              <w:rPr>
                <w:sz w:val="20"/>
                <w:szCs w:val="20"/>
                <w:color w:val="auto"/>
              </w:rPr>
            </w:pPr>
            <w:r>
              <w:rPr>
                <w:rFonts w:ascii="Arial" w:cs="Arial" w:eastAsia="Arial" w:hAnsi="Arial"/>
                <w:sz w:val="18"/>
                <w:szCs w:val="18"/>
                <w:color w:val="auto"/>
              </w:rPr>
              <w:t>Gross goodwill</w:t>
            </w:r>
          </w:p>
        </w:tc>
        <w:tc>
          <w:tcPr>
            <w:tcW w:w="160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1,665,960</w:t>
            </w:r>
          </w:p>
        </w:tc>
        <w:tc>
          <w:tcPr>
            <w:tcW w:w="18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996,436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2,662,396</w:t>
            </w:r>
          </w:p>
        </w:tc>
        <w:tc>
          <w:tcPr>
            <w:tcW w:w="60" w:type="dxa"/>
            <w:vAlign w:val="bottom"/>
          </w:tcPr>
          <w:p>
            <w:pPr>
              <w:spacing w:after="0"/>
              <w:rPr>
                <w:sz w:val="17"/>
                <w:szCs w:val="17"/>
                <w:color w:val="auto"/>
              </w:rPr>
            </w:pPr>
          </w:p>
        </w:tc>
      </w:tr>
      <w:tr>
        <w:trPr>
          <w:trHeight w:val="236"/>
        </w:trPr>
        <w:tc>
          <w:tcPr>
            <w:tcW w:w="4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Accumulated impairment</w:t>
            </w: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(1,045,110)</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(334,624)</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(1,379,734)</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10"/>
        </w:trPr>
        <w:tc>
          <w:tcPr>
            <w:tcW w:w="4060" w:type="dxa"/>
            <w:vAlign w:val="bottom"/>
          </w:tcPr>
          <w:p>
            <w:pPr>
              <w:spacing w:after="0" w:line="203" w:lineRule="exact"/>
              <w:rPr>
                <w:sz w:val="20"/>
                <w:szCs w:val="20"/>
                <w:color w:val="auto"/>
              </w:rPr>
            </w:pPr>
            <w:r>
              <w:rPr>
                <w:rFonts w:ascii="Arial" w:cs="Arial" w:eastAsia="Arial" w:hAnsi="Arial"/>
                <w:sz w:val="18"/>
                <w:szCs w:val="18"/>
                <w:color w:val="auto"/>
              </w:rPr>
              <w:t>Carrying value at October 1, 2016</w:t>
            </w:r>
          </w:p>
        </w:tc>
        <w:tc>
          <w:tcPr>
            <w:tcW w:w="1600" w:type="dxa"/>
            <w:vAlign w:val="bottom"/>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620,850</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661,812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1,282,662</w:t>
            </w:r>
          </w:p>
        </w:tc>
        <w:tc>
          <w:tcPr>
            <w:tcW w:w="60" w:type="dxa"/>
            <w:vAlign w:val="bottom"/>
          </w:tcPr>
          <w:p>
            <w:pPr>
              <w:spacing w:after="0"/>
              <w:rPr>
                <w:sz w:val="18"/>
                <w:szCs w:val="18"/>
                <w:color w:val="auto"/>
              </w:rPr>
            </w:pPr>
          </w:p>
        </w:tc>
      </w:tr>
    </w:tbl>
    <w:p>
      <w:pPr>
        <w:spacing w:after="0" w:line="202"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As discussed in Note 3, the Company classified goodwill related to the TS reporting units as held for sale as of October 1, 2016, and July 2, 2016. During the first quarter of fiscal 2017, in connection with the planned sale of the TS business, the Company evaluated goodwill related to TS for impairment and concluded that goodwill related to the TS business was recoverable as the negotiated TS selling price was in excess of its carrying value.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following table presents the Company’s acquired intangible assets at October 1, 2016, and July 2, 2016,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5"/>
              </w:rPr>
              <w:t>October 1, 2016</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8"/>
              </w:rPr>
              <w:t>July 2, 2016</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1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7"/>
              </w:rPr>
              <w:t>Acquired</w:t>
            </w:r>
          </w:p>
        </w:tc>
        <w:tc>
          <w:tcPr>
            <w:tcW w:w="200" w:type="dxa"/>
            <w:vAlign w:val="bottom"/>
          </w:tcPr>
          <w:p>
            <w:pPr>
              <w:spacing w:after="0"/>
              <w:rPr>
                <w:sz w:val="17"/>
                <w:szCs w:val="17"/>
                <w:color w:val="auto"/>
              </w:rPr>
            </w:pPr>
          </w:p>
        </w:tc>
        <w:tc>
          <w:tcPr>
            <w:tcW w:w="116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w w:val="99"/>
              </w:rPr>
              <w:t>Accumulated</w:t>
            </w:r>
          </w:p>
        </w:tc>
        <w:tc>
          <w:tcPr>
            <w:tcW w:w="100" w:type="dxa"/>
            <w:vAlign w:val="bottom"/>
          </w:tcPr>
          <w:p>
            <w:pPr>
              <w:spacing w:after="0"/>
              <w:rPr>
                <w:sz w:val="17"/>
                <w:szCs w:val="17"/>
                <w:color w:val="auto"/>
              </w:rPr>
            </w:pPr>
          </w:p>
        </w:tc>
        <w:tc>
          <w:tcPr>
            <w:tcW w:w="7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88"/>
              </w:rPr>
              <w:t>Net Book</w:t>
            </w:r>
          </w:p>
        </w:tc>
        <w:tc>
          <w:tcPr>
            <w:tcW w:w="200" w:type="dxa"/>
            <w:vAlign w:val="bottom"/>
          </w:tcPr>
          <w:p>
            <w:pPr>
              <w:spacing w:after="0"/>
              <w:rPr>
                <w:sz w:val="17"/>
                <w:szCs w:val="17"/>
                <w:color w:val="auto"/>
              </w:rPr>
            </w:pPr>
          </w:p>
        </w:tc>
        <w:tc>
          <w:tcPr>
            <w:tcW w:w="86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7"/>
              </w:rPr>
              <w:t>Acquired</w:t>
            </w:r>
          </w:p>
        </w:tc>
        <w:tc>
          <w:tcPr>
            <w:tcW w:w="180" w:type="dxa"/>
            <w:vAlign w:val="bottom"/>
          </w:tcPr>
          <w:p>
            <w:pPr>
              <w:spacing w:after="0"/>
              <w:rPr>
                <w:sz w:val="17"/>
                <w:szCs w:val="17"/>
                <w:color w:val="auto"/>
              </w:rPr>
            </w:pPr>
          </w:p>
        </w:tc>
        <w:tc>
          <w:tcPr>
            <w:tcW w:w="1320" w:type="dxa"/>
            <w:vAlign w:val="bottom"/>
            <w:gridSpan w:val="3"/>
          </w:tcPr>
          <w:p>
            <w:pPr>
              <w:jc w:val="center"/>
              <w:ind w:right="18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7"/>
                <w:szCs w:val="17"/>
                <w:color w:val="auto"/>
              </w:rPr>
            </w:pPr>
          </w:p>
        </w:tc>
        <w:tc>
          <w:tcPr>
            <w:tcW w:w="82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1"/>
              </w:rPr>
              <w:t>Net Book</w:t>
            </w:r>
          </w:p>
        </w:tc>
        <w:tc>
          <w:tcPr>
            <w:tcW w:w="40" w:type="dxa"/>
            <w:vAlign w:val="bottom"/>
          </w:tcPr>
          <w:p>
            <w:pPr>
              <w:spacing w:after="0"/>
              <w:rPr>
                <w:sz w:val="17"/>
                <w:szCs w:val="17"/>
                <w:color w:val="auto"/>
              </w:rPr>
            </w:pPr>
          </w:p>
        </w:tc>
      </w:tr>
      <w:tr>
        <w:trPr>
          <w:trHeight w:val="241"/>
        </w:trPr>
        <w:tc>
          <w:tcPr>
            <w:tcW w:w="1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Amortization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1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(Thousands)</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210,466</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(149,278)</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61,188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(142,994)</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68,175</w:t>
            </w:r>
          </w:p>
        </w:tc>
        <w:tc>
          <w:tcPr>
            <w:tcW w:w="40" w:type="dxa"/>
            <w:vAlign w:val="bottom"/>
            <w:shd w:val="clear" w:color="auto" w:fill="CCEEFF"/>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Trade name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3,773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2,144</w:t>
            </w:r>
          </w:p>
        </w:tc>
        <w:tc>
          <w:tcPr>
            <w:tcW w:w="40" w:type="dxa"/>
            <w:vAlign w:val="bottom"/>
          </w:tcPr>
          <w:p>
            <w:pPr>
              <w:spacing w:after="0"/>
              <w:rPr>
                <w:sz w:val="18"/>
                <w:szCs w:val="18"/>
                <w:color w:val="auto"/>
              </w:rPr>
            </w:pPr>
          </w:p>
        </w:tc>
      </w:tr>
      <w:tr>
        <w:trPr>
          <w:trHeight w:val="236"/>
        </w:trPr>
        <w:tc>
          <w:tcPr>
            <w:tcW w:w="1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14,884</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12,356</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8,078</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10"/>
        </w:trPr>
        <w:tc>
          <w:tcPr>
            <w:tcW w:w="1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229,123</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(156,729)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72,394</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228,400</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(150,003)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78,397</w:t>
            </w:r>
          </w:p>
        </w:tc>
        <w:tc>
          <w:tcPr>
            <w:tcW w:w="40" w:type="dxa"/>
            <w:vAlign w:val="bottom"/>
          </w:tcPr>
          <w:p>
            <w:pPr>
              <w:spacing w:after="0"/>
              <w:rPr>
                <w:sz w:val="18"/>
                <w:szCs w:val="18"/>
                <w:color w:val="auto"/>
              </w:rPr>
            </w:pPr>
          </w:p>
        </w:tc>
      </w:tr>
    </w:tbl>
    <w:p>
      <w:pPr>
        <w:spacing w:after="0" w:line="202"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As discussed in Note 3, the Company classified intangible assets and amortization expense related to the TS business as held for sale as of October 1, 2016, and July 2, 2016.</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Intangible asset amortization expense was $6.4 million and $6.9 million for the first quarters of fiscal 2017 and 2016, respectively. Of these amounts, amortization expense from continuing operations totaled $1.9 million and $2.4 million for the first quarters of fiscal 2017 and 2016, respectively. As a result of the TS business being classified as held for sale as of October 1, 2016, the amortization of TS specific intangible assets has ceased. Intangible assets from continuing operations have a weighted average remaining useful life of approximately 3 years. The following table presents the estimated future amortization expense from continuing operations for the remainder of fiscal 2017, the next five fiscal years and thereafter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Fiscal Year</w:t>
            </w:r>
          </w:p>
        </w:tc>
        <w:tc>
          <w:tcPr>
            <w:tcW w:w="3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fiscal 2017</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2018</w:t>
            </w:r>
          </w:p>
        </w:tc>
        <w:tc>
          <w:tcPr>
            <w:tcW w:w="4100" w:type="dxa"/>
            <w:vAlign w:val="bottom"/>
          </w:tcPr>
          <w:p>
            <w:pPr>
              <w:spacing w:after="0"/>
              <w:rPr>
                <w:sz w:val="18"/>
                <w:szCs w:val="18"/>
                <w:color w:val="auto"/>
              </w:rPr>
            </w:pP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5,488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10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2020</w:t>
            </w:r>
          </w:p>
        </w:tc>
        <w:tc>
          <w:tcPr>
            <w:tcW w:w="4100" w:type="dxa"/>
            <w:vAlign w:val="bottom"/>
          </w:tcPr>
          <w:p>
            <w:pPr>
              <w:spacing w:after="0"/>
              <w:rPr>
                <w:sz w:val="18"/>
                <w:szCs w:val="18"/>
                <w:color w:val="auto"/>
              </w:rPr>
            </w:pP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2,283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10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1,541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31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20,823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Short-term debt consists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8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October 1, 2016</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98"/>
              </w:rPr>
              <w:t>July 2, 2016</w:t>
            </w:r>
          </w:p>
        </w:tc>
        <w:tc>
          <w:tcPr>
            <w:tcW w:w="180" w:type="dxa"/>
            <w:vAlign w:val="bottom"/>
          </w:tcPr>
          <w:p>
            <w:pPr>
              <w:spacing w:after="0"/>
              <w:rPr>
                <w:sz w:val="20"/>
                <w:szCs w:val="20"/>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October 1, 2016</w:t>
            </w:r>
          </w:p>
        </w:tc>
        <w:tc>
          <w:tcPr>
            <w:tcW w:w="20" w:type="dxa"/>
            <w:vAlign w:val="bottom"/>
          </w:tcPr>
          <w:p>
            <w:pPr>
              <w:spacing w:after="0"/>
              <w:rPr>
                <w:sz w:val="20"/>
                <w:szCs w:val="20"/>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w w:val="96"/>
              </w:rPr>
              <w:t>July 2, 2016</w:t>
            </w:r>
          </w:p>
        </w:tc>
      </w:tr>
      <w:tr>
        <w:trPr>
          <w:trHeight w:val="223"/>
        </w:trPr>
        <w:tc>
          <w:tcPr>
            <w:tcW w:w="3980" w:type="dxa"/>
            <w:vAlign w:val="bottom"/>
            <w:tcBorders>
              <w:bottom w:val="single" w:sz="8" w:color="CCEEFF"/>
            </w:tcBorders>
          </w:tcPr>
          <w:p>
            <w:pPr>
              <w:spacing w:after="0"/>
              <w:rPr>
                <w:sz w:val="19"/>
                <w:szCs w:val="19"/>
                <w:color w:val="auto"/>
              </w:rPr>
            </w:pPr>
          </w:p>
        </w:tc>
        <w:tc>
          <w:tcPr>
            <w:tcW w:w="2440" w:type="dxa"/>
            <w:vAlign w:val="bottom"/>
            <w:tcBorders>
              <w:top w:val="single" w:sz="8" w:color="auto"/>
              <w:bottom w:val="single" w:sz="8" w:color="auto"/>
            </w:tcBorders>
            <w:gridSpan w:val="2"/>
          </w:tcPr>
          <w:p>
            <w:pPr>
              <w:jc w:val="right"/>
              <w:ind w:right="630"/>
              <w:spacing w:after="0"/>
              <w:rPr>
                <w:sz w:val="20"/>
                <w:szCs w:val="20"/>
                <w:color w:val="auto"/>
              </w:rPr>
            </w:pPr>
            <w:r>
              <w:rPr>
                <w:rFonts w:ascii="Arial" w:cs="Arial" w:eastAsia="Arial" w:hAnsi="Arial"/>
                <w:sz w:val="18"/>
                <w:szCs w:val="18"/>
                <w:b w:val="1"/>
                <w:bCs w:val="1"/>
                <w:color w:val="auto"/>
              </w:rPr>
              <w:t>Interest Rate</w:t>
            </w:r>
          </w:p>
        </w:tc>
        <w:tc>
          <w:tcPr>
            <w:tcW w:w="1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100" w:type="dxa"/>
            <w:vAlign w:val="bottom"/>
            <w:tcBorders>
              <w:top w:val="single" w:sz="8" w:color="auto"/>
              <w:bottom w:val="single" w:sz="8" w:color="auto"/>
            </w:tcBorders>
            <w:gridSpan w:val="5"/>
          </w:tcPr>
          <w:p>
            <w:pPr>
              <w:jc w:val="right"/>
              <w:ind w:right="430"/>
              <w:spacing w:after="0"/>
              <w:rPr>
                <w:sz w:val="20"/>
                <w:szCs w:val="20"/>
                <w:color w:val="auto"/>
              </w:rPr>
            </w:pPr>
            <w:r>
              <w:rPr>
                <w:rFonts w:ascii="Arial" w:cs="Arial" w:eastAsia="Arial" w:hAnsi="Arial"/>
                <w:sz w:val="18"/>
                <w:szCs w:val="18"/>
                <w:b w:val="1"/>
                <w:bCs w:val="1"/>
                <w:color w:val="auto"/>
              </w:rPr>
              <w:t>Carrying Balance</w:t>
            </w:r>
          </w:p>
        </w:tc>
        <w:tc>
          <w:tcPr>
            <w:tcW w:w="40" w:type="dxa"/>
            <w:vAlign w:val="bottom"/>
            <w:tcBorders>
              <w:bottom w:val="single" w:sz="8" w:color="CCEEFF"/>
            </w:tcBorders>
          </w:tcPr>
          <w:p>
            <w:pPr>
              <w:spacing w:after="0"/>
              <w:rPr>
                <w:sz w:val="19"/>
                <w:szCs w:val="19"/>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Bank credit facilities and other</w:t>
            </w:r>
          </w:p>
        </w:tc>
        <w:tc>
          <w:tcPr>
            <w:tcW w:w="13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5.42 %</w:t>
            </w:r>
          </w:p>
        </w:tc>
        <w:tc>
          <w:tcPr>
            <w:tcW w:w="10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4.62 %</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98,017</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122,599</w:t>
            </w:r>
          </w:p>
        </w:tc>
        <w:tc>
          <w:tcPr>
            <w:tcW w:w="4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Accounts receivable securitization program</w:t>
            </w:r>
          </w:p>
        </w:tc>
        <w:tc>
          <w:tcPr>
            <w:tcW w:w="138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0.93 %</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730,000</w:t>
            </w:r>
          </w:p>
        </w:tc>
        <w:tc>
          <w:tcPr>
            <w:tcW w:w="40" w:type="dxa"/>
            <w:vAlign w:val="bottom"/>
          </w:tcPr>
          <w:p>
            <w:pPr>
              <w:spacing w:after="0"/>
              <w:rPr>
                <w:sz w:val="18"/>
                <w:szCs w:val="18"/>
                <w:color w:val="auto"/>
              </w:rPr>
            </w:pPr>
          </w:p>
        </w:tc>
      </w:tr>
      <w:tr>
        <w:trPr>
          <w:trHeight w:val="23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Notes due September 2016</w:t>
            </w:r>
          </w:p>
        </w:tc>
        <w:tc>
          <w:tcPr>
            <w:tcW w:w="13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6.63 %</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shd w:val="clear" w:color="auto" w:fill="CCEEFF"/>
          </w:tcPr>
          <w:p>
            <w:pPr>
              <w:spacing w:after="0"/>
              <w:rPr>
                <w:sz w:val="20"/>
                <w:szCs w:val="20"/>
                <w:color w:val="auto"/>
              </w:rPr>
            </w:pPr>
          </w:p>
        </w:tc>
      </w:tr>
      <w:tr>
        <w:trPr>
          <w:trHeight w:val="210"/>
        </w:trPr>
        <w:tc>
          <w:tcPr>
            <w:tcW w:w="3980" w:type="dxa"/>
            <w:vAlign w:val="bottom"/>
            <w:tcBorders>
              <w:top w:val="single" w:sz="8" w:color="CCEEFF"/>
            </w:tcBorders>
          </w:tcPr>
          <w:p>
            <w:pPr>
              <w:ind w:left="120"/>
              <w:spacing w:after="0" w:line="203" w:lineRule="exact"/>
              <w:rPr>
                <w:sz w:val="20"/>
                <w:szCs w:val="20"/>
                <w:color w:val="auto"/>
              </w:rPr>
            </w:pPr>
            <w:r>
              <w:rPr>
                <w:rFonts w:ascii="Arial" w:cs="Arial" w:eastAsia="Arial" w:hAnsi="Arial"/>
                <w:sz w:val="18"/>
                <w:szCs w:val="18"/>
                <w:color w:val="auto"/>
              </w:rPr>
              <w:t>Short-term debt</w:t>
            </w:r>
          </w:p>
        </w:tc>
        <w:tc>
          <w:tcPr>
            <w:tcW w:w="13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98,017</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1,152,599</w:t>
            </w:r>
          </w:p>
        </w:tc>
        <w:tc>
          <w:tcPr>
            <w:tcW w:w="4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Bank credit facilities and other consists primarily of various committed and uncommitted lines of credit and other forms of bank debt with financial institutions utilized primarily to support the working capital requirements of the Company including its foreign operations.</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September 2016, the Company settled the $300.0 million of outstanding 6.63% Notes due September 2016, upon their maturity.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consists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October 1, 2016</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w w:val="98"/>
              </w:rPr>
              <w:t>July 2, 2016</w:t>
            </w:r>
          </w:p>
        </w:tc>
        <w:tc>
          <w:tcPr>
            <w:tcW w:w="20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October 1, 2016</w:t>
            </w:r>
          </w:p>
        </w:tc>
        <w:tc>
          <w:tcPr>
            <w:tcW w:w="20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July 2, 2016</w:t>
            </w:r>
          </w:p>
        </w:tc>
      </w:tr>
      <w:tr>
        <w:trPr>
          <w:trHeight w:val="223"/>
        </w:trPr>
        <w:tc>
          <w:tcPr>
            <w:tcW w:w="4020" w:type="dxa"/>
            <w:vAlign w:val="bottom"/>
            <w:tcBorders>
              <w:bottom w:val="single" w:sz="8" w:color="CCEEFF"/>
            </w:tcBorders>
          </w:tcPr>
          <w:p>
            <w:pPr>
              <w:spacing w:after="0"/>
              <w:rPr>
                <w:sz w:val="19"/>
                <w:szCs w:val="19"/>
                <w:color w:val="auto"/>
              </w:rPr>
            </w:pPr>
          </w:p>
        </w:tc>
        <w:tc>
          <w:tcPr>
            <w:tcW w:w="2380" w:type="dxa"/>
            <w:vAlign w:val="bottom"/>
            <w:tcBorders>
              <w:top w:val="single" w:sz="8" w:color="auto"/>
              <w:bottom w:val="single" w:sz="8" w:color="auto"/>
            </w:tcBorders>
            <w:gridSpan w:val="2"/>
          </w:tcPr>
          <w:p>
            <w:pPr>
              <w:jc w:val="right"/>
              <w:ind w:right="610"/>
              <w:spacing w:after="0"/>
              <w:rPr>
                <w:sz w:val="20"/>
                <w:szCs w:val="20"/>
                <w:color w:val="auto"/>
              </w:rPr>
            </w:pPr>
            <w:r>
              <w:rPr>
                <w:rFonts w:ascii="Arial" w:cs="Arial" w:eastAsia="Arial" w:hAnsi="Arial"/>
                <w:sz w:val="18"/>
                <w:szCs w:val="18"/>
                <w:b w:val="1"/>
                <w:bCs w:val="1"/>
                <w:color w:val="auto"/>
              </w:rPr>
              <w:t>Interest Rate</w:t>
            </w:r>
          </w:p>
        </w:tc>
        <w:tc>
          <w:tcPr>
            <w:tcW w:w="2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140" w:type="dxa"/>
            <w:vAlign w:val="bottom"/>
            <w:tcBorders>
              <w:top w:val="single" w:sz="8" w:color="auto"/>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Carrying Balance</w:t>
            </w:r>
          </w:p>
        </w:tc>
        <w:tc>
          <w:tcPr>
            <w:tcW w:w="4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1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020" w:type="dxa"/>
            <w:vAlign w:val="bottom"/>
          </w:tcPr>
          <w:p>
            <w:pPr>
              <w:ind w:left="120"/>
              <w:spacing w:after="0"/>
              <w:rPr>
                <w:sz w:val="20"/>
                <w:szCs w:val="20"/>
                <w:color w:val="auto"/>
              </w:rPr>
            </w:pPr>
            <w:r>
              <w:rPr>
                <w:rFonts w:ascii="Arial" w:cs="Arial" w:eastAsia="Arial" w:hAnsi="Arial"/>
                <w:sz w:val="18"/>
                <w:szCs w:val="18"/>
                <w:color w:val="auto"/>
              </w:rPr>
              <w:t>Accounts receivable securitization program</w:t>
            </w:r>
          </w:p>
        </w:tc>
        <w:tc>
          <w:tcPr>
            <w:tcW w:w="1340" w:type="dxa"/>
            <w:vAlign w:val="bottom"/>
          </w:tcPr>
          <w:p>
            <w:pPr>
              <w:jc w:val="right"/>
              <w:ind w:right="610"/>
              <w:spacing w:after="0"/>
              <w:rPr>
                <w:sz w:val="20"/>
                <w:szCs w:val="20"/>
                <w:color w:val="auto"/>
              </w:rPr>
            </w:pPr>
            <w:r>
              <w:rPr>
                <w:rFonts w:ascii="Arial" w:cs="Arial" w:eastAsia="Arial" w:hAnsi="Arial"/>
                <w:sz w:val="18"/>
                <w:szCs w:val="18"/>
                <w:color w:val="auto"/>
              </w:rPr>
              <w:t>1.16 %</w:t>
            </w:r>
          </w:p>
        </w:tc>
        <w:tc>
          <w:tcPr>
            <w:tcW w:w="10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580,000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Facility</w:t>
            </w:r>
          </w:p>
        </w:tc>
        <w:tc>
          <w:tcPr>
            <w:tcW w:w="13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1.94 %</w:t>
            </w:r>
          </w:p>
        </w:tc>
        <w:tc>
          <w:tcPr>
            <w:tcW w:w="10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1.72 %</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0" w:type="dxa"/>
            <w:vAlign w:val="bottom"/>
            <w:shd w:val="clear" w:color="auto" w:fill="CCEEFF"/>
          </w:tcPr>
          <w:p>
            <w:pPr>
              <w:spacing w:after="0"/>
              <w:rPr>
                <w:sz w:val="18"/>
                <w:szCs w:val="18"/>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Notes due:</w:t>
            </w:r>
          </w:p>
        </w:tc>
        <w:tc>
          <w:tcPr>
            <w:tcW w:w="1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June 2020</w:t>
            </w:r>
          </w:p>
        </w:tc>
        <w:tc>
          <w:tcPr>
            <w:tcW w:w="13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5.88 %</w:t>
            </w:r>
          </w:p>
        </w:tc>
        <w:tc>
          <w:tcPr>
            <w:tcW w:w="10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5.88 %</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shd w:val="clear" w:color="auto" w:fill="CCEEFF"/>
          </w:tcPr>
          <w:p>
            <w:pPr>
              <w:spacing w:after="0"/>
              <w:rPr>
                <w:sz w:val="18"/>
                <w:szCs w:val="18"/>
                <w:color w:val="auto"/>
              </w:rPr>
            </w:pPr>
          </w:p>
        </w:tc>
      </w:tr>
      <w:tr>
        <w:trPr>
          <w:trHeight w:val="216"/>
        </w:trPr>
        <w:tc>
          <w:tcPr>
            <w:tcW w:w="4020" w:type="dxa"/>
            <w:vAlign w:val="bottom"/>
          </w:tcPr>
          <w:p>
            <w:pPr>
              <w:ind w:left="120"/>
              <w:spacing w:after="0"/>
              <w:rPr>
                <w:sz w:val="20"/>
                <w:szCs w:val="20"/>
                <w:color w:val="auto"/>
              </w:rPr>
            </w:pPr>
            <w:r>
              <w:rPr>
                <w:rFonts w:ascii="Arial" w:cs="Arial" w:eastAsia="Arial" w:hAnsi="Arial"/>
                <w:sz w:val="18"/>
                <w:szCs w:val="18"/>
                <w:color w:val="auto"/>
              </w:rPr>
              <w:t>December 2022</w:t>
            </w:r>
          </w:p>
        </w:tc>
        <w:tc>
          <w:tcPr>
            <w:tcW w:w="1340" w:type="dxa"/>
            <w:vAlign w:val="bottom"/>
          </w:tcPr>
          <w:p>
            <w:pPr>
              <w:jc w:val="right"/>
              <w:ind w:right="610"/>
              <w:spacing w:after="0"/>
              <w:rPr>
                <w:sz w:val="20"/>
                <w:szCs w:val="20"/>
                <w:color w:val="auto"/>
              </w:rPr>
            </w:pPr>
            <w:r>
              <w:rPr>
                <w:rFonts w:ascii="Arial" w:cs="Arial" w:eastAsia="Arial" w:hAnsi="Arial"/>
                <w:sz w:val="18"/>
                <w:szCs w:val="18"/>
                <w:color w:val="auto"/>
              </w:rPr>
              <w:t>4.88 %</w:t>
            </w: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4.88 %</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350,000</w:t>
            </w:r>
          </w:p>
        </w:tc>
        <w:tc>
          <w:tcPr>
            <w:tcW w:w="40" w:type="dxa"/>
            <w:vAlign w:val="bottom"/>
          </w:tcPr>
          <w:p>
            <w:pPr>
              <w:spacing w:after="0"/>
              <w:rPr>
                <w:sz w:val="18"/>
                <w:szCs w:val="18"/>
                <w:color w:val="auto"/>
              </w:rPr>
            </w:pPr>
          </w:p>
        </w:tc>
      </w:tr>
      <w:tr>
        <w:trPr>
          <w:trHeight w:val="216"/>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April 2026</w:t>
            </w:r>
          </w:p>
        </w:tc>
        <w:tc>
          <w:tcPr>
            <w:tcW w:w="13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4.63 %</w:t>
            </w:r>
          </w:p>
        </w:tc>
        <w:tc>
          <w:tcPr>
            <w:tcW w:w="10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4.63 %</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40" w:type="dxa"/>
            <w:vAlign w:val="bottom"/>
            <w:shd w:val="clear" w:color="auto" w:fill="CCEEFF"/>
          </w:tcPr>
          <w:p>
            <w:pPr>
              <w:spacing w:after="0"/>
              <w:rPr>
                <w:sz w:val="18"/>
                <w:szCs w:val="18"/>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debt</w:t>
            </w:r>
          </w:p>
        </w:tc>
        <w:tc>
          <w:tcPr>
            <w:tcW w:w="1340" w:type="dxa"/>
            <w:vAlign w:val="bottom"/>
            <w:tcBorders>
              <w:bottom w:val="single" w:sz="8" w:color="CCEEFF"/>
            </w:tcBorders>
          </w:tcPr>
          <w:p>
            <w:pPr>
              <w:jc w:val="right"/>
              <w:ind w:right="610"/>
              <w:spacing w:after="0"/>
              <w:rPr>
                <w:sz w:val="20"/>
                <w:szCs w:val="20"/>
                <w:color w:val="auto"/>
              </w:rPr>
            </w:pPr>
            <w:r>
              <w:rPr>
                <w:rFonts w:ascii="Arial" w:cs="Arial" w:eastAsia="Arial" w:hAnsi="Arial"/>
                <w:sz w:val="18"/>
                <w:szCs w:val="18"/>
                <w:color w:val="auto"/>
              </w:rPr>
              <w:t>2.02 %</w:t>
            </w:r>
          </w:p>
        </w:tc>
        <w:tc>
          <w:tcPr>
            <w:tcW w:w="1040" w:type="dxa"/>
            <w:vAlign w:val="bottom"/>
            <w:tcBorders>
              <w:bottom w:val="single" w:sz="8" w:color="CCEEFF"/>
            </w:tcBorders>
          </w:tcPr>
          <w:p>
            <w:pPr>
              <w:jc w:val="right"/>
              <w:ind w:right="290"/>
              <w:spacing w:after="0"/>
              <w:rPr>
                <w:sz w:val="20"/>
                <w:szCs w:val="20"/>
                <w:color w:val="auto"/>
              </w:rPr>
            </w:pPr>
            <w:r>
              <w:rPr>
                <w:rFonts w:ascii="Arial" w:cs="Arial" w:eastAsia="Arial" w:hAnsi="Arial"/>
                <w:sz w:val="18"/>
                <w:szCs w:val="18"/>
                <w:color w:val="auto"/>
              </w:rPr>
              <w:t>1.92 %</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w:t>
            </w:r>
          </w:p>
        </w:tc>
        <w:tc>
          <w:tcPr>
            <w:tcW w:w="40" w:type="dxa"/>
            <w:vAlign w:val="bottom"/>
            <w:tcBorders>
              <w:bottom w:val="single" w:sz="8" w:color="CCEEFF"/>
            </w:tcBorders>
          </w:tcPr>
          <w:p>
            <w:pPr>
              <w:spacing w:after="0"/>
              <w:rPr>
                <w:sz w:val="19"/>
                <w:szCs w:val="19"/>
                <w:color w:val="auto"/>
              </w:rPr>
            </w:pPr>
          </w:p>
        </w:tc>
      </w:tr>
      <w:tr>
        <w:trPr>
          <w:trHeight w:val="188"/>
        </w:trPr>
        <w:tc>
          <w:tcPr>
            <w:tcW w:w="40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w w:val="96"/>
              </w:rPr>
              <w:t>Long-term debt before discount and debt issuance</w:t>
            </w:r>
          </w:p>
        </w:tc>
        <w:tc>
          <w:tcPr>
            <w:tcW w:w="1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30"/>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costs</w:t>
            </w:r>
          </w:p>
        </w:tc>
        <w:tc>
          <w:tcPr>
            <w:tcW w:w="1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2,621,460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1,351,551</w:t>
            </w:r>
          </w:p>
        </w:tc>
        <w:tc>
          <w:tcPr>
            <w:tcW w:w="40" w:type="dxa"/>
            <w:vAlign w:val="bottom"/>
            <w:shd w:val="clear" w:color="auto" w:fill="CCEEFF"/>
          </w:tcPr>
          <w:p>
            <w:pPr>
              <w:spacing w:after="0"/>
              <w:rPr>
                <w:sz w:val="20"/>
                <w:szCs w:val="20"/>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Discount and debt issuance costs</w:t>
            </w:r>
          </w:p>
        </w:tc>
        <w:tc>
          <w:tcPr>
            <w:tcW w:w="1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(11,843)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(12,347)</w:t>
            </w:r>
          </w:p>
        </w:tc>
      </w:tr>
      <w:tr>
        <w:trPr>
          <w:trHeight w:val="223"/>
        </w:trPr>
        <w:tc>
          <w:tcPr>
            <w:tcW w:w="40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Long-term debt</w:t>
            </w: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2,609,617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1,339,204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In August 2016, the Company amended and extended its accounts receivable securitization program (the “Program”) with a group of financial institutions to allow the Company to transfer, on an ongoing revolving basis, an undivided interest in a designated pool of trade accounts receivable, to provide security or collateral for borrowings up to a maximum of $800.0 million. The Program does not qualify for off balance sheet accounting treatment and any borrowings under the Program are recorded as debt in the consolidated balance sheets. Under the Program, the Company legally sells and isolates certain U.S. trade accounts receivable into a wholly owned and consolidated bankruptcy remote special purpose entity. Such receivables, which are recorded within “Receivables” in the consolidated balance sheets, totaled $1.52 billion and $1.46 billion at October 1, 2016, and July 2, 2016, respectively. The Program contains certain covenants relating to the quality of the receivables sold. The Program also requires the Company to maintain certain minimum interest coverage and leverage ratios, which the Company was in compliance with as of October 1, 2016, and July 2, 2016. The Program has a two-year term that expires in August 2018 and as a result is considered long-term debt as of October 1, 2016. Interest on borrowings is calculated using a base rate or a commercial paper rate plus a spread of 0.40%. The facility fee is 0.40%.</w:t>
      </w:r>
    </w:p>
    <w:p>
      <w:pPr>
        <w:spacing w:after="0" w:line="169" w:lineRule="exact"/>
        <w:rPr>
          <w:sz w:val="20"/>
          <w:szCs w:val="20"/>
          <w:color w:val="auto"/>
        </w:rPr>
      </w:pPr>
    </w:p>
    <w:p>
      <w:pPr>
        <w:jc w:val="both"/>
        <w:ind w:firstLine="428"/>
        <w:spacing w:after="0" w:line="253" w:lineRule="auto"/>
        <w:rPr>
          <w:sz w:val="20"/>
          <w:szCs w:val="20"/>
          <w:color w:val="auto"/>
        </w:rPr>
      </w:pPr>
      <w:r>
        <w:rPr>
          <w:rFonts w:ascii="Arial" w:cs="Arial" w:eastAsia="Arial" w:hAnsi="Arial"/>
          <w:sz w:val="18"/>
          <w:szCs w:val="18"/>
          <w:color w:val="auto"/>
        </w:rPr>
        <w:t>The Company has a five-year $1.25 billion senior unsecured revolving credit facility (the “Credit Facility”) with a syndicate of banks, consisting of revolving credit facilities and the issuance of up to $150.0 million of letters of credit, which expires in July 2019. Subject to certain conditions, the Credit Facility may be increased up to $1.5 billion.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financial covenants requiring the Company to maintain minimum interest coverage and leverage ratios, which the Company was in compliance with as of October 1, 2016, and July 2, 2016. As of October 1, 2016, and July 2, 2016, there were $6.1 million and $5.6 million, respectively, in letters of credit issued under the Credit Facility.</w:t>
      </w:r>
    </w:p>
    <w:p>
      <w:pPr>
        <w:spacing w:after="0" w:line="197"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In July 2016, in connection with the PF acquisition discussed in Note 2, the Company entered into a Senior Unsecured Bridge Credit Agreement (the “Bridge Credit Agreement”). The Bridge Credit Agreement provides for a single borrowing of</w:t>
      </w:r>
    </w:p>
    <w:p>
      <w:pPr>
        <w:jc w:val="both"/>
        <w:ind w:firstLine="3"/>
        <w:spacing w:after="0" w:line="271" w:lineRule="auto"/>
        <w:tabs>
          <w:tab w:leader="none" w:pos="219" w:val="left"/>
        </w:tabs>
        <w:numPr>
          <w:ilvl w:val="0"/>
          <w:numId w:val="2"/>
        </w:numPr>
        <w:rPr>
          <w:rFonts w:ascii="Arial" w:cs="Arial" w:eastAsia="Arial" w:hAnsi="Arial"/>
          <w:sz w:val="17"/>
          <w:szCs w:val="17"/>
          <w:color w:val="auto"/>
        </w:rPr>
      </w:pPr>
      <w:r>
        <w:rPr>
          <w:rFonts w:ascii="Arial" w:cs="Arial" w:eastAsia="Arial" w:hAnsi="Arial"/>
          <w:sz w:val="17"/>
          <w:szCs w:val="17"/>
          <w:color w:val="auto"/>
        </w:rPr>
        <w:t>tranche A-1 bridge loans of up to £557.0 million and tranche B bridge loans of up to $250.0 million, each with a maturity date of 364 days from the date of borrowing, and (ii) tranche A-2 bridge loans of up to £150.0 million, with a maturity date of 90 days from the date of borrowing. The Company’s ability to borrow under the Bridge Credit Agreement is subject to customary limited conditionality. Borrowings under the Bridge Credit Agreement will bear interest at a variable interest rate. As of October 1, 2016 there were no borrowings made under the Bridge Credit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28"/>
        <w:spacing w:after="0" w:line="293" w:lineRule="auto"/>
        <w:rPr>
          <w:sz w:val="20"/>
          <w:szCs w:val="20"/>
          <w:color w:val="auto"/>
        </w:rPr>
      </w:pPr>
      <w:r>
        <w:rPr>
          <w:rFonts w:ascii="Arial" w:cs="Arial" w:eastAsia="Arial" w:hAnsi="Arial"/>
          <w:sz w:val="16"/>
          <w:szCs w:val="16"/>
          <w:color w:val="auto"/>
        </w:rPr>
        <w:t>In September 2016, certain foreign subsidiaries of the Company (the “Borrowers”) entered into a Senior Unsecured Term Loan Credit Agreement (the “Term Loan Credit Agreement”) with a group of banks. The Term Loan Credit Agreement provides for a single borrowing by the Borrowers of up to €500 million in the aggregate with a maturity date of three years from the date of borrowing. As of October 1, 2016, there were no borrowings made under the Term Loan Credit Agreement. The proceeds from borrowings under the Term Loan Credit Agreement will be used to finance a portion of the cash consideration and any fees and expenses related to the Company’s acquisition of PF discussed further in Note 2.</w:t>
      </w:r>
    </w:p>
    <w:p>
      <w:pPr>
        <w:spacing w:after="0" w:line="165" w:lineRule="exact"/>
        <w:rPr>
          <w:sz w:val="20"/>
          <w:szCs w:val="20"/>
          <w:color w:val="auto"/>
        </w:rPr>
      </w:pPr>
    </w:p>
    <w:p>
      <w:pPr>
        <w:jc w:val="both"/>
        <w:ind w:firstLine="428"/>
        <w:spacing w:after="0" w:line="253" w:lineRule="auto"/>
        <w:rPr>
          <w:sz w:val="20"/>
          <w:szCs w:val="20"/>
          <w:color w:val="auto"/>
        </w:rPr>
      </w:pPr>
      <w:r>
        <w:rPr>
          <w:rFonts w:ascii="Arial" w:cs="Arial" w:eastAsia="Arial" w:hAnsi="Arial"/>
          <w:sz w:val="18"/>
          <w:szCs w:val="18"/>
          <w:color w:val="auto"/>
        </w:rPr>
        <w:t>The Company has agreed to guarantee the obligations of the Borrowers under the Term Loan Credit Agreement. The Term Loan Credit Agreement is unsecured and contains financial covenants consistent with the Credit Facility. The obligations of the lenders to fund loans under the Term Loan Credit Agreement expires on February 27, 2017, or earlier as provided in the Term Loan Credit Agreement. The Borrowers’ ability to borrow under the Term Loan Credit Agreement is subject to customary limited conditionality. Borrowings under the Term Loan Credit Agreement will bear interest at a variable annual rate based on LIBOR plus an applicable margin based on the credit rating at that time for the Company’s long-term senior unsecured indebtedness. The Company’s and the Borrowers’ failure to satisfy the covenants under the Term Loan Credit Agreement or the occurrence of other specified events that could constitute an event of default could, among other things, permit the lenders thereunder to terminate their commitments or accelerate the Borrowers’ repayment obligations.</w:t>
      </w:r>
    </w:p>
    <w:p>
      <w:pPr>
        <w:spacing w:after="0" w:line="195"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color w:val="auto"/>
        </w:rPr>
        <w:t>Subject to the satisfaction of certain conditions, upon the effectiveness of the Term Loan Credit Agreement, the tranche A-1 commitments under the Bridge Credit Agreement discussed above were automatically and permanently reduced from £557 million to £137 million and the tranche A-2 commitments under the bridge facility were terminated. In addition, to facilitate entry into the Term Loan Credit Agreement, the Company entered into certain amendments to the Bridge Credit Agreement and the Credit Facility. In October 2016, the Company entered into an amendment and waiver to the Bridge Credit Agreement to extend the draw down period for tranche B bridge loans to December 5, 2016. In addition, the Company terminated the tranche A-1 commitments under the Bridge Credit Agreement.</w:t>
      </w:r>
    </w:p>
    <w:p>
      <w:pPr>
        <w:spacing w:after="0" w:line="178"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As of October 1, 2016, the carrying value and fair value of the Company’s total debt was $2.71 billion and $2.79 billion, respectively. At July 2, 2016, the carrying value and fair value of the Company’s total debt was $2.49 billion and $2.59 billion, respectively. Fair value for the notes was estimated based upon quoted market prices and for other forms of debt fair value approximates carrying value due to the market based variable nature of the interest rates on those debt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229" w:lineRule="exact"/>
        <w:rPr>
          <w:sz w:val="20"/>
          <w:szCs w:val="20"/>
          <w:color w:val="auto"/>
        </w:rPr>
      </w:pPr>
    </w:p>
    <w:p>
      <w:pPr>
        <w:jc w:val="both"/>
        <w:ind w:firstLine="428"/>
        <w:spacing w:after="0" w:line="268" w:lineRule="auto"/>
        <w:rPr>
          <w:sz w:val="20"/>
          <w:szCs w:val="20"/>
          <w:color w:val="auto"/>
        </w:rPr>
      </w:pPr>
      <w:r>
        <w:rPr>
          <w:rFonts w:ascii="Arial" w:cs="Arial" w:eastAsia="Arial" w:hAnsi="Arial"/>
          <w:sz w:val="17"/>
          <w:szCs w:val="17"/>
          <w:color w:val="auto"/>
        </w:rPr>
        <w:t>Many of the Company’s subsidiaries purchase and sell products in currencies other than their functional currencies. This subjects the Company to the risks associated with fluctuations in foreign currency exchange rates. The Company reduces this risk by utilizing natural hedging (i.e., offsetting receivables and payables in the same foreign currency) as well as by creating offsetting positions through the use of derivative financial instruments, primarily forward foreign exchange contracts typically with maturities of less than sixty days (“economic hedges”). The Company continues to have exposure to foreign currency risks to the extent they are not hedged. The Company adjusts any economic hedges to fair value through the consolidated statements of operations primarily within “other expense, net.” Therefore, the changes in valuation of the underlying items being economically hedged are offset by the changes in fair value of the forward foreign currency exchange contracts. The fair value of forward foreign exchange contracts, which are based upon Level 2 criteria under the ASC 820 fair value hierarchy, are classified in the captions “other current assets” or “accrued expenses and other,” as applicable, in the accompanying consolidated balance sheets as of October 1, 2016, and July 2, 2016.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Company generally does not hedge its investments in its foreign operations. The Company does not enter into derivative financial instruments for trading or speculative purposes and monitors the financial stability and credit standing of its counterparties.</w:t>
      </w:r>
    </w:p>
    <w:p>
      <w:pPr>
        <w:spacing w:after="0" w:line="181"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The Company’s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Canadian Dollar, Japanese Yen, Chinese Yuan, Taiwan Dollar, Australian Dollar and Mexican Peso. The Company also, to a lesser extent, has foreign operations transactions in other European, Latin American and Asian foreign currencies.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values of derivative financial instruments in the Company’s consolidated balance sheets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October 1,</w:t>
            </w:r>
          </w:p>
        </w:tc>
        <w:tc>
          <w:tcPr>
            <w:tcW w:w="34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2,</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80" w:type="dxa"/>
            <w:vAlign w:val="bottom"/>
            <w:vMerge w:val="restart"/>
          </w:tcPr>
          <w:p>
            <w:pPr>
              <w:spacing w:after="0"/>
              <w:rPr>
                <w:sz w:val="20"/>
                <w:szCs w:val="20"/>
                <w:color w:val="auto"/>
              </w:rPr>
            </w:pPr>
            <w:r>
              <w:rPr>
                <w:rFonts w:ascii="Arial" w:cs="Arial" w:eastAsia="Arial" w:hAnsi="Arial"/>
                <w:sz w:val="18"/>
                <w:szCs w:val="18"/>
                <w:color w:val="auto"/>
                <w:w w:val="96"/>
              </w:rPr>
              <w:t>Forward foreign currency exchange contracts not receiving hedge accounting</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(Thousands)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9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treatment recorded in:</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2,999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21,153</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28"/>
        <w:spacing w:after="0" w:line="342" w:lineRule="auto"/>
        <w:rPr>
          <w:sz w:val="20"/>
          <w:szCs w:val="20"/>
          <w:color w:val="auto"/>
        </w:rPr>
      </w:pPr>
      <w:r>
        <w:rPr>
          <w:rFonts w:ascii="Arial" w:cs="Arial" w:eastAsia="Arial" w:hAnsi="Arial"/>
          <w:sz w:val="16"/>
          <w:szCs w:val="16"/>
          <w:color w:val="auto"/>
        </w:rPr>
        <w:t>Included in accrued expenses as of October 1, 2016 is approximately $16.0 million of foreign currency derivative financial instruments that economically hedge the British Pound purchase price of the PF acquisition discussed in Note 2.</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amounts recorded to other expense, net related to derivative financial instruments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r>
      <w:tr>
        <w:trPr>
          <w:trHeight w:val="198"/>
        </w:trPr>
        <w:tc>
          <w:tcPr>
            <w:tcW w:w="4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center"/>
              <w:ind w:right="250"/>
              <w:spacing w:after="0" w:line="198" w:lineRule="exact"/>
              <w:rPr>
                <w:sz w:val="20"/>
                <w:szCs w:val="20"/>
                <w:color w:val="auto"/>
              </w:rPr>
            </w:pPr>
            <w:r>
              <w:rPr>
                <w:rFonts w:ascii="Arial" w:cs="Arial" w:eastAsia="Arial" w:hAnsi="Arial"/>
                <w:sz w:val="18"/>
                <w:szCs w:val="18"/>
                <w:b w:val="1"/>
                <w:bCs w:val="1"/>
                <w:color w:val="auto"/>
                <w:w w:val="89"/>
              </w:rPr>
              <w:t>October 1,</w:t>
            </w:r>
          </w:p>
        </w:tc>
        <w:tc>
          <w:tcPr>
            <w:tcW w:w="5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center"/>
              <w:ind w:right="370"/>
              <w:spacing w:after="0" w:line="198" w:lineRule="exact"/>
              <w:rPr>
                <w:sz w:val="20"/>
                <w:szCs w:val="20"/>
                <w:color w:val="auto"/>
              </w:rPr>
            </w:pPr>
            <w:r>
              <w:rPr>
                <w:rFonts w:ascii="Arial" w:cs="Arial" w:eastAsia="Arial" w:hAnsi="Arial"/>
                <w:sz w:val="18"/>
                <w:szCs w:val="18"/>
                <w:b w:val="1"/>
                <w:bCs w:val="1"/>
                <w:color w:val="auto"/>
                <w:w w:val="92"/>
              </w:rPr>
              <w:t>October 3,</w:t>
            </w:r>
          </w:p>
        </w:tc>
        <w:tc>
          <w:tcPr>
            <w:tcW w:w="180" w:type="dxa"/>
            <w:vAlign w:val="bottom"/>
          </w:tcPr>
          <w:p>
            <w:pPr>
              <w:spacing w:after="0"/>
              <w:rPr>
                <w:sz w:val="17"/>
                <w:szCs w:val="17"/>
                <w:color w:val="auto"/>
              </w:rPr>
            </w:pPr>
          </w:p>
        </w:tc>
      </w:tr>
      <w:tr>
        <w:trPr>
          <w:trHeight w:val="241"/>
        </w:trPr>
        <w:tc>
          <w:tcPr>
            <w:tcW w:w="4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5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r>
      <w:tr>
        <w:trPr>
          <w:trHeight w:val="216"/>
        </w:trPr>
        <w:tc>
          <w:tcPr>
            <w:tcW w:w="4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center"/>
              <w:ind w:left="950"/>
              <w:spacing w:after="0"/>
              <w:rPr>
                <w:sz w:val="20"/>
                <w:szCs w:val="20"/>
                <w:color w:val="auto"/>
              </w:rPr>
            </w:pPr>
            <w:r>
              <w:rPr>
                <w:rFonts w:ascii="Arial" w:cs="Arial" w:eastAsia="Arial" w:hAnsi="Arial"/>
                <w:sz w:val="18"/>
                <w:szCs w:val="18"/>
                <w:b w:val="1"/>
                <w:bCs w:val="1"/>
                <w:color w:val="auto"/>
                <w:w w:val="88"/>
              </w:rPr>
              <w:t>(Thousands)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derivative financial instrument gain (loss)</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(8,646)</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18,769</w:t>
            </w:r>
          </w:p>
        </w:tc>
        <w:tc>
          <w:tcPr>
            <w:tcW w:w="1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428"/>
        <w:spacing w:after="0" w:line="302" w:lineRule="auto"/>
        <w:rPr>
          <w:sz w:val="20"/>
          <w:szCs w:val="20"/>
          <w:color w:val="auto"/>
        </w:rPr>
      </w:pPr>
      <w:r>
        <w:rPr>
          <w:rFonts w:ascii="Arial" w:cs="Arial" w:eastAsia="Arial" w:hAnsi="Arial"/>
          <w:sz w:val="16"/>
          <w:szCs w:val="16"/>
          <w:color w:val="auto"/>
        </w:rPr>
        <w:t>Included in other expenses in the first quarter of fiscal 2017 is approximately $8.0 million of derivative financial instrument losses associated with foreign currency derivative financial instruments purchased to economically hedge the British Pound purchase price of the PF acquisition discussed in Note 2. Such unrealized losses are economically offset through a lower PF purchase price as a result of the weakening of the British Pound during the first quarter of fiscal 2017.</w:t>
      </w:r>
    </w:p>
    <w:p>
      <w:pPr>
        <w:spacing w:after="0" w:line="154" w:lineRule="exact"/>
        <w:rPr>
          <w:sz w:val="20"/>
          <w:szCs w:val="20"/>
          <w:color w:val="auto"/>
        </w:rPr>
      </w:pPr>
    </w:p>
    <w:p>
      <w:pPr>
        <w:jc w:val="both"/>
        <w:ind w:firstLine="428"/>
        <w:spacing w:after="0" w:line="312" w:lineRule="auto"/>
        <w:rPr>
          <w:sz w:val="20"/>
          <w:szCs w:val="20"/>
          <w:color w:val="auto"/>
        </w:rPr>
      </w:pPr>
      <w:r>
        <w:rPr>
          <w:rFonts w:ascii="Arial" w:cs="Arial" w:eastAsia="Arial" w:hAnsi="Arial"/>
          <w:sz w:val="16"/>
          <w:szCs w:val="16"/>
          <w:color w:val="auto"/>
        </w:rPr>
        <w:t>The Company’s outstanding economic hedges had average maturities of 47 days and 53 days as of October 1, 2016, and July 2, 2016, respectively. Under the Company’s economic hedging policies, gains and losses on the derivative financial instruments are substantially offset by the gains and losses on the underlying assets or liabilities being hedged.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The Company is also currently subject to various pending and potential legal matters and investigations relating to compliance with governmental laws and regulations, including import/export and environmental matters. For certain of these matters it is not possible to determine the ultimate outcome, and the Company cannot reasonably estimate the maximum potential exposure or the range of possible loss for such matters due primarily to being in the preliminary stages of the related proceedings and investigations.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89" w:lineRule="exact"/>
        <w:rPr>
          <w:sz w:val="20"/>
          <w:szCs w:val="20"/>
          <w:color w:val="auto"/>
        </w:rPr>
      </w:pPr>
    </w:p>
    <w:p>
      <w:pPr>
        <w:jc w:val="both"/>
        <w:ind w:firstLine="428"/>
        <w:spacing w:after="0" w:line="312" w:lineRule="auto"/>
        <w:rPr>
          <w:sz w:val="20"/>
          <w:szCs w:val="20"/>
          <w:color w:val="auto"/>
        </w:rPr>
      </w:pPr>
      <w:r>
        <w:rPr>
          <w:rFonts w:ascii="Arial" w:cs="Arial" w:eastAsia="Arial" w:hAnsi="Arial"/>
          <w:sz w:val="16"/>
          <w:szCs w:val="16"/>
          <w:color w:val="auto"/>
        </w:rPr>
        <w:t>During the first quarter of fiscal 2017, the Company reached a final settlement related to the compliance investigation conducted by the Customs and Border Protection for potential unpaid import duties associated with the acquisition of Bell Microproducts Inc. for $8.5 million, which was accrued for in connection with the acquisition in fiscal 2011.</w:t>
      </w:r>
    </w:p>
    <w:p>
      <w:pPr>
        <w:spacing w:after="0" w:line="147" w:lineRule="exact"/>
        <w:rPr>
          <w:sz w:val="20"/>
          <w:szCs w:val="20"/>
          <w:color w:val="auto"/>
        </w:rPr>
      </w:pPr>
    </w:p>
    <w:p>
      <w:pPr>
        <w:jc w:val="both"/>
        <w:ind w:firstLine="428"/>
        <w:spacing w:after="0" w:line="308" w:lineRule="auto"/>
        <w:rPr>
          <w:sz w:val="20"/>
          <w:szCs w:val="20"/>
          <w:color w:val="auto"/>
        </w:rPr>
      </w:pPr>
      <w:r>
        <w:rPr>
          <w:rFonts w:ascii="Arial" w:cs="Arial" w:eastAsia="Arial" w:hAnsi="Arial"/>
          <w:sz w:val="17"/>
          <w:szCs w:val="17"/>
          <w:color w:val="auto"/>
        </w:rPr>
        <w:t>As of October 1, 2016, the Company had aggregate estimated liabilities of $11.7 million, classified within accrued expenses and other for such compliance-related matters that were reasonably estimable as of such dates.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effective tax rate on its income before income taxes from continuing operations was 23.8% in the first quarter of fiscal 2017 as compared with 25.4% in the first quarter of fiscal 2016. During the first quarters of fiscal 2017 and fiscal 2016, the Company’s effective tax rate was favorably impacted primarily by the mix of income in lower tax jurisdictions.</w:t>
      </w:r>
    </w:p>
    <w:p>
      <w:pPr>
        <w:spacing w:after="0" w:line="18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Included in income tax expense from discontinued operations in the first quarter of fiscal 2017 discussed further in Note 3, was $17.0 million of deferred tax expense associated with the establishment of a non-cash deferred tax liability. The establishment of such deferred tax liability was the result of the TS business being classified as held for sale, which impacted the Company’s historical assertion related to foreign earnings of TS business being permanently reinvested.</w:t>
      </w:r>
    </w:p>
    <w:p>
      <w:pPr>
        <w:spacing w:after="0" w:line="17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Company applies the guidance in ASC 740, which requires management to use its judgment for the appropriate weighting of all available evidence when assessing the need for the establishment or the release of valuation allowances. As part of this analysis, the Company examines all available evidence on a jurisdiction by jurisdiction basis and weighs the positive and negative evidence when determining the need for full or partial valuation allowances. The evidence considered for each jurisdiction includes, among other items: (i) the historic levels of income or losses over a range of time periods, which may extend beyond the most recent three fiscal years depending upon the historical volatility of income in an individual jurisdiction; (ii) expectations and risks associated with underlying estimates of future taxable income, including considering the historical trend of down-cycles in the semiconductor and related industries; (iii) jurisdictional specific limitations on the utilization of deferred tax assets including when such assets expire; and (iv) prudent and feasible tax planning strategies.</w:t>
      </w:r>
    </w:p>
    <w:p>
      <w:pPr>
        <w:spacing w:after="0" w:line="19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continues to evaluate the need for the valuation allowances against its deferred tax assets and will adjust valuation allowances as appropriate, which, if adjusted, could result in a significant decrease or increase to the effective tax rate in the period of the adjustment.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plan</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has a noncontributory defined benefit pension plan (the “Plan”) for which the components of net periodic pension costs were as follows (includes amounts related to discontinued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w w:val="93"/>
              </w:rPr>
              <w:t>First Quarters Ended</w:t>
            </w:r>
          </w:p>
        </w:tc>
      </w:tr>
      <w:tr>
        <w:trPr>
          <w:trHeight w:val="198"/>
        </w:trPr>
        <w:tc>
          <w:tcPr>
            <w:tcW w:w="48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October 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89"/>
              </w:rPr>
              <w:t>October 3,</w:t>
            </w:r>
          </w:p>
        </w:tc>
      </w:tr>
      <w:tr>
        <w:trPr>
          <w:trHeight w:val="241"/>
        </w:trPr>
        <w:tc>
          <w:tcPr>
            <w:tcW w:w="48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r>
      <w:tr>
        <w:trPr>
          <w:trHeight w:val="216"/>
        </w:trPr>
        <w:tc>
          <w:tcPr>
            <w:tcW w:w="4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5"/>
          </w:tcPr>
          <w:p>
            <w:pPr>
              <w:jc w:val="right"/>
              <w:ind w:right="430"/>
              <w:spacing w:after="0"/>
              <w:rPr>
                <w:sz w:val="20"/>
                <w:szCs w:val="20"/>
                <w:color w:val="auto"/>
              </w:rPr>
            </w:pPr>
            <w:r>
              <w:rPr>
                <w:rFonts w:ascii="Arial" w:cs="Arial" w:eastAsia="Arial" w:hAnsi="Arial"/>
                <w:sz w:val="18"/>
                <w:szCs w:val="18"/>
                <w:b w:val="1"/>
                <w:bCs w:val="1"/>
                <w:color w:val="auto"/>
              </w:rPr>
              <w:t>(Thousands)</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10,848</w:t>
            </w:r>
          </w:p>
        </w:tc>
        <w:tc>
          <w:tcPr>
            <w:tcW w:w="18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10,486</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Interest cost</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3,774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5,328</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(10,071)</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3,851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3,183</w:t>
            </w:r>
          </w:p>
        </w:tc>
      </w:tr>
      <w:tr>
        <w:trPr>
          <w:trHeight w:val="236"/>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prior service credits</w:t>
            </w:r>
          </w:p>
        </w:tc>
        <w:tc>
          <w:tcPr>
            <w:tcW w:w="2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10"/>
        </w:trPr>
        <w:tc>
          <w:tcPr>
            <w:tcW w:w="4840" w:type="dxa"/>
            <w:vAlign w:val="bottom"/>
          </w:tcPr>
          <w:p>
            <w:pPr>
              <w:ind w:left="120"/>
              <w:spacing w:after="0" w:line="203" w:lineRule="exact"/>
              <w:rPr>
                <w:sz w:val="20"/>
                <w:szCs w:val="20"/>
                <w:color w:val="auto"/>
              </w:rPr>
            </w:pPr>
            <w:r>
              <w:rPr>
                <w:rFonts w:ascii="Arial" w:cs="Arial" w:eastAsia="Arial" w:hAnsi="Arial"/>
                <w:sz w:val="18"/>
                <w:szCs w:val="18"/>
                <w:color w:val="auto"/>
              </w:rPr>
              <w:t>Net periodic pension cost</w:t>
            </w:r>
          </w:p>
        </w:tc>
        <w:tc>
          <w:tcPr>
            <w:tcW w:w="2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7,492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8,533</w:t>
            </w:r>
          </w:p>
        </w:tc>
      </w:tr>
    </w:tbl>
    <w:p>
      <w:pPr>
        <w:spacing w:after="0" w:line="202"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Company made contributions to the Plan of $20.0 million during the first quarter of fiscal 2017. The Company expects to make an additional contribution to the Plan of $20.0 million over the remaining three quarters of fiscal 2017.</w:t>
      </w:r>
    </w:p>
    <w:p>
      <w:pPr>
        <w:spacing w:after="0" w:line="14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Plan meets the definition of a defined benefit plan and as a result, the Company must apply ASC 715 pension accounting to the Plan. The Plan itself, however, is a cash balance plan that is similar in nature to a defined contribution plan in that a participant’s benefit is defined in terms of a stated account balance. A cash balance plan provides the Company with the benefit of applying any earnings on the Plan’s investments beyond the fixed return provided to participants, toward the Company’s future cash funding obligations.</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connection with the completion of the sale of the TS business discussed in Note 3, the Company expects to recognize an immaterial pension curtailment expense as a component of discontinued operations.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Amounts reclassified out of accumulated other comprehensive income (loss), net of tax, to operating expenses during the first quarters of fiscal 2017 and fiscal 2016 were not material and substantially all related to net periodic pension costs including recognition of actuarial losses and amortization of prior service credits.</w:t>
      </w:r>
    </w:p>
    <w:p>
      <w:pPr>
        <w:spacing w:after="0" w:line="177" w:lineRule="exact"/>
        <w:rPr>
          <w:sz w:val="20"/>
          <w:szCs w:val="20"/>
          <w:color w:val="auto"/>
        </w:rPr>
      </w:pPr>
    </w:p>
    <w:p>
      <w:pPr>
        <w:ind w:left="440" w:right="6700" w:hanging="437"/>
        <w:spacing w:after="0" w:line="566" w:lineRule="auto"/>
        <w:tabs>
          <w:tab w:leader="none" w:pos="282"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Shareholders’ equity </w:t>
      </w:r>
      <w:r>
        <w:rPr>
          <w:rFonts w:ascii="Arial" w:cs="Arial" w:eastAsia="Arial" w:hAnsi="Arial"/>
          <w:sz w:val="16"/>
          <w:szCs w:val="16"/>
          <w:i w:val="1"/>
          <w:iCs w:val="1"/>
          <w:color w:val="auto"/>
        </w:rPr>
        <w:t>Share repurchase program</w:t>
      </w:r>
    </w:p>
    <w:p>
      <w:pPr>
        <w:spacing w:after="0" w:line="1"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In August 2015, the Company’s Board of Directors amended the Company’s existing share repurchase program to authorize the repurchase of up to $1.25 billion of common stock in the open market or through privately negotiated transactions. The timing and actual number of shares repurchased will depend on a variety of factors such as share price, corporate and regulatory requirements, and prevailing market conditions. During the first quarter of fiscal 2017, the Company did not repurchase any shares under this program. Since the beginning of the repurchase program through the end of the first quarter of fiscal 2017, the Company has repurchased 31.4 million shares at an aggregate cost of $1.08 billion, and $174.9 million remains available for future repurchases.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Common stock dividend</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August 2016, the Company’s Board of Directors approved a dividend of $0.17 per common share and dividend payments of $21.7 million were made in September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Arial" w:cs="Arial" w:eastAsia="Arial" w:hAnsi="Arial"/>
                <w:sz w:val="18"/>
                <w:szCs w:val="18"/>
                <w:b w:val="1"/>
                <w:bCs w:val="1"/>
                <w:color w:val="auto"/>
              </w:rPr>
              <w:t>11. Earnings per share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5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First Quarters Ended</w:t>
            </w:r>
          </w:p>
        </w:tc>
        <w:tc>
          <w:tcPr>
            <w:tcW w:w="0" w:type="dxa"/>
            <w:vAlign w:val="bottom"/>
          </w:tcPr>
          <w:p>
            <w:pPr>
              <w:spacing w:after="0"/>
              <w:rPr>
                <w:sz w:val="1"/>
                <w:szCs w:val="1"/>
                <w:color w:val="auto"/>
              </w:rPr>
            </w:pPr>
          </w:p>
        </w:tc>
      </w:tr>
      <w:tr>
        <w:trPr>
          <w:trHeight w:val="198"/>
        </w:trPr>
        <w:tc>
          <w:tcPr>
            <w:tcW w:w="5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310"/>
              <w:spacing w:after="0" w:line="198" w:lineRule="exact"/>
              <w:rPr>
                <w:sz w:val="20"/>
                <w:szCs w:val="20"/>
                <w:color w:val="auto"/>
              </w:rPr>
            </w:pPr>
            <w:r>
              <w:rPr>
                <w:rFonts w:ascii="Arial" w:cs="Arial" w:eastAsia="Arial" w:hAnsi="Arial"/>
                <w:sz w:val="18"/>
                <w:szCs w:val="18"/>
                <w:b w:val="1"/>
                <w:bCs w:val="1"/>
                <w:color w:val="auto"/>
              </w:rPr>
              <w:t>October 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270"/>
              <w:spacing w:after="0" w:line="198" w:lineRule="exact"/>
              <w:rPr>
                <w:sz w:val="20"/>
                <w:szCs w:val="20"/>
                <w:color w:val="auto"/>
              </w:rPr>
            </w:pPr>
            <w:r>
              <w:rPr>
                <w:rFonts w:ascii="Arial" w:cs="Arial" w:eastAsia="Arial" w:hAnsi="Arial"/>
                <w:sz w:val="18"/>
                <w:szCs w:val="18"/>
                <w:b w:val="1"/>
                <w:bCs w:val="1"/>
                <w:color w:val="auto"/>
              </w:rPr>
              <w:t>October 3,</w:t>
            </w:r>
          </w:p>
        </w:tc>
        <w:tc>
          <w:tcPr>
            <w:tcW w:w="0" w:type="dxa"/>
            <w:vAlign w:val="bottom"/>
          </w:tcPr>
          <w:p>
            <w:pPr>
              <w:spacing w:after="0"/>
              <w:rPr>
                <w:sz w:val="1"/>
                <w:szCs w:val="1"/>
                <w:color w:val="auto"/>
              </w:rPr>
            </w:pPr>
          </w:p>
        </w:tc>
      </w:tr>
      <w:tr>
        <w:trPr>
          <w:trHeight w:val="241"/>
        </w:trPr>
        <w:tc>
          <w:tcPr>
            <w:tcW w:w="5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1"/>
              </w:rPr>
              <w:t>(Thousands, except per share data)</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income - continuing operations</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68,586</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110,988</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 discontinued operations</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19,266</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68,843</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130,254</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Weighted average common shares for basic earnings per share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127,531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133,783</w:t>
            </w:r>
          </w:p>
        </w:tc>
        <w:tc>
          <w:tcPr>
            <w:tcW w:w="0" w:type="dxa"/>
            <w:vAlign w:val="bottom"/>
          </w:tcPr>
          <w:p>
            <w:pPr>
              <w:spacing w:after="0"/>
              <w:rPr>
                <w:sz w:val="1"/>
                <w:szCs w:val="1"/>
                <w:color w:val="auto"/>
              </w:rPr>
            </w:pPr>
          </w:p>
        </w:tc>
      </w:tr>
      <w:tr>
        <w:trPr>
          <w:trHeight w:val="202"/>
        </w:trPr>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Net effect of dilutive stock options, restricted stock units and performance</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237"/>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units</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Weighted average common shares for diluted earnings per share</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129,763</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136,326</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 continuing operations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earnings per share - discontinued operations</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03"/>
        </w:trPr>
        <w:tc>
          <w:tcPr>
            <w:tcW w:w="5540" w:type="dxa"/>
            <w:vAlign w:val="bottom"/>
          </w:tcPr>
          <w:p>
            <w:pPr>
              <w:spacing w:after="0" w:line="203" w:lineRule="exact"/>
              <w:rPr>
                <w:sz w:val="20"/>
                <w:szCs w:val="20"/>
                <w:color w:val="auto"/>
              </w:rPr>
            </w:pPr>
            <w:r>
              <w:rPr>
                <w:rFonts w:ascii="Arial" w:cs="Arial" w:eastAsia="Arial" w:hAnsi="Arial"/>
                <w:sz w:val="18"/>
                <w:szCs w:val="18"/>
                <w:color w:val="auto"/>
              </w:rPr>
              <w:t>Diluted earnings per share - continuing operations</w:t>
            </w:r>
          </w:p>
        </w:tc>
        <w:tc>
          <w:tcPr>
            <w:tcW w:w="22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0.53</w:t>
            </w:r>
          </w:p>
        </w:tc>
        <w:tc>
          <w:tcPr>
            <w:tcW w:w="18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per share - discontinued operations</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Diluted earnings per share</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0.53</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188"/>
        </w:trPr>
        <w:tc>
          <w:tcPr>
            <w:tcW w:w="5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7"/>
              </w:rPr>
              <w:t>Stock options excluded from earnings per share calculation due to anti-</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428"/>
        <w:spacing w:after="0" w:line="277" w:lineRule="auto"/>
        <w:rPr>
          <w:sz w:val="20"/>
          <w:szCs w:val="20"/>
          <w:color w:val="auto"/>
        </w:rPr>
      </w:pPr>
      <w:r>
        <w:rPr>
          <w:rFonts w:ascii="Arial" w:cs="Arial" w:eastAsia="Arial" w:hAnsi="Arial"/>
          <w:sz w:val="18"/>
          <w:szCs w:val="18"/>
          <w:color w:val="auto"/>
        </w:rPr>
        <w:t>See Note 3 and Note 8 for additional information on net income from discontinued operations and the related income tax expense associated with discontinued operations.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12. Additional cash flow information</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5320" w:type="dxa"/>
            <w:vAlign w:val="bottom"/>
          </w:tcPr>
          <w:p>
            <w:pPr>
              <w:ind w:left="440"/>
              <w:spacing w:after="0"/>
              <w:rPr>
                <w:sz w:val="20"/>
                <w:szCs w:val="20"/>
                <w:color w:val="auto"/>
              </w:rPr>
            </w:pPr>
            <w:r>
              <w:rPr>
                <w:rFonts w:ascii="Arial" w:cs="Arial" w:eastAsia="Arial" w:hAnsi="Arial"/>
                <w:sz w:val="18"/>
                <w:szCs w:val="18"/>
                <w:color w:val="auto"/>
              </w:rPr>
              <w:t>Interest and income taxes paid were as follows:</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66"/>
        </w:trPr>
        <w:tc>
          <w:tcPr>
            <w:tcW w:w="5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r>
      <w:tr>
        <w:trPr>
          <w:trHeight w:val="198"/>
        </w:trPr>
        <w:tc>
          <w:tcPr>
            <w:tcW w:w="5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89"/>
              </w:rPr>
              <w:t>October 1,</w:t>
            </w:r>
          </w:p>
        </w:tc>
        <w:tc>
          <w:tcPr>
            <w:tcW w:w="220" w:type="dxa"/>
            <w:vAlign w:val="bottom"/>
          </w:tcPr>
          <w:p>
            <w:pPr>
              <w:spacing w:after="0"/>
              <w:rPr>
                <w:sz w:val="17"/>
                <w:szCs w:val="17"/>
                <w:color w:val="auto"/>
              </w:rPr>
            </w:pPr>
          </w:p>
        </w:tc>
        <w:tc>
          <w:tcPr>
            <w:tcW w:w="92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89"/>
              </w:rPr>
              <w:t>October 3,</w:t>
            </w:r>
          </w:p>
        </w:tc>
      </w:tr>
      <w:tr>
        <w:trPr>
          <w:trHeight w:val="241"/>
        </w:trPr>
        <w:tc>
          <w:tcPr>
            <w:tcW w:w="5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r>
      <w:tr>
        <w:trPr>
          <w:trHeight w:val="216"/>
        </w:trPr>
        <w:tc>
          <w:tcPr>
            <w:tcW w:w="5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(Thousands)</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19,250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24,205</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Income taxes</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16,336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10,143</w:t>
            </w:r>
          </w:p>
        </w:tc>
      </w:tr>
    </w:tbl>
    <w:p>
      <w:pPr>
        <w:spacing w:after="0" w:line="18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 includes book overdrafts as part of accounts payable on its consolidated balance sheets and reflects changes in such balances as part of cash flows from operating activities in its consolidated statements of cash flows.</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Non-cash investing activities related to purchases of property, plant and equipment that have been accrued, but not paid for, were $11.1 million and $18.7 million as of October 1, 2016, and October 3, 2015, respectively.</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Included in cash and cash equivalents as of October 1, 2016, was $11.3 million of cash equivalents, which was primarily comprised of overnight time deposits whose fair value was determined using Level 1 measurements under the ASC 820 fair value hierarchy.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2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Electronics Marketing (“EM”) and Technology Solutions (“TS”) are the Company’s reportable segments (“operating groups”). EM markets and sells semiconductors and interconnect, passive and electromechanical devices and embedded products to a diverse customer base serving many end-markets. TS focuses on the value-added distribution of enterprise computing servers and systems, software, storage, services and complex solutions from the world’s foremost technology manufacturers and software developers. TS also provides the latest hard disk drives, microprocessor, motherboard and DRAM module technologies to manufacturers of general-purpose computers and system builders.</w:t>
      </w:r>
    </w:p>
    <w:p>
      <w:pPr>
        <w:spacing w:after="0" w:line="16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At the beginning of fiscal 2017, in alignment with Avnet’s goal to build a global embedded solutions business, the Company transferred a portion of its embedded computing solutions business to EM from TS. As a result of this change, sales, operating income and assets previously reported in the TS operating group in fiscal 2016 will be included within the EM operating group in fiscal 2017. The Company does not view the amount of sales, operating income, or assets of such transferred operations to be a material change to the composition of its operating groups for financial reporting purposes. Sales of approximately $129.4 million related to such transferred operations reported in the TS operating group in the first quarter of fiscal 2016 have been reflected within EM in the tables below for comparability between fiscal years. The transfer of such operations between operating groups did not impact the determination of the Company’s operating groups or its previously reported consolidated financial results.</w:t>
      </w:r>
    </w:p>
    <w:p>
      <w:pPr>
        <w:spacing w:after="0" w:line="18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discussed further in Note 3, the Company entered into a definitive agreement to sell the TS operating group during the first quarter of fiscal 2017. Although the TS operating group is classified as a discontinued operation in this Quarterly Report on Form 10-Q, the Company still owns and operates the TS operating group. As a result, the Company has not changed its reportable segments or its historical measures of segment results and profitability as of October 1, 2016. In connection with the planned sale and discontinued operation classification of the TS operating group, the Company has included the estimated Corporate expenses specific to or benefiting the TS operating group as a component of discontinued operations.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8"/>
              </w:rPr>
              <w:t>First Quarters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October 1,</w:t>
            </w: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October 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(Thousands)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Arial" w:cs="Arial" w:eastAsia="Arial" w:hAnsi="Arial"/>
                <w:sz w:val="18"/>
                <w:szCs w:val="18"/>
                <w:color w:val="auto"/>
              </w:rPr>
              <w:t>Electronics Marketing (continuing operations)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4,173,405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4,600,802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Technology Solutions (discontinued operations)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1,866,901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2,368,892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(expense):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Arial" w:cs="Arial" w:eastAsia="Arial" w:hAnsi="Arial"/>
                <w:sz w:val="18"/>
                <w:szCs w:val="18"/>
                <w:color w:val="auto"/>
              </w:rPr>
              <w:t>Electronics Marketing (continuing operations)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186,528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213,031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Technology Solutions (discontinued operations)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Arial" w:cs="Arial" w:eastAsia="Arial" w:hAnsi="Arial"/>
                <w:sz w:val="18"/>
                <w:szCs w:val="18"/>
                <w:color w:val="auto"/>
              </w:rPr>
              <w:t>Corporate - continuing operations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(23,600)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(32,058)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 discontinued operations</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193,102</w:t>
            </w: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240,411</w:t>
            </w: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integration and other expenses - continuing operations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Restructuring, integration and other expenses - discontinued operations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(4,224)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acquired intangible assets and other - continuing operations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w w:val="99"/>
              </w:rPr>
              <w:t>Amortization of acquired intangible assets and other - discontinued operations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(4,493)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Less: TS discontinued operations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tcPr>
          <w:p>
            <w:pPr>
              <w:spacing w:after="0" w:line="203" w:lineRule="exact"/>
              <w:rPr>
                <w:sz w:val="20"/>
                <w:szCs w:val="20"/>
                <w:color w:val="auto"/>
              </w:rPr>
            </w:pPr>
            <w:r>
              <w:rPr>
                <w:rFonts w:ascii="Arial" w:cs="Arial" w:eastAsia="Arial" w:hAnsi="Arial"/>
                <w:sz w:val="18"/>
                <w:szCs w:val="18"/>
                <w:color w:val="auto"/>
              </w:rPr>
              <w:t>Operating Income</w:t>
            </w:r>
          </w:p>
        </w:tc>
        <w:tc>
          <w:tcPr>
            <w:tcW w:w="560" w:type="dxa"/>
            <w:vAlign w:val="bottom"/>
          </w:tcPr>
          <w:p>
            <w:pPr>
              <w:spacing w:after="0"/>
              <w:rPr>
                <w:sz w:val="18"/>
                <w:szCs w:val="18"/>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130,991</w:t>
            </w:r>
          </w:p>
        </w:tc>
        <w:tc>
          <w:tcPr>
            <w:tcW w:w="300" w:type="dxa"/>
            <w:vAlign w:val="bottom"/>
          </w:tcPr>
          <w:p>
            <w:pPr>
              <w:spacing w:after="0"/>
              <w:rPr>
                <w:sz w:val="18"/>
                <w:szCs w:val="18"/>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169,987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Sales, by geographic area:</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8"/>
                <w:szCs w:val="8"/>
                <w:color w:val="auto"/>
              </w:rPr>
              <w:t>(1)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2,349,343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2,773,943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6200" w:type="dxa"/>
            <w:vAlign w:val="bottom"/>
            <w:gridSpan w:val="2"/>
          </w:tcPr>
          <w:p>
            <w:pPr>
              <w:jc w:val="right"/>
              <w:ind w:right="1490"/>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4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758"/>
        </w:trPr>
        <w:tc>
          <w:tcPr>
            <w:tcW w:w="1280" w:type="dxa"/>
            <w:vAlign w:val="bottom"/>
            <w:tcBorders>
              <w:top w:val="single" w:sz="8" w:color="0563C1"/>
            </w:tcBorders>
          </w:tcPr>
          <w:p>
            <w:pPr>
              <w:spacing w:after="0"/>
              <w:rPr>
                <w:sz w:val="24"/>
                <w:szCs w:val="24"/>
                <w:color w:val="auto"/>
              </w:rPr>
            </w:pPr>
          </w:p>
        </w:tc>
        <w:tc>
          <w:tcPr>
            <w:tcW w:w="1480" w:type="dxa"/>
            <w:vAlign w:val="bottom"/>
          </w:tcPr>
          <w:p>
            <w:pPr>
              <w:spacing w:after="0"/>
              <w:rPr>
                <w:sz w:val="24"/>
                <w:szCs w:val="24"/>
                <w:color w:val="auto"/>
              </w:rPr>
            </w:pPr>
          </w:p>
        </w:tc>
        <w:tc>
          <w:tcPr>
            <w:tcW w:w="4920" w:type="dxa"/>
            <w:vAlign w:val="bottom"/>
            <w:gridSpan w:val="2"/>
          </w:tcPr>
          <w:p>
            <w:pPr>
              <w:jc w:val="right"/>
              <w:ind w:right="1645"/>
              <w:spacing w:after="0"/>
              <w:rPr>
                <w:sz w:val="20"/>
                <w:szCs w:val="20"/>
                <w:color w:val="auto"/>
              </w:rPr>
            </w:pPr>
            <w:r>
              <w:rPr>
                <w:rFonts w:ascii="Arial" w:cs="Arial" w:eastAsia="Arial" w:hAnsi="Arial"/>
                <w:sz w:val="18"/>
                <w:szCs w:val="18"/>
                <w:b w:val="1"/>
                <w:bCs w:val="1"/>
                <w:color w:val="auto"/>
              </w:rPr>
              <w:t>AVNET, INC. AND SUBSIDIARIES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400" w:type="dxa"/>
            <w:vAlign w:val="bottom"/>
            <w:gridSpan w:val="3"/>
          </w:tcPr>
          <w:p>
            <w:pPr>
              <w:jc w:val="right"/>
              <w:ind w:right="145"/>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2760" w:type="dxa"/>
            <w:vAlign w:val="bottom"/>
            <w:gridSpan w:val="2"/>
          </w:tcPr>
          <w:p>
            <w:pPr>
              <w:ind w:left="12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8"/>
                <w:szCs w:val="8"/>
                <w:color w:val="auto"/>
              </w:rPr>
              <w:t>(2)</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1,845,550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2,015,219</w:t>
            </w:r>
          </w:p>
        </w:tc>
        <w:tc>
          <w:tcPr>
            <w:tcW w:w="160" w:type="dxa"/>
            <w:vAlign w:val="bottom"/>
          </w:tcPr>
          <w:p>
            <w:pPr>
              <w:spacing w:after="0"/>
              <w:rPr>
                <w:sz w:val="24"/>
                <w:szCs w:val="24"/>
                <w:color w:val="auto"/>
              </w:rPr>
            </w:pPr>
          </w:p>
        </w:tc>
      </w:tr>
      <w:tr>
        <w:trPr>
          <w:trHeight w:val="236"/>
        </w:trPr>
        <w:tc>
          <w:tcPr>
            <w:tcW w:w="2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xml:space="preserve">Asia/Pacific </w:t>
            </w:r>
            <w:r>
              <w:rPr>
                <w:rFonts w:ascii="Arial" w:cs="Arial" w:eastAsia="Arial" w:hAnsi="Arial"/>
                <w:sz w:val="8"/>
                <w:szCs w:val="8"/>
                <w:color w:val="auto"/>
              </w:rPr>
              <w:t>(3)</w:t>
            </w:r>
          </w:p>
        </w:tc>
        <w:tc>
          <w:tcPr>
            <w:tcW w:w="4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1,845,413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2,180,532</w:t>
            </w:r>
          </w:p>
        </w:tc>
        <w:tc>
          <w:tcPr>
            <w:tcW w:w="160" w:type="dxa"/>
            <w:vAlign w:val="bottom"/>
            <w:shd w:val="clear" w:color="auto" w:fill="CCEEFF"/>
          </w:tcPr>
          <w:p>
            <w:pPr>
              <w:spacing w:after="0"/>
              <w:rPr>
                <w:sz w:val="20"/>
                <w:szCs w:val="20"/>
                <w:color w:val="auto"/>
              </w:rPr>
            </w:pPr>
          </w:p>
        </w:tc>
      </w:tr>
      <w:tr>
        <w:trPr>
          <w:trHeight w:val="210"/>
        </w:trPr>
        <w:tc>
          <w:tcPr>
            <w:tcW w:w="276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Less: TS discontinued operations</w:t>
            </w:r>
          </w:p>
        </w:tc>
        <w:tc>
          <w:tcPr>
            <w:tcW w:w="40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1,866,901</w:t>
            </w:r>
          </w:p>
        </w:tc>
        <w:tc>
          <w:tcPr>
            <w:tcW w:w="3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2,368,892</w:t>
            </w:r>
          </w:p>
        </w:tc>
        <w:tc>
          <w:tcPr>
            <w:tcW w:w="160" w:type="dxa"/>
            <w:vAlign w:val="bottom"/>
            <w:tcBorders>
              <w:top w:val="single" w:sz="8" w:color="CCEEFF"/>
              <w:bottom w:val="single" w:sz="8" w:color="CCEEFF"/>
            </w:tcBorders>
          </w:tcPr>
          <w:p>
            <w:pPr>
              <w:spacing w:after="0"/>
              <w:rPr>
                <w:sz w:val="18"/>
                <w:szCs w:val="18"/>
                <w:color w:val="auto"/>
              </w:rPr>
            </w:pPr>
          </w:p>
        </w:tc>
      </w:tr>
      <w:tr>
        <w:trPr>
          <w:trHeight w:val="237"/>
        </w:trPr>
        <w:tc>
          <w:tcPr>
            <w:tcW w:w="2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40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8"/>
              </w:rPr>
              <w:t xml:space="preserve">$ </w:t>
            </w:r>
            <w:r>
              <w:rPr>
                <w:rFonts w:ascii="Arial" w:cs="Arial" w:eastAsia="Arial" w:hAnsi="Arial"/>
                <w:sz w:val="18"/>
                <w:szCs w:val="18"/>
                <w:color w:val="auto"/>
                <w:w w:val="88"/>
              </w:rPr>
              <w:t>4,173,405</w:t>
            </w: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$ 4,600,802</w:t>
            </w:r>
          </w:p>
        </w:tc>
        <w:tc>
          <w:tcPr>
            <w:tcW w:w="160" w:type="dxa"/>
            <w:vAlign w:val="bottom"/>
            <w:tcBorders>
              <w:bottom w:val="single" w:sz="8" w:color="CCEEFF"/>
            </w:tcBorders>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20" w:hanging="317"/>
        <w:spacing w:after="0" w:line="277" w:lineRule="auto"/>
        <w:tabs>
          <w:tab w:leader="none" w:pos="263" w:val="left"/>
        </w:tabs>
        <w:numPr>
          <w:ilvl w:val="0"/>
          <w:numId w:val="4"/>
        </w:numPr>
        <w:rPr>
          <w:rFonts w:ascii="Arial" w:cs="Arial" w:eastAsia="Arial" w:hAnsi="Arial"/>
          <w:sz w:val="9"/>
          <w:szCs w:val="9"/>
          <w:color w:val="auto"/>
        </w:rPr>
      </w:pPr>
      <w:r>
        <w:rPr>
          <w:rFonts w:ascii="Arial" w:cs="Arial" w:eastAsia="Arial" w:hAnsi="Arial"/>
          <w:sz w:val="18"/>
          <w:szCs w:val="18"/>
          <w:color w:val="auto"/>
        </w:rPr>
        <w:t>Includes sales from the United States of $2.14 billion and $2.52 billion for the quarters ended October 1, 2016, and October 3, 2015, respectively.</w:t>
      </w:r>
    </w:p>
    <w:p>
      <w:pPr>
        <w:spacing w:after="0" w:line="170" w:lineRule="exact"/>
        <w:rPr>
          <w:rFonts w:ascii="Arial" w:cs="Arial" w:eastAsia="Arial" w:hAnsi="Arial"/>
          <w:sz w:val="9"/>
          <w:szCs w:val="9"/>
          <w:color w:val="auto"/>
        </w:rPr>
      </w:pPr>
    </w:p>
    <w:p>
      <w:pPr>
        <w:jc w:val="both"/>
        <w:ind w:left="320" w:hanging="317"/>
        <w:spacing w:after="0" w:line="264" w:lineRule="auto"/>
        <w:tabs>
          <w:tab w:leader="none" w:pos="263" w:val="left"/>
        </w:tabs>
        <w:numPr>
          <w:ilvl w:val="0"/>
          <w:numId w:val="4"/>
        </w:numPr>
        <w:rPr>
          <w:rFonts w:ascii="Arial" w:cs="Arial" w:eastAsia="Arial" w:hAnsi="Arial"/>
          <w:sz w:val="9"/>
          <w:szCs w:val="9"/>
          <w:color w:val="auto"/>
        </w:rPr>
      </w:pPr>
      <w:r>
        <w:rPr>
          <w:rFonts w:ascii="Arial" w:cs="Arial" w:eastAsia="Arial" w:hAnsi="Arial"/>
          <w:sz w:val="18"/>
          <w:szCs w:val="18"/>
          <w:color w:val="auto"/>
        </w:rPr>
        <w:t>Includes sales from Germany and the United Kingdom of $762.2 million and $254.7 million, respectively, for the quarter ended October 1, 2016. Includes sales from Germany and the United Kingdom of $800.6 million and $340.6 million, respectively, for the quarter ended October 3, 2015.</w:t>
      </w:r>
    </w:p>
    <w:p>
      <w:pPr>
        <w:spacing w:after="0" w:line="181" w:lineRule="exact"/>
        <w:rPr>
          <w:rFonts w:ascii="Arial" w:cs="Arial" w:eastAsia="Arial" w:hAnsi="Arial"/>
          <w:sz w:val="9"/>
          <w:szCs w:val="9"/>
          <w:color w:val="auto"/>
        </w:rPr>
      </w:pPr>
    </w:p>
    <w:p>
      <w:pPr>
        <w:jc w:val="both"/>
        <w:ind w:left="320" w:hanging="317"/>
        <w:spacing w:after="0" w:line="264" w:lineRule="auto"/>
        <w:tabs>
          <w:tab w:leader="none" w:pos="263" w:val="left"/>
        </w:tabs>
        <w:numPr>
          <w:ilvl w:val="0"/>
          <w:numId w:val="4"/>
        </w:numPr>
        <w:rPr>
          <w:rFonts w:ascii="Arial" w:cs="Arial" w:eastAsia="Arial" w:hAnsi="Arial"/>
          <w:sz w:val="9"/>
          <w:szCs w:val="9"/>
          <w:color w:val="auto"/>
        </w:rPr>
      </w:pPr>
      <w:r>
        <w:rPr>
          <w:rFonts w:ascii="Arial" w:cs="Arial" w:eastAsia="Arial" w:hAnsi="Arial"/>
          <w:sz w:val="18"/>
          <w:szCs w:val="18"/>
          <w:color w:val="auto"/>
        </w:rPr>
        <w:t>Includes sales from China (including Hong Kong) and Taiwan of $668.7 million and $589.5 million, respectively, for the quarter ended October 1, 2016. Includes sales from China (including Hong Kong) and Taiwan of $714.5 million and $822.1 million, respectively, for the quarter ended October 3, 2015.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5"/>
          </w:tcPr>
          <w:p>
            <w:pPr>
              <w:jc w:val="right"/>
              <w:ind w:right="650"/>
              <w:spacing w:after="0"/>
              <w:rPr>
                <w:sz w:val="20"/>
                <w:szCs w:val="20"/>
                <w:color w:val="auto"/>
              </w:rPr>
            </w:pPr>
            <w:r>
              <w:rPr>
                <w:rFonts w:ascii="Arial" w:cs="Arial" w:eastAsia="Arial" w:hAnsi="Arial"/>
                <w:sz w:val="18"/>
                <w:szCs w:val="18"/>
                <w:b w:val="1"/>
                <w:bCs w:val="1"/>
                <w:color w:val="auto"/>
              </w:rPr>
              <w:t>(Thousands)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Electronics Marketing</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7,037,730</w:t>
            </w:r>
          </w:p>
        </w:tc>
        <w:tc>
          <w:tcPr>
            <w:tcW w:w="2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7,234,008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Technology Solutions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3,131,587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3,397,029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Corporate</w:t>
            </w:r>
          </w:p>
        </w:tc>
        <w:tc>
          <w:tcPr>
            <w:tcW w:w="1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876,806</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608,768</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11,046,123</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11,239,805</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 by geographic area:</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8"/>
                <w:szCs w:val="8"/>
                <w:color w:val="auto"/>
              </w:rPr>
              <w:t>(1)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414,141</w:t>
            </w:r>
          </w:p>
        </w:tc>
        <w:tc>
          <w:tcPr>
            <w:tcW w:w="2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404,992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8"/>
                <w:szCs w:val="8"/>
                <w:color w:val="auto"/>
              </w:rPr>
              <w:t>(2)</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179,624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Asia/Pacific</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30,750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TS discontinued operations</w:t>
            </w:r>
          </w:p>
        </w:tc>
        <w:tc>
          <w:tcPr>
            <w:tcW w:w="1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153,194</w:t>
            </w: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159,449</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00" w:type="dxa"/>
            <w:vAlign w:val="bottom"/>
            <w:gridSpan w:val="2"/>
          </w:tcPr>
          <w:p>
            <w:pPr>
              <w:spacing w:after="0" w:line="203" w:lineRule="exact"/>
              <w:rPr>
                <w:sz w:val="20"/>
                <w:szCs w:val="20"/>
                <w:color w:val="auto"/>
              </w:rPr>
            </w:pPr>
            <w:r>
              <w:rPr>
                <w:rFonts w:ascii="Arial" w:cs="Arial" w:eastAsia="Arial" w:hAnsi="Arial"/>
                <w:sz w:val="18"/>
                <w:szCs w:val="18"/>
                <w:color w:val="auto"/>
              </w:rPr>
              <w:t>Property, plant, and equipment, net,</w:t>
            </w:r>
          </w:p>
        </w:tc>
        <w:tc>
          <w:tcPr>
            <w:tcW w:w="126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471,321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453,209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20" w:hanging="317"/>
        <w:spacing w:after="0" w:line="277" w:lineRule="auto"/>
        <w:tabs>
          <w:tab w:leader="none" w:pos="263" w:val="left"/>
        </w:tabs>
        <w:numPr>
          <w:ilvl w:val="0"/>
          <w:numId w:val="5"/>
        </w:numPr>
        <w:rPr>
          <w:rFonts w:ascii="Arial" w:cs="Arial" w:eastAsia="Arial" w:hAnsi="Arial"/>
          <w:sz w:val="18"/>
          <w:szCs w:val="18"/>
          <w:color w:val="auto"/>
          <w:vertAlign w:val="superscript"/>
        </w:rPr>
      </w:pPr>
      <w:r>
        <w:rPr>
          <w:rFonts w:ascii="Arial" w:cs="Arial" w:eastAsia="Arial" w:hAnsi="Arial"/>
          <w:sz w:val="18"/>
          <w:szCs w:val="18"/>
          <w:color w:val="auto"/>
        </w:rPr>
        <w:t>Includes property, plant and equipment, net, of $404.3 million and $395.0 million as of October 1, 2016, and July 2, 2016, respectively, in the United States.</w:t>
      </w:r>
    </w:p>
    <w:p>
      <w:pPr>
        <w:spacing w:after="0" w:line="170" w:lineRule="exact"/>
        <w:rPr>
          <w:rFonts w:ascii="Arial" w:cs="Arial" w:eastAsia="Arial" w:hAnsi="Arial"/>
          <w:sz w:val="18"/>
          <w:szCs w:val="18"/>
          <w:color w:val="auto"/>
          <w:vertAlign w:val="superscript"/>
        </w:rPr>
      </w:pPr>
    </w:p>
    <w:p>
      <w:pPr>
        <w:ind w:left="320" w:hanging="317"/>
        <w:spacing w:after="0" w:line="308" w:lineRule="auto"/>
        <w:tabs>
          <w:tab w:leader="none" w:pos="263" w:val="left"/>
        </w:tabs>
        <w:numPr>
          <w:ilvl w:val="0"/>
          <w:numId w:val="5"/>
        </w:numPr>
        <w:rPr>
          <w:rFonts w:ascii="Arial" w:cs="Arial" w:eastAsia="Arial" w:hAnsi="Arial"/>
          <w:sz w:val="17"/>
          <w:szCs w:val="17"/>
          <w:color w:val="auto"/>
          <w:vertAlign w:val="superscript"/>
        </w:rPr>
      </w:pPr>
      <w:r>
        <w:rPr>
          <w:rFonts w:ascii="Arial" w:cs="Arial" w:eastAsia="Arial" w:hAnsi="Arial"/>
          <w:sz w:val="17"/>
          <w:szCs w:val="17"/>
          <w:color w:val="auto"/>
        </w:rPr>
        <w:t>Includes property, plant and equipment, net, of $79.6 million and $69.4 million in Germany and Belgium, respectively, as of October 1, 2016, and $76.4 million and $69.8 million in Germany and Belgium, respectively, as of July 2, 2016.</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ind w:left="440" w:right="5460" w:hanging="437"/>
        <w:spacing w:after="0" w:line="503" w:lineRule="auto"/>
        <w:tabs>
          <w:tab w:leader="none" w:pos="28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Restructuring, integration and other expenses </w:t>
      </w:r>
      <w:r>
        <w:rPr>
          <w:rFonts w:ascii="Arial" w:cs="Arial" w:eastAsia="Arial" w:hAnsi="Arial"/>
          <w:sz w:val="18"/>
          <w:szCs w:val="18"/>
          <w:i w:val="1"/>
          <w:iCs w:val="1"/>
          <w:color w:val="auto"/>
        </w:rPr>
        <w:t>Fiscal 2017</w:t>
      </w:r>
    </w:p>
    <w:p>
      <w:pPr>
        <w:spacing w:after="0" w:line="1" w:lineRule="exact"/>
        <w:rPr>
          <w:sz w:val="20"/>
          <w:szCs w:val="20"/>
          <w:color w:val="auto"/>
        </w:rPr>
      </w:pPr>
    </w:p>
    <w:p>
      <w:pPr>
        <w:jc w:val="both"/>
        <w:ind w:right="200" w:firstLine="432"/>
        <w:spacing w:after="0" w:line="302" w:lineRule="auto"/>
        <w:rPr>
          <w:sz w:val="20"/>
          <w:szCs w:val="20"/>
          <w:color w:val="auto"/>
        </w:rPr>
      </w:pPr>
      <w:r>
        <w:rPr>
          <w:rFonts w:ascii="Arial" w:cs="Arial" w:eastAsia="Arial" w:hAnsi="Arial"/>
          <w:sz w:val="16"/>
          <w:szCs w:val="16"/>
          <w:color w:val="auto"/>
        </w:rPr>
        <w:t>During the first quarter of fiscal 2017, the Company took certain actions in an effort to reduce future operating expenses including actions related to the Avnet Advantage, which is an initiative focused on creating long-term operational efficiencies. In addition, the Company incurred integration, acquisition/divestiture and other costs as discussed further below. The following table presents the restructuring, integration and other expenses recorded during the first quarter of fiscal 2017: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Quarter Ended</w:t>
            </w:r>
          </w:p>
        </w:tc>
      </w:tr>
      <w:tr>
        <w:trPr>
          <w:trHeight w:val="241"/>
        </w:trPr>
        <w:tc>
          <w:tcPr>
            <w:tcW w:w="7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October 1, 2016</w:t>
            </w:r>
          </w:p>
        </w:tc>
      </w:tr>
      <w:tr>
        <w:trPr>
          <w:trHeight w:val="198"/>
        </w:trPr>
        <w:tc>
          <w:tcPr>
            <w:tcW w:w="7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89"/>
              </w:rPr>
              <w:t>(Thousands,</w:t>
            </w:r>
          </w:p>
        </w:tc>
        <w:tc>
          <w:tcPr>
            <w:tcW w:w="120" w:type="dxa"/>
            <w:vAlign w:val="bottom"/>
          </w:tcPr>
          <w:p>
            <w:pPr>
              <w:spacing w:after="0"/>
              <w:rPr>
                <w:sz w:val="17"/>
                <w:szCs w:val="17"/>
                <w:color w:val="auto"/>
              </w:rPr>
            </w:pPr>
          </w:p>
        </w:tc>
      </w:tr>
      <w:tr>
        <w:trPr>
          <w:trHeight w:val="216"/>
        </w:trPr>
        <w:tc>
          <w:tcPr>
            <w:tcW w:w="7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6"/>
              </w:rPr>
              <w:t>except per share</w:t>
            </w:r>
          </w:p>
        </w:tc>
      </w:tr>
      <w:tr>
        <w:trPr>
          <w:trHeight w:val="234"/>
        </w:trPr>
        <w:tc>
          <w:tcPr>
            <w:tcW w:w="7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data)</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14,988</w:t>
            </w:r>
          </w:p>
        </w:tc>
        <w:tc>
          <w:tcPr>
            <w:tcW w:w="12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Integration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2,533</w:t>
            </w:r>
          </w:p>
        </w:tc>
        <w:tc>
          <w:tcPr>
            <w:tcW w:w="12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divestiture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9,418</w:t>
            </w:r>
          </w:p>
        </w:tc>
        <w:tc>
          <w:tcPr>
            <w:tcW w:w="12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Other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7,696</w:t>
            </w:r>
          </w:p>
        </w:tc>
        <w:tc>
          <w:tcPr>
            <w:tcW w:w="120" w:type="dxa"/>
            <w:vAlign w:val="bottom"/>
          </w:tcPr>
          <w:p>
            <w:pPr>
              <w:spacing w:after="0"/>
              <w:rPr>
                <w:sz w:val="18"/>
                <w:szCs w:val="18"/>
                <w:color w:val="auto"/>
              </w:rPr>
            </w:pPr>
          </w:p>
        </w:tc>
      </w:tr>
      <w:tr>
        <w:trPr>
          <w:trHeight w:val="236"/>
        </w:trPr>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estimates for prior year restructuring liabilities</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03"/>
        </w:trPr>
        <w:tc>
          <w:tcPr>
            <w:tcW w:w="7540" w:type="dxa"/>
            <w:vAlign w:val="bottom"/>
          </w:tcPr>
          <w:p>
            <w:pPr>
              <w:ind w:left="120"/>
              <w:spacing w:after="0" w:line="203" w:lineRule="exact"/>
              <w:rPr>
                <w:sz w:val="20"/>
                <w:szCs w:val="20"/>
                <w:color w:val="auto"/>
              </w:rPr>
            </w:pPr>
            <w:r>
              <w:rPr>
                <w:rFonts w:ascii="Arial" w:cs="Arial" w:eastAsia="Arial" w:hAnsi="Arial"/>
                <w:sz w:val="18"/>
                <w:szCs w:val="18"/>
                <w:color w:val="auto"/>
              </w:rPr>
              <w:t>Restructuring, integration and other expenses before tax</w:t>
            </w: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33,693</w:t>
            </w:r>
          </w:p>
        </w:tc>
        <w:tc>
          <w:tcPr>
            <w:tcW w:w="120" w:type="dxa"/>
            <w:vAlign w:val="bottom"/>
          </w:tcPr>
          <w:p>
            <w:pPr>
              <w:spacing w:after="0"/>
              <w:rPr>
                <w:sz w:val="17"/>
                <w:szCs w:val="17"/>
                <w:color w:val="auto"/>
              </w:rPr>
            </w:pPr>
          </w:p>
        </w:tc>
      </w:tr>
      <w:tr>
        <w:trPr>
          <w:trHeight w:val="236"/>
        </w:trPr>
        <w:tc>
          <w:tcPr>
            <w:tcW w:w="7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Restructuring, integration and other expenses - discontinued operations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20" w:type="dxa"/>
            <w:vAlign w:val="bottom"/>
            <w:shd w:val="clear" w:color="auto" w:fill="CCEEFF"/>
          </w:tcPr>
          <w:p>
            <w:pPr>
              <w:spacing w:after="0"/>
              <w:rPr>
                <w:sz w:val="20"/>
                <w:szCs w:val="20"/>
                <w:color w:val="auto"/>
              </w:rPr>
            </w:pPr>
          </w:p>
        </w:tc>
      </w:tr>
      <w:tr>
        <w:trPr>
          <w:trHeight w:val="210"/>
        </w:trPr>
        <w:tc>
          <w:tcPr>
            <w:tcW w:w="7540" w:type="dxa"/>
            <w:vAlign w:val="bottom"/>
            <w:tcBorders>
              <w:top w:val="single" w:sz="8" w:color="CCEEFF"/>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Restructuring, integration and other expenses before tax - continuing operations</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29,469</w:t>
            </w:r>
          </w:p>
        </w:tc>
        <w:tc>
          <w:tcPr>
            <w:tcW w:w="120" w:type="dxa"/>
            <w:vAlign w:val="bottom"/>
            <w:tcBorders>
              <w:top w:val="single" w:sz="8" w:color="CCEEFF"/>
              <w:bottom w:val="single" w:sz="8" w:color="CCEEFF"/>
            </w:tcBorders>
          </w:tcPr>
          <w:p>
            <w:pPr>
              <w:spacing w:after="0"/>
              <w:rPr>
                <w:sz w:val="18"/>
                <w:szCs w:val="18"/>
                <w:color w:val="auto"/>
              </w:rPr>
            </w:pPr>
          </w:p>
        </w:tc>
      </w:tr>
      <w:tr>
        <w:trPr>
          <w:trHeight w:val="236"/>
        </w:trPr>
        <w:tc>
          <w:tcPr>
            <w:tcW w:w="7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Restructuring, integration and other expenses after tax - continuing operations</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20,223</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10"/>
        </w:trPr>
        <w:tc>
          <w:tcPr>
            <w:tcW w:w="7540" w:type="dxa"/>
            <w:vAlign w:val="bottom"/>
          </w:tcPr>
          <w:p>
            <w:pPr>
              <w:ind w:left="120"/>
              <w:spacing w:after="0" w:line="203" w:lineRule="exact"/>
              <w:rPr>
                <w:sz w:val="20"/>
                <w:szCs w:val="20"/>
                <w:color w:val="auto"/>
              </w:rPr>
            </w:pPr>
            <w:r>
              <w:rPr>
                <w:rFonts w:ascii="Arial" w:cs="Arial" w:eastAsia="Arial" w:hAnsi="Arial"/>
                <w:sz w:val="18"/>
                <w:szCs w:val="18"/>
                <w:color w:val="auto"/>
              </w:rPr>
              <w:t>Restructuring, integration and other expenses per share on a diluted basis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0.16</w:t>
            </w:r>
          </w:p>
        </w:tc>
        <w:tc>
          <w:tcPr>
            <w:tcW w:w="120" w:type="dxa"/>
            <w:vAlign w:val="bottom"/>
          </w:tcPr>
          <w:p>
            <w:pPr>
              <w:spacing w:after="0"/>
              <w:rPr>
                <w:sz w:val="18"/>
                <w:szCs w:val="18"/>
                <w:color w:val="auto"/>
              </w:rPr>
            </w:pPr>
          </w:p>
        </w:tc>
      </w:tr>
    </w:tbl>
    <w:p>
      <w:pPr>
        <w:spacing w:after="0" w:line="202" w:lineRule="exact"/>
        <w:rPr>
          <w:sz w:val="20"/>
          <w:szCs w:val="20"/>
          <w:color w:val="auto"/>
        </w:rPr>
      </w:pPr>
    </w:p>
    <w:p>
      <w:pPr>
        <w:jc w:val="both"/>
        <w:ind w:right="200" w:firstLine="432"/>
        <w:spacing w:after="0" w:line="277" w:lineRule="auto"/>
        <w:rPr>
          <w:sz w:val="20"/>
          <w:szCs w:val="20"/>
          <w:color w:val="auto"/>
        </w:rPr>
      </w:pPr>
      <w:r>
        <w:rPr>
          <w:rFonts w:ascii="Arial" w:cs="Arial" w:eastAsia="Arial" w:hAnsi="Arial"/>
          <w:sz w:val="18"/>
          <w:szCs w:val="18"/>
          <w:color w:val="auto"/>
        </w:rPr>
        <w:t>The activity related to the restructuring liabilities established and other associated expenses incurred during fiscal 2017 is presented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Facility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Asset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41"/>
        </w:trPr>
        <w:tc>
          <w:tcPr>
            <w:tcW w:w="3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Severance</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Exit Costs</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3"/>
              </w:rPr>
              <w:t>Impairments</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Total</w:t>
            </w:r>
          </w:p>
        </w:tc>
      </w:tr>
      <w:tr>
        <w:trPr>
          <w:trHeight w:val="216"/>
        </w:trPr>
        <w:tc>
          <w:tcPr>
            <w:tcW w:w="3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b w:val="1"/>
                <w:bCs w:val="1"/>
                <w:color w:val="auto"/>
                <w:w w:val="98"/>
              </w:rPr>
              <w:t>(Thousands)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Fiscal 2017 restructuring expenses</w:t>
            </w: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14,988</w:t>
            </w: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Cash payments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(4,296)</w:t>
            </w: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amounts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7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principally foreign currency translation</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1, 2016</w:t>
            </w:r>
          </w:p>
        </w:tc>
        <w:tc>
          <w:tcPr>
            <w:tcW w:w="3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9,416</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10,696</w:t>
            </w:r>
          </w:p>
        </w:tc>
      </w:tr>
    </w:tbl>
    <w:p>
      <w:pPr>
        <w:spacing w:after="0" w:line="202" w:lineRule="exact"/>
        <w:rPr>
          <w:sz w:val="20"/>
          <w:szCs w:val="20"/>
          <w:color w:val="auto"/>
        </w:rPr>
      </w:pPr>
    </w:p>
    <w:p>
      <w:pPr>
        <w:jc w:val="both"/>
        <w:ind w:right="200" w:firstLine="432"/>
        <w:spacing w:after="0" w:line="291" w:lineRule="auto"/>
        <w:rPr>
          <w:sz w:val="20"/>
          <w:szCs w:val="20"/>
          <w:color w:val="auto"/>
        </w:rPr>
      </w:pPr>
      <w:r>
        <w:rPr>
          <w:rFonts w:ascii="Arial" w:cs="Arial" w:eastAsia="Arial" w:hAnsi="Arial"/>
          <w:sz w:val="16"/>
          <w:szCs w:val="16"/>
          <w:color w:val="auto"/>
        </w:rPr>
        <w:t>Severance expense recorded in the first quarter of fiscal 2017 related to the reduction, or planned reduction, of over 100 employees, primarily in senior management, operations, sales and business support functions. Facility exit costs primarily consist of liabilities for remaining lease obligations for exited facilities. Asset impairments relate to the impairment (if any) of property, plant and equipment as a result of the underlying restructuring activities. Other restructuring costs related primarily to other miscellaneous restructuring and exit costs. Of the $15.0 million in restructuring expenses recorded during the first quarter of fiscal 2017, $6.6 million related to EM, $3.2 million related to TS, and $5.2 million related to Corporate. The Company expects the majority of the remaining severance and facility exit costs to be paid by the end of fiscal 2017.</w:t>
      </w:r>
    </w:p>
    <w:p>
      <w:pPr>
        <w:spacing w:after="0" w:line="200" w:lineRule="exact"/>
        <w:rPr>
          <w:sz w:val="20"/>
          <w:szCs w:val="20"/>
          <w:color w:val="auto"/>
        </w:rPr>
      </w:pPr>
    </w:p>
    <w:p>
      <w:pPr>
        <w:spacing w:after="0" w:line="39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60"/>
          </w:cols>
          <w:pgMar w:left="1420" w:top="125" w:right="12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right="180" w:firstLine="432"/>
        <w:spacing w:after="0" w:line="272" w:lineRule="auto"/>
        <w:rPr>
          <w:sz w:val="20"/>
          <w:szCs w:val="20"/>
          <w:color w:val="auto"/>
        </w:rPr>
      </w:pPr>
      <w:r>
        <w:rPr>
          <w:rFonts w:ascii="Arial" w:cs="Arial" w:eastAsia="Arial" w:hAnsi="Arial"/>
          <w:sz w:val="17"/>
          <w:szCs w:val="17"/>
          <w:color w:val="auto"/>
        </w:rPr>
        <w:t>Integration costs are primarily related to the integration of acquired businesses, the integration of certain regional and global businesses including Avnet after the TS divestiture, the integration of significant information technology systems, and incremental costs incurred as part of the consolidation, relocation and closure of warehouse and office facilities. Integration costs include certain consulting costs for significant new information technology systems and business operation integration assistance, facility moving costs, legal fees, travel, meeting, training, marketing and communication costs that are specifically and incrementally incurred as a result of such integration activities. Also included in integration costs are incremental salary costs specific to integration, consolidation and closure activities.</w:t>
      </w:r>
    </w:p>
    <w:p>
      <w:pPr>
        <w:spacing w:after="0" w:line="178" w:lineRule="exact"/>
        <w:rPr>
          <w:sz w:val="20"/>
          <w:szCs w:val="20"/>
          <w:color w:val="auto"/>
        </w:rPr>
      </w:pPr>
    </w:p>
    <w:p>
      <w:pPr>
        <w:jc w:val="both"/>
        <w:ind w:right="180" w:firstLine="432"/>
        <w:spacing w:after="0" w:line="308" w:lineRule="auto"/>
        <w:rPr>
          <w:sz w:val="20"/>
          <w:szCs w:val="20"/>
          <w:color w:val="auto"/>
        </w:rPr>
      </w:pPr>
      <w:r>
        <w:rPr>
          <w:rFonts w:ascii="Arial" w:cs="Arial" w:eastAsia="Arial" w:hAnsi="Arial"/>
          <w:sz w:val="17"/>
          <w:szCs w:val="17"/>
          <w:color w:val="auto"/>
        </w:rPr>
        <w:t>Acquisition/divestiture costs consist primarily of professional fees and other costs incurred related to the acquisition, divestiture and closure of businesses including the acquisition of PF and the planned divestiture of TS.</w:t>
      </w:r>
    </w:p>
    <w:p>
      <w:pPr>
        <w:spacing w:after="0" w:line="147" w:lineRule="exact"/>
        <w:rPr>
          <w:sz w:val="20"/>
          <w:szCs w:val="20"/>
          <w:color w:val="auto"/>
        </w:rPr>
      </w:pPr>
    </w:p>
    <w:p>
      <w:pPr>
        <w:jc w:val="both"/>
        <w:ind w:right="180" w:firstLine="432"/>
        <w:spacing w:after="0" w:line="273" w:lineRule="auto"/>
        <w:rPr>
          <w:sz w:val="20"/>
          <w:szCs w:val="20"/>
          <w:color w:val="auto"/>
        </w:rPr>
      </w:pPr>
      <w:r>
        <w:rPr>
          <w:rFonts w:ascii="Arial" w:cs="Arial" w:eastAsia="Arial" w:hAnsi="Arial"/>
          <w:sz w:val="17"/>
          <w:szCs w:val="17"/>
          <w:color w:val="auto"/>
        </w:rPr>
        <w:t>Other costs consist primarily of any ongoing facilities operating costs associated with the consolidation, relocation and closure of facilities once such facilities have been vacated or substantially vacated, and other miscellaneous costs that relate to restructuring, integration and other expenses. Included in other costs during the first quarter of fiscal 2017 was $6.4 million of expense associated with the settlement of lawsuits associated with operations of an acquired business prior to Avnet’s acquisition in fiscal 2013. The remaining integration and other costs incurred in the first quarter of fiscal 2017 were comprised of many different costs, none of which were individually material.</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2016</w:t>
      </w:r>
    </w:p>
    <w:p>
      <w:pPr>
        <w:spacing w:after="0" w:line="225" w:lineRule="exact"/>
        <w:rPr>
          <w:sz w:val="20"/>
          <w:szCs w:val="20"/>
          <w:color w:val="auto"/>
        </w:rPr>
      </w:pPr>
    </w:p>
    <w:p>
      <w:pPr>
        <w:jc w:val="both"/>
        <w:ind w:right="180" w:firstLine="432"/>
        <w:spacing w:after="0" w:line="259" w:lineRule="auto"/>
        <w:rPr>
          <w:sz w:val="20"/>
          <w:szCs w:val="20"/>
          <w:color w:val="auto"/>
        </w:rPr>
      </w:pPr>
      <w:r>
        <w:rPr>
          <w:rFonts w:ascii="Arial" w:cs="Arial" w:eastAsia="Arial" w:hAnsi="Arial"/>
          <w:sz w:val="18"/>
          <w:szCs w:val="18"/>
          <w:color w:val="auto"/>
        </w:rPr>
        <w:t>During fiscal 2016, the Company incurred restructuring expenses related to various restructuring actions intended to achieve planned synergies from acquired businesses and to reduce future operating expenses. The following table presents the activity during the first three months of fiscal 2017 related to the remaining restructuring liabilities established during fiscal 2016:</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Facility</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41"/>
        </w:trPr>
        <w:tc>
          <w:tcPr>
            <w:tcW w:w="4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4"/>
              </w:rPr>
              <w:t>Severance</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9"/>
              </w:rPr>
              <w:t>Exit Costs</w:t>
            </w: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Other</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Total</w:t>
            </w:r>
          </w:p>
        </w:tc>
      </w:tr>
      <w:tr>
        <w:trPr>
          <w:trHeight w:val="216"/>
        </w:trPr>
        <w:tc>
          <w:tcPr>
            <w:tcW w:w="4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(Thousands)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2, 2016</w:t>
            </w:r>
          </w:p>
        </w:tc>
        <w:tc>
          <w:tcPr>
            <w:tcW w:w="13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14,221</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223</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18,537</w:t>
            </w:r>
          </w:p>
        </w:tc>
      </w:tr>
      <w:tr>
        <w:trPr>
          <w:trHeight w:val="216"/>
        </w:trPr>
        <w:tc>
          <w:tcPr>
            <w:tcW w:w="4560" w:type="dxa"/>
            <w:vAlign w:val="bottom"/>
          </w:tcPr>
          <w:p>
            <w:pPr>
              <w:ind w:left="120"/>
              <w:spacing w:after="0"/>
              <w:rPr>
                <w:sz w:val="20"/>
                <w:szCs w:val="20"/>
                <w:color w:val="auto"/>
              </w:rPr>
            </w:pPr>
            <w:r>
              <w:rPr>
                <w:rFonts w:ascii="Arial" w:cs="Arial" w:eastAsia="Arial" w:hAnsi="Arial"/>
                <w:sz w:val="18"/>
                <w:szCs w:val="18"/>
                <w:color w:val="auto"/>
              </w:rPr>
              <w:t>Cash payments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(46)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(6,320)</w:t>
            </w:r>
          </w:p>
        </w:tc>
      </w:tr>
      <w:tr>
        <w:trPr>
          <w:trHeight w:val="216"/>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estimates, net</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16"/>
        </w:trPr>
        <w:tc>
          <w:tcPr>
            <w:tcW w:w="4560" w:type="dxa"/>
            <w:vAlign w:val="bottom"/>
          </w:tcPr>
          <w:p>
            <w:pPr>
              <w:ind w:left="120"/>
              <w:spacing w:after="0"/>
              <w:rPr>
                <w:sz w:val="20"/>
                <w:szCs w:val="20"/>
                <w:color w:val="auto"/>
              </w:rPr>
            </w:pPr>
            <w:r>
              <w:rPr>
                <w:rFonts w:ascii="Arial" w:cs="Arial" w:eastAsia="Arial" w:hAnsi="Arial"/>
                <w:sz w:val="18"/>
                <w:szCs w:val="18"/>
                <w:color w:val="auto"/>
              </w:rPr>
              <w:t>Non-cash amounts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(60)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6"/>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principally foreign currency translation</w:t>
            </w: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45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at October 1, 2016</w:t>
            </w: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8,095</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3,390</w:t>
            </w: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124</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11,609</w:t>
            </w:r>
          </w:p>
        </w:tc>
      </w:tr>
    </w:tbl>
    <w:p>
      <w:pPr>
        <w:spacing w:after="0" w:line="202" w:lineRule="exact"/>
        <w:rPr>
          <w:sz w:val="20"/>
          <w:szCs w:val="20"/>
          <w:color w:val="auto"/>
        </w:rPr>
      </w:pPr>
    </w:p>
    <w:p>
      <w:pPr>
        <w:jc w:val="both"/>
        <w:ind w:right="180" w:firstLine="428"/>
        <w:spacing w:after="0" w:line="277" w:lineRule="auto"/>
        <w:rPr>
          <w:sz w:val="20"/>
          <w:szCs w:val="20"/>
          <w:color w:val="auto"/>
        </w:rPr>
      </w:pPr>
      <w:r>
        <w:rPr>
          <w:rFonts w:ascii="Arial" w:cs="Arial" w:eastAsia="Arial" w:hAnsi="Arial"/>
          <w:sz w:val="18"/>
          <w:szCs w:val="18"/>
          <w:color w:val="auto"/>
        </w:rPr>
        <w:t>As of October 1, 2016, the Company expects the majority of the remaining severance and facility exit cost liabilities to be paid by the end of fiscal 2017.</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2015 and prior</w:t>
      </w:r>
    </w:p>
    <w:p>
      <w:pPr>
        <w:spacing w:after="0" w:line="225" w:lineRule="exact"/>
        <w:rPr>
          <w:sz w:val="20"/>
          <w:szCs w:val="20"/>
          <w:color w:val="auto"/>
        </w:rPr>
      </w:pPr>
    </w:p>
    <w:p>
      <w:pPr>
        <w:jc w:val="both"/>
        <w:ind w:right="180" w:firstLine="432"/>
        <w:spacing w:after="0" w:line="286" w:lineRule="auto"/>
        <w:rPr>
          <w:sz w:val="20"/>
          <w:szCs w:val="20"/>
          <w:color w:val="auto"/>
        </w:rPr>
      </w:pPr>
      <w:r>
        <w:rPr>
          <w:rFonts w:ascii="Arial" w:cs="Arial" w:eastAsia="Arial" w:hAnsi="Arial"/>
          <w:sz w:val="17"/>
          <w:szCs w:val="17"/>
          <w:color w:val="auto"/>
        </w:rPr>
        <w:t>As of July 2, 2016, there were $7.5 million of restructuring liabilities remaining related to restructuring actions taken in fiscal years 2015 and prior, the majority of which relates to facility exit costs. The remaining balance for such historical restructuring actions as of October 1, 2016, was $6.1 million, which is expected to be paid by the end of fiscal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40"/>
          </w:cols>
          <w:pgMar w:left="1420" w:top="125" w:right="12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For a description of the Company’s critical accounting policies and an understanding of the significant factors that influenced the Company’s performance during the quarter ended October 1, 2016, this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w:t>
      </w:r>
      <w:r>
        <w:rPr>
          <w:rFonts w:ascii="Arial" w:cs="Arial" w:eastAsia="Arial" w:hAnsi="Arial"/>
          <w:sz w:val="18"/>
          <w:szCs w:val="18"/>
          <w:color w:val="auto"/>
        </w:rPr>
        <w:t>(“MD&amp;A”) should be read in conjunction with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including the related notes, appearing in Item 1 of this Report, as well as the Company’s Annual Report on Form 10-K for the fiscal year ended July 2, 2016. The Company operates on a “52/53 week” fiscal year and fiscal 2017 contains 52 weeks compared to 53 weeks in fiscal 2016. As a result, the first quarter of fiscal 2017 contained 13 weeks and the first quarter of fiscal 2016 contained 14 weeks. This extra week impacts the year-over-year analysis for the first quarter of fiscal 2017 in this MD&amp;A.</w:t>
      </w:r>
    </w:p>
    <w:p>
      <w:pPr>
        <w:spacing w:after="0" w:line="19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There are references to the impact of foreign currency translation in the discussion of the Company’s results of operations. When the U.S. Dollar strengthens and the stronger exchange rates of the current year are used to translate the results of operations of Avnet’s subsidiaries denominated in foreign currencies, the resulting impact is a decrease in U.S. Dollars of reported results. Conversely, when the U.S. Dollar weakens and the weaker exchange rates of the current year are used to translate the results of operations of Avnet’s subsidiaries denominated in foreign currencies, the resulting impact is an increase in U.S. Dollars of reported results. In the discussion that follows, results excluding this impact, primarily for subsidiaries in Europe, the Middle East and Africa (“EMEA”) and Asia/Pacific, are referred to as “excluding the translation impact of changes in foreign currency exchange rates” or “constant currency.”</w:t>
      </w:r>
    </w:p>
    <w:p>
      <w:pPr>
        <w:spacing w:after="0" w:line="17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In addition to disclosing financial results that are determined in accordance with generally accepted accounting principles in the U.S. (“GAAP”), the Company also discloses certain non-GAAP financial information, including:</w:t>
      </w:r>
    </w:p>
    <w:p>
      <w:pPr>
        <w:spacing w:after="0" w:line="147" w:lineRule="exact"/>
        <w:rPr>
          <w:sz w:val="20"/>
          <w:szCs w:val="20"/>
          <w:color w:val="auto"/>
        </w:rPr>
      </w:pPr>
    </w:p>
    <w:p>
      <w:pPr>
        <w:jc w:val="both"/>
        <w:ind w:left="500" w:hanging="79"/>
        <w:spacing w:after="0" w:line="259"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income or expense items excluding the translation impact of changes in foreign currency exchange rates for subsidiaries reporting in currencies other than the U.S. Dollar by adjusting the average exchange rates used in the current period to be consistent with the average exchange rates in effect during the comparative period, as discussed above.</w:t>
      </w:r>
    </w:p>
    <w:p>
      <w:pPr>
        <w:spacing w:after="0" w:line="186" w:lineRule="exact"/>
        <w:rPr>
          <w:rFonts w:ascii="Arial" w:cs="Arial" w:eastAsia="Arial" w:hAnsi="Arial"/>
          <w:sz w:val="18"/>
          <w:szCs w:val="18"/>
          <w:color w:val="auto"/>
        </w:rPr>
      </w:pPr>
    </w:p>
    <w:p>
      <w:pPr>
        <w:jc w:val="both"/>
        <w:ind w:left="500" w:hanging="79"/>
        <w:spacing w:after="0" w:line="276"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Sales adjusted for certain items that impact the year-over-year analysis, which includes the impact of certain acquisitions by adjusting Avnet’s prior periods to include the sales of acquired businesses, as if the acquisitions had occurred at the beginning of the earliest period presented. In addition, fiscal 2016 sales are adjusted for the estimated impact of the extra week of sales in the first quarter of fiscal 2016 due to it being a 14-week quarter, as discussed above. Sales taking into account these adjustments are referred to as “organic sales.”</w:t>
      </w:r>
    </w:p>
    <w:p>
      <w:pPr>
        <w:spacing w:after="0" w:line="172" w:lineRule="exact"/>
        <w:rPr>
          <w:rFonts w:ascii="Arial" w:cs="Arial" w:eastAsia="Arial" w:hAnsi="Arial"/>
          <w:sz w:val="17"/>
          <w:szCs w:val="17"/>
          <w:color w:val="auto"/>
        </w:rPr>
      </w:pPr>
    </w:p>
    <w:p>
      <w:pPr>
        <w:jc w:val="both"/>
        <w:ind w:left="500" w:hanging="79"/>
        <w:spacing w:after="0" w:line="255"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Operating income excluding (i) restructuring, integration and other expenses (see </w:t>
      </w:r>
      <w:r>
        <w:rPr>
          <w:rFonts w:ascii="Arial" w:cs="Arial" w:eastAsia="Arial" w:hAnsi="Arial"/>
          <w:sz w:val="18"/>
          <w:szCs w:val="18"/>
          <w:i w:val="1"/>
          <w:iCs w:val="1"/>
          <w:color w:val="auto"/>
        </w:rPr>
        <w:t>Restructuring, Integration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in this MD&amp;A), and (ii) amortization of acquired intangible assets and other. Operating income</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such amounts is referred to as “adjusted operating income from continuing operations.” Adjusted operating income from continuing operations excludes the TS operating group, which is reported as a discontinued operation in fiscal 2017, and includes the impact of the embedded computing solutions business transfer to EM from TS in all periods presented.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reconciliation of operating income to adjusted operating income from continuing operations is presented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8"/>
                <w:szCs w:val="18"/>
                <w:b w:val="1"/>
                <w:bCs w:val="1"/>
                <w:color w:val="auto"/>
                <w:w w:val="96"/>
              </w:rPr>
              <w:t>First Quarters Ended</w:t>
            </w:r>
          </w:p>
        </w:tc>
      </w:tr>
      <w:tr>
        <w:trPr>
          <w:trHeight w:val="198"/>
        </w:trPr>
        <w:tc>
          <w:tcPr>
            <w:tcW w:w="5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20" w:type="dxa"/>
            <w:vAlign w:val="bottom"/>
            <w:gridSpan w:val="3"/>
          </w:tcPr>
          <w:p>
            <w:pPr>
              <w:ind w:left="60"/>
              <w:spacing w:after="0" w:line="198" w:lineRule="exact"/>
              <w:rPr>
                <w:sz w:val="20"/>
                <w:szCs w:val="20"/>
                <w:color w:val="auto"/>
              </w:rPr>
            </w:pPr>
            <w:r>
              <w:rPr>
                <w:rFonts w:ascii="Arial" w:cs="Arial" w:eastAsia="Arial" w:hAnsi="Arial"/>
                <w:sz w:val="18"/>
                <w:szCs w:val="18"/>
                <w:b w:val="1"/>
                <w:bCs w:val="1"/>
                <w:color w:val="auto"/>
              </w:rPr>
              <w:t>October 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87"/>
              </w:rPr>
              <w:t>October 3,</w:t>
            </w:r>
          </w:p>
        </w:tc>
      </w:tr>
      <w:tr>
        <w:trPr>
          <w:trHeight w:val="241"/>
        </w:trPr>
        <w:tc>
          <w:tcPr>
            <w:tcW w:w="5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r>
      <w:tr>
        <w:trPr>
          <w:trHeight w:val="216"/>
        </w:trPr>
        <w:tc>
          <w:tcPr>
            <w:tcW w:w="5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5"/>
          </w:tcPr>
          <w:p>
            <w:pPr>
              <w:jc w:val="right"/>
              <w:ind w:right="490"/>
              <w:spacing w:after="0"/>
              <w:rPr>
                <w:sz w:val="20"/>
                <w:szCs w:val="20"/>
                <w:color w:val="auto"/>
              </w:rPr>
            </w:pPr>
            <w:r>
              <w:rPr>
                <w:rFonts w:ascii="Arial" w:cs="Arial" w:eastAsia="Arial" w:hAnsi="Arial"/>
                <w:sz w:val="18"/>
                <w:szCs w:val="18"/>
                <w:b w:val="1"/>
                <w:bCs w:val="1"/>
                <w:color w:val="auto"/>
              </w:rPr>
              <w:t>(Thousands)</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130,991</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169,987</w:t>
            </w:r>
          </w:p>
        </w:tc>
      </w:tr>
      <w:tr>
        <w:trPr>
          <w:trHeight w:val="216"/>
        </w:trPr>
        <w:tc>
          <w:tcPr>
            <w:tcW w:w="5460" w:type="dxa"/>
            <w:vAlign w:val="bottom"/>
          </w:tcPr>
          <w:p>
            <w:pPr>
              <w:ind w:left="120"/>
              <w:spacing w:after="0"/>
              <w:rPr>
                <w:sz w:val="20"/>
                <w:szCs w:val="20"/>
                <w:color w:val="auto"/>
              </w:rPr>
            </w:pPr>
            <w:r>
              <w:rPr>
                <w:rFonts w:ascii="Arial" w:cs="Arial" w:eastAsia="Arial" w:hAnsi="Arial"/>
                <w:sz w:val="18"/>
                <w:szCs w:val="18"/>
                <w:color w:val="auto"/>
              </w:rPr>
              <w:t>Restructuring, integration and other expenses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29,469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12,518</w:t>
            </w:r>
          </w:p>
        </w:tc>
      </w:tr>
      <w:tr>
        <w:trPr>
          <w:trHeight w:val="236"/>
        </w:trPr>
        <w:tc>
          <w:tcPr>
            <w:tcW w:w="5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 of acquired intangible assets and other</w:t>
            </w:r>
          </w:p>
        </w:tc>
        <w:tc>
          <w:tcPr>
            <w:tcW w:w="14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w:t>
            </w:r>
          </w:p>
        </w:tc>
      </w:tr>
      <w:tr>
        <w:trPr>
          <w:trHeight w:val="210"/>
        </w:trPr>
        <w:tc>
          <w:tcPr>
            <w:tcW w:w="5460" w:type="dxa"/>
            <w:vAlign w:val="bottom"/>
          </w:tcPr>
          <w:p>
            <w:pPr>
              <w:spacing w:after="0" w:line="203" w:lineRule="exact"/>
              <w:rPr>
                <w:sz w:val="20"/>
                <w:szCs w:val="20"/>
                <w:color w:val="auto"/>
              </w:rPr>
            </w:pPr>
            <w:r>
              <w:rPr>
                <w:rFonts w:ascii="Arial" w:cs="Arial" w:eastAsia="Arial" w:hAnsi="Arial"/>
                <w:sz w:val="18"/>
                <w:szCs w:val="18"/>
                <w:color w:val="auto"/>
              </w:rPr>
              <w:t>Adjusted operating income from continuing operations</w:t>
            </w:r>
          </w:p>
        </w:tc>
        <w:tc>
          <w:tcPr>
            <w:tcW w:w="148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162,838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185,353</w:t>
            </w:r>
          </w:p>
        </w:tc>
      </w:tr>
    </w:tbl>
    <w:p>
      <w:pPr>
        <w:spacing w:after="0" w:line="20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Management believes that providing this additional information is useful to the readers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Avnet, Inc., incorporated in New York in 1955, together with its consolidated subsidiaries (the “Company” or “Avnet”), is a global value-added distributor of electronic components, enterprise computer, networking and storage products and software, IT solutions and services and embedded subsystems. Avnet creates a vital link in the technology supply chain that connects the world’s leading electronic component and computer product manufacturers and software developers with a global customer base of original equipment manufacturers, electronic manufacturing services providers, original design manufacturers, systems integrators, independent software vendors and value-added resellers. Avnet distributes electronic components, computer products and software, as received from its suppliers or through a customized solution, and offers assembly and other value-added services.</w:t>
      </w:r>
    </w:p>
    <w:p>
      <w:pPr>
        <w:spacing w:after="0" w:line="1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Avnet’s two operating groups - EM and TS - have operations in each of the three major economic regions of the world: the Americas; EMEA; and Asia/Pacific, consisting of Asia, Australia and New Zealand (“Asia”). A summary of each operating group is provided in Note 13, “Segment information” to the Company's consolidated financial statements included in this Quarterly Report on Form 10-Q.</w:t>
      </w:r>
    </w:p>
    <w:p>
      <w:pPr>
        <w:spacing w:after="0" w:line="18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September 2016, the Company entered into a definitive agreement to sell the TS operating group as discussed further in Note 3, “Discontinued operations” to the Company’s consolidated financial statements included in this Quarterly Report on Form 10-Q. The Company expects to complete the sale of TS during the third or fourth quarter of its fiscal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The below discussion of results of operations, unless otherwise noted, is focused on Avnet’s results from continuing operations, which is primarily comprised of the EM operating group. Results of operations from continuing operations also includes the impact of the embedded computing solutions business transfer to EM from TS in all periods presented. The TS operating group and its results of operations are classified as discontinued operations.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Sales for the first quarter of fiscal 2017 were $4.17 billion, as compared to the first quarter of fiscal 2016 sales of $4.60 billion. Organic sales decreased 3.0% year over year and 3.4% in constant currency.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Gross profit margin of 12.6 % increased 35 basis points compared to the first quarter of fiscal 2016.</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Operating income margin was 3.1% in the first quarter of fiscal 2017 as compared with 3.7% in the first quarter of fiscal 2016. Adjusted operating income margin from continuing operations was 3.9% in the first quarter of fiscal 2017 as compared to 4.0% in the first quarter of fiscal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tables present the reconciliation of reported sales to organic sales for the first quarter of fiscal 2016. Sales of Avnet or the EM operating group are sales from continuing operations. Sales for the TS operating group are classified within discontinued operations in the consolidated statements of operations.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3"/>
              </w:rPr>
              <w:t>First Quarter Ended</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2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jc w:val="center"/>
              <w:ind w:right="210"/>
              <w:spacing w:after="0" w:line="198" w:lineRule="exact"/>
              <w:rPr>
                <w:sz w:val="20"/>
                <w:szCs w:val="20"/>
                <w:color w:val="auto"/>
              </w:rPr>
            </w:pPr>
            <w:r>
              <w:rPr>
                <w:rFonts w:ascii="Arial" w:cs="Arial" w:eastAsia="Arial" w:hAnsi="Arial"/>
                <w:sz w:val="18"/>
                <w:szCs w:val="18"/>
                <w:b w:val="1"/>
                <w:bCs w:val="1"/>
                <w:color w:val="auto"/>
                <w:w w:val="89"/>
              </w:rPr>
              <w:t xml:space="preserve">Acquisitions </w:t>
            </w:r>
            <w:r>
              <w:rPr>
                <w:rFonts w:ascii="Arial" w:cs="Arial" w:eastAsia="Arial" w:hAnsi="Arial"/>
                <w:sz w:val="8"/>
                <w:szCs w:val="8"/>
                <w:b w:val="1"/>
                <w:bCs w:val="1"/>
                <w:color w:val="auto"/>
                <w:w w:val="89"/>
              </w:rPr>
              <w:t>(1)</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Reported -</w:t>
            </w:r>
          </w:p>
        </w:tc>
        <w:tc>
          <w:tcPr>
            <w:tcW w:w="360" w:type="dxa"/>
            <w:vAlign w:val="bottom"/>
          </w:tcPr>
          <w:p>
            <w:pPr>
              <w:spacing w:after="0"/>
              <w:rPr>
                <w:sz w:val="18"/>
                <w:szCs w:val="18"/>
                <w:color w:val="auto"/>
              </w:rPr>
            </w:pPr>
          </w:p>
        </w:tc>
        <w:tc>
          <w:tcPr>
            <w:tcW w:w="192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&amp; Estimated Extra</w:t>
            </w:r>
          </w:p>
        </w:tc>
        <w:tc>
          <w:tcPr>
            <w:tcW w:w="32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Organic Sales -</w:t>
            </w:r>
          </w:p>
        </w:tc>
      </w:tr>
      <w:tr>
        <w:trPr>
          <w:trHeight w:val="241"/>
        </w:trPr>
        <w:tc>
          <w:tcPr>
            <w:tcW w:w="2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w w:val="95"/>
              </w:rPr>
              <w:t>Fiscal 2016</w:t>
            </w:r>
          </w:p>
        </w:tc>
        <w:tc>
          <w:tcPr>
            <w:tcW w:w="360" w:type="dxa"/>
            <w:vAlign w:val="bottom"/>
          </w:tcPr>
          <w:p>
            <w:pPr>
              <w:spacing w:after="0"/>
              <w:rPr>
                <w:sz w:val="20"/>
                <w:szCs w:val="20"/>
                <w:color w:val="auto"/>
              </w:rPr>
            </w:pPr>
          </w:p>
        </w:tc>
        <w:tc>
          <w:tcPr>
            <w:tcW w:w="192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 xml:space="preserve">Week of Sales </w:t>
            </w:r>
            <w:r>
              <w:rPr>
                <w:rFonts w:ascii="Arial" w:cs="Arial" w:eastAsia="Arial" w:hAnsi="Arial"/>
                <w:sz w:val="8"/>
                <w:szCs w:val="8"/>
                <w:b w:val="1"/>
                <w:bCs w:val="1"/>
                <w:color w:val="auto"/>
                <w:w w:val="88"/>
              </w:rPr>
              <w:t>(2)</w:t>
            </w:r>
          </w:p>
        </w:tc>
        <w:tc>
          <w:tcPr>
            <w:tcW w:w="32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Fiscal 2016</w:t>
            </w:r>
          </w:p>
        </w:tc>
      </w:tr>
      <w:tr>
        <w:trPr>
          <w:trHeight w:val="216"/>
        </w:trPr>
        <w:tc>
          <w:tcPr>
            <w:tcW w:w="2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 (continuing operations)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4,600,802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(300,000)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4,300,802</w:t>
            </w:r>
          </w:p>
        </w:tc>
        <w:tc>
          <w:tcPr>
            <w:tcW w:w="160" w:type="dxa"/>
            <w:vAlign w:val="bottom"/>
            <w:shd w:val="clear" w:color="auto" w:fill="CCEEFF"/>
          </w:tcPr>
          <w:p>
            <w:pPr>
              <w:spacing w:after="0"/>
              <w:rPr>
                <w:sz w:val="18"/>
                <w:szCs w:val="18"/>
                <w:color w:val="auto"/>
              </w:rPr>
            </w:pPr>
          </w:p>
        </w:tc>
      </w:tr>
      <w:tr>
        <w:trPr>
          <w:trHeight w:val="216"/>
        </w:trPr>
        <w:tc>
          <w:tcPr>
            <w:tcW w:w="2820" w:type="dxa"/>
            <w:vAlign w:val="bottom"/>
          </w:tcPr>
          <w:p>
            <w:pPr>
              <w:ind w:left="120"/>
              <w:spacing w:after="0"/>
              <w:rPr>
                <w:sz w:val="20"/>
                <w:szCs w:val="20"/>
                <w:color w:val="auto"/>
              </w:rPr>
            </w:pPr>
            <w:r>
              <w:rPr>
                <w:rFonts w:ascii="Arial" w:cs="Arial" w:eastAsia="Arial" w:hAnsi="Arial"/>
                <w:sz w:val="18"/>
                <w:szCs w:val="18"/>
                <w:color w:val="auto"/>
              </w:rPr>
              <w:t>TS (discontinued operations)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2,368,892</w:t>
            </w:r>
          </w:p>
        </w:tc>
        <w:tc>
          <w:tcPr>
            <w:tcW w:w="360" w:type="dxa"/>
            <w:vAlign w:val="bottom"/>
          </w:tcPr>
          <w:p>
            <w:pPr>
              <w:spacing w:after="0"/>
              <w:rPr>
                <w:sz w:val="18"/>
                <w:szCs w:val="18"/>
                <w:color w:val="auto"/>
              </w:rPr>
            </w:pPr>
          </w:p>
        </w:tc>
        <w:tc>
          <w:tcPr>
            <w:tcW w:w="1920" w:type="dxa"/>
            <w:vAlign w:val="bottom"/>
          </w:tcPr>
          <w:p>
            <w:pPr>
              <w:jc w:val="right"/>
              <w:ind w:right="110"/>
              <w:spacing w:after="0"/>
              <w:rPr>
                <w:sz w:val="20"/>
                <w:szCs w:val="20"/>
                <w:color w:val="auto"/>
              </w:rPr>
            </w:pPr>
            <w:r>
              <w:rPr>
                <w:rFonts w:ascii="Arial" w:cs="Arial" w:eastAsia="Arial" w:hAnsi="Arial"/>
                <w:sz w:val="18"/>
                <w:szCs w:val="18"/>
                <w:color w:val="auto"/>
              </w:rPr>
              <w:t>(178,144)</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2,190,748</w:t>
            </w:r>
          </w:p>
        </w:tc>
        <w:tc>
          <w:tcPr>
            <w:tcW w:w="16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EM (continuing operations)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820" w:type="dxa"/>
            <w:vAlign w:val="bottom"/>
          </w:tcPr>
          <w:p>
            <w:pPr>
              <w:ind w:left="120"/>
              <w:spacing w:after="0"/>
              <w:rPr>
                <w:sz w:val="20"/>
                <w:szCs w:val="20"/>
                <w:color w:val="auto"/>
              </w:rPr>
            </w:pPr>
            <w:r>
              <w:rPr>
                <w:rFonts w:ascii="Arial" w:cs="Arial" w:eastAsia="Arial" w:hAnsi="Arial"/>
                <w:sz w:val="18"/>
                <w:szCs w:val="18"/>
                <w:color w:val="auto"/>
              </w:rPr>
              <w:t>Americas</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1,375,491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10"/>
              <w:spacing w:after="0"/>
              <w:rPr>
                <w:sz w:val="20"/>
                <w:szCs w:val="20"/>
                <w:color w:val="auto"/>
              </w:rPr>
            </w:pPr>
            <w:r>
              <w:rPr>
                <w:rFonts w:ascii="Arial" w:cs="Arial" w:eastAsia="Arial" w:hAnsi="Arial"/>
                <w:sz w:val="18"/>
                <w:szCs w:val="18"/>
                <w:color w:val="auto"/>
              </w:rPr>
              <w:t>(82,000)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1,293,491</w:t>
            </w:r>
          </w:p>
        </w:tc>
        <w:tc>
          <w:tcPr>
            <w:tcW w:w="160" w:type="dxa"/>
            <w:vAlign w:val="bottom"/>
          </w:tcPr>
          <w:p>
            <w:pPr>
              <w:spacing w:after="0"/>
              <w:rPr>
                <w:sz w:val="18"/>
                <w:szCs w:val="18"/>
                <w:color w:val="auto"/>
              </w:rPr>
            </w:pPr>
          </w:p>
        </w:tc>
      </w:tr>
      <w:tr>
        <w:trPr>
          <w:trHeight w:val="216"/>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EMEA</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1,338,143</w:t>
            </w: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(92,000)</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1,246,143</w:t>
            </w:r>
          </w:p>
        </w:tc>
        <w:tc>
          <w:tcPr>
            <w:tcW w:w="160" w:type="dxa"/>
            <w:vAlign w:val="bottom"/>
            <w:shd w:val="clear" w:color="auto" w:fill="CCEEFF"/>
          </w:tcPr>
          <w:p>
            <w:pPr>
              <w:spacing w:after="0"/>
              <w:rPr>
                <w:sz w:val="18"/>
                <w:szCs w:val="18"/>
                <w:color w:val="auto"/>
              </w:rPr>
            </w:pPr>
          </w:p>
        </w:tc>
      </w:tr>
      <w:tr>
        <w:trPr>
          <w:trHeight w:val="216"/>
        </w:trPr>
        <w:tc>
          <w:tcPr>
            <w:tcW w:w="2820" w:type="dxa"/>
            <w:vAlign w:val="bottom"/>
          </w:tcPr>
          <w:p>
            <w:pPr>
              <w:ind w:left="120"/>
              <w:spacing w:after="0"/>
              <w:rPr>
                <w:sz w:val="20"/>
                <w:szCs w:val="20"/>
                <w:color w:val="auto"/>
              </w:rPr>
            </w:pPr>
            <w:r>
              <w:rPr>
                <w:rFonts w:ascii="Arial" w:cs="Arial" w:eastAsia="Arial" w:hAnsi="Arial"/>
                <w:sz w:val="18"/>
                <w:szCs w:val="18"/>
                <w:color w:val="auto"/>
              </w:rPr>
              <w:t>Asia</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1,887,168</w:t>
            </w:r>
          </w:p>
        </w:tc>
        <w:tc>
          <w:tcPr>
            <w:tcW w:w="360" w:type="dxa"/>
            <w:vAlign w:val="bottom"/>
          </w:tcPr>
          <w:p>
            <w:pPr>
              <w:spacing w:after="0"/>
              <w:rPr>
                <w:sz w:val="18"/>
                <w:szCs w:val="18"/>
                <w:color w:val="auto"/>
              </w:rPr>
            </w:pPr>
          </w:p>
        </w:tc>
        <w:tc>
          <w:tcPr>
            <w:tcW w:w="1920" w:type="dxa"/>
            <w:vAlign w:val="bottom"/>
          </w:tcPr>
          <w:p>
            <w:pPr>
              <w:jc w:val="right"/>
              <w:ind w:right="110"/>
              <w:spacing w:after="0"/>
              <w:rPr>
                <w:sz w:val="20"/>
                <w:szCs w:val="20"/>
                <w:color w:val="auto"/>
              </w:rPr>
            </w:pPr>
            <w:r>
              <w:rPr>
                <w:rFonts w:ascii="Arial" w:cs="Arial" w:eastAsia="Arial" w:hAnsi="Arial"/>
                <w:sz w:val="18"/>
                <w:szCs w:val="18"/>
                <w:color w:val="auto"/>
              </w:rPr>
              <w:t>(126,000)</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1,761,168</w:t>
            </w:r>
          </w:p>
        </w:tc>
        <w:tc>
          <w:tcPr>
            <w:tcW w:w="16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TS (discontinued operations)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820" w:type="dxa"/>
            <w:vAlign w:val="bottom"/>
          </w:tcPr>
          <w:p>
            <w:pPr>
              <w:ind w:left="120"/>
              <w:spacing w:after="0"/>
              <w:rPr>
                <w:sz w:val="20"/>
                <w:szCs w:val="20"/>
                <w:color w:val="auto"/>
              </w:rPr>
            </w:pPr>
            <w:r>
              <w:rPr>
                <w:rFonts w:ascii="Arial" w:cs="Arial" w:eastAsia="Arial" w:hAnsi="Arial"/>
                <w:sz w:val="18"/>
                <w:szCs w:val="18"/>
                <w:color w:val="auto"/>
              </w:rPr>
              <w:t>Americas</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1,398,452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10"/>
              <w:spacing w:after="0"/>
              <w:rPr>
                <w:sz w:val="20"/>
                <w:szCs w:val="20"/>
                <w:color w:val="auto"/>
              </w:rPr>
            </w:pPr>
            <w:r>
              <w:rPr>
                <w:rFonts w:ascii="Arial" w:cs="Arial" w:eastAsia="Arial" w:hAnsi="Arial"/>
                <w:sz w:val="18"/>
                <w:szCs w:val="18"/>
                <w:color w:val="auto"/>
              </w:rPr>
              <w:t>(129,974)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1,268,478</w:t>
            </w:r>
          </w:p>
        </w:tc>
        <w:tc>
          <w:tcPr>
            <w:tcW w:w="160" w:type="dxa"/>
            <w:vAlign w:val="bottom"/>
          </w:tcPr>
          <w:p>
            <w:pPr>
              <w:spacing w:after="0"/>
              <w:rPr>
                <w:sz w:val="18"/>
                <w:szCs w:val="18"/>
                <w:color w:val="auto"/>
              </w:rPr>
            </w:pPr>
          </w:p>
        </w:tc>
      </w:tr>
      <w:tr>
        <w:trPr>
          <w:trHeight w:val="216"/>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EMEA</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677,076</w:t>
            </w: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(25,170)</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651,906</w:t>
            </w:r>
          </w:p>
        </w:tc>
        <w:tc>
          <w:tcPr>
            <w:tcW w:w="160" w:type="dxa"/>
            <w:vAlign w:val="bottom"/>
            <w:shd w:val="clear" w:color="auto" w:fill="CCEEFF"/>
          </w:tcPr>
          <w:p>
            <w:pPr>
              <w:spacing w:after="0"/>
              <w:rPr>
                <w:sz w:val="18"/>
                <w:szCs w:val="18"/>
                <w:color w:val="auto"/>
              </w:rPr>
            </w:pPr>
          </w:p>
        </w:tc>
      </w:tr>
      <w:tr>
        <w:trPr>
          <w:trHeight w:val="230"/>
        </w:trPr>
        <w:tc>
          <w:tcPr>
            <w:tcW w:w="2820" w:type="dxa"/>
            <w:vAlign w:val="bottom"/>
          </w:tcPr>
          <w:p>
            <w:pPr>
              <w:ind w:left="120"/>
              <w:spacing w:after="0"/>
              <w:rPr>
                <w:sz w:val="20"/>
                <w:szCs w:val="20"/>
                <w:color w:val="auto"/>
              </w:rPr>
            </w:pPr>
            <w:r>
              <w:rPr>
                <w:rFonts w:ascii="Arial" w:cs="Arial" w:eastAsia="Arial" w:hAnsi="Arial"/>
                <w:sz w:val="18"/>
                <w:szCs w:val="18"/>
                <w:color w:val="auto"/>
              </w:rPr>
              <w:t>Asia</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293,364</w:t>
            </w:r>
          </w:p>
        </w:tc>
        <w:tc>
          <w:tcPr>
            <w:tcW w:w="360" w:type="dxa"/>
            <w:vAlign w:val="bottom"/>
          </w:tcPr>
          <w:p>
            <w:pPr>
              <w:spacing w:after="0"/>
              <w:rPr>
                <w:sz w:val="20"/>
                <w:szCs w:val="20"/>
                <w:color w:val="auto"/>
              </w:rPr>
            </w:pPr>
          </w:p>
        </w:tc>
        <w:tc>
          <w:tcPr>
            <w:tcW w:w="1920" w:type="dxa"/>
            <w:vAlign w:val="bottom"/>
          </w:tcPr>
          <w:p>
            <w:pPr>
              <w:jc w:val="right"/>
              <w:ind w:right="110"/>
              <w:spacing w:after="0"/>
              <w:rPr>
                <w:sz w:val="20"/>
                <w:szCs w:val="20"/>
                <w:color w:val="auto"/>
              </w:rPr>
            </w:pPr>
            <w:r>
              <w:rPr>
                <w:rFonts w:ascii="Arial" w:cs="Arial" w:eastAsia="Arial" w:hAnsi="Arial"/>
                <w:sz w:val="18"/>
                <w:szCs w:val="18"/>
                <w:color w:val="auto"/>
              </w:rPr>
              <w:t>(23,000)</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270,364</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4408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75" w:lineRule="exact"/>
        <w:rPr>
          <w:sz w:val="20"/>
          <w:szCs w:val="20"/>
          <w:color w:val="auto"/>
        </w:rPr>
      </w:pPr>
    </w:p>
    <w:p>
      <w:pPr>
        <w:ind w:left="480" w:hanging="477"/>
        <w:spacing w:after="0"/>
        <w:tabs>
          <w:tab w:leader="none" w:pos="4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Includes the following second quarter of fiscal 2016 acquisitions:</w:t>
      </w:r>
    </w:p>
    <w:p>
      <w:pPr>
        <w:spacing w:after="0" w:line="23" w:lineRule="exact"/>
        <w:rPr>
          <w:rFonts w:ascii="Arial" w:cs="Arial" w:eastAsia="Arial" w:hAnsi="Arial"/>
          <w:sz w:val="18"/>
          <w:szCs w:val="18"/>
          <w:b w:val="1"/>
          <w:bCs w:val="1"/>
          <w:color w:val="auto"/>
        </w:rPr>
      </w:pPr>
    </w:p>
    <w:p>
      <w:pPr>
        <w:ind w:left="580" w:hanging="91"/>
        <w:spacing w:after="0"/>
        <w:tabs>
          <w:tab w:leader="none" w:pos="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Orchestra Service Gmbh acquired November 2015 in the TS EMEA Region, and</w:t>
      </w:r>
    </w:p>
    <w:p>
      <w:pPr>
        <w:spacing w:after="0" w:line="22" w:lineRule="exact"/>
        <w:rPr>
          <w:rFonts w:ascii="Arial" w:cs="Arial" w:eastAsia="Arial" w:hAnsi="Arial"/>
          <w:sz w:val="18"/>
          <w:szCs w:val="18"/>
          <w:color w:val="auto"/>
        </w:rPr>
      </w:pPr>
    </w:p>
    <w:p>
      <w:pPr>
        <w:ind w:left="600" w:hanging="111"/>
        <w:spacing w:after="0"/>
        <w:tabs>
          <w:tab w:leader="none" w:pos="600" w:val="left"/>
        </w:tabs>
        <w:numPr>
          <w:ilvl w:val="1"/>
          <w:numId w:val="8"/>
        </w:numPr>
        <w:rPr>
          <w:rFonts w:ascii="Arial" w:cs="Arial" w:eastAsia="Arial" w:hAnsi="Arial"/>
          <w:sz w:val="18"/>
          <w:szCs w:val="18"/>
          <w:color w:val="auto"/>
        </w:rPr>
      </w:pPr>
      <w:r>
        <w:rPr>
          <w:rFonts w:ascii="Arial" w:cs="Arial" w:eastAsia="Arial" w:hAnsi="Arial"/>
          <w:sz w:val="18"/>
          <w:szCs w:val="18"/>
          <w:color w:val="auto"/>
        </w:rPr>
        <w:t>ExitCertified Corporation acquired January 2016 in the TS Americas Region.</w:t>
      </w:r>
    </w:p>
    <w:p>
      <w:pPr>
        <w:spacing w:after="0" w:line="210" w:lineRule="exact"/>
        <w:rPr>
          <w:rFonts w:ascii="Arial" w:cs="Arial" w:eastAsia="Arial" w:hAnsi="Arial"/>
          <w:sz w:val="18"/>
          <w:szCs w:val="18"/>
          <w:color w:val="auto"/>
        </w:rPr>
      </w:pPr>
    </w:p>
    <w:p>
      <w:pPr>
        <w:ind w:left="360" w:hanging="357"/>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impact of the additional week of sales in the first quarter of fiscal 2016 is estimated.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table below provides the year-over-year comparison of reported first quarter sales for the EM and TS operating groups to organic sales to allow readers to better understand and assess the Company’s sales performance by operating group and region.</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7"/>
              </w:rPr>
              <w:t>Sales</w:t>
            </w:r>
          </w:p>
        </w:tc>
        <w:tc>
          <w:tcPr>
            <w:tcW w:w="1080" w:type="dxa"/>
            <w:vAlign w:val="bottom"/>
          </w:tcPr>
          <w:p>
            <w:pPr>
              <w:spacing w:after="0"/>
              <w:rPr>
                <w:sz w:val="16"/>
                <w:szCs w:val="16"/>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Organic</w:t>
            </w:r>
          </w:p>
        </w:tc>
      </w:tr>
      <w:tr>
        <w:trPr>
          <w:trHeight w:val="230"/>
        </w:trPr>
        <w:tc>
          <w:tcPr>
            <w:tcW w:w="2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As Reported</w:t>
            </w:r>
          </w:p>
        </w:tc>
        <w:tc>
          <w:tcPr>
            <w:tcW w:w="1080" w:type="dxa"/>
            <w:vAlign w:val="bottom"/>
          </w:tcPr>
          <w:p>
            <w:pPr>
              <w:spacing w:after="0"/>
              <w:rPr>
                <w:sz w:val="19"/>
                <w:szCs w:val="19"/>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Sales</w:t>
            </w:r>
          </w:p>
        </w:tc>
      </w:tr>
      <w:tr>
        <w:trPr>
          <w:trHeight w:val="216"/>
        </w:trPr>
        <w:tc>
          <w:tcPr>
            <w:tcW w:w="2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center"/>
              <w:ind w:right="88"/>
              <w:spacing w:after="0"/>
              <w:rPr>
                <w:sz w:val="20"/>
                <w:szCs w:val="20"/>
                <w:color w:val="auto"/>
              </w:rPr>
            </w:pPr>
            <w:r>
              <w:rPr>
                <w:rFonts w:ascii="Arial" w:cs="Arial" w:eastAsia="Arial" w:hAnsi="Arial"/>
                <w:sz w:val="14"/>
                <w:szCs w:val="14"/>
                <w:b w:val="1"/>
                <w:bCs w:val="1"/>
                <w:color w:val="auto"/>
                <w:w w:val="81"/>
              </w:rPr>
              <w:t>Sales</w:t>
            </w:r>
          </w:p>
        </w:tc>
        <w:tc>
          <w:tcPr>
            <w:tcW w:w="1080" w:type="dxa"/>
            <w:vAlign w:val="bottom"/>
          </w:tcPr>
          <w:p>
            <w:pPr>
              <w:jc w:val="center"/>
              <w:ind w:left="56"/>
              <w:spacing w:after="0"/>
              <w:rPr>
                <w:sz w:val="20"/>
                <w:szCs w:val="20"/>
                <w:color w:val="auto"/>
              </w:rPr>
            </w:pPr>
            <w:r>
              <w:rPr>
                <w:rFonts w:ascii="Arial" w:cs="Arial" w:eastAsia="Arial" w:hAnsi="Arial"/>
                <w:sz w:val="14"/>
                <w:szCs w:val="14"/>
                <w:b w:val="1"/>
                <w:bCs w:val="1"/>
                <w:color w:val="auto"/>
                <w:w w:val="81"/>
              </w:rPr>
              <w:t>Sales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Year-Year %</w:t>
            </w:r>
          </w:p>
        </w:tc>
        <w:tc>
          <w:tcPr>
            <w:tcW w:w="1080" w:type="dxa"/>
            <w:vAlign w:val="bottom"/>
          </w:tcPr>
          <w:p>
            <w:pPr>
              <w:jc w:val="center"/>
              <w:ind w:right="36"/>
              <w:spacing w:after="0"/>
              <w:rPr>
                <w:sz w:val="20"/>
                <w:szCs w:val="20"/>
                <w:color w:val="auto"/>
              </w:rPr>
            </w:pPr>
            <w:r>
              <w:rPr>
                <w:rFonts w:ascii="Arial" w:cs="Arial" w:eastAsia="Arial" w:hAnsi="Arial"/>
                <w:sz w:val="14"/>
                <w:szCs w:val="14"/>
                <w:b w:val="1"/>
                <w:bCs w:val="1"/>
                <w:color w:val="auto"/>
                <w:w w:val="98"/>
              </w:rPr>
              <w:t>Organic</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Year-Year %</w:t>
            </w:r>
          </w:p>
        </w:tc>
      </w:tr>
      <w:tr>
        <w:trPr>
          <w:trHeight w:val="216"/>
        </w:trPr>
        <w:tc>
          <w:tcPr>
            <w:tcW w:w="2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As Reported</w:t>
            </w:r>
          </w:p>
        </w:tc>
        <w:tc>
          <w:tcPr>
            <w:tcW w:w="1080" w:type="dxa"/>
            <w:vAlign w:val="bottom"/>
          </w:tcPr>
          <w:p>
            <w:pPr>
              <w:jc w:val="center"/>
              <w:ind w:left="56"/>
              <w:spacing w:after="0"/>
              <w:rPr>
                <w:sz w:val="20"/>
                <w:szCs w:val="20"/>
                <w:color w:val="auto"/>
              </w:rPr>
            </w:pPr>
            <w:r>
              <w:rPr>
                <w:rFonts w:ascii="Arial" w:cs="Arial" w:eastAsia="Arial" w:hAnsi="Arial"/>
                <w:sz w:val="14"/>
                <w:szCs w:val="14"/>
                <w:b w:val="1"/>
                <w:bCs w:val="1"/>
                <w:color w:val="auto"/>
                <w:w w:val="93"/>
              </w:rPr>
              <w:t>As Reported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Change in</w:t>
            </w:r>
          </w:p>
        </w:tc>
        <w:tc>
          <w:tcPr>
            <w:tcW w:w="1080" w:type="dxa"/>
            <w:vAlign w:val="bottom"/>
          </w:tcPr>
          <w:p>
            <w:pPr>
              <w:jc w:val="center"/>
              <w:ind w:right="36"/>
              <w:spacing w:after="0"/>
              <w:rPr>
                <w:sz w:val="20"/>
                <w:szCs w:val="20"/>
                <w:color w:val="auto"/>
              </w:rPr>
            </w:pPr>
            <w:r>
              <w:rPr>
                <w:rFonts w:ascii="Arial" w:cs="Arial" w:eastAsia="Arial" w:hAnsi="Arial"/>
                <w:sz w:val="14"/>
                <w:szCs w:val="14"/>
                <w:b w:val="1"/>
                <w:bCs w:val="1"/>
                <w:color w:val="auto"/>
                <w:w w:val="87"/>
              </w:rPr>
              <w:t>Sales</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Change in</w:t>
            </w:r>
          </w:p>
        </w:tc>
      </w:tr>
      <w:tr>
        <w:trPr>
          <w:trHeight w:val="216"/>
        </w:trPr>
        <w:tc>
          <w:tcPr>
            <w:tcW w:w="2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Q1-Fiscal</w:t>
            </w:r>
          </w:p>
        </w:tc>
        <w:tc>
          <w:tcPr>
            <w:tcW w:w="1080" w:type="dxa"/>
            <w:vAlign w:val="bottom"/>
          </w:tcPr>
          <w:p>
            <w:pPr>
              <w:jc w:val="center"/>
              <w:ind w:left="56"/>
              <w:spacing w:after="0"/>
              <w:rPr>
                <w:sz w:val="20"/>
                <w:szCs w:val="20"/>
                <w:color w:val="auto"/>
              </w:rPr>
            </w:pPr>
            <w:r>
              <w:rPr>
                <w:rFonts w:ascii="Arial" w:cs="Arial" w:eastAsia="Arial" w:hAnsi="Arial"/>
                <w:sz w:val="14"/>
                <w:szCs w:val="14"/>
                <w:b w:val="1"/>
                <w:bCs w:val="1"/>
                <w:color w:val="auto"/>
                <w:w w:val="94"/>
              </w:rPr>
              <w:t>Year-Year</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108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Year-Year</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Constant</w:t>
            </w:r>
          </w:p>
        </w:tc>
      </w:tr>
      <w:tr>
        <w:trPr>
          <w:trHeight w:val="195"/>
        </w:trPr>
        <w:tc>
          <w:tcPr>
            <w:tcW w:w="2580" w:type="dxa"/>
            <w:vAlign w:val="bottom"/>
          </w:tcPr>
          <w:p>
            <w:pPr>
              <w:spacing w:after="0"/>
              <w:rPr>
                <w:sz w:val="16"/>
                <w:szCs w:val="16"/>
                <w:color w:val="auto"/>
              </w:rPr>
            </w:pPr>
          </w:p>
        </w:tc>
        <w:tc>
          <w:tcPr>
            <w:tcW w:w="146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96"/>
              </w:rPr>
              <w:t>2017</w:t>
            </w:r>
          </w:p>
        </w:tc>
        <w:tc>
          <w:tcPr>
            <w:tcW w:w="1080" w:type="dxa"/>
            <w:vAlign w:val="bottom"/>
          </w:tcPr>
          <w:p>
            <w:pPr>
              <w:jc w:val="center"/>
              <w:ind w:left="56"/>
              <w:spacing w:after="0"/>
              <w:rPr>
                <w:sz w:val="20"/>
                <w:szCs w:val="20"/>
                <w:color w:val="auto"/>
              </w:rPr>
            </w:pPr>
            <w:r>
              <w:rPr>
                <w:rFonts w:ascii="Arial" w:cs="Arial" w:eastAsia="Arial" w:hAnsi="Arial"/>
                <w:sz w:val="14"/>
                <w:szCs w:val="14"/>
                <w:b w:val="1"/>
                <w:bCs w:val="1"/>
                <w:color w:val="auto"/>
                <w:w w:val="97"/>
              </w:rPr>
              <w:t>% Change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08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 Change</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Currency</w:t>
            </w:r>
          </w:p>
        </w:tc>
      </w:tr>
      <w:tr>
        <w:trPr>
          <w:trHeight w:val="203"/>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58"/>
              <w:spacing w:after="0"/>
              <w:rPr>
                <w:sz w:val="20"/>
                <w:szCs w:val="20"/>
                <w:color w:val="auto"/>
              </w:rPr>
            </w:pPr>
            <w:r>
              <w:rPr>
                <w:rFonts w:ascii="Arial" w:cs="Arial" w:eastAsia="Arial" w:hAnsi="Arial"/>
                <w:sz w:val="14"/>
                <w:szCs w:val="14"/>
                <w:b w:val="1"/>
                <w:bCs w:val="1"/>
                <w:color w:val="auto"/>
                <w:w w:val="94"/>
              </w:rPr>
              <w:t>(Dollars in thousands)</w:t>
            </w:r>
          </w:p>
        </w:tc>
        <w:tc>
          <w:tcPr>
            <w:tcW w:w="10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r>
      <w:tr>
        <w:trPr>
          <w:trHeight w:val="216"/>
        </w:trPr>
        <w:tc>
          <w:tcPr>
            <w:tcW w:w="2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 (continuing operations)</w:t>
            </w:r>
          </w:p>
        </w:tc>
        <w:tc>
          <w:tcPr>
            <w:tcW w:w="14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$ 4,173,405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56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(9.7)%</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(3.0)%</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r>
      <w:tr>
        <w:trPr>
          <w:trHeight w:val="216"/>
        </w:trPr>
        <w:tc>
          <w:tcPr>
            <w:tcW w:w="2580" w:type="dxa"/>
            <w:vAlign w:val="bottom"/>
          </w:tcPr>
          <w:p>
            <w:pPr>
              <w:ind w:left="120"/>
              <w:spacing w:after="0"/>
              <w:rPr>
                <w:sz w:val="20"/>
                <w:szCs w:val="20"/>
                <w:color w:val="auto"/>
              </w:rPr>
            </w:pPr>
            <w:r>
              <w:rPr>
                <w:rFonts w:ascii="Arial" w:cs="Arial" w:eastAsia="Arial" w:hAnsi="Arial"/>
                <w:sz w:val="18"/>
                <w:szCs w:val="18"/>
                <w:color w:val="auto"/>
              </w:rPr>
              <w:t>TS (discontinued operations)</w:t>
            </w:r>
          </w:p>
        </w:tc>
        <w:tc>
          <w:tcPr>
            <w:tcW w:w="1460" w:type="dxa"/>
            <w:vAlign w:val="bottom"/>
            <w:gridSpan w:val="2"/>
          </w:tcPr>
          <w:p>
            <w:pPr>
              <w:jc w:val="right"/>
              <w:ind w:right="148"/>
              <w:spacing w:after="0"/>
              <w:rPr>
                <w:sz w:val="20"/>
                <w:szCs w:val="20"/>
                <w:color w:val="auto"/>
              </w:rPr>
            </w:pPr>
            <w:r>
              <w:rPr>
                <w:rFonts w:ascii="Arial" w:cs="Arial" w:eastAsia="Arial" w:hAnsi="Arial"/>
                <w:sz w:val="18"/>
                <w:szCs w:val="18"/>
                <w:color w:val="auto"/>
              </w:rPr>
              <w:t>1,866,901</w:t>
            </w:r>
          </w:p>
        </w:tc>
        <w:tc>
          <w:tcPr>
            <w:tcW w:w="1080" w:type="dxa"/>
            <w:vAlign w:val="bottom"/>
          </w:tcPr>
          <w:p>
            <w:pPr>
              <w:jc w:val="right"/>
              <w:ind w:right="116"/>
              <w:spacing w:after="0"/>
              <w:rPr>
                <w:sz w:val="20"/>
                <w:szCs w:val="20"/>
                <w:color w:val="auto"/>
              </w:rPr>
            </w:pPr>
            <w:r>
              <w:rPr>
                <w:rFonts w:ascii="Arial" w:cs="Arial" w:eastAsia="Arial" w:hAnsi="Arial"/>
                <w:sz w:val="18"/>
                <w:szCs w:val="18"/>
                <w:color w:val="auto"/>
              </w:rPr>
              <w:t>(21.2)</w:t>
            </w:r>
          </w:p>
        </w:tc>
        <w:tc>
          <w:tcPr>
            <w:tcW w:w="1560" w:type="dxa"/>
            <w:vAlign w:val="bottom"/>
          </w:tcPr>
          <w:p>
            <w:pPr>
              <w:jc w:val="right"/>
              <w:ind w:right="458"/>
              <w:spacing w:after="0"/>
              <w:rPr>
                <w:sz w:val="20"/>
                <w:szCs w:val="20"/>
                <w:color w:val="auto"/>
              </w:rPr>
            </w:pPr>
            <w:r>
              <w:rPr>
                <w:rFonts w:ascii="Arial" w:cs="Arial" w:eastAsia="Arial" w:hAnsi="Arial"/>
                <w:sz w:val="18"/>
                <w:szCs w:val="18"/>
                <w:color w:val="auto"/>
              </w:rPr>
              <w:t>(20.3)</w:t>
            </w:r>
          </w:p>
        </w:tc>
        <w:tc>
          <w:tcPr>
            <w:tcW w:w="1080" w:type="dxa"/>
            <w:vAlign w:val="bottom"/>
          </w:tcPr>
          <w:p>
            <w:pPr>
              <w:jc w:val="right"/>
              <w:ind w:right="236"/>
              <w:spacing w:after="0"/>
              <w:rPr>
                <w:sz w:val="20"/>
                <w:szCs w:val="20"/>
                <w:color w:val="auto"/>
              </w:rPr>
            </w:pPr>
            <w:r>
              <w:rPr>
                <w:rFonts w:ascii="Arial" w:cs="Arial" w:eastAsia="Arial" w:hAnsi="Arial"/>
                <w:sz w:val="18"/>
                <w:szCs w:val="18"/>
                <w:color w:val="auto"/>
              </w:rPr>
              <w:t>(14.8)</w:t>
            </w:r>
          </w:p>
        </w:tc>
        <w:tc>
          <w:tcPr>
            <w:tcW w:w="1000" w:type="dxa"/>
            <w:vAlign w:val="bottom"/>
          </w:tcPr>
          <w:p>
            <w:pPr>
              <w:jc w:val="right"/>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EM (continuing operations)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2580" w:type="dxa"/>
            <w:vAlign w:val="bottom"/>
          </w:tcPr>
          <w:p>
            <w:pPr>
              <w:ind w:left="120"/>
              <w:spacing w:after="0"/>
              <w:rPr>
                <w:sz w:val="20"/>
                <w:szCs w:val="20"/>
                <w:color w:val="auto"/>
              </w:rPr>
            </w:pPr>
            <w:r>
              <w:rPr>
                <w:rFonts w:ascii="Arial" w:cs="Arial" w:eastAsia="Arial" w:hAnsi="Arial"/>
                <w:sz w:val="18"/>
                <w:szCs w:val="18"/>
                <w:color w:val="auto"/>
              </w:rPr>
              <w:t>Americas</w:t>
            </w:r>
          </w:p>
        </w:tc>
        <w:tc>
          <w:tcPr>
            <w:tcW w:w="1460" w:type="dxa"/>
            <w:vAlign w:val="bottom"/>
            <w:gridSpan w:val="2"/>
          </w:tcPr>
          <w:p>
            <w:pPr>
              <w:jc w:val="right"/>
              <w:ind w:right="148"/>
              <w:spacing w:after="0"/>
              <w:rPr>
                <w:sz w:val="20"/>
                <w:szCs w:val="20"/>
                <w:color w:val="auto"/>
              </w:rPr>
            </w:pPr>
            <w:r>
              <w:rPr>
                <w:rFonts w:ascii="Arial" w:cs="Arial" w:eastAsia="Arial" w:hAnsi="Arial"/>
                <w:sz w:val="18"/>
                <w:szCs w:val="18"/>
                <w:color w:val="auto"/>
              </w:rPr>
              <w:t>$ 1,305,809</w:t>
            </w: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1560" w:type="dxa"/>
            <w:vAlign w:val="bottom"/>
          </w:tcPr>
          <w:p>
            <w:pPr>
              <w:jc w:val="right"/>
              <w:ind w:right="518"/>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6"/>
              <w:spacing w:after="0"/>
              <w:rPr>
                <w:sz w:val="20"/>
                <w:szCs w:val="20"/>
                <w:color w:val="auto"/>
              </w:rPr>
            </w:pPr>
            <w:r>
              <w:rPr>
                <w:rFonts w:ascii="Arial" w:cs="Arial" w:eastAsia="Arial" w:hAnsi="Arial"/>
                <w:sz w:val="18"/>
                <w:szCs w:val="18"/>
                <w:color w:val="auto"/>
              </w:rPr>
              <w:t>1.0 %</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2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EMEA</w:t>
            </w:r>
          </w:p>
        </w:tc>
        <w:tc>
          <w:tcPr>
            <w:tcW w:w="14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1,265,294</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(5.4)</w:t>
            </w:r>
          </w:p>
        </w:tc>
        <w:tc>
          <w:tcPr>
            <w:tcW w:w="156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(5.3)%</w:t>
            </w:r>
          </w:p>
        </w:tc>
        <w:tc>
          <w:tcPr>
            <w:tcW w:w="108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(1.5)</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1.7 %</w:t>
            </w:r>
          </w:p>
        </w:tc>
      </w:tr>
      <w:tr>
        <w:trPr>
          <w:trHeight w:val="216"/>
        </w:trPr>
        <w:tc>
          <w:tcPr>
            <w:tcW w:w="2580" w:type="dxa"/>
            <w:vAlign w:val="bottom"/>
          </w:tcPr>
          <w:p>
            <w:pPr>
              <w:ind w:left="120"/>
              <w:spacing w:after="0"/>
              <w:rPr>
                <w:sz w:val="20"/>
                <w:szCs w:val="20"/>
                <w:color w:val="auto"/>
              </w:rPr>
            </w:pPr>
            <w:r>
              <w:rPr>
                <w:rFonts w:ascii="Arial" w:cs="Arial" w:eastAsia="Arial" w:hAnsi="Arial"/>
                <w:sz w:val="18"/>
                <w:szCs w:val="18"/>
                <w:color w:val="auto"/>
              </w:rPr>
              <w:t>Asia/Pacific</w:t>
            </w:r>
          </w:p>
        </w:tc>
        <w:tc>
          <w:tcPr>
            <w:tcW w:w="1460" w:type="dxa"/>
            <w:vAlign w:val="bottom"/>
            <w:gridSpan w:val="2"/>
          </w:tcPr>
          <w:p>
            <w:pPr>
              <w:jc w:val="right"/>
              <w:ind w:right="148"/>
              <w:spacing w:after="0"/>
              <w:rPr>
                <w:sz w:val="20"/>
                <w:szCs w:val="20"/>
                <w:color w:val="auto"/>
              </w:rPr>
            </w:pPr>
            <w:r>
              <w:rPr>
                <w:rFonts w:ascii="Arial" w:cs="Arial" w:eastAsia="Arial" w:hAnsi="Arial"/>
                <w:sz w:val="18"/>
                <w:szCs w:val="18"/>
                <w:color w:val="auto"/>
              </w:rPr>
              <w:t>1,602,302</w:t>
            </w:r>
          </w:p>
        </w:tc>
        <w:tc>
          <w:tcPr>
            <w:tcW w:w="1080" w:type="dxa"/>
            <w:vAlign w:val="bottom"/>
          </w:tcPr>
          <w:p>
            <w:pPr>
              <w:jc w:val="right"/>
              <w:ind w:right="116"/>
              <w:spacing w:after="0"/>
              <w:rPr>
                <w:sz w:val="20"/>
                <w:szCs w:val="20"/>
                <w:color w:val="auto"/>
              </w:rPr>
            </w:pPr>
            <w:r>
              <w:rPr>
                <w:rFonts w:ascii="Arial" w:cs="Arial" w:eastAsia="Arial" w:hAnsi="Arial"/>
                <w:sz w:val="18"/>
                <w:szCs w:val="18"/>
                <w:color w:val="auto"/>
              </w:rPr>
              <w:t>(15.1)</w:t>
            </w:r>
          </w:p>
        </w:tc>
        <w:tc>
          <w:tcPr>
            <w:tcW w:w="1560" w:type="dxa"/>
            <w:vAlign w:val="bottom"/>
          </w:tcPr>
          <w:p>
            <w:pPr>
              <w:jc w:val="right"/>
              <w:ind w:right="458"/>
              <w:spacing w:after="0"/>
              <w:rPr>
                <w:sz w:val="20"/>
                <w:szCs w:val="20"/>
                <w:color w:val="auto"/>
              </w:rPr>
            </w:pPr>
            <w:r>
              <w:rPr>
                <w:rFonts w:ascii="Arial" w:cs="Arial" w:eastAsia="Arial" w:hAnsi="Arial"/>
                <w:sz w:val="18"/>
                <w:szCs w:val="18"/>
                <w:color w:val="auto"/>
              </w:rPr>
              <w:t>(16.1)</w:t>
            </w:r>
          </w:p>
        </w:tc>
        <w:tc>
          <w:tcPr>
            <w:tcW w:w="1080" w:type="dxa"/>
            <w:vAlign w:val="bottom"/>
          </w:tcPr>
          <w:p>
            <w:pPr>
              <w:jc w:val="right"/>
              <w:ind w:right="236"/>
              <w:spacing w:after="0"/>
              <w:rPr>
                <w:sz w:val="20"/>
                <w:szCs w:val="20"/>
                <w:color w:val="auto"/>
              </w:rPr>
            </w:pPr>
            <w:r>
              <w:rPr>
                <w:rFonts w:ascii="Arial" w:cs="Arial" w:eastAsia="Arial" w:hAnsi="Arial"/>
                <w:sz w:val="18"/>
                <w:szCs w:val="18"/>
                <w:color w:val="auto"/>
              </w:rPr>
              <w:t>(9.0)</w:t>
            </w:r>
          </w:p>
        </w:tc>
        <w:tc>
          <w:tcPr>
            <w:tcW w:w="1000" w:type="dxa"/>
            <w:vAlign w:val="bottom"/>
          </w:tcPr>
          <w:p>
            <w:pPr>
              <w:jc w:val="right"/>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TS (discontinued operations)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2580" w:type="dxa"/>
            <w:vAlign w:val="bottom"/>
          </w:tcPr>
          <w:p>
            <w:pPr>
              <w:ind w:left="120"/>
              <w:spacing w:after="0"/>
              <w:rPr>
                <w:sz w:val="20"/>
                <w:szCs w:val="20"/>
                <w:color w:val="auto"/>
              </w:rPr>
            </w:pPr>
            <w:r>
              <w:rPr>
                <w:rFonts w:ascii="Arial" w:cs="Arial" w:eastAsia="Arial" w:hAnsi="Arial"/>
                <w:sz w:val="18"/>
                <w:szCs w:val="18"/>
                <w:color w:val="auto"/>
              </w:rPr>
              <w:t>Americas</w:t>
            </w:r>
          </w:p>
        </w:tc>
        <w:tc>
          <w:tcPr>
            <w:tcW w:w="1460" w:type="dxa"/>
            <w:vAlign w:val="bottom"/>
            <w:gridSpan w:val="2"/>
          </w:tcPr>
          <w:p>
            <w:pPr>
              <w:jc w:val="right"/>
              <w:ind w:right="148"/>
              <w:spacing w:after="0"/>
              <w:rPr>
                <w:sz w:val="20"/>
                <w:szCs w:val="20"/>
                <w:color w:val="auto"/>
              </w:rPr>
            </w:pPr>
            <w:r>
              <w:rPr>
                <w:rFonts w:ascii="Arial" w:cs="Arial" w:eastAsia="Arial" w:hAnsi="Arial"/>
                <w:sz w:val="18"/>
                <w:szCs w:val="18"/>
                <w:color w:val="auto"/>
              </w:rPr>
              <w:t>$ 1,043,534</w:t>
            </w:r>
          </w:p>
        </w:tc>
        <w:tc>
          <w:tcPr>
            <w:tcW w:w="1080" w:type="dxa"/>
            <w:vAlign w:val="bottom"/>
          </w:tcPr>
          <w:p>
            <w:pPr>
              <w:jc w:val="right"/>
              <w:spacing w:after="0"/>
              <w:rPr>
                <w:sz w:val="20"/>
                <w:szCs w:val="20"/>
                <w:color w:val="auto"/>
              </w:rPr>
            </w:pPr>
            <w:r>
              <w:rPr>
                <w:rFonts w:ascii="Arial" w:cs="Arial" w:eastAsia="Arial" w:hAnsi="Arial"/>
                <w:sz w:val="18"/>
                <w:szCs w:val="18"/>
                <w:color w:val="auto"/>
              </w:rPr>
              <w:t>(25.4)%</w:t>
            </w:r>
          </w:p>
        </w:tc>
        <w:tc>
          <w:tcPr>
            <w:tcW w:w="1560" w:type="dxa"/>
            <w:vAlign w:val="bottom"/>
          </w:tcPr>
          <w:p>
            <w:pPr>
              <w:jc w:val="right"/>
              <w:ind w:right="518"/>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6"/>
              <w:spacing w:after="0"/>
              <w:rPr>
                <w:sz w:val="20"/>
                <w:szCs w:val="20"/>
                <w:color w:val="auto"/>
              </w:rPr>
            </w:pPr>
            <w:r>
              <w:rPr>
                <w:rFonts w:ascii="Arial" w:cs="Arial" w:eastAsia="Arial" w:hAnsi="Arial"/>
                <w:sz w:val="18"/>
                <w:szCs w:val="18"/>
                <w:color w:val="auto"/>
              </w:rPr>
              <w:t>(17.7)%</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2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EMEA</w:t>
            </w:r>
          </w:p>
        </w:tc>
        <w:tc>
          <w:tcPr>
            <w:tcW w:w="14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580,256</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(14.3)</w:t>
            </w:r>
          </w:p>
        </w:tc>
        <w:tc>
          <w:tcPr>
            <w:tcW w:w="156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(10.0)%</w:t>
            </w:r>
          </w:p>
        </w:tc>
        <w:tc>
          <w:tcPr>
            <w:tcW w:w="108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(11.0)</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r>
      <w:tr>
        <w:trPr>
          <w:trHeight w:val="230"/>
        </w:trPr>
        <w:tc>
          <w:tcPr>
            <w:tcW w:w="2580" w:type="dxa"/>
            <w:vAlign w:val="bottom"/>
          </w:tcPr>
          <w:p>
            <w:pPr>
              <w:ind w:left="120"/>
              <w:spacing w:after="0"/>
              <w:rPr>
                <w:sz w:val="20"/>
                <w:szCs w:val="20"/>
                <w:color w:val="auto"/>
              </w:rPr>
            </w:pPr>
            <w:r>
              <w:rPr>
                <w:rFonts w:ascii="Arial" w:cs="Arial" w:eastAsia="Arial" w:hAnsi="Arial"/>
                <w:sz w:val="18"/>
                <w:szCs w:val="18"/>
                <w:color w:val="auto"/>
              </w:rPr>
              <w:t>Asia/Pacific</w:t>
            </w:r>
          </w:p>
        </w:tc>
        <w:tc>
          <w:tcPr>
            <w:tcW w:w="1460" w:type="dxa"/>
            <w:vAlign w:val="bottom"/>
            <w:gridSpan w:val="2"/>
          </w:tcPr>
          <w:p>
            <w:pPr>
              <w:jc w:val="right"/>
              <w:ind w:right="148"/>
              <w:spacing w:after="0"/>
              <w:rPr>
                <w:sz w:val="20"/>
                <w:szCs w:val="20"/>
                <w:color w:val="auto"/>
              </w:rPr>
            </w:pPr>
            <w:r>
              <w:rPr>
                <w:rFonts w:ascii="Arial" w:cs="Arial" w:eastAsia="Arial" w:hAnsi="Arial"/>
                <w:sz w:val="18"/>
                <w:szCs w:val="18"/>
                <w:color w:val="auto"/>
              </w:rPr>
              <w:t>243,111</w:t>
            </w:r>
          </w:p>
        </w:tc>
        <w:tc>
          <w:tcPr>
            <w:tcW w:w="1080" w:type="dxa"/>
            <w:vAlign w:val="bottom"/>
          </w:tcPr>
          <w:p>
            <w:pPr>
              <w:jc w:val="right"/>
              <w:ind w:right="116"/>
              <w:spacing w:after="0"/>
              <w:rPr>
                <w:sz w:val="20"/>
                <w:szCs w:val="20"/>
                <w:color w:val="auto"/>
              </w:rPr>
            </w:pPr>
            <w:r>
              <w:rPr>
                <w:rFonts w:ascii="Arial" w:cs="Arial" w:eastAsia="Arial" w:hAnsi="Arial"/>
                <w:sz w:val="18"/>
                <w:szCs w:val="18"/>
                <w:color w:val="auto"/>
              </w:rPr>
              <w:t>(17.1)</w:t>
            </w:r>
          </w:p>
        </w:tc>
        <w:tc>
          <w:tcPr>
            <w:tcW w:w="1560" w:type="dxa"/>
            <w:vAlign w:val="bottom"/>
          </w:tcPr>
          <w:p>
            <w:pPr>
              <w:jc w:val="right"/>
              <w:ind w:right="458"/>
              <w:spacing w:after="0"/>
              <w:rPr>
                <w:sz w:val="20"/>
                <w:szCs w:val="20"/>
                <w:color w:val="auto"/>
              </w:rPr>
            </w:pPr>
            <w:r>
              <w:rPr>
                <w:rFonts w:ascii="Arial" w:cs="Arial" w:eastAsia="Arial" w:hAnsi="Arial"/>
                <w:sz w:val="18"/>
                <w:szCs w:val="18"/>
                <w:color w:val="auto"/>
              </w:rPr>
              <w:t>(18.3)</w:t>
            </w:r>
          </w:p>
        </w:tc>
        <w:tc>
          <w:tcPr>
            <w:tcW w:w="1080" w:type="dxa"/>
            <w:vAlign w:val="bottom"/>
          </w:tcPr>
          <w:p>
            <w:pPr>
              <w:jc w:val="right"/>
              <w:ind w:right="236"/>
              <w:spacing w:after="0"/>
              <w:rPr>
                <w:sz w:val="20"/>
                <w:szCs w:val="20"/>
                <w:color w:val="auto"/>
              </w:rPr>
            </w:pPr>
            <w:r>
              <w:rPr>
                <w:rFonts w:ascii="Arial" w:cs="Arial" w:eastAsia="Arial" w:hAnsi="Arial"/>
                <w:sz w:val="18"/>
                <w:szCs w:val="18"/>
                <w:color w:val="auto"/>
              </w:rPr>
              <w:t>(10.1)</w:t>
            </w:r>
          </w:p>
        </w:tc>
        <w:tc>
          <w:tcPr>
            <w:tcW w:w="1000" w:type="dxa"/>
            <w:vAlign w:val="bottom"/>
          </w:tcPr>
          <w:p>
            <w:pPr>
              <w:jc w:val="right"/>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20"/>
                <w:szCs w:val="20"/>
                <w:color w:val="auto"/>
              </w:rPr>
            </w:pPr>
          </w:p>
        </w:tc>
      </w:tr>
    </w:tbl>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Sales from continuing operations for the first quarter of fiscal 2017 were $4.17 billion, as compared to the first quarter of fiscal 2016 sales of $4.6 billion. Organic sales from continuing operations decreased 3.0% year over year and 3.4% in constant currency.</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 regional basis, organic sales from continuing operations increased 1.0% in the Americas region. Organic sales from continuing operations in constant currency increased 1.7% in EMEA. Organic sales from continuing operations in constant currency decreased 10.1% in Asia primarily as a result of deselecting lower margin sales from high-volume supply chain engagements year over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Profit Margins</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Gross profit from continuing operations for the first quarter of fiscal 2017 was $525.5 million, a decrease of $37.8 million, or 6.7%, from the first quarter of fiscal 2016 gross profit of $563.3 million, due primarily to one less week of sales in the first quarter of fiscal 2017 and from the decline in sales at EM Asia. Gross profit margin from continuing operations of 12.6% increased 35 basis points from the first quarter of fiscal 2016 primarily due to deselecting lower margin sales from high-volume supply chain engagements at EM Asia, partially offset by a decrease in the western regions.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Selling, general and administrative expenses from continuing operations (“SG&amp;A expenses”) were $365.0 million in the first quarter of fiscal 2017, a decrease of $15.7 million, or 4.1%, from the first quarter of fiscal 2016. The year-over-year decrease in SG&amp;A expenses was primarily due to the impact of the extra week in fiscal 2016 and from lower Corporate expenses in fiscal 2017.</w:t>
      </w:r>
    </w:p>
    <w:p>
      <w:pPr>
        <w:spacing w:after="0" w:line="187"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Metrics that management monitors with respect to its operating expenses are SG&amp;A expenses as a percentage of sales and as a percentage of gross profit. In the first quarter of fiscal 2017, SG&amp;A expenses as a percentage of sales were 8.7% and as a percentage of gross profit were 69.5%, as compared with 8.3% and 67.6%, respectively, in the first quarter of fiscal 2016.</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Integration and Other Expenses</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During the first quarter of fiscal 2017, the Company took certain actions in an effort to reduce future operating expenses including actions related to the Avnet Advantage program. In addition, the Company incurred integration, acquisition/divestiture and other costs. Integration costs are primarily related to the integration of acquired businesses, the integration of certain regional and global businesses including Avnet after the TS divestiture, the integration of significant information technology systems, and incremental costs incurred as part of the consolidation, relocation, and closure of warehouse and office facilities. Acquisition/divestiture costs consist primarily of professional fees and other costs incurred related to the acquisition, divestiture and closure of businesses including the acquisition of PF and the planned divestiture of TS. Other costs consist primarily of any ongoing facilities operating costs associated with the consolidation, relocation and closure of facilities once such facilities have been vacated or substantially vacated, and other miscellaneous costs that relate to restructuring, integration and other expenses.</w:t>
      </w:r>
    </w:p>
    <w:p>
      <w:pPr>
        <w:spacing w:after="0" w:line="17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recorded restructuring, integration and other expenses from continuing operations of $29.5 million during the first quarter of fiscal 2017. The Company recorded $11.8 million of restructuring costs from continuing operations and expects to realize approximately $8.0 million in incremental annualized operating cost savings once such restructuring actions are completed. The Company also incurred integration costs of $2.4 million, acquisition/divestiture costs of $9.1 million, other costs of $6.6 million and a net reversal of $0.4 million for changes in estimates for costs associated with prior year restructuring actions. The after tax impact of restructuring, integration, and other expenses from continuing operations was $20.2 million and $0.16 per share on a diluted basis for the first quarter of fiscal 2017.</w:t>
      </w:r>
    </w:p>
    <w:p>
      <w:pPr>
        <w:spacing w:after="0" w:line="178"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Comparatively, in the first quarter of fiscal 2016, restructuring, integration and other expenses from continuing operations was $12.5 million. The after tax impact of restructuring, integration, and other expenses from continuing operations was $8.1 million and $0.06 per share on a diluted basis.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See Note 14, “Restructuring, integration and other expenses” to the Company's consolidated financial statements included in this Quarterly Report on Form 10-Q for additional information related to restructuring, integration and other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29" w:lineRule="exact"/>
        <w:rPr>
          <w:sz w:val="20"/>
          <w:szCs w:val="20"/>
          <w:color w:val="auto"/>
        </w:rPr>
      </w:pPr>
    </w:p>
    <w:p>
      <w:pPr>
        <w:jc w:val="both"/>
        <w:ind w:firstLine="428"/>
        <w:spacing w:after="0" w:line="253" w:lineRule="auto"/>
        <w:rPr>
          <w:sz w:val="20"/>
          <w:szCs w:val="20"/>
          <w:color w:val="auto"/>
        </w:rPr>
      </w:pPr>
      <w:r>
        <w:rPr>
          <w:rFonts w:ascii="Arial" w:cs="Arial" w:eastAsia="Arial" w:hAnsi="Arial"/>
          <w:sz w:val="18"/>
          <w:szCs w:val="18"/>
          <w:color w:val="auto"/>
        </w:rPr>
        <w:t>Operating income from continuing operations for the first quarter of fiscal 2017 was $131.0 million, a decrease of $39.0 million, or 22.9%, from the first quarter of fiscal 2016 operating income of $170.0 million. Adjusted operating income from continuing operations for the first quarter of fiscal 2017 was $162.8 million, a decrease of $22.5 million, or 12.1%, from the first quarter of fiscal 2016 adjusted operating income from continuing operations of $185.4 million. Operating income margin from continuing operations was 3.1% in the first quarter of fiscal 2017 as compared with 3.7% in the first quarter of fiscal 2016. Adjusted operating income margin from continuing operations was 3.9% in the first quarter of fiscal 2017 as compared to 4.0% in the first quarter of fiscal 2016. These decreases in adjusted operating income margin from continuing operations were primarily due to lower sales partially offset by increases in gross profit margin and lower operating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and Other Income (Expense), Net</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Interest expense in the first quarter of fiscal 2017 was $27.2 million, an increase of $5.2 million or 23.6%, as compared with interest expense of $22.0 million in the first quarter of fiscal 2016. The increase in interest expense in the first quarter of fiscal 2017 compared to the first quarter of fiscal 2016 was primarily related to the impact of the interest expense associated with the $550.0 million 4.63% Notes issued in March 2016, partially offset by the repayment at maturity of the $300.0 million 6.63% Notes in September 2016.</w:t>
      </w:r>
    </w:p>
    <w:p>
      <w:pPr>
        <w:spacing w:after="0" w:line="18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During the first quarter of fiscal 2017, the Company had $13.7 million of other expense as compared with $0.9 million of other income in the first quarter of fiscal 2016. The increase in other expense in the first quarter of fiscal 2017 is primarily attributable to the financing and economic foreign currency hedging costs associated with the PF acquisition.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Company’s effective tax rate on its income before income taxes from continuing operations was 23.8% in the first quarter of fiscal 2017, as compared with 25.4% in the first quarter of fiscal 2016. During the first quarters of fiscal 2017 and fiscal 2016, the Company’s effective tax rate was favorably impacted primarily by the mix of income in lower tax jurisdictions.</w:t>
      </w:r>
    </w:p>
    <w:p>
      <w:pPr>
        <w:spacing w:after="0" w:line="187"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See Note 8, “Income taxes” to the Company’s consolidated financial statements included in this Quarterly Report on Form 10-Q for additional information on the Company’s effective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Discontinued Operations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Income from discontinued operations was $0.3 million in the first quarter of fiscal 2017 compared to $19.3 million in the first quarter of fiscal 2016. See Note 3, “Discontinued operations” and Note 8, “Income taxes” to the Company’s consolidated financial statements included in this Quarterly Report on Form 10-Q for additional information and detail on the financial results of discontinued operations.</w:t>
      </w:r>
    </w:p>
    <w:p>
      <w:pPr>
        <w:spacing w:after="0" w:line="18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Sales from discontinued operations as reported declined 21.2% and declined 13.8% on an organic basis in constant currency. The decline in organic sales was primarily the result of weaker demand across all regions including declines at a product level in servers and storage. Gross profit from discontinued operations declined due to lower sales, partially offset by an improvement in gross profit margins. Operating income from discontinued operations declined primarily due to lower sales year over year. Included in income tax expense of discontinued operations in the first quarter of fiscal 2017 was $17.0 million related to the establishment of a deferred tax liability related to the planned sale of the TS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for the first quarter of fiscal 2017 was $68.8 million, or $0.53 per share on a diluted basis, as compared with $130.3 million, or $0.96 per share on a diluted basis, in the first quarter of fiscal 2016.</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Operating Activities</w:t>
      </w:r>
    </w:p>
    <w:p>
      <w:pPr>
        <w:spacing w:after="0" w:line="225"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During the first quarter of fiscal 2017, the Company used an immaterial amount of cash from its operating activities compared to a use of $33.7 million in the first quarter of fiscal 2016. These operating cash flows are comprised of: (i) cash flow generated from net income from continuing operations, adjusted for the impact of non-cash and other items, which includes depreciation and amortization expenses, deferred income taxes, stock-based compensation expense and other non-cash items (including provisions for doubtful accounts and periodic pension costs), (ii) cash flows used for, or generated from, working capital and other, excluding cash and cash equivalents, and (iii) operating cash flows used for, or generated from, the TS operating group, which is classified as a discontinued operation. Cash used for working capital and other was $13.6 million during the first quarter of fiscal 2017, including an increase in accounts receivable of $64.6 million and a decrease in accounts payable of $164.8 million, substantially offset by a decrease in inventories of $182.2 million and an increase in accrued expenses and other of $33.5 million. Comparatively, cash used for working capital and other was $194.8 million during the first quarter of fiscal 2016, including increases in inventories of $282.8 million and decreases in accounts payable of $2.5 million and accrued expenses and other of $33.5 million, partially offset by decreases in accounts receivable of $124.1 million.</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Cash used for operating activities of discontinued operations was $111.4 million in the first quarter of fiscal 2017 compared to $6.2 million in the first quarter of fiscal 2016.</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Financing Activities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first quarter of fiscal 2017, the Company repaid upon maturity the $300 million of 6.63% Notes due September 2016. Additionally, the Company received net proceeds of $669.8 million from borrowings of bank and other debt. During the first quarter of fiscal 2017, the Company made net repayments of $150.3 million under the Company’s accounts receivable securitization program. During the first quarter of fiscal 2017, the Company paid dividends on common stock of $21.7 million.</w:t>
      </w:r>
    </w:p>
    <w:p>
      <w:pPr>
        <w:spacing w:after="0" w:line="18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first quarter of fiscal 2016, the Company repaid upon maturity the $250 million of 6.00% Notes due September 2015. Additionally, the Company made net repayments of $33.0 million under the Company’s accounts receivable securitization program and received net proceeds of $418.8 million from borrowings of bank and other debt. During the first quarter of fiscal 2016, the Company paid dividends on common stock of $22.6 million and repurchased $143.7 million of common stock.</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Investing Activities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first quarter of fiscal 2017, the Company used $34.7 million for capital expenditures primarily related to information system development costs, computer hardware and software purchases and facilities costs compared to $31.2 million for capital expenditures in the first quarter of fiscal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For a detailed description of the Company’s long-term debt and lease commitments for the next five years and thereafter, see </w:t>
      </w:r>
      <w:r>
        <w:rPr>
          <w:rFonts w:ascii="Arial" w:cs="Arial" w:eastAsia="Arial" w:hAnsi="Arial"/>
          <w:sz w:val="18"/>
          <w:szCs w:val="18"/>
          <w:i w:val="1"/>
          <w:iCs w:val="1"/>
          <w:color w:val="auto"/>
        </w:rPr>
        <w:t>Long-Term Contractual Obligations</w:t>
      </w:r>
      <w:r>
        <w:rPr>
          <w:rFonts w:ascii="Arial" w:cs="Arial" w:eastAsia="Arial" w:hAnsi="Arial"/>
          <w:sz w:val="18"/>
          <w:szCs w:val="18"/>
          <w:color w:val="auto"/>
        </w:rPr>
        <w:t xml:space="preserve"> appearing in Item 7 of the Company’s Annual Report on Form 10-K for the fiscal year ended July 2, 2016. With the exception of the Company’s debt transactions discussed herein, there are no material changes to this information outside of normal borrowings and repayments of long-term debt and operating lease payments. The Company does not currently have any material non-cancellable commitments for capital expenditures or inventory purchases.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See Note 5, “Debt” to the Company’s consolidated financial statements included in this Quarterly Report on Form 10-Q for additional information on financing transactions including the Credit Facility, the Program, the Term Loan Credit Agreement, the Bridge Credit Agreement and the outstanding Notes as of October 1, 2016. The Company was in compliance with all covenants under the Credit Facility, the Program, the Term Loan Credit Agreement and the Bridge Credit Agreement as of October 1, 2016.</w:t>
      </w:r>
    </w:p>
    <w:p>
      <w:pPr>
        <w:spacing w:after="0" w:line="18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has several lines of credit and other forms of bank debt in the U.S. and various foreign locations to fund the short-term working capital, foreign exchange, overdraft and letter of credit needs of its wholly owned subsidiaries primarily in EMEA and Asia. Avnet generally guarantees its subsidiaries’ obligations under such debt facilities.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held cash and cash equivalents of $1.20 billion as of October 1, 2016, of which $1.15 billion was held outside the United States. As of July 2, 2016, the Company held cash and cash equivalents of $1.03 billion, of which $972.7 million was held outside of the United States.</w:t>
      </w:r>
    </w:p>
    <w:p>
      <w:pPr>
        <w:spacing w:after="0" w:line="18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of the end of the first quarter of fiscal 2017, the Company had a combined total borrowing capacity of $2.05 billion under the Credit Facility and the Program. There were $840.0 million in borrowings outstanding and $6.1 million in letters of credit issued under the Credit Facility and $580.0 million in borrowings outstanding under the Program, resulting in approximately $586.0 million of total availability as of October 1, 2016. Availability under the Program is subject to the Company having sufficient eligible trade accounts receivable to support desired borrowings. During the first quarter of fiscal 2017, the Company had an average daily balance outstanding of approximately $450.5 million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Credit Facility and approximately $719.0 million under the Program. During the first quarter of fiscal 2016, the Company had an average daily balance outstanding of approximately $205.5 million under the Credit Facility and approximately $729.2 million under the Program.</w:t>
      </w:r>
    </w:p>
    <w:p>
      <w:pPr>
        <w:spacing w:after="0" w:line="18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periods of weakening demand in the electronic components and enterprise computer solutions industry, the Company typically generates cash from operating activities. Conversely, the Company is more likely to use operating cash flows for working capital requirements during periods of higher growth. The Company generated $257.9 million in cash flows from operating activities over the trailing four fiscal quarters ended October 1, 2016.</w:t>
      </w:r>
    </w:p>
    <w:p>
      <w:pPr>
        <w:spacing w:after="0" w:line="17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Liquidity is subject to many factors, such as normal business operations as well as general economic, financial, competitive, legislative, and regulatory factors that are beyond the Company’s control. Cash balances generated and held in foreign locations are used for ongoing working capital, capital expenditure needs and to support acquisitions. These balances are currently expected to be permanently reinvested outside the United States. If these funds were needed for general corporate use in the United States, the Company would incur significant income taxes to repatriate cash held in foreign locations. In addition, local government regulations may restrict the Company’s ability to move funds among various locations under certain circumstances. Management does not believe such restrictions would limit the Company’s ability to pursue its intended business strategy. Management believes that Avnet’s available borrowing capacity, its current cash on hand and the Company’s expected ability to generate operating cash flows in the future will be sufficient to meet its future liquidity needs. The Company also may issue debt or equity securities in the future and management believes the Company will have adequate access to the capital markets, if needed.</w:t>
      </w:r>
    </w:p>
    <w:p>
      <w:pPr>
        <w:spacing w:after="0" w:line="18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During October 2016, subsequent to the end of the first quarter of fiscal 2017, the Company completed its acquisition of PF and expects to fund the cash purchase price of approximately £691 million, excluding assumed debt with a combination of foreign cash on hand and new borrowings during the second quarter of fiscal 2017. The Company has made, and expects to continue to make, strategic investments through acquisition activity to the extent the investments strengthen Avnet’s competitive position and meet management’s return on capital thresholds.</w:t>
      </w:r>
    </w:p>
    <w:p>
      <w:pPr>
        <w:spacing w:after="0" w:line="1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connection with the planned sale of the TS operating group, the Company expects to have additional liquidity as a result of the after tax proceeds from the sale that can be used to repay outstanding borrowings, return cash to shareholders, make strategic acquisitions or use for general Company operations.</w:t>
      </w:r>
    </w:p>
    <w:p>
      <w:pPr>
        <w:spacing w:after="0" w:line="181"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In addition to continuing to make investments in acquisitions, as of October 1, 2016, the Company may repurchase up to an aggregate of $174.9 million of shares of the Company’s common stock through a $1.25 billion share repurchase program approved by the Board of Directors. The Company may repurchase stock from time to time at the discretion of management, subject to strategic considerations, market conditions and other factors. The Company may terminate or limit the share repurchase program at any time without prior notice. The timing and actual number of shares repurchased will depend on a variety of factors such as share price, corporate and regulatory requirements, and prevailing market conditions. Since the beginning of the repurchase program through the end of the first quarter of fiscal 2017, the Company has repurchased 31.4 million shares of stock at an aggregate cost of $1.08 billion. Shares repurchased were retired. Additionally, the Company currently expects to pay quarterly cash dividends on shares of its common stock, subject to approval of the Board of Directors. During the first quarter of fiscal 2017, the Board of Directors approved a dividend of $0.17 per share, which resulted in $21.7 million of dividend payments during the quarter.</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See Note 1, “Basis of presentation and new accounting pronouncements” to the Company’s consolidated financial statements included in this Quarterly Report on Form 10-Q for a description of recently issued accounting pronouncements.</w:t>
      </w:r>
    </w:p>
    <w:p>
      <w:pPr>
        <w:spacing w:after="0" w:line="12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Company seeks to reduce earnings and cash flow volatility associated with changes in foreign currency exchange rates by entering into financial arrangements that are intended to provide an economic hedge against all or a</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portion of the risks associated with such volatility. The Company continues to have exposure to such risks to the extent they are not economically hedged.</w:t>
      </w:r>
    </w:p>
    <w:p>
      <w:pPr>
        <w:spacing w:after="0" w:line="17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See Item 7A,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in the Company’s Annual Report on Form 10-K for the fiscal year ended July 2, 2016, for further discussion of market risks associated with foreign currency exchange rates and interest rates. Avnet’s exposure to such risks has not changed materially since July 2, 2016, as the Company continues to economically hedge the majority of its foreign currency exchange exposures. Thus, any increase or decrease in fair value of the Company’s forward foreign currency exchange contracts is generally offset by an opposite effect on the related hedged position. For interest rate risk, the Company continues to maintain a combination of fixed and variable rate debts to mitigate the exposure to fluctuation in market interest rates.</w:t>
      </w:r>
    </w:p>
    <w:p>
      <w:pPr>
        <w:spacing w:after="0" w:line="17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See Liquidity and Capital Resources — Financing Transactions appearing in Item 2 of this Form 10-Q for further discussion of the Company’s financing transactions and capital structure. As of October 1, 2016, 44% of the Company’s debt bears interest at a fixed rate and 56% of the Company’s debt bears interest at variable rates. Therefore, a hypothetical 1.0% (100 basis points) increase in interest rates would result in a $3.8 million decrease in income from continuing operations before income taxes in the Company’s consolidated statement of operations for the first quarter of fiscal 2017.</w:t>
      </w:r>
    </w:p>
    <w:p>
      <w:pPr>
        <w:spacing w:after="0" w:line="1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as amended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first quarter of fiscal 2017, there were no changes to the Company’s internal control over financial reporting (as defined in Rule 13a-15(f) of the Exchange Act) that have materially affected, or are reasonably likely to materially affect, the Company’s internal control over financial reporting.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As a result primarily of certain former manufacturing operations, Avnet has incurred and may have future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(“CERCLA”), and similar state laws, Avnet is and may be liable for the costs of cleaning up environmental contamination on or from certain of its current or former properties, and at off-site locations where the Company disposed of wastes in the past. Such laws may impose joint and several liability. Typically, however, the costs for clean up at such sites are allocated among potentially responsible parties based upon each party’s relative contribution to the contamination, and other factors.</w:t>
      </w:r>
    </w:p>
    <w:p>
      <w:pPr>
        <w:spacing w:after="0" w:line="17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Pursuant to SEC regulations, including but not limited to Item 103 of Regulation S-K, the Company regularly assesses the status of and developments in pending environmental and other compliance related legal proceedings to determine whether any such proceedings should be identified specifically in this discussion of legal proceedings, and has concluded that no particular pending legal proceeding requires public disclosure. Based on the information known to</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date, management believes that the Company has appropriately accrued in its consolidated financial statements for its share of the estimable costs of environmental and other compliance related matters.</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also party to various other lawsuits, claims, investigations and other legal proceedings arising from time to time in the normal course of business. While litigation is subject to inherent uncertainties, management currently believes that the ultimate outcome of these proceedings, individually and in the aggregate, will not have a material adverse effect on the Company’s financial position, liquidity or results of operations.</w:t>
      </w:r>
    </w:p>
    <w:p>
      <w:pPr>
        <w:spacing w:after="0" w:line="18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operations and financial results are subject to various risks and uncertainties, including those described in Part I, Item 1A, “Risk Factors” in the Company’s Annual Report on Form 10-K for the fiscal year ended July 2, 2016, which could adversely affect the Company’s business, financial condition, results of operations, cash flows, and the trading price of its common stock as well as the following risks.</w:t>
      </w:r>
    </w:p>
    <w:p>
      <w:pPr>
        <w:spacing w:after="0" w:line="187" w:lineRule="exact"/>
        <w:rPr>
          <w:sz w:val="20"/>
          <w:szCs w:val="20"/>
          <w:color w:val="auto"/>
        </w:rPr>
      </w:pPr>
    </w:p>
    <w:p>
      <w:pPr>
        <w:ind w:right="540"/>
        <w:spacing w:after="0" w:line="381" w:lineRule="auto"/>
        <w:rPr>
          <w:sz w:val="20"/>
          <w:szCs w:val="20"/>
          <w:color w:val="auto"/>
        </w:rPr>
      </w:pPr>
      <w:r>
        <w:rPr>
          <w:rFonts w:ascii="Arial" w:cs="Arial" w:eastAsia="Arial" w:hAnsi="Arial"/>
          <w:sz w:val="15"/>
          <w:szCs w:val="15"/>
          <w:b w:val="1"/>
          <w:bCs w:val="1"/>
          <w:i w:val="1"/>
          <w:iCs w:val="1"/>
          <w:color w:val="auto"/>
        </w:rPr>
        <w:t>The Company’s proposed separation of its Technology Solutions operating group and subsequent sale to Tech Data Corporation may not be consummated as or when planned or at all, and may not achieve the intended benefits.</w:t>
      </w:r>
    </w:p>
    <w:p>
      <w:pPr>
        <w:spacing w:after="0" w:line="101" w:lineRule="exact"/>
        <w:rPr>
          <w:sz w:val="20"/>
          <w:szCs w:val="20"/>
          <w:color w:val="auto"/>
        </w:rPr>
      </w:pPr>
    </w:p>
    <w:p>
      <w:pPr>
        <w:jc w:val="both"/>
        <w:ind w:firstLine="428"/>
        <w:spacing w:after="0" w:line="288" w:lineRule="auto"/>
        <w:rPr>
          <w:sz w:val="20"/>
          <w:szCs w:val="20"/>
          <w:color w:val="auto"/>
        </w:rPr>
      </w:pPr>
      <w:r>
        <w:rPr>
          <w:rFonts w:ascii="Arial" w:cs="Arial" w:eastAsia="Arial" w:hAnsi="Arial"/>
          <w:sz w:val="16"/>
          <w:szCs w:val="16"/>
          <w:color w:val="auto"/>
        </w:rPr>
        <w:t>The proposed separation of the Company’s TS operating group and subsequent sale to Tech Data Corporation may not be consummated as currently contemplated or at all, or may encounter unanticipated delays or other roadblocks, including delays in obtaining necessary regulatory approvals. The proposed sale of TS is subject to numerous closing conditions including, among others, the expiration of the applicable waiting period under the Hart-Scott-Rodino Antitrust Improvements Act of 1976, as amended, the receipt of certain required foreign antitrust approvals and the compliance by the parties with their respective covenants, obligations and agreements under the purchase agreement. In addition, planning and executing the proposed separation and subsequent sale of TS will require significant time, effort and expense, and may divert the attention of the Company’s management and employees from other aspects of its business operations, and any delays in the completion of the separation and subsequent sale may increase the amount of time, effort and expense that the Company devotes to the transaction, which could adversely affect its business, financial condition and results of operations.</w:t>
      </w:r>
    </w:p>
    <w:p>
      <w:pPr>
        <w:spacing w:after="0" w:line="16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Due to the effect of discontinued operations for the TS operating group, the Company’s historical consolidated financial statements are not comparable to the quarterly consolidated financial statements included in this report and will not be comparable to its future consolidated financial results</w:t>
      </w:r>
      <w:r>
        <w:rPr>
          <w:rFonts w:ascii="Arial" w:cs="Arial" w:eastAsia="Arial" w:hAnsi="Arial"/>
          <w:sz w:val="17"/>
          <w:szCs w:val="17"/>
          <w:color w:val="auto"/>
        </w:rPr>
        <w:t>.</w:t>
      </w:r>
    </w:p>
    <w:p>
      <w:pPr>
        <w:spacing w:after="0" w:line="166"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The quarterly consolidated results of operations of the Company included in this report reflect as discontinued operations the results of operations of the Company’s TS operating group. The consolidated balance sheets contained in this report include assets of continuing operations as well as the assets of the TS operating group, which are classified as “assets held for sale,” and the Company’s consolidated statements of cash flows include the cash flows of both the continuing and discontinued operations of the Company for the periods presented. The Company’s historical annual consolidated financial statements currently do not reflect reporting of discontinued operations for the TS operating group. Accordingly, they are not comparable to the quarterly consolidated financial statements included in this report or any future consolidated financial results of the Company.</w:t>
      </w:r>
    </w:p>
    <w:p>
      <w:pPr>
        <w:spacing w:after="0" w:line="1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8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discussion of Avnet’s business and operations should be read together with the risk factors contained in Item 1A of its Annual Report on Form 10-K for the fiscal year ended July 2, 2016, which describe various risks and uncertainties to which the Company is or may become subject. These risks and uncertainties have the potential to affect Avnet’s business, financial condition, results of operations, cash flows, strategies or prospects in a material and adverse manner. As of October 1, 2016, there have been no material changes to the risk factors set forth in the Company’s Annual Report on Form 10-K for the fiscal year ended July 2, 2016 outside of those additional risk factors listed above.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In addition, this Quarterly Report contains forward-looking statements within the meaning of Section 27A of the Securities Act of 1933, as amended, and Section 21E of the Exchange Act with respect to the financial condition, results of operations and business of the Company. You can find many of these statements by looking for words like “believes,” “plans,” “expects,” “anticipates,” “should,” “will,” “may,” “estimates” or similar expressions in this Quarterly Report or in documents incorporated by reference in this Quarterly Report. These forward-looking statements are subject to numerous assumptions, risks and uncertainties. You should understand that the following important factors, in addition to those discussed elsewhere in this Quarterly Report and in the Company’s Annual Report, could affect the Company’s future results of operations, and could cause those results or other outcomes to differ materially from those expressed or implied in the forward-looking statements:</w:t>
      </w:r>
    </w:p>
    <w:p>
      <w:pPr>
        <w:spacing w:after="0" w:line="197" w:lineRule="exact"/>
        <w:rPr>
          <w:sz w:val="20"/>
          <w:szCs w:val="20"/>
          <w:color w:val="auto"/>
        </w:rPr>
      </w:pPr>
    </w:p>
    <w:p>
      <w:pPr>
        <w:ind w:left="420" w:hanging="93"/>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global economic conditions, including the current global economic uncertainty;</w:t>
      </w:r>
    </w:p>
    <w:p>
      <w:pPr>
        <w:spacing w:after="0" w:line="225" w:lineRule="exact"/>
        <w:rPr>
          <w:rFonts w:ascii="Arial" w:cs="Arial" w:eastAsia="Arial" w:hAnsi="Arial"/>
          <w:sz w:val="18"/>
          <w:szCs w:val="18"/>
          <w:color w:val="auto"/>
        </w:rPr>
      </w:pPr>
    </w:p>
    <w:p>
      <w:pPr>
        <w:ind w:left="420" w:hanging="93"/>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 pressures among distributors of electronic components and computer products;</w:t>
      </w:r>
    </w:p>
    <w:p>
      <w:pPr>
        <w:spacing w:after="0" w:line="225" w:lineRule="exact"/>
        <w:rPr>
          <w:rFonts w:ascii="Arial" w:cs="Arial" w:eastAsia="Arial" w:hAnsi="Arial"/>
          <w:sz w:val="18"/>
          <w:szCs w:val="18"/>
          <w:color w:val="auto"/>
        </w:rPr>
      </w:pPr>
    </w:p>
    <w:p>
      <w:pPr>
        <w:ind w:left="440" w:hanging="113"/>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industry down-cycle in semiconductors, IT hardware or software products;</w:t>
      </w:r>
    </w:p>
    <w:p>
      <w:pPr>
        <w:spacing w:after="0" w:line="225" w:lineRule="exact"/>
        <w:rPr>
          <w:rFonts w:ascii="Arial" w:cs="Arial" w:eastAsia="Arial" w:hAnsi="Arial"/>
          <w:sz w:val="18"/>
          <w:szCs w:val="18"/>
          <w:color w:val="auto"/>
        </w:rPr>
      </w:pPr>
    </w:p>
    <w:p>
      <w:pPr>
        <w:ind w:left="440" w:hanging="113"/>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relationships with key suppliers and allocations of products by suppliers;</w:t>
      </w:r>
    </w:p>
    <w:p>
      <w:pPr>
        <w:spacing w:after="0" w:line="225" w:lineRule="exact"/>
        <w:rPr>
          <w:rFonts w:ascii="Arial" w:cs="Arial" w:eastAsia="Arial" w:hAnsi="Arial"/>
          <w:sz w:val="18"/>
          <w:szCs w:val="18"/>
          <w:color w:val="auto"/>
        </w:rPr>
      </w:pPr>
    </w:p>
    <w:p>
      <w:pPr>
        <w:ind w:left="400" w:hanging="73"/>
        <w:spacing w:after="0" w:line="308" w:lineRule="auto"/>
        <w:tabs>
          <w:tab w:leader="none" w:pos="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risks relating to the Company's international sales and operations, including risks relating to the ability to repatriate cash, foreign currency fluctuations, duties and taxes, and compliance with international and U.S. laws;</w:t>
      </w:r>
    </w:p>
    <w:p>
      <w:pPr>
        <w:spacing w:after="0" w:line="146" w:lineRule="exact"/>
        <w:rPr>
          <w:rFonts w:ascii="Arial" w:cs="Arial" w:eastAsia="Arial" w:hAnsi="Arial"/>
          <w:sz w:val="17"/>
          <w:szCs w:val="17"/>
          <w:color w:val="auto"/>
        </w:rPr>
      </w:pPr>
    </w:p>
    <w:p>
      <w:pPr>
        <w:ind w:left="480" w:hanging="153"/>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relating to acquisitions and investments;</w:t>
      </w:r>
    </w:p>
    <w:p>
      <w:pPr>
        <w:spacing w:after="0" w:line="225" w:lineRule="exact"/>
        <w:rPr>
          <w:rFonts w:ascii="Arial" w:cs="Arial" w:eastAsia="Arial" w:hAnsi="Arial"/>
          <w:sz w:val="18"/>
          <w:szCs w:val="18"/>
          <w:color w:val="auto"/>
        </w:rPr>
      </w:pPr>
    </w:p>
    <w:p>
      <w:pPr>
        <w:ind w:left="400" w:hanging="73"/>
        <w:spacing w:after="0" w:line="277"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effects on the Company's supply chain, shipping costs, third-party service providers, customers and suppliers, including as a result of issues caused by natural and weather-related disasters;</w:t>
      </w:r>
    </w:p>
    <w:p>
      <w:pPr>
        <w:spacing w:after="0" w:line="170" w:lineRule="exact"/>
        <w:rPr>
          <w:rFonts w:ascii="Arial" w:cs="Arial" w:eastAsia="Arial" w:hAnsi="Arial"/>
          <w:sz w:val="18"/>
          <w:szCs w:val="18"/>
          <w:color w:val="auto"/>
        </w:rPr>
      </w:pPr>
    </w:p>
    <w:p>
      <w:pPr>
        <w:ind w:left="440" w:hanging="113"/>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cyber attacks and the Company's information systems;</w:t>
      </w:r>
    </w:p>
    <w:p>
      <w:pPr>
        <w:spacing w:after="0" w:line="225" w:lineRule="exact"/>
        <w:rPr>
          <w:rFonts w:ascii="Arial" w:cs="Arial" w:eastAsia="Arial" w:hAnsi="Arial"/>
          <w:sz w:val="18"/>
          <w:szCs w:val="18"/>
          <w:color w:val="auto"/>
        </w:rPr>
      </w:pPr>
    </w:p>
    <w:p>
      <w:pPr>
        <w:ind w:left="420" w:hanging="93"/>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relating to attracting, retaining, training, motivating and developing key employees;</w:t>
      </w:r>
    </w:p>
    <w:p>
      <w:pPr>
        <w:spacing w:after="0" w:line="225" w:lineRule="exact"/>
        <w:rPr>
          <w:rFonts w:ascii="Arial" w:cs="Arial" w:eastAsia="Arial" w:hAnsi="Arial"/>
          <w:sz w:val="18"/>
          <w:szCs w:val="18"/>
          <w:color w:val="auto"/>
        </w:rPr>
      </w:pPr>
    </w:p>
    <w:p>
      <w:pPr>
        <w:ind w:left="400" w:hanging="73"/>
        <w:spacing w:after="0" w:line="277"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and business conditions (domestic and foreign) affecting Avnet's financial performance and, indirectly, Avnet's credit ratings, debt covenant compliance, and liquidity and access to financing; and</w:t>
      </w:r>
    </w:p>
    <w:p>
      <w:pPr>
        <w:spacing w:after="0" w:line="170" w:lineRule="exact"/>
        <w:rPr>
          <w:rFonts w:ascii="Arial" w:cs="Arial" w:eastAsia="Arial" w:hAnsi="Arial"/>
          <w:sz w:val="18"/>
          <w:szCs w:val="18"/>
          <w:color w:val="auto"/>
        </w:rPr>
      </w:pPr>
    </w:p>
    <w:p>
      <w:pPr>
        <w:ind w:left="440" w:hanging="113"/>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legislative or regulatory changes affecting Avnet’s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Company’s Board of Directors has approved the repurchase of up to $1.25 billion of the Company’s common stock under the Company’s share repurchase program. During the first quarter of fiscal 2017, the Company did not repurchase any shares under the share repurchase program, which is part of a publicly announced plan.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220" w:type="dxa"/>
            <w:vAlign w:val="bottom"/>
          </w:tcPr>
          <w:p>
            <w:pPr>
              <w:spacing w:after="0"/>
              <w:rPr>
                <w:sz w:val="18"/>
                <w:szCs w:val="18"/>
                <w:color w:val="auto"/>
              </w:rPr>
            </w:pPr>
          </w:p>
        </w:tc>
        <w:tc>
          <w:tcPr>
            <w:tcW w:w="17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w:t>
            </w:r>
          </w:p>
        </w:tc>
        <w:tc>
          <w:tcPr>
            <w:tcW w:w="4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220" w:type="dxa"/>
            <w:vAlign w:val="bottom"/>
          </w:tcPr>
          <w:p>
            <w:pPr>
              <w:spacing w:after="0"/>
              <w:rPr>
                <w:sz w:val="18"/>
                <w:szCs w:val="18"/>
                <w:color w:val="auto"/>
              </w:rPr>
            </w:pPr>
          </w:p>
        </w:tc>
        <w:tc>
          <w:tcPr>
            <w:tcW w:w="17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Value of Shares That</w:t>
            </w:r>
          </w:p>
        </w:tc>
      </w:tr>
      <w:tr>
        <w:trPr>
          <w:trHeight w:val="216"/>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Number</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Price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of Shares</w:t>
            </w:r>
          </w:p>
        </w:tc>
        <w:tc>
          <w:tcPr>
            <w:tcW w:w="900" w:type="dxa"/>
            <w:vAlign w:val="bottom"/>
            <w:gridSpan w:val="4"/>
          </w:tcPr>
          <w:p>
            <w:pPr>
              <w:ind w:left="40"/>
              <w:spacing w:after="0"/>
              <w:rPr>
                <w:sz w:val="20"/>
                <w:szCs w:val="20"/>
                <w:color w:val="auto"/>
              </w:rPr>
            </w:pPr>
            <w:r>
              <w:rPr>
                <w:rFonts w:ascii="Arial" w:cs="Arial" w:eastAsia="Arial" w:hAnsi="Arial"/>
                <w:sz w:val="18"/>
                <w:szCs w:val="18"/>
                <w:b w:val="1"/>
                <w:bCs w:val="1"/>
                <w:color w:val="auto"/>
              </w:rPr>
              <w:t>Paid per</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Plans</w:t>
            </w:r>
          </w:p>
        </w:tc>
        <w:tc>
          <w:tcPr>
            <w:tcW w:w="220" w:type="dxa"/>
            <w:vAlign w:val="bottom"/>
          </w:tcPr>
          <w:p>
            <w:pPr>
              <w:spacing w:after="0"/>
              <w:rPr>
                <w:sz w:val="18"/>
                <w:szCs w:val="18"/>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b w:val="1"/>
                <w:bCs w:val="1"/>
                <w:color w:val="auto"/>
                <w:w w:val="93"/>
              </w:rPr>
              <w:t>Purchased under the</w:t>
            </w:r>
          </w:p>
        </w:tc>
      </w:tr>
      <w:tr>
        <w:trPr>
          <w:trHeight w:val="241"/>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Purchased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Share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Plans or Programs</w:t>
            </w:r>
          </w:p>
        </w:tc>
      </w:tr>
      <w:tr>
        <w:trPr>
          <w:trHeight w:val="216"/>
        </w:trPr>
        <w:tc>
          <w:tcPr>
            <w:tcW w:w="3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174,932,000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August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174,932,000</w:t>
            </w:r>
          </w:p>
        </w:tc>
        <w:tc>
          <w:tcPr>
            <w:tcW w:w="80" w:type="dxa"/>
            <w:vAlign w:val="bottom"/>
          </w:tcPr>
          <w:p>
            <w:pPr>
              <w:spacing w:after="0"/>
              <w:rPr>
                <w:sz w:val="18"/>
                <w:szCs w:val="18"/>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174,932,000</w:t>
            </w:r>
          </w:p>
        </w:tc>
        <w:tc>
          <w:tcPr>
            <w:tcW w:w="80" w:type="dxa"/>
            <w:vAlign w:val="bottom"/>
            <w:shd w:val="clear" w:color="auto" w:fill="CCEEFF"/>
          </w:tcPr>
          <w:p>
            <w:pPr>
              <w:spacing w:after="0"/>
              <w:rPr>
                <w:sz w:val="18"/>
                <w:szCs w:val="18"/>
                <w:color w:val="auto"/>
              </w:rPr>
            </w:pPr>
          </w:p>
        </w:tc>
      </w:tr>
      <w:tr>
        <w:trPr>
          <w:trHeight w:val="918"/>
        </w:trPr>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9"/>
        </w:trPr>
        <w:tc>
          <w:tcPr>
            <w:tcW w:w="34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Exhibit</w:t>
            </w:r>
          </w:p>
        </w:tc>
        <w:tc>
          <w:tcPr>
            <w:tcW w:w="7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27"/>
        </w:trPr>
        <w:tc>
          <w:tcPr>
            <w:tcW w:w="11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2.1</w:t>
            </w:r>
          </w:p>
        </w:tc>
        <w:tc>
          <w:tcPr>
            <w:tcW w:w="240" w:type="dxa"/>
            <w:vAlign w:val="bottom"/>
            <w:vMerge w:val="continue"/>
          </w:tcPr>
          <w:p>
            <w:pPr>
              <w:spacing w:after="0"/>
              <w:rPr>
                <w:sz w:val="16"/>
                <w:szCs w:val="16"/>
                <w:color w:val="auto"/>
              </w:rPr>
            </w:pPr>
          </w:p>
        </w:tc>
        <w:tc>
          <w:tcPr>
            <w:tcW w:w="7700" w:type="dxa"/>
            <w:vAlign w:val="bottom"/>
          </w:tcPr>
          <w:p>
            <w:pPr>
              <w:ind w:left="40"/>
              <w:spacing w:after="0" w:line="195" w:lineRule="exact"/>
              <w:rPr>
                <w:sz w:val="20"/>
                <w:szCs w:val="20"/>
                <w:color w:val="auto"/>
              </w:rPr>
            </w:pPr>
            <w:r>
              <w:rPr>
                <w:rFonts w:ascii="Arial" w:cs="Arial" w:eastAsia="Arial" w:hAnsi="Arial"/>
                <w:sz w:val="18"/>
                <w:szCs w:val="18"/>
                <w:color w:val="auto"/>
                <w:w w:val="91"/>
              </w:rPr>
              <w:t>Interest Purchase Agreement, dated as of September 19, 2016, by and among Avnet, Inc. and Tech Data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w w:val="96"/>
              </w:rPr>
              <w:t>Corporation agent (incorporated herein by reference to the Company’s Current Report on Form 8-K</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dated September 20, 2016, Exhibit 2.1).</w:t>
            </w:r>
          </w:p>
        </w:tc>
        <w:tc>
          <w:tcPr>
            <w:tcW w:w="0" w:type="dxa"/>
            <w:vAlign w:val="bottom"/>
          </w:tcPr>
          <w:p>
            <w:pPr>
              <w:spacing w:after="0"/>
              <w:rPr>
                <w:sz w:val="1"/>
                <w:szCs w:val="1"/>
                <w:color w:val="auto"/>
              </w:rPr>
            </w:pPr>
          </w:p>
        </w:tc>
      </w:tr>
      <w:tr>
        <w:trPr>
          <w:trHeight w:val="445"/>
        </w:trPr>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w w:val="95"/>
              </w:rPr>
              <w:t>Letter Agreement between the Company and William Amelio (incorporated herein by reference to the</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Company’s Current Report on Form 8-K dated September 7, 2016, Exhibit 10.1).</w:t>
            </w:r>
          </w:p>
        </w:tc>
        <w:tc>
          <w:tcPr>
            <w:tcW w:w="0" w:type="dxa"/>
            <w:vAlign w:val="bottom"/>
          </w:tcPr>
          <w:p>
            <w:pPr>
              <w:spacing w:after="0"/>
              <w:rPr>
                <w:sz w:val="1"/>
                <w:szCs w:val="1"/>
                <w:color w:val="auto"/>
              </w:rPr>
            </w:pPr>
          </w:p>
        </w:tc>
      </w:tr>
      <w:tr>
        <w:trPr>
          <w:trHeight w:val="445"/>
        </w:trPr>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w w:val="93"/>
              </w:rPr>
              <w:t>Form of Change of Control Agreement between the Company and William Amelio (incorporated herein</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w w:val="96"/>
              </w:rPr>
              <w:t>by reference to the Company’s Current Report on Form 8-K dated February 14, 2011, Exhibit 10.3).</w:t>
            </w:r>
          </w:p>
        </w:tc>
        <w:tc>
          <w:tcPr>
            <w:tcW w:w="0" w:type="dxa"/>
            <w:vAlign w:val="bottom"/>
          </w:tcPr>
          <w:p>
            <w:pPr>
              <w:spacing w:after="0"/>
              <w:rPr>
                <w:sz w:val="1"/>
                <w:szCs w:val="1"/>
                <w:color w:val="auto"/>
              </w:rPr>
            </w:pPr>
          </w:p>
        </w:tc>
      </w:tr>
      <w:tr>
        <w:trPr>
          <w:trHeight w:val="445"/>
        </w:trPr>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w w:val="92"/>
              </w:rPr>
              <w:t>Senior Unsecured Bridge Credit Agreement, dated as of July 27, 2016, between Avnet, Inc. and Bank of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w w:val="97"/>
              </w:rPr>
              <w:t>America N.A., as Administrative Agent (incorporated herein by reference to the Company’s Current</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Report on Form 8-K dated July 28, 2016, Exhibit 10.1).</w:t>
            </w:r>
          </w:p>
        </w:tc>
        <w:tc>
          <w:tcPr>
            <w:tcW w:w="0" w:type="dxa"/>
            <w:vAlign w:val="bottom"/>
          </w:tcPr>
          <w:p>
            <w:pPr>
              <w:spacing w:after="0"/>
              <w:rPr>
                <w:sz w:val="1"/>
                <w:szCs w:val="1"/>
                <w:color w:val="auto"/>
              </w:rPr>
            </w:pPr>
          </w:p>
        </w:tc>
      </w:tr>
      <w:tr>
        <w:trPr>
          <w:trHeight w:val="445"/>
        </w:trPr>
        <w:tc>
          <w:tcPr>
            <w:tcW w:w="1120" w:type="dxa"/>
            <w:vAlign w:val="bottom"/>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w w:val="92"/>
              </w:rPr>
              <w:t>Amendment No. 9 to the Second Amended and Restated Receivables Purchase Agreement dated as of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w w:val="92"/>
              </w:rPr>
              <w:t>August 18, 2016 (incorporated herein by reference to the Company’s Current Report on Form 8-K dated</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August 19, 2016, Exhibit 10.1).</w:t>
            </w:r>
          </w:p>
        </w:tc>
        <w:tc>
          <w:tcPr>
            <w:tcW w:w="0" w:type="dxa"/>
            <w:vAlign w:val="bottom"/>
          </w:tcPr>
          <w:p>
            <w:pPr>
              <w:spacing w:after="0"/>
              <w:rPr>
                <w:sz w:val="1"/>
                <w:szCs w:val="1"/>
                <w:color w:val="auto"/>
              </w:rPr>
            </w:pPr>
          </w:p>
        </w:tc>
      </w:tr>
      <w:tr>
        <w:trPr>
          <w:trHeight w:val="445"/>
        </w:trPr>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w w:val="92"/>
              </w:rPr>
              <w:t>Senior Unsecured Term Loan Credit Agreement, dated as of September 14, 2016, between Avnet, Inc.,</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w w:val="97"/>
              </w:rPr>
              <w:t>Avnet Holding Europe BVBA, Tenva Group Holdings Limited, the lenders party thereto and Bank of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w w:val="97"/>
              </w:rPr>
              <w:t>America N.A., as administrative agent (incorporated herein by reference to the Company’s Current</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Report on Form 8-K dated September 15, 2016, Exhibit 10.1).</w:t>
            </w:r>
          </w:p>
        </w:tc>
        <w:tc>
          <w:tcPr>
            <w:tcW w:w="0" w:type="dxa"/>
            <w:vAlign w:val="bottom"/>
          </w:tcPr>
          <w:p>
            <w:pPr>
              <w:spacing w:after="0"/>
              <w:rPr>
                <w:sz w:val="1"/>
                <w:szCs w:val="1"/>
                <w:color w:val="auto"/>
              </w:rPr>
            </w:pPr>
          </w:p>
        </w:tc>
      </w:tr>
      <w:tr>
        <w:trPr>
          <w:trHeight w:val="445"/>
        </w:trPr>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w w:val="96"/>
              </w:rPr>
              <w:t>Amendment No. 1 to Senior Unsecured Bridge Credit Agreement, dated as of September 13, 2016,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w w:val="99"/>
              </w:rPr>
              <w:t>between Avnet, Inc., the lenders party thereto and Bank of America N.A., as administrative agent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w w:val="93"/>
              </w:rPr>
              <w:t>(incorporated herein by reference to the Company’s Current Report on Form 8-K dated September 15,</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2016, Exhibit 10.2).</w:t>
            </w:r>
          </w:p>
        </w:tc>
        <w:tc>
          <w:tcPr>
            <w:tcW w:w="0" w:type="dxa"/>
            <w:vAlign w:val="bottom"/>
          </w:tcPr>
          <w:p>
            <w:pPr>
              <w:spacing w:after="0"/>
              <w:rPr>
                <w:sz w:val="1"/>
                <w:szCs w:val="1"/>
                <w:color w:val="auto"/>
              </w:rPr>
            </w:pPr>
          </w:p>
        </w:tc>
      </w:tr>
      <w:tr>
        <w:trPr>
          <w:trHeight w:val="445"/>
        </w:trPr>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w w:val="97"/>
              </w:rPr>
              <w:t>Amendment No. 1 to Credit Agreement, dated as of September 14, 2016, between Avnet, Inc., the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w w:val="99"/>
              </w:rPr>
              <w:t>lenders party thereto and Bank of America, N.A., as administrative agent (incorporated herein by</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w w:val="97"/>
              </w:rPr>
              <w:t>reference to the Company’s Current Report on Form 8-K dated September 15, 2016, Exhibit 10.3).</w:t>
            </w:r>
          </w:p>
        </w:tc>
        <w:tc>
          <w:tcPr>
            <w:tcW w:w="0" w:type="dxa"/>
            <w:vAlign w:val="bottom"/>
          </w:tcPr>
          <w:p>
            <w:pPr>
              <w:spacing w:after="0"/>
              <w:rPr>
                <w:sz w:val="1"/>
                <w:szCs w:val="1"/>
                <w:color w:val="auto"/>
              </w:rPr>
            </w:pPr>
          </w:p>
        </w:tc>
      </w:tr>
      <w:tr>
        <w:trPr>
          <w:trHeight w:val="459"/>
        </w:trPr>
        <w:tc>
          <w:tcPr>
            <w:tcW w:w="112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c>
          <w:tcPr>
            <w:tcW w:w="0" w:type="dxa"/>
            <w:vAlign w:val="bottom"/>
          </w:tcPr>
          <w:p>
            <w:pPr>
              <w:spacing w:after="0"/>
              <w:rPr>
                <w:sz w:val="1"/>
                <w:szCs w:val="1"/>
                <w:color w:val="auto"/>
              </w:rPr>
            </w:pPr>
          </w:p>
        </w:tc>
      </w:tr>
      <w:tr>
        <w:trPr>
          <w:trHeight w:val="446"/>
        </w:trPr>
        <w:tc>
          <w:tcPr>
            <w:tcW w:w="1120" w:type="dxa"/>
            <w:vAlign w:val="bottom"/>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c>
          <w:tcPr>
            <w:tcW w:w="0" w:type="dxa"/>
            <w:vAlign w:val="bottom"/>
          </w:tcPr>
          <w:p>
            <w:pPr>
              <w:spacing w:after="0"/>
              <w:rPr>
                <w:sz w:val="1"/>
                <w:szCs w:val="1"/>
                <w:color w:val="auto"/>
              </w:rPr>
            </w:pPr>
          </w:p>
        </w:tc>
      </w:tr>
      <w:tr>
        <w:trPr>
          <w:trHeight w:val="446"/>
        </w:trPr>
        <w:tc>
          <w:tcPr>
            <w:tcW w:w="1120" w:type="dxa"/>
            <w:vAlign w:val="bottom"/>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w:t>
            </w:r>
          </w:p>
        </w:tc>
        <w:tc>
          <w:tcPr>
            <w:tcW w:w="0" w:type="dxa"/>
            <w:vAlign w:val="bottom"/>
          </w:tcPr>
          <w:p>
            <w:pPr>
              <w:spacing w:after="0"/>
              <w:rPr>
                <w:sz w:val="1"/>
                <w:szCs w:val="1"/>
                <w:color w:val="auto"/>
              </w:rPr>
            </w:pPr>
          </w:p>
        </w:tc>
      </w:tr>
      <w:tr>
        <w:trPr>
          <w:trHeight w:val="446"/>
        </w:trPr>
        <w:tc>
          <w:tcPr>
            <w:tcW w:w="1120" w:type="dxa"/>
            <w:vAlign w:val="bottom"/>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101.INS*</w:t>
            </w:r>
          </w:p>
        </w:tc>
        <w:tc>
          <w:tcPr>
            <w:tcW w:w="7700" w:type="dxa"/>
            <w:vAlign w:val="bottom"/>
          </w:tcPr>
          <w:p>
            <w:pPr>
              <w:ind w:left="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101.SCH*</w:t>
            </w:r>
          </w:p>
        </w:tc>
        <w:tc>
          <w:tcPr>
            <w:tcW w:w="770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101.DEF*</w:t>
            </w:r>
          </w:p>
        </w:tc>
        <w:tc>
          <w:tcPr>
            <w:tcW w:w="770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101.CAL*</w:t>
            </w:r>
          </w:p>
        </w:tc>
        <w:tc>
          <w:tcPr>
            <w:tcW w:w="770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662"/>
        </w:trPr>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700" w:type="dxa"/>
            <w:vAlign w:val="bottom"/>
          </w:tcPr>
          <w:p>
            <w:pPr>
              <w:ind w:left="30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29"/>
        </w:trPr>
        <w:tc>
          <w:tcPr>
            <w:tcW w:w="1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jc w:val="right"/>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4660" w:type="dxa"/>
            <w:vAlign w:val="bottom"/>
          </w:tcPr>
          <w:p>
            <w:pPr>
              <w:spacing w:after="0"/>
              <w:rPr>
                <w:sz w:val="17"/>
                <w:szCs w:val="17"/>
                <w:color w:val="auto"/>
              </w:rPr>
            </w:pPr>
          </w:p>
        </w:tc>
      </w:tr>
      <w:tr>
        <w:trPr>
          <w:trHeight w:val="669"/>
        </w:trPr>
        <w:tc>
          <w:tcPr>
            <w:tcW w:w="1280" w:type="dxa"/>
            <w:vAlign w:val="bottom"/>
          </w:tcPr>
          <w:p>
            <w:pPr>
              <w:jc w:val="right"/>
              <w:ind w:right="130"/>
              <w:spacing w:after="0"/>
              <w:rPr>
                <w:sz w:val="20"/>
                <w:szCs w:val="20"/>
                <w:color w:val="auto"/>
              </w:rPr>
            </w:pPr>
            <w:r>
              <w:rPr>
                <w:rFonts w:ascii="Arial" w:cs="Arial" w:eastAsia="Arial" w:hAnsi="Arial"/>
                <w:sz w:val="18"/>
                <w:szCs w:val="18"/>
                <w:color w:val="auto"/>
              </w:rPr>
              <w:t>101.LAB*</w:t>
            </w:r>
          </w:p>
        </w:tc>
        <w:tc>
          <w:tcPr>
            <w:tcW w:w="466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446"/>
        </w:trPr>
        <w:tc>
          <w:tcPr>
            <w:tcW w:w="1280" w:type="dxa"/>
            <w:vAlign w:val="bottom"/>
          </w:tcPr>
          <w:p>
            <w:pPr>
              <w:jc w:val="right"/>
              <w:ind w:right="130"/>
              <w:spacing w:after="0"/>
              <w:rPr>
                <w:sz w:val="20"/>
                <w:szCs w:val="20"/>
                <w:color w:val="auto"/>
              </w:rPr>
            </w:pPr>
            <w:r>
              <w:rPr>
                <w:rFonts w:ascii="Arial" w:cs="Arial" w:eastAsia="Arial" w:hAnsi="Arial"/>
                <w:sz w:val="18"/>
                <w:szCs w:val="18"/>
                <w:color w:val="auto"/>
              </w:rPr>
              <w:t>101.PRE*</w:t>
            </w:r>
          </w:p>
        </w:tc>
        <w:tc>
          <w:tcPr>
            <w:tcW w:w="4660" w:type="dxa"/>
            <w:vAlign w:val="bottom"/>
          </w:tcPr>
          <w:p>
            <w:pPr>
              <w:ind w:left="12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214630</wp:posOffset>
            </wp:positionV>
            <wp:extent cx="14408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20" w:hanging="563"/>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620" w:right="39" w:hanging="563"/>
        <w:spacing w:after="0" w:line="254"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registration statement or other document filed under the Securities Act of 1933, as amended, except as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AVNET, INC.</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p>
      <w:pPr>
        <w:ind w:left="456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MORIARTY</w:t>
      </w:r>
    </w:p>
    <w:p>
      <w:pPr>
        <w:spacing w:after="0" w:line="5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-130175</wp:posOffset>
            </wp:positionV>
            <wp:extent cx="26327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William J. Amelio, certify that: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I have reviewed this quarterly report on Form 10-Q of Avnet, Inc.;</w:t>
      </w:r>
    </w:p>
    <w:p>
      <w:pPr>
        <w:spacing w:after="0" w:line="117" w:lineRule="exact"/>
        <w:rPr>
          <w:sz w:val="20"/>
          <w:szCs w:val="20"/>
          <w:color w:val="auto"/>
        </w:rPr>
      </w:pPr>
    </w:p>
    <w:p>
      <w:pPr>
        <w:ind w:left="460" w:right="180" w:hanging="134"/>
        <w:spacing w:after="0" w:line="26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sz w:val="20"/>
          <w:szCs w:val="20"/>
          <w:color w:val="auto"/>
        </w:rPr>
      </w:pPr>
    </w:p>
    <w:p>
      <w:pPr>
        <w:ind w:left="460" w:right="240" w:hanging="134"/>
        <w:spacing w:after="0" w:line="342"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sz w:val="20"/>
          <w:szCs w:val="20"/>
          <w:color w:val="auto"/>
        </w:rPr>
      </w:pPr>
    </w:p>
    <w:p>
      <w:pPr>
        <w:ind w:left="460" w:right="260" w:hanging="134"/>
        <w:spacing w:after="0" w:line="264" w:lineRule="auto"/>
        <w:rPr>
          <w:sz w:val="20"/>
          <w:szCs w:val="20"/>
          <w:color w:val="auto"/>
        </w:rPr>
      </w:pPr>
      <w:r>
        <w:rPr>
          <w:rFonts w:ascii="Arial" w:cs="Arial" w:eastAsia="Arial" w:hAnsi="Arial"/>
          <w:sz w:val="18"/>
          <w:szCs w:val="18"/>
          <w:color w:val="auto"/>
        </w:rPr>
        <w:t>4.The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780" w:right="40" w:hanging="134"/>
        <w:spacing w:after="0" w:line="286" w:lineRule="auto"/>
        <w:rPr>
          <w:sz w:val="20"/>
          <w:szCs w:val="20"/>
          <w:color w:val="auto"/>
        </w:rPr>
      </w:pPr>
      <w:r>
        <w:rPr>
          <w:rFonts w:ascii="Arial" w:cs="Arial" w:eastAsia="Arial" w:hAnsi="Arial"/>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sz w:val="20"/>
          <w:szCs w:val="20"/>
          <w:color w:val="auto"/>
        </w:rPr>
      </w:pPr>
    </w:p>
    <w:p>
      <w:pPr>
        <w:ind w:left="780" w:right="140" w:hanging="134"/>
        <w:spacing w:after="0" w:line="264"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sz w:val="20"/>
          <w:szCs w:val="20"/>
          <w:color w:val="auto"/>
        </w:rPr>
      </w:pPr>
    </w:p>
    <w:p>
      <w:pPr>
        <w:ind w:left="780" w:right="240" w:hanging="134"/>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sz w:val="20"/>
          <w:szCs w:val="20"/>
          <w:color w:val="auto"/>
        </w:rPr>
      </w:pPr>
    </w:p>
    <w:p>
      <w:pPr>
        <w:ind w:left="780" w:right="360" w:hanging="134"/>
        <w:spacing w:after="0" w:line="286" w:lineRule="auto"/>
        <w:rPr>
          <w:sz w:val="20"/>
          <w:szCs w:val="20"/>
          <w:color w:val="auto"/>
        </w:rPr>
      </w:pPr>
      <w:r>
        <w:rPr>
          <w:rFonts w:ascii="Arial" w:cs="Arial" w:eastAsia="Arial" w:hAnsi="Arial"/>
          <w:sz w:val="17"/>
          <w:szCs w:val="17"/>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sz w:val="20"/>
          <w:szCs w:val="20"/>
          <w:color w:val="auto"/>
        </w:rPr>
      </w:pPr>
    </w:p>
    <w:p>
      <w:pPr>
        <w:jc w:val="both"/>
        <w:ind w:left="460" w:right="400" w:hanging="134"/>
        <w:spacing w:after="0" w:line="264" w:lineRule="auto"/>
        <w:rPr>
          <w:sz w:val="20"/>
          <w:szCs w:val="20"/>
          <w:color w:val="auto"/>
        </w:rPr>
      </w:pPr>
      <w:r>
        <w:rPr>
          <w:rFonts w:ascii="Arial" w:cs="Arial" w:eastAsia="Arial" w:hAnsi="Arial"/>
          <w:sz w:val="18"/>
          <w:szCs w:val="18"/>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3" w:lineRule="exact"/>
        <w:rPr>
          <w:sz w:val="20"/>
          <w:szCs w:val="20"/>
          <w:color w:val="auto"/>
        </w:rPr>
      </w:pPr>
    </w:p>
    <w:p>
      <w:pPr>
        <w:ind w:left="780" w:right="180" w:hanging="134"/>
        <w:spacing w:after="0" w:line="342" w:lineRule="auto"/>
        <w:rPr>
          <w:sz w:val="20"/>
          <w:szCs w:val="20"/>
          <w:color w:val="auto"/>
        </w:rPr>
      </w:pPr>
      <w:r>
        <w:rPr>
          <w:rFonts w:ascii="Arial" w:cs="Arial" w:eastAsia="Arial" w:hAnsi="Arial"/>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sz w:val="20"/>
          <w:szCs w:val="20"/>
          <w:color w:val="auto"/>
        </w:rPr>
      </w:pPr>
    </w:p>
    <w:p>
      <w:pPr>
        <w:ind w:left="780" w:right="500" w:hanging="134"/>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2016</w:t>
      </w:r>
    </w:p>
    <w:p>
      <w:pPr>
        <w:spacing w:after="0" w:line="25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3302635</wp:posOffset>
            </wp:positionH>
            <wp:positionV relativeFrom="paragraph">
              <wp:posOffset>31750</wp:posOffset>
            </wp:positionV>
            <wp:extent cx="33020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4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William J. Amelio</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661225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7" w:right="7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Kevin Moriarty, certify that: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I have reviewed this quarterly report on Form 10-Q of Avnet, Inc.;</w:t>
      </w:r>
    </w:p>
    <w:p>
      <w:pPr>
        <w:spacing w:after="0" w:line="117" w:lineRule="exact"/>
        <w:rPr>
          <w:sz w:val="20"/>
          <w:szCs w:val="20"/>
          <w:color w:val="auto"/>
        </w:rPr>
      </w:pPr>
    </w:p>
    <w:p>
      <w:pPr>
        <w:ind w:left="460" w:right="180" w:hanging="134"/>
        <w:spacing w:after="0" w:line="26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sz w:val="20"/>
          <w:szCs w:val="20"/>
          <w:color w:val="auto"/>
        </w:rPr>
      </w:pPr>
    </w:p>
    <w:p>
      <w:pPr>
        <w:ind w:left="460" w:right="240" w:hanging="134"/>
        <w:spacing w:after="0" w:line="342"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sz w:val="20"/>
          <w:szCs w:val="20"/>
          <w:color w:val="auto"/>
        </w:rPr>
      </w:pPr>
    </w:p>
    <w:p>
      <w:pPr>
        <w:ind w:left="460" w:right="260" w:hanging="134"/>
        <w:spacing w:after="0" w:line="264" w:lineRule="auto"/>
        <w:rPr>
          <w:sz w:val="20"/>
          <w:szCs w:val="20"/>
          <w:color w:val="auto"/>
        </w:rPr>
      </w:pPr>
      <w:r>
        <w:rPr>
          <w:rFonts w:ascii="Arial" w:cs="Arial" w:eastAsia="Arial" w:hAnsi="Arial"/>
          <w:sz w:val="18"/>
          <w:szCs w:val="18"/>
          <w:color w:val="auto"/>
        </w:rPr>
        <w:t>4.The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780" w:right="40" w:hanging="134"/>
        <w:spacing w:after="0" w:line="286" w:lineRule="auto"/>
        <w:rPr>
          <w:sz w:val="20"/>
          <w:szCs w:val="20"/>
          <w:color w:val="auto"/>
        </w:rPr>
      </w:pPr>
      <w:r>
        <w:rPr>
          <w:rFonts w:ascii="Arial" w:cs="Arial" w:eastAsia="Arial" w:hAnsi="Arial"/>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sz w:val="20"/>
          <w:szCs w:val="20"/>
          <w:color w:val="auto"/>
        </w:rPr>
      </w:pPr>
    </w:p>
    <w:p>
      <w:pPr>
        <w:ind w:left="780" w:right="140" w:hanging="134"/>
        <w:spacing w:after="0" w:line="264"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sz w:val="20"/>
          <w:szCs w:val="20"/>
          <w:color w:val="auto"/>
        </w:rPr>
      </w:pPr>
    </w:p>
    <w:p>
      <w:pPr>
        <w:ind w:left="780" w:right="240" w:hanging="134"/>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sz w:val="20"/>
          <w:szCs w:val="20"/>
          <w:color w:val="auto"/>
        </w:rPr>
      </w:pPr>
    </w:p>
    <w:p>
      <w:pPr>
        <w:ind w:left="780" w:right="360" w:hanging="134"/>
        <w:spacing w:after="0" w:line="286" w:lineRule="auto"/>
        <w:rPr>
          <w:sz w:val="20"/>
          <w:szCs w:val="20"/>
          <w:color w:val="auto"/>
        </w:rPr>
      </w:pPr>
      <w:r>
        <w:rPr>
          <w:rFonts w:ascii="Arial" w:cs="Arial" w:eastAsia="Arial" w:hAnsi="Arial"/>
          <w:sz w:val="17"/>
          <w:szCs w:val="17"/>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sz w:val="20"/>
          <w:szCs w:val="20"/>
          <w:color w:val="auto"/>
        </w:rPr>
      </w:pPr>
    </w:p>
    <w:p>
      <w:pPr>
        <w:jc w:val="both"/>
        <w:ind w:left="460" w:right="400" w:hanging="134"/>
        <w:spacing w:after="0" w:line="264" w:lineRule="auto"/>
        <w:rPr>
          <w:sz w:val="20"/>
          <w:szCs w:val="20"/>
          <w:color w:val="auto"/>
        </w:rPr>
      </w:pPr>
      <w:r>
        <w:rPr>
          <w:rFonts w:ascii="Arial" w:cs="Arial" w:eastAsia="Arial" w:hAnsi="Arial"/>
          <w:sz w:val="18"/>
          <w:szCs w:val="18"/>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3" w:lineRule="exact"/>
        <w:rPr>
          <w:sz w:val="20"/>
          <w:szCs w:val="20"/>
          <w:color w:val="auto"/>
        </w:rPr>
      </w:pPr>
    </w:p>
    <w:p>
      <w:pPr>
        <w:ind w:left="780" w:right="180" w:hanging="134"/>
        <w:spacing w:after="0" w:line="342" w:lineRule="auto"/>
        <w:rPr>
          <w:sz w:val="20"/>
          <w:szCs w:val="20"/>
          <w:color w:val="auto"/>
        </w:rPr>
      </w:pPr>
      <w:r>
        <w:rPr>
          <w:rFonts w:ascii="Arial" w:cs="Arial" w:eastAsia="Arial" w:hAnsi="Arial"/>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sz w:val="20"/>
          <w:szCs w:val="20"/>
          <w:color w:val="auto"/>
        </w:rPr>
      </w:pPr>
    </w:p>
    <w:p>
      <w:pPr>
        <w:ind w:left="780" w:right="500" w:hanging="134"/>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2016</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KEVIN MORIARTY</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3345180</wp:posOffset>
            </wp:positionH>
            <wp:positionV relativeFrom="paragraph">
              <wp:posOffset>-130810</wp:posOffset>
            </wp:positionV>
            <wp:extent cx="32588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661225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7" w:right="7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Quarterly Report on Form 10-Q for the period ended October 1, 2016 (the “Report”), I, William J.</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Amelio, Chief Executive Officer of Avnet, Inc., (the “Company”) hereby certify that:</w:t>
      </w:r>
    </w:p>
    <w:p>
      <w:pPr>
        <w:spacing w:after="0" w:line="103" w:lineRule="exact"/>
        <w:rPr>
          <w:sz w:val="20"/>
          <w:szCs w:val="20"/>
          <w:color w:val="auto"/>
        </w:rPr>
      </w:pPr>
    </w:p>
    <w:p>
      <w:pPr>
        <w:ind w:left="460" w:right="220" w:hanging="134"/>
        <w:spacing w:after="0" w:line="277" w:lineRule="auto"/>
        <w:rPr>
          <w:sz w:val="20"/>
          <w:szCs w:val="20"/>
          <w:color w:val="auto"/>
        </w:rPr>
      </w:pPr>
      <w:r>
        <w:rPr>
          <w:rFonts w:ascii="Arial" w:cs="Arial" w:eastAsia="Arial" w:hAnsi="Arial"/>
          <w:sz w:val="18"/>
          <w:szCs w:val="18"/>
          <w:color w:val="auto"/>
        </w:rPr>
        <w:t>1.The Report fully complies with the requirements of Section 13(a) or 15(d), as applicable, of the Securities Exchange Act of 1934; and</w:t>
      </w:r>
    </w:p>
    <w:p>
      <w:pPr>
        <w:spacing w:after="0" w:line="62" w:lineRule="exact"/>
        <w:rPr>
          <w:sz w:val="20"/>
          <w:szCs w:val="20"/>
          <w:color w:val="auto"/>
        </w:rPr>
      </w:pPr>
    </w:p>
    <w:p>
      <w:pPr>
        <w:ind w:left="460" w:right="180" w:hanging="134"/>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2016</w:t>
      </w:r>
    </w:p>
    <w:p>
      <w:pPr>
        <w:spacing w:after="0" w:line="23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14605</wp:posOffset>
            </wp:positionV>
            <wp:extent cx="28384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William J. Amelio</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512445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October 1, 2016 (the “Report”), I, Kevin Moriarty, Chief Financial Officer of Avnet, Inc., (the “Company”) hereby certify that:</w:t>
      </w:r>
    </w:p>
    <w:p>
      <w:pPr>
        <w:spacing w:after="0" w:line="62" w:lineRule="exact"/>
        <w:rPr>
          <w:sz w:val="20"/>
          <w:szCs w:val="20"/>
          <w:color w:val="auto"/>
        </w:rPr>
      </w:pPr>
    </w:p>
    <w:p>
      <w:pPr>
        <w:ind w:left="460" w:right="220" w:hanging="134"/>
        <w:spacing w:after="0" w:line="277" w:lineRule="auto"/>
        <w:rPr>
          <w:sz w:val="20"/>
          <w:szCs w:val="20"/>
          <w:color w:val="auto"/>
        </w:rPr>
      </w:pPr>
      <w:r>
        <w:rPr>
          <w:rFonts w:ascii="Arial" w:cs="Arial" w:eastAsia="Arial" w:hAnsi="Arial"/>
          <w:sz w:val="18"/>
          <w:szCs w:val="18"/>
          <w:color w:val="auto"/>
        </w:rPr>
        <w:t>1.The Report fully complies with the requirements of Section 13(a) or 15(d), as applicable, of the Securities Exchange Act of 1934; and</w:t>
      </w:r>
    </w:p>
    <w:p>
      <w:pPr>
        <w:spacing w:after="0" w:line="62" w:lineRule="exact"/>
        <w:rPr>
          <w:sz w:val="20"/>
          <w:szCs w:val="20"/>
          <w:color w:val="auto"/>
        </w:rPr>
      </w:pPr>
    </w:p>
    <w:p>
      <w:pPr>
        <w:ind w:left="460" w:right="180" w:hanging="134"/>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2016</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14605</wp:posOffset>
            </wp:positionV>
            <wp:extent cx="28473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Kevin Moriarty</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337"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Roman"/>
      <w:start w:val="1"/>
    </w:lvl>
  </w:abstractNum>
  <w:abstractNum w:abstractNumId="2">
    <w:nsid w:val="41B71EFB"/>
    <w:multiLevelType w:val="hybridMultilevel"/>
    <w:lvl w:ilvl="0">
      <w:lvlJc w:val="left"/>
      <w:lvlText w:val="%1."/>
      <w:numFmt w:val="decimal"/>
      <w:start w:val="10"/>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4"/>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2019-12-29T10:24:32Z</dcterms:created>
  <dcterms:modified xsi:type="dcterms:W3CDTF">2019-12-29T10:24:32Z</dcterms:modified>
</cp:coreProperties>
</file>