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t-20250927x10q.htm"/>
        <w:bookmarkStart w:id="1" w:name="ksavt202509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bookmarkStart w:id="2" w:name="Cover_Page"/>
      <w:bookmarkEnd w:id="2"/>
      <w:r>
        <w:rPr>
          <w:bdr w:val="single" w:sz="24" w:space="1" w:color="000000"/>
        </w:rPr>
        <w:t>​</w:t>
      </w:r>
    </w:p>
    <w:p>
      <w:pPr>
        <w:pStyle w:val="TextBody"/>
        <w:bidi w:val="0"/>
        <w:spacing w:before="60" w:after="0"/>
        <w:ind w:left="0" w:right="0" w:hanging="0"/>
        <w:jc w:val="center"/>
        <w:rPr>
          <w:rFonts w:ascii="Times New Roman;Times;serif" w:hAnsi="Times New Roman;Times;serif"/>
          <w:b/>
          <w:sz w:val="24"/>
        </w:rPr>
      </w:pPr>
      <w:bookmarkStart w:id="3" w:name="_244809f6_a552_47a8_ab50_9cb5814621eb"/>
      <w:bookmarkEnd w:id="3"/>
      <w:r>
        <w:rPr>
          <w:rFonts w:ascii="Times New Roman;Times;serif" w:hAnsi="Times New Roman;Times;serif"/>
          <w:b/>
          <w:sz w:val="24"/>
        </w:rPr>
        <w:t>UNITED STATES</w:t>
      </w:r>
    </w:p>
    <w:p>
      <w:pPr>
        <w:pStyle w:val="TextBody"/>
        <w:bidi w:val="0"/>
        <w:spacing w:before="6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SdDm8LTpdUWPrkgKK1FtiA_7_0"/>
      <w:bookmarkStart w:id="5" w:name="Tc_iBTjor5Ui0q6LwOtbuJ5Hw_5_1"/>
      <w:bookmarkStart w:id="6" w:name="Tc_Yf_fUvFC_UetoHhtMHg7LA_3_0"/>
      <w:bookmarkStart w:id="7" w:name="Tc_l_3MFVBYhkGDBcVqa11rcw_1_1"/>
      <w:bookmarkStart w:id="8" w:name="_3067254c_5625_4f8e_b6f9_00457c7465a4"/>
      <w:bookmarkStart w:id="9" w:name="Tc_SdDm8LTpdUWPrkgKK1FtiA_7_0"/>
      <w:bookmarkStart w:id="10" w:name="Tc_iBTjor5Ui0q6LwOtbuJ5Hw_5_1"/>
      <w:bookmarkStart w:id="11" w:name="Tc_Yf_fUvFC_UetoHhtMHg7LA_3_0"/>
      <w:bookmarkStart w:id="12" w:name="Tc_l_3MFVBYhkGDBcVqa11rcw_1_1"/>
      <w:bookmarkStart w:id="13" w:name="_3067254c_5625_4f8e_b6f9_00457c7465a4"/>
      <w:bookmarkEnd w:id="9"/>
      <w:bookmarkEnd w:id="10"/>
      <w:bookmarkEnd w:id="11"/>
      <w:bookmarkEnd w:id="12"/>
      <w:bookmarkEnd w:id="13"/>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27, 2025</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 to _____</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Commission File #1-4224</w:t>
      </w:r>
    </w:p>
    <w:p>
      <w:pPr>
        <w:pStyle w:val="TextBody"/>
        <w:bidi w:val="0"/>
        <w:spacing w:lineRule="atLeast" w:line="280" w:before="0" w:after="0"/>
        <w:ind w:left="0" w:right="0" w:hanging="0"/>
        <w:jc w:val="center"/>
        <w:rPr>
          <w:rFonts w:ascii="Times New Roman;Times;serif" w:hAnsi="Times New Roman;Times;serif"/>
          <w:b/>
          <w:sz w:val="44"/>
        </w:rPr>
      </w:pPr>
      <w:r>
        <w:rPr>
          <w:rFonts w:ascii="Times New Roman;Times;serif" w:hAnsi="Times New Roman;Times;serif"/>
          <w:b/>
          <w:sz w:val="32"/>
        </w:rPr>
        <w:t>AVNET</w:t>
      </w:r>
      <w:r>
        <w:rPr>
          <w:rFonts w:ascii="Times New Roman;Times;serif" w:hAnsi="Times New Roman;Times;serif"/>
          <w:b/>
          <w:sz w:val="40"/>
        </w:rPr>
        <w:t xml:space="preserve">, </w:t>
      </w:r>
      <w:r>
        <w:rPr>
          <w:rFonts w:ascii="Times New Roman;Times;serif" w:hAnsi="Times New Roman;Times;serif"/>
          <w:b/>
          <w:sz w:val="32"/>
        </w:rPr>
        <w:t>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14" w:name="Tc_uKbw_q6g8ECX6vbVkbwFKQ_3_4"/>
      <w:bookmarkStart w:id="15" w:name="Tc_mrRLBBRwYE2WgTQTKahSyw_3_0"/>
      <w:bookmarkStart w:id="16" w:name="Tc_8pKdhnxvzkyo6RcBe8IXYA_2_4"/>
      <w:bookmarkStart w:id="17" w:name="Tc_6NISLLKNpUWpkQOs9RcGBA_2_0"/>
      <w:bookmarkStart w:id="18" w:name="_7e373017_7fb5_4a64_b915_3abe568c11b9"/>
      <w:bookmarkStart w:id="19" w:name="Tc_uKbw_q6g8ECX6vbVkbwFKQ_3_4"/>
      <w:bookmarkStart w:id="20" w:name="Tc_mrRLBBRwYE2WgTQTKahSyw_3_0"/>
      <w:bookmarkStart w:id="21" w:name="Tc_8pKdhnxvzkyo6RcBe8IXYA_2_4"/>
      <w:bookmarkStart w:id="22" w:name="Tc_6NISLLKNpUWpkQOs9RcGBA_2_0"/>
      <w:bookmarkStart w:id="23" w:name="_7e373017_7fb5_4a64_b915_3abe568c11b9"/>
      <w:bookmarkEnd w:id="19"/>
      <w:bookmarkEnd w:id="20"/>
      <w:bookmarkEnd w:id="21"/>
      <w:bookmarkEnd w:id="22"/>
      <w:bookmarkEnd w:id="23"/>
    </w:p>
    <w:tbl>
      <w:tblPr>
        <w:tblW w:w="4843" w:type="dxa"/>
        <w:jc w:val="left"/>
        <w:tblInd w:w="0" w:type="dxa"/>
        <w:tblLayout w:type="fixed"/>
        <w:tblCellMar>
          <w:top w:w="0" w:type="dxa"/>
          <w:left w:w="0" w:type="dxa"/>
          <w:bottom w:w="0" w:type="dxa"/>
          <w:right w:w="0" w:type="dxa"/>
        </w:tblCellMar>
      </w:tblPr>
      <w:tblGrid>
        <w:gridCol w:w="2791"/>
        <w:gridCol w:w="146"/>
        <w:gridCol w:w="109"/>
        <w:gridCol w:w="146"/>
        <w:gridCol w:w="165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29210"/>
                      <wp:effectExtent l="0" t="0" r="0" b="0"/>
                      <wp:wrapNone/>
                      <wp:docPr id="3" name="Frame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48385" cy="29210"/>
                      <wp:effectExtent l="0" t="0" r="0" b="0"/>
                      <wp:wrapNone/>
                      <wp:docPr id="5" name="Frame5"/>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 w:name="Tc_aHGfkWegYEm54Qhs8iBO_A_2_2"/>
      <w:bookmarkStart w:id="25" w:name="Tc_3xxZDLAS5UC85nkrZHtdZA_2_0"/>
      <w:bookmarkStart w:id="26" w:name="Tc_m84GP7ZAOkKPi_qgr08I_g_1_0"/>
      <w:bookmarkStart w:id="27" w:name="_4b8b8f8c_39dc_4ad4_a53b_fa9884bdaada"/>
      <w:bookmarkStart w:id="28" w:name="Tc_aHGfkWegYEm54Qhs8iBO_A_2_2"/>
      <w:bookmarkStart w:id="29" w:name="Tc_3xxZDLAS5UC85nkrZHtdZA_2_0"/>
      <w:bookmarkStart w:id="30" w:name="Tc_m84GP7ZAOkKPi_qgr08I_g_1_0"/>
      <w:bookmarkStart w:id="31" w:name="_4b8b8f8c_39dc_4ad4_a53b_fa9884bdaada"/>
      <w:bookmarkEnd w:id="28"/>
      <w:bookmarkEnd w:id="29"/>
      <w:bookmarkEnd w:id="30"/>
      <w:bookmarkEnd w:id="31"/>
    </w:p>
    <w:tbl>
      <w:tblPr>
        <w:tblW w:w="4768" w:type="dxa"/>
        <w:jc w:val="left"/>
        <w:tblInd w:w="0" w:type="dxa"/>
        <w:tblLayout w:type="fixed"/>
        <w:tblCellMar>
          <w:top w:w="0" w:type="dxa"/>
          <w:left w:w="0" w:type="dxa"/>
          <w:bottom w:w="0" w:type="dxa"/>
          <w:right w:w="0" w:type="dxa"/>
        </w:tblCellMar>
      </w:tblPr>
      <w:tblGrid>
        <w:gridCol w:w="3586"/>
        <w:gridCol w:w="146"/>
        <w:gridCol w:w="10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 Phoenix, Arizona</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85034</w:t>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lineRule="atLeast" w:line="200" w:before="0" w:after="0"/>
        <w:ind w:left="0" w:right="0" w:hanging="0"/>
        <w:jc w:val="center"/>
        <w:rPr/>
      </w:pPr>
      <w:r>
        <w:rPr/>
        <w:t>​</w:t>
      </w:r>
    </w:p>
    <w:p>
      <w:pPr>
        <w:pStyle w:val="Normal"/>
        <w:bidi w:val="0"/>
        <w:spacing w:before="0" w:after="0"/>
        <w:jc w:val="left"/>
        <w:rPr>
          <w:sz w:val="4"/>
          <w:szCs w:val="4"/>
        </w:rPr>
      </w:pPr>
      <w:r>
        <w:rPr>
          <w:sz w:val="4"/>
          <w:szCs w:val="4"/>
        </w:rPr>
      </w:r>
      <w:bookmarkStart w:id="32" w:name="Tc_f4YqupdBLUS75ea39ILL-w_1_4"/>
      <w:bookmarkStart w:id="33" w:name="Tc_xSs-vcBb5kqMqyMqESc0Xw_1_2"/>
      <w:bookmarkStart w:id="34" w:name="Tc_5A5OLoAmN0O8la68ncZtfQ_1_0"/>
      <w:bookmarkStart w:id="35" w:name="_d108680e_4f63_49ed_b1fc_945232bee3da"/>
      <w:bookmarkStart w:id="36" w:name="Tc_f4YqupdBLUS75ea39ILL-w_1_4"/>
      <w:bookmarkStart w:id="37" w:name="Tc_xSs-vcBb5kqMqyMqESc0Xw_1_2"/>
      <w:bookmarkStart w:id="38" w:name="Tc_5A5OLoAmN0O8la68ncZtfQ_1_0"/>
      <w:bookmarkStart w:id="39" w:name="_d108680e_4f63_49ed_b1fc_945232bee3da"/>
      <w:bookmarkEnd w:id="36"/>
      <w:bookmarkEnd w:id="37"/>
      <w:bookmarkEnd w:id="38"/>
      <w:bookmarkEnd w:id="39"/>
    </w:p>
    <w:tbl>
      <w:tblPr>
        <w:tblW w:w="9295" w:type="dxa"/>
        <w:jc w:val="left"/>
        <w:tblInd w:w="0" w:type="dxa"/>
        <w:tblLayout w:type="fixed"/>
        <w:tblCellMar>
          <w:top w:w="0" w:type="dxa"/>
          <w:left w:w="0" w:type="dxa"/>
          <w:bottom w:w="0" w:type="dxa"/>
          <w:right w:w="0" w:type="dxa"/>
        </w:tblCellMar>
      </w:tblPr>
      <w:tblGrid>
        <w:gridCol w:w="3466"/>
        <w:gridCol w:w="146"/>
        <w:gridCol w:w="1501"/>
        <w:gridCol w:w="146"/>
        <w:gridCol w:w="40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403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lineRule="atLeast" w:line="200" w:before="0" w:after="0"/>
              <w:ind w:left="0" w:right="0" w:hanging="0"/>
              <w:jc w:val="left"/>
              <w:rPr/>
            </w:pPr>
            <w:r>
              <w:rPr/>
              <w:t> </w:t>
            </w:r>
          </w:p>
        </w:tc>
        <w:tc>
          <w:tcPr>
            <w:tcW w:w="150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lineRule="atLeast" w:line="200" w:before="0" w:after="0"/>
              <w:ind w:left="0" w:right="0" w:hanging="0"/>
              <w:jc w:val="left"/>
              <w:rPr/>
            </w:pPr>
            <w:r>
              <w:rPr/>
              <w:t> </w:t>
            </w:r>
          </w:p>
        </w:tc>
        <w:tc>
          <w:tcPr>
            <w:tcW w:w="4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60"/>
        <w:ind w:left="0" w:right="0" w:firstLine="480"/>
        <w:jc w:val="left"/>
        <w:rPr>
          <w:rFonts w:ascii="Times New Roman;Times;serif" w:hAnsi="Times New Roman;Times;serif"/>
          <w:sz w:val="20"/>
        </w:rPr>
      </w:pPr>
      <w:r>
        <w:rPr>
          <w:rFonts w:ascii="Times New Roman;Times;serif" w:hAnsi="Times New Roman;Times;serif"/>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Yes ☑ No ☐</w:t>
      </w:r>
    </w:p>
    <w:p>
      <w:pPr>
        <w:pStyle w:val="TextBody"/>
        <w:bidi w:val="0"/>
        <w:spacing w:before="6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39" w:type="dxa"/>
        <w:jc w:val="left"/>
        <w:tblInd w:w="0" w:type="dxa"/>
        <w:tblLayout w:type="fixed"/>
        <w:tblCellMar>
          <w:top w:w="0" w:type="dxa"/>
          <w:left w:w="0" w:type="dxa"/>
          <w:bottom w:w="0" w:type="dxa"/>
          <w:right w:w="0" w:type="dxa"/>
        </w:tblCellMar>
      </w:tblPr>
      <w:tblGrid>
        <w:gridCol w:w="2626"/>
        <w:gridCol w:w="206"/>
        <w:gridCol w:w="2656"/>
        <w:gridCol w:w="251"/>
      </w:tblGrid>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06" w:type="dxa"/>
            <w:tcBorders/>
            <w:vAlign w:val="center"/>
          </w:tcPr>
          <w:p>
            <w:pPr>
              <w:pStyle w:val="TableContents"/>
              <w:bidi w:val="0"/>
              <w:spacing w:lineRule="atLeast" w:line="200" w:before="0" w:after="0"/>
              <w:ind w:left="0" w:right="0" w:hanging="0"/>
              <w:jc w:val="left"/>
              <w:rPr/>
            </w:pPr>
            <w:r>
              <w:rPr/>
              <w:t>  </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51" w:type="dxa"/>
            <w:tcBorders/>
            <w:vAlign w:val="center"/>
          </w:tcPr>
          <w:p>
            <w:pPr>
              <w:pStyle w:val="TableContents"/>
              <w:bidi w:val="0"/>
              <w:spacing w:lineRule="atLeast" w:line="200" w:before="0" w:after="0"/>
              <w:ind w:left="0" w:right="0" w:hanging="0"/>
              <w:jc w:val="left"/>
              <w:rPr/>
            </w:pPr>
            <w:r>
              <w:rPr/>
              <w:t>  </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251" w:type="dxa"/>
            <w:tcBorders/>
            <w:vAlign w:val="center"/>
          </w:tcPr>
          <w:p>
            <w:pPr>
              <w:pStyle w:val="TableContents"/>
              <w:bidi w:val="0"/>
              <w:spacing w:lineRule="atLeast" w:line="200" w:before="0" w:after="0"/>
              <w:ind w:left="0" w:right="0" w:hanging="0"/>
              <w:jc w:val="left"/>
              <w:rPr/>
            </w:pPr>
            <w:r>
              <w:rPr/>
              <w:t>​</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pPr>
            <w:r>
              <w:rPr/>
              <w:t>​</w:t>
            </w:r>
          </w:p>
        </w:tc>
        <w:tc>
          <w:tcPr>
            <w:tcW w:w="251" w:type="dxa"/>
            <w:tcBorders/>
            <w:vAlign w:val="center"/>
          </w:tcPr>
          <w:p>
            <w:pPr>
              <w:pStyle w:val="TableContents"/>
              <w:bidi w:val="0"/>
              <w:spacing w:lineRule="atLeast" w:line="200" w:before="0" w:after="0"/>
              <w:ind w:left="0" w:right="0" w:hanging="0"/>
              <w:jc w:val="left"/>
              <w:rPr/>
            </w:pPr>
            <w:r>
              <w:rPr/>
              <w:t>​</w:t>
            </w:r>
          </w:p>
        </w:tc>
      </w:tr>
    </w:tbl>
    <w:p>
      <w:pPr>
        <w:pStyle w:val="TextBody"/>
        <w:bidi w:val="0"/>
        <w:spacing w:before="60" w:after="60"/>
        <w:ind w:left="0" w:right="0" w:firstLine="475"/>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As of October 25, 2025, the total number of shares outstanding of the registrant’s Common Stock was 81,329,466 shares, net of treasury shares.</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00" w:after="0"/>
        <w:ind w:left="0" w:right="0" w:hanging="0"/>
        <w:jc w:val="center"/>
        <w:rPr>
          <w:rFonts w:ascii="Times New Roman;Times;serif" w:hAnsi="Times New Roman;Times;serif"/>
          <w:sz w:val="20"/>
        </w:rPr>
      </w:pPr>
      <w:bookmarkStart w:id="40" w:name="_62470b25_be88_4a6d_a5d7_59264ba4e3ef"/>
      <w:bookmarkEnd w:id="40"/>
      <w:r>
        <w:rPr>
          <w:rFonts w:ascii="Times New Roman;Times;serif" w:hAnsi="Times New Roman;Times;serif"/>
          <w:sz w:val="20"/>
        </w:rPr>
        <w:t>AVNET, INC. AND SUBSIDIARIES</w:t>
      </w:r>
    </w:p>
    <w:p>
      <w:pPr>
        <w:pStyle w:val="TextBody"/>
        <w:bidi w:val="0"/>
        <w:spacing w:before="0" w:after="0"/>
        <w:ind w:left="0" w:right="0" w:hanging="0"/>
        <w:jc w:val="center"/>
        <w:rPr>
          <w:rFonts w:ascii="Times New Roman;Times;serif" w:hAnsi="Times New Roman;Times;serif"/>
          <w:sz w:val="20"/>
        </w:rPr>
      </w:pPr>
      <w:bookmarkStart w:id="41" w:name="Toc"/>
      <w:bookmarkEnd w:id="41"/>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34"/>
        <w:gridCol w:w="871"/>
      </w:tblGrid>
      <w:tr>
        <w:trPr/>
        <w:tc>
          <w:tcPr>
            <w:tcW w:w="9334" w:type="dxa"/>
            <w:tcBorders/>
            <w:vAlign w:val="center"/>
          </w:tcPr>
          <w:p>
            <w:pPr>
              <w:pStyle w:val="TableContents"/>
              <w:bidi w:val="0"/>
              <w:spacing w:before="0" w:after="0"/>
              <w:ind w:left="0" w:right="0" w:hanging="0"/>
              <w:jc w:val="left"/>
              <w:rPr/>
            </w:pPr>
            <w:r>
              <w:rPr/>
              <w:t>​</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9334" w:type="dxa"/>
            <w:tcBorders/>
            <w:vAlign w:val="center"/>
          </w:tcPr>
          <w:p>
            <w:pPr>
              <w:pStyle w:val="TableContents"/>
              <w:pBdr/>
              <w:bidi w:val="0"/>
              <w:spacing w:before="0" w:after="0"/>
              <w:ind w:left="0" w:right="0" w:hanging="0"/>
              <w:jc w:val="center"/>
              <w:rPr/>
            </w:pPr>
            <w:hyperlink w:anchor="PART_I_FINANCIAL_INFORMATION">
              <w:r>
                <w:rPr>
                  <w:rStyle w:val="InternetLink"/>
                  <w:rFonts w:ascii="Times New Roman;Times;serif" w:hAnsi="Times New Roman;Times;serif"/>
                  <w:b w:val="false"/>
                  <w:i w:val="false"/>
                  <w:caps w:val="false"/>
                  <w:smallCaps w:val="false"/>
                  <w:sz w:val="20"/>
                </w:rPr>
                <w:t>PART I. FINANCIAL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 Financial Statements (Unaudited)</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Balance_Sheets">
              <w:r>
                <w:rPr>
                  <w:rStyle w:val="InternetLink"/>
                  <w:rFonts w:ascii="Times New Roman;Times;serif" w:hAnsi="Times New Roman;Times;serif"/>
                  <w:b w:val="false"/>
                  <w:i w:val="false"/>
                  <w:caps w:val="false"/>
                  <w:smallCaps w:val="false"/>
                  <w:sz w:val="20"/>
                </w:rPr>
                <w:t>Consolidated Balance Sheets at September 27, 2025, and June 28, 2025</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Operations">
              <w:r>
                <w:rPr>
                  <w:rStyle w:val="InternetLink"/>
                  <w:rFonts w:ascii="Times New Roman;Times;serif" w:hAnsi="Times New Roman;Times;serif"/>
                  <w:b w:val="false"/>
                  <w:i w:val="false"/>
                  <w:caps w:val="false"/>
                  <w:smallCaps w:val="false"/>
                  <w:sz w:val="20"/>
                </w:rPr>
                <w:t>Consolidated Statements of Operations for the first quarters ended September 27, 2025, and September 28, 2024</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Comprehensive_">
              <w:r>
                <w:rPr>
                  <w:rStyle w:val="InternetLink"/>
                  <w:rFonts w:ascii="Times New Roman;Times;serif" w:hAnsi="Times New Roman;Times;serif"/>
                  <w:b w:val="false"/>
                  <w:i w:val="false"/>
                  <w:caps w:val="false"/>
                  <w:smallCaps w:val="false"/>
                  <w:sz w:val="20"/>
                </w:rPr>
                <w:t>Consolidated Statements of Comprehensive Income for the first quarters ended September 27, 2025, and September 28, 2024</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Shareholders_E">
              <w:r>
                <w:rPr>
                  <w:rStyle w:val="InternetLink"/>
                  <w:rFonts w:ascii="Times New Roman;Times;serif" w:hAnsi="Times New Roman;Times;serif"/>
                  <w:b w:val="false"/>
                  <w:i w:val="false"/>
                  <w:caps w:val="false"/>
                  <w:smallCaps w:val="false"/>
                  <w:sz w:val="20"/>
                </w:rPr>
                <w:t>Consolidated Statements of Shareholders’ Equity for the first quarters ended September 27, 2025, and September 28, 2024</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Cash_Flows_">
              <w:r>
                <w:rPr>
                  <w:rStyle w:val="InternetLink"/>
                  <w:rFonts w:ascii="Times New Roman;Times;serif" w:hAnsi="Times New Roman;Times;serif"/>
                  <w:b w:val="false"/>
                  <w:i w:val="false"/>
                  <w:caps w:val="false"/>
                  <w:smallCaps w:val="false"/>
                  <w:sz w:val="20"/>
                </w:rPr>
                <w:t>Consolidated Statements of Cash Flows for the first quarters ended September 27, 2025, and September 28, 2024</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Notes_to_Consolidated_Financial_Statemen">
              <w:r>
                <w:rPr>
                  <w:rStyle w:val="InternetLink"/>
                  <w:rFonts w:ascii="Times New Roman;Times;serif" w:hAnsi="Times New Roman;Times;serif"/>
                  <w:b w:val="false"/>
                  <w:i w:val="false"/>
                  <w:caps w:val="false"/>
                  <w:smallCaps w:val="false"/>
                  <w:sz w:val="20"/>
                </w:rPr>
                <w:t>Notes to Consolidated Financial Statements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3_Quantitative_and_Qualitative_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Times;serif" w:hAnsi="Times New Roman;Times;serif"/>
                  <w:b w:val="false"/>
                  <w:i w:val="false"/>
                  <w:caps w:val="false"/>
                  <w:smallCaps w:val="false"/>
                  <w:sz w:val="20"/>
                </w:rPr>
                <w:t>Item 4. Controls and Procedures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center"/>
              <w:rPr/>
            </w:pPr>
            <w:hyperlink w:anchor="PART_II_OTHER_INFORMATION">
              <w:r>
                <w:rPr>
                  <w:rStyle w:val="InternetLink"/>
                  <w:rFonts w:ascii="Times New Roman;Times;serif" w:hAnsi="Times New Roman;Times;serif"/>
                  <w:b w:val="false"/>
                  <w:i w:val="false"/>
                  <w:caps w:val="false"/>
                  <w:smallCaps w:val="false"/>
                  <w:sz w:val="20"/>
                </w:rPr>
                <w:t>PART II. OTHER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_Legal_Proceedings">
              <w:r>
                <w:rPr>
                  <w:rStyle w:val="InternetLink"/>
                  <w:rFonts w:ascii="Times New Roman;Times;serif" w:hAnsi="Times New Roman;Times;serif"/>
                  <w:b w:val="false"/>
                  <w:i w:val="false"/>
                  <w:caps w:val="false"/>
                  <w:smallCaps w:val="false"/>
                  <w:sz w:val="20"/>
                </w:rPr>
                <w:t>Item 1. Legal Proceedings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Item 1A. Risk Factors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_Unregistered_Sales_of_Equity_Secu">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 Exhibits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Signature_Page">
              <w:r>
                <w:rPr>
                  <w:rStyle w:val="InternetLink"/>
                  <w:rFonts w:ascii="Times New Roman;Times;serif" w:hAnsi="Times New Roman;Times;serif"/>
                  <w:b w:val="false"/>
                  <w:i w:val="false"/>
                  <w:caps w:val="false"/>
                  <w:smallCaps w:val="false"/>
                  <w:sz w:val="20"/>
                </w:rPr>
                <w:t>Signature Page</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2" w:name="PART_I_FINANCIAL_INFORMATION"/>
      <w:bookmarkStart w:id="43" w:name="_930509d2_2df4_46b5_9389_c4b29b8af734"/>
      <w:bookmarkEnd w:id="42"/>
      <w:bookmarkEnd w:id="43"/>
      <w:r>
        <w:rPr>
          <w:rFonts w:ascii="Times New Roman;Times;serif" w:hAnsi="Times New Roman;Times;serif"/>
          <w:b/>
          <w:sz w:val="20"/>
        </w:rPr>
        <w:t>PART I</w:t>
      </w:r>
    </w:p>
    <w:p>
      <w:pPr>
        <w:pStyle w:val="TextBody"/>
        <w:bidi w:val="0"/>
        <w:spacing w:before="60" w:after="0"/>
        <w:ind w:left="0" w:right="0" w:hanging="0"/>
        <w:jc w:val="center"/>
        <w:rPr>
          <w:rFonts w:ascii="Times New Roman;Times;serif" w:hAnsi="Times New Roman;Times;serif"/>
          <w:b/>
          <w:sz w:val="20"/>
        </w:rPr>
      </w:pPr>
      <w:r>
        <w:rPr>
          <w:rFonts w:ascii="Times New Roman;Times;serif" w:hAnsi="Times New Roman;Times;serif"/>
          <w:b/>
          <w:sz w:val="20"/>
        </w:rPr>
        <w:t>FINANCIAL INFORMATION</w:t>
      </w:r>
    </w:p>
    <w:p>
      <w:pPr>
        <w:pStyle w:val="Normal"/>
        <w:bidi w:val="0"/>
        <w:spacing w:before="0" w:after="0"/>
        <w:jc w:val="left"/>
        <w:rPr>
          <w:sz w:val="4"/>
          <w:szCs w:val="4"/>
        </w:rPr>
      </w:pPr>
      <w:r>
        <w:rPr>
          <w:sz w:val="4"/>
          <w:szCs w:val="4"/>
        </w:rPr>
      </w:r>
      <w:bookmarkStart w:id="44" w:name="Item_1_Financial_Statements"/>
      <w:bookmarkStart w:id="45" w:name="Item_1_Financial_Statements"/>
      <w:bookmarkEnd w:id="45"/>
    </w:p>
    <w:tbl>
      <w:tblPr>
        <w:tblW w:w="2627" w:type="dxa"/>
        <w:jc w:val="left"/>
        <w:tblInd w:w="0" w:type="dxa"/>
        <w:tblLayout w:type="fixed"/>
        <w:tblCellMar>
          <w:top w:w="0" w:type="dxa"/>
          <w:left w:w="0" w:type="dxa"/>
          <w:bottom w:w="0" w:type="dxa"/>
          <w:right w:w="0" w:type="dxa"/>
        </w:tblCellMar>
      </w:tblPr>
      <w:tblGrid>
        <w:gridCol w:w="706"/>
        <w:gridCol w:w="192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92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Financial Statements</w:t>
            </w:r>
          </w:p>
        </w:tc>
      </w:tr>
    </w:tbl>
    <w:p>
      <w:pPr>
        <w:pStyle w:val="TextBody"/>
        <w:bidi w:val="0"/>
        <w:spacing w:before="0" w:after="0"/>
        <w:ind w:left="0" w:right="0" w:hanging="0"/>
        <w:jc w:val="center"/>
        <w:rPr>
          <w:rFonts w:ascii="Times New Roman;Times;serif" w:hAnsi="Times New Roman;Times;serif"/>
          <w:b/>
          <w:sz w:val="20"/>
        </w:rPr>
      </w:pPr>
      <w:bookmarkStart w:id="46" w:name="Consolidated_Balance_Sheets"/>
      <w:bookmarkEnd w:id="4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 w:name="Tc_O3i9YTJNVkWVaN_qnX5yJw_35_5"/>
      <w:bookmarkStart w:id="48" w:name="Tc_ROP08EV-xEGRTUoifCQo_w_35_2"/>
      <w:bookmarkStart w:id="49" w:name="Tc_P9Sf4YScCk66iYS1NOPdjw_35_0"/>
      <w:bookmarkStart w:id="50" w:name="Tc_Z8ulTrFnXUiyGUbi4Y8BHg_34_0"/>
      <w:bookmarkStart w:id="51" w:name="Tc_cMi9jT7ork6J_2zdm8YNgg_33_0"/>
      <w:bookmarkStart w:id="52" w:name="Tc_JOzxdYpCYkmXV4trTqJ9yQ_32_0"/>
      <w:bookmarkStart w:id="53" w:name="Tc_6rJ9MdkYokWPp8xXU56WjA_31_0"/>
      <w:bookmarkStart w:id="54" w:name="Tc_6njA3Hu6dkqC01ut5DkpNQ_30_0"/>
      <w:bookmarkStart w:id="55" w:name="Tc_qlW05Bl1ikGEvN_C8ho8bQ_29_0"/>
      <w:bookmarkStart w:id="56" w:name="Tc_0jFZcJMtjEmzpnuVoJzjHQ_28_0"/>
      <w:bookmarkStart w:id="57" w:name="Tc_mX09mFdib0qMqPmAyTPMiw_27_0"/>
      <w:bookmarkStart w:id="58" w:name="Tc_UsKyFZzBz0q7hIefcrXAhw_26_0"/>
      <w:bookmarkStart w:id="59" w:name="Tc_hz3BDTa8V0KxcVsuWEhmAg_25_0"/>
      <w:bookmarkStart w:id="60" w:name="Tc_whs89rYNbE6oBBxVzWOePA_24_0"/>
      <w:bookmarkStart w:id="61" w:name="Tc_yF7h-PDKE0C7kKauAdhIgQ_23_0"/>
      <w:bookmarkStart w:id="62" w:name="Tc_sLnt2ZF1CkukH2_CqV32wQ_22_0"/>
      <w:bookmarkStart w:id="63" w:name="Tc_RWvl2oENFUW1m_3siFfm7w_21_0"/>
      <w:bookmarkStart w:id="64" w:name="Tc_KvwDYgPQkEeYfEqDLX8MAg_20_0"/>
      <w:bookmarkStart w:id="65" w:name="Tc_mXg-FWbd9U-4BFhmLmYPgQ_19_5"/>
      <w:bookmarkStart w:id="66" w:name="Tc_YEirKj8ApkqeSf7pm8LBRg_19_2"/>
      <w:bookmarkStart w:id="67" w:name="Tc_DgHpapgJkkathRd31DvqfA_19_0"/>
      <w:bookmarkStart w:id="68" w:name="Tc_3rYNL71Gxkap5eSemdwEog_18_0"/>
      <w:bookmarkStart w:id="69" w:name="Tc__i1bBznQOU6aAW8zJSxOqg_17_0"/>
      <w:bookmarkStart w:id="70" w:name="Tc_5_KbBgT05kGHiuzXkZ3P1A_16_5"/>
      <w:bookmarkStart w:id="71" w:name="Tc_YsUWh9Uy8k-1LPI5rJcLTw_16_2"/>
      <w:bookmarkStart w:id="72" w:name="Tc_kz6Xhhiqz0-qOEbEdgqeMw_16_0"/>
      <w:bookmarkStart w:id="73" w:name="Tc_6-OkLl5EBkKyEoDRG1-zRg_15_0"/>
      <w:bookmarkStart w:id="74" w:name="Tc_5zcEY1ZlbES8HRxlcJX-XA_14_0"/>
      <w:bookmarkStart w:id="75" w:name="Tc_4ZcddvXX302LSuu5JEf34w_13_0"/>
      <w:bookmarkStart w:id="76" w:name="Tc_0Vx2QSoEcUusZh7tp8MQAA_12_0"/>
      <w:bookmarkStart w:id="77" w:name="Tc_O4G4h0qxX0CpHQIopw845A_11_0"/>
      <w:bookmarkStart w:id="78" w:name="Tc_OMfYsT-stk63Dr1EE39JzQ_10_0"/>
      <w:bookmarkStart w:id="79" w:name="Tc_ZW-W3fx100WxbZNY3V3QrQ_9_0"/>
      <w:bookmarkStart w:id="80" w:name="Tc_LNlw7YmFGUmSLnXx65CfOg_8_0"/>
      <w:bookmarkStart w:id="81" w:name="Tc_WLI5qIkbUEKbVl_Afaw7Cg_7_5"/>
      <w:bookmarkStart w:id="82" w:name="Tc_fPPyKZUsDEyj_bHPW-tnqQ_7_2"/>
      <w:bookmarkStart w:id="83" w:name="Tc_wSIbCwbfxEaIUaoaR4KONw_7_0"/>
      <w:bookmarkStart w:id="84" w:name="Tc_q-98U55oe0OlnPTNIDLCcw_6_0"/>
      <w:bookmarkStart w:id="85" w:name="Tc_hu0dFt-tekKIP7k0REFpwQ_5_0"/>
      <w:bookmarkStart w:id="86" w:name="Tc_CkDQwQJlykCrI8U66g2hVg_4_2"/>
      <w:bookmarkStart w:id="87" w:name="Tc_JcDfpDqJK0-KZlZ95hG8oA_3_2"/>
      <w:bookmarkStart w:id="88" w:name="Tc_ixuaTuA6j0OzgClPhnbh1w_2_5"/>
      <w:bookmarkStart w:id="89" w:name="Tc_TZD3L5nEbESG8xHaJ9-Grw_2_2"/>
      <w:bookmarkStart w:id="90" w:name="Tc_Gjm_BZXxO0K5ml3_dj_Q4w_1_5"/>
      <w:bookmarkStart w:id="91" w:name="Tc_c9Kx6yfxcU-gg01d-o5UbQ_1_2"/>
      <w:bookmarkStart w:id="92" w:name="_e9827a2c_b761_45f1_94d3_6909cb28f8e2"/>
      <w:bookmarkStart w:id="93" w:name="Tc_O3i9YTJNVkWVaN_qnX5yJw_35_5"/>
      <w:bookmarkStart w:id="94" w:name="Tc_ROP08EV-xEGRTUoifCQo_w_35_2"/>
      <w:bookmarkStart w:id="95" w:name="Tc_P9Sf4YScCk66iYS1NOPdjw_35_0"/>
      <w:bookmarkStart w:id="96" w:name="Tc_Z8ulTrFnXUiyGUbi4Y8BHg_34_0"/>
      <w:bookmarkStart w:id="97" w:name="Tc_cMi9jT7ork6J_2zdm8YNgg_33_0"/>
      <w:bookmarkStart w:id="98" w:name="Tc_JOzxdYpCYkmXV4trTqJ9yQ_32_0"/>
      <w:bookmarkStart w:id="99" w:name="Tc_6rJ9MdkYokWPp8xXU56WjA_31_0"/>
      <w:bookmarkStart w:id="100" w:name="Tc_6njA3Hu6dkqC01ut5DkpNQ_30_0"/>
      <w:bookmarkStart w:id="101" w:name="Tc_qlW05Bl1ikGEvN_C8ho8bQ_29_0"/>
      <w:bookmarkStart w:id="102" w:name="Tc_0jFZcJMtjEmzpnuVoJzjHQ_28_0"/>
      <w:bookmarkStart w:id="103" w:name="Tc_mX09mFdib0qMqPmAyTPMiw_27_0"/>
      <w:bookmarkStart w:id="104" w:name="Tc_UsKyFZzBz0q7hIefcrXAhw_26_0"/>
      <w:bookmarkStart w:id="105" w:name="Tc_hz3BDTa8V0KxcVsuWEhmAg_25_0"/>
      <w:bookmarkStart w:id="106" w:name="Tc_whs89rYNbE6oBBxVzWOePA_24_0"/>
      <w:bookmarkStart w:id="107" w:name="Tc_yF7h-PDKE0C7kKauAdhIgQ_23_0"/>
      <w:bookmarkStart w:id="108" w:name="Tc_sLnt2ZF1CkukH2_CqV32wQ_22_0"/>
      <w:bookmarkStart w:id="109" w:name="Tc_RWvl2oENFUW1m_3siFfm7w_21_0"/>
      <w:bookmarkStart w:id="110" w:name="Tc_KvwDYgPQkEeYfEqDLX8MAg_20_0"/>
      <w:bookmarkStart w:id="111" w:name="Tc_mXg-FWbd9U-4BFhmLmYPgQ_19_5"/>
      <w:bookmarkStart w:id="112" w:name="Tc_YEirKj8ApkqeSf7pm8LBRg_19_2"/>
      <w:bookmarkStart w:id="113" w:name="Tc_DgHpapgJkkathRd31DvqfA_19_0"/>
      <w:bookmarkStart w:id="114" w:name="Tc_3rYNL71Gxkap5eSemdwEog_18_0"/>
      <w:bookmarkStart w:id="115" w:name="Tc__i1bBznQOU6aAW8zJSxOqg_17_0"/>
      <w:bookmarkStart w:id="116" w:name="Tc_5_KbBgT05kGHiuzXkZ3P1A_16_5"/>
      <w:bookmarkStart w:id="117" w:name="Tc_YsUWh9Uy8k-1LPI5rJcLTw_16_2"/>
      <w:bookmarkStart w:id="118" w:name="Tc_kz6Xhhiqz0-qOEbEdgqeMw_16_0"/>
      <w:bookmarkStart w:id="119" w:name="Tc_6-OkLl5EBkKyEoDRG1-zRg_15_0"/>
      <w:bookmarkStart w:id="120" w:name="Tc_5zcEY1ZlbES8HRxlcJX-XA_14_0"/>
      <w:bookmarkStart w:id="121" w:name="Tc_4ZcddvXX302LSuu5JEf34w_13_0"/>
      <w:bookmarkStart w:id="122" w:name="Tc_0Vx2QSoEcUusZh7tp8MQAA_12_0"/>
      <w:bookmarkStart w:id="123" w:name="Tc_O4G4h0qxX0CpHQIopw845A_11_0"/>
      <w:bookmarkStart w:id="124" w:name="Tc_OMfYsT-stk63Dr1EE39JzQ_10_0"/>
      <w:bookmarkStart w:id="125" w:name="Tc_ZW-W3fx100WxbZNY3V3QrQ_9_0"/>
      <w:bookmarkStart w:id="126" w:name="Tc_LNlw7YmFGUmSLnXx65CfOg_8_0"/>
      <w:bookmarkStart w:id="127" w:name="Tc_WLI5qIkbUEKbVl_Afaw7Cg_7_5"/>
      <w:bookmarkStart w:id="128" w:name="Tc_fPPyKZUsDEyj_bHPW-tnqQ_7_2"/>
      <w:bookmarkStart w:id="129" w:name="Tc_wSIbCwbfxEaIUaoaR4KONw_7_0"/>
      <w:bookmarkStart w:id="130" w:name="Tc_q-98U55oe0OlnPTNIDLCcw_6_0"/>
      <w:bookmarkStart w:id="131" w:name="Tc_hu0dFt-tekKIP7k0REFpwQ_5_0"/>
      <w:bookmarkStart w:id="132" w:name="Tc_CkDQwQJlykCrI8U66g2hVg_4_2"/>
      <w:bookmarkStart w:id="133" w:name="Tc_JcDfpDqJK0-KZlZ95hG8oA_3_2"/>
      <w:bookmarkStart w:id="134" w:name="Tc_ixuaTuA6j0OzgClPhnbh1w_2_5"/>
      <w:bookmarkStart w:id="135" w:name="Tc_TZD3L5nEbESG8xHaJ9-Grw_2_2"/>
      <w:bookmarkStart w:id="136" w:name="Tc_Gjm_BZXxO0K5ml3_dj_Q4w_1_5"/>
      <w:bookmarkStart w:id="137" w:name="Tc_c9Kx6yfxcU-gg01d-o5UbQ_1_2"/>
      <w:bookmarkStart w:id="138" w:name="_e9827a2c_b761_45f1_94d3_6909cb28f8e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826"/>
        <w:gridCol w:w="326"/>
        <w:gridCol w:w="217"/>
        <w:gridCol w:w="1071"/>
        <w:gridCol w:w="326"/>
        <w:gridCol w:w="211"/>
        <w:gridCol w:w="1036"/>
        <w:gridCol w:w="192"/>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34510" cy="175260"/>
                      <wp:effectExtent l="0" t="0" r="0" b="0"/>
                      <wp:wrapNone/>
                      <wp:docPr id="6" name="Frame6"/>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795" cy="175260"/>
                      <wp:effectExtent l="0" t="0" r="0" b="0"/>
                      <wp:wrapNone/>
                      <wp:docPr id="8" name="Frame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80085" cy="175260"/>
                      <wp:effectExtent l="0" t="0" r="0" b="0"/>
                      <wp:wrapNone/>
                      <wp:docPr id="9" name="Frame9"/>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920" cy="175260"/>
                      <wp:effectExtent l="0" t="0" r="0" b="0"/>
                      <wp:wrapNone/>
                      <wp:docPr id="13" name="Frame1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8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2" w:type="dxa"/>
            <w:tcBorders/>
            <w:vAlign w:val="center"/>
          </w:tcPr>
          <w:p>
            <w:pPr>
              <w:pStyle w:val="TableContents"/>
              <w:bidi w:val="0"/>
              <w:spacing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share</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192,428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4,503,478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4,327,450</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5,420,873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5,235,485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263,374</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10,326,984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10,018,737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665,980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667,247</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837,031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201,896</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393,642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12,414,357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12,118,553</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3,688,866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3,487,419</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440,913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497,154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56,247</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4,373,920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4,128,104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2,795,948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2,574,729</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158,991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159,449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244,776</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7,566,256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7,107,058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6)</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$1.00 par; authorized 300,000,000 shares; issued 81,346,458 shares and 83,853,935 shares, respectively</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83,854</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1,765,864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1,755,141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3,316,430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3,430,193</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(257,693)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4,848,101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5,011,495</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12,414,357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12,118,553</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Consolidated_Statements_of_Operations"/>
      <w:bookmarkStart w:id="140" w:name="_90990a16_ca0b_429d_a9f5_686b01e8c638"/>
      <w:bookmarkEnd w:id="139"/>
      <w:bookmarkEnd w:id="140"/>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 w:name="Tc_wL61v5FC0E-xFCnlH_GxAg_24_5"/>
      <w:bookmarkStart w:id="142" w:name="Tc_nF9QtZd7LUixWjVRMvbFLQ_24_2"/>
      <w:bookmarkStart w:id="143" w:name="Tc_ZjYNwNoyIEGkEW4xdoqtKA_24_0"/>
      <w:bookmarkStart w:id="144" w:name="Tc_MSgi1vMpREScFBt5y_V6uQ_23_0"/>
      <w:bookmarkStart w:id="145" w:name="Tc_ekmJ_Nscc0qm9tSjelX8Sg_22_0"/>
      <w:bookmarkStart w:id="146" w:name="Tc_EN-fCaT4CkW9HcRfs0FhpQ_21_0"/>
      <w:bookmarkStart w:id="147" w:name="Tc_F9zRHU9u9k2_LaJFfO-cCg_19_5"/>
      <w:bookmarkStart w:id="148" w:name="Tc_1BiZC1dD-E2Uaxw4D9obyQ_19_2"/>
      <w:bookmarkStart w:id="149" w:name="Tc_dln6SzINe0yRwkeLqzTPGQ_19_0"/>
      <w:bookmarkStart w:id="150" w:name="Tc_lm0039imVkCYaqnQ-73UJQ_18_5"/>
      <w:bookmarkStart w:id="151" w:name="Tc_Uhz5zSH7_EGwpoSmDjuyrg_18_2"/>
      <w:bookmarkStart w:id="152" w:name="Tc_2MxtiztqWk--6D5OO809Ig_18_0"/>
      <w:bookmarkStart w:id="153" w:name="Tc_LUPaZZpbpUuWC2OicFcZUQ_17_0"/>
      <w:bookmarkStart w:id="154" w:name="Tc_2VfbBMINS0GCodEwham2MA_15_5"/>
      <w:bookmarkStart w:id="155" w:name="Tc_RT1Ka8UY-Eu93O-UY3GUZA_15_2"/>
      <w:bookmarkStart w:id="156" w:name="Tc_9oCQEBZLDUGPrVe6tnHjEw_15_0"/>
      <w:bookmarkStart w:id="157" w:name="Tc_Jwof5kiu2kuAqMffajuvbg_14_0"/>
      <w:bookmarkStart w:id="158" w:name="Tc_CzH9g80BG0WD4_RyLpw8KA_13_0"/>
      <w:bookmarkStart w:id="159" w:name="Tc_e5x0jbW1gUmV-bWyi8TPTA_12_0"/>
      <w:bookmarkStart w:id="160" w:name="Tc_52Y8-vxIH0qrjxrMOUEGhA_11_0"/>
      <w:bookmarkStart w:id="161" w:name="Tc_UKH8rirRqUqxnqf7QFAXIg_10_0"/>
      <w:bookmarkStart w:id="162" w:name="Tc_7ZnHXonBIki7u8guslwPWw_9_0"/>
      <w:bookmarkStart w:id="163" w:name="Tc_oUlMtciaeUa1ASRoeq5Uaw_8_0"/>
      <w:bookmarkStart w:id="164" w:name="Tc_3WpEWHW780qOuJVQXf2_dQ_7_0"/>
      <w:bookmarkStart w:id="165" w:name="Tc_JJh8EaQ8ikmylQlL189-gQ_5_5"/>
      <w:bookmarkStart w:id="166" w:name="Tc_7vh2AJdxGEy3MpfyMGxK_w_5_2"/>
      <w:bookmarkStart w:id="167" w:name="Tc_EtN0yKrRy0OeyPMJnjxDhQ_4_2"/>
      <w:bookmarkStart w:id="168" w:name="Tc_O5Z5dzjQzUuesW6k8Yvrbg_3_5"/>
      <w:bookmarkStart w:id="169" w:name="Tc_WSbc4-6k8kanc_v9ZbMzbg_3_2"/>
      <w:bookmarkStart w:id="170" w:name="Tc_OUsApgNAck6PbS0ISlYzzw_2_5"/>
      <w:bookmarkStart w:id="171" w:name="Tc_fAwG1ZSwGUmt7y9NIgu2gA_2_2"/>
      <w:bookmarkStart w:id="172" w:name="Tc_hP00eCVlAUmMKtULMXikvg_1_2"/>
      <w:bookmarkStart w:id="173" w:name="_bd213b61_9e67_4cc3_b848_10041952f92a"/>
      <w:bookmarkStart w:id="174" w:name="Tc_wL61v5FC0E-xFCnlH_GxAg_24_5"/>
      <w:bookmarkStart w:id="175" w:name="Tc_nF9QtZd7LUixWjVRMvbFLQ_24_2"/>
      <w:bookmarkStart w:id="176" w:name="Tc_ZjYNwNoyIEGkEW4xdoqtKA_24_0"/>
      <w:bookmarkStart w:id="177" w:name="Tc_MSgi1vMpREScFBt5y_V6uQ_23_0"/>
      <w:bookmarkStart w:id="178" w:name="Tc_ekmJ_Nscc0qm9tSjelX8Sg_22_0"/>
      <w:bookmarkStart w:id="179" w:name="Tc_EN-fCaT4CkW9HcRfs0FhpQ_21_0"/>
      <w:bookmarkStart w:id="180" w:name="Tc_F9zRHU9u9k2_LaJFfO-cCg_19_5"/>
      <w:bookmarkStart w:id="181" w:name="Tc_1BiZC1dD-E2Uaxw4D9obyQ_19_2"/>
      <w:bookmarkStart w:id="182" w:name="Tc_dln6SzINe0yRwkeLqzTPGQ_19_0"/>
      <w:bookmarkStart w:id="183" w:name="Tc_lm0039imVkCYaqnQ-73UJQ_18_5"/>
      <w:bookmarkStart w:id="184" w:name="Tc_Uhz5zSH7_EGwpoSmDjuyrg_18_2"/>
      <w:bookmarkStart w:id="185" w:name="Tc_2MxtiztqWk--6D5OO809Ig_18_0"/>
      <w:bookmarkStart w:id="186" w:name="Tc_LUPaZZpbpUuWC2OicFcZUQ_17_0"/>
      <w:bookmarkStart w:id="187" w:name="Tc_2VfbBMINS0GCodEwham2MA_15_5"/>
      <w:bookmarkStart w:id="188" w:name="Tc_RT1Ka8UY-Eu93O-UY3GUZA_15_2"/>
      <w:bookmarkStart w:id="189" w:name="Tc_9oCQEBZLDUGPrVe6tnHjEw_15_0"/>
      <w:bookmarkStart w:id="190" w:name="Tc_Jwof5kiu2kuAqMffajuvbg_14_0"/>
      <w:bookmarkStart w:id="191" w:name="Tc_CzH9g80BG0WD4_RyLpw8KA_13_0"/>
      <w:bookmarkStart w:id="192" w:name="Tc_e5x0jbW1gUmV-bWyi8TPTA_12_0"/>
      <w:bookmarkStart w:id="193" w:name="Tc_52Y8-vxIH0qrjxrMOUEGhA_11_0"/>
      <w:bookmarkStart w:id="194" w:name="Tc_UKH8rirRqUqxnqf7QFAXIg_10_0"/>
      <w:bookmarkStart w:id="195" w:name="Tc_7ZnHXonBIki7u8guslwPWw_9_0"/>
      <w:bookmarkStart w:id="196" w:name="Tc_oUlMtciaeUa1ASRoeq5Uaw_8_0"/>
      <w:bookmarkStart w:id="197" w:name="Tc_3WpEWHW780qOuJVQXf2_dQ_7_0"/>
      <w:bookmarkStart w:id="198" w:name="Tc_JJh8EaQ8ikmylQlL189-gQ_5_5"/>
      <w:bookmarkStart w:id="199" w:name="Tc_7vh2AJdxGEy3MpfyMGxK_w_5_2"/>
      <w:bookmarkStart w:id="200" w:name="Tc_EtN0yKrRy0OeyPMJnjxDhQ_4_2"/>
      <w:bookmarkStart w:id="201" w:name="Tc_O5Z5dzjQzUuesW6k8Yvrbg_3_5"/>
      <w:bookmarkStart w:id="202" w:name="Tc_WSbc4-6k8kanc_v9ZbMzbg_3_2"/>
      <w:bookmarkStart w:id="203" w:name="Tc_OUsApgNAck6PbS0ISlYzzw_2_5"/>
      <w:bookmarkStart w:id="204" w:name="Tc_fAwG1ZSwGUmt7y9NIgu2gA_2_2"/>
      <w:bookmarkStart w:id="205" w:name="Tc_hP00eCVlAUmMKtULMXikvg_1_2"/>
      <w:bookmarkStart w:id="206" w:name="_bd213b61_9e67_4cc3_b848_10041952f92a"/>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7600" w:type="dxa"/>
        <w:jc w:val="left"/>
        <w:tblInd w:w="0" w:type="dxa"/>
        <w:tblLayout w:type="fixed"/>
        <w:tblCellMar>
          <w:top w:w="0" w:type="dxa"/>
          <w:left w:w="0" w:type="dxa"/>
          <w:bottom w:w="0" w:type="dxa"/>
          <w:right w:w="0" w:type="dxa"/>
        </w:tblCellMar>
      </w:tblPr>
      <w:tblGrid>
        <w:gridCol w:w="3856"/>
        <w:gridCol w:w="326"/>
        <w:gridCol w:w="273"/>
        <w:gridCol w:w="1216"/>
        <w:gridCol w:w="384"/>
        <w:gridCol w:w="273"/>
        <w:gridCol w:w="1272"/>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48560" cy="175260"/>
                      <wp:effectExtent l="0" t="0" r="0" b="0"/>
                      <wp:wrapNone/>
                      <wp:docPr id="14" name="Frame14"/>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73355" cy="175260"/>
                      <wp:effectExtent l="0" t="0" r="0" b="0"/>
                      <wp:wrapNone/>
                      <wp:docPr id="16" name="Frame16"/>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72160" cy="175260"/>
                      <wp:effectExtent l="0" t="0" r="0" b="0"/>
                      <wp:wrapNone/>
                      <wp:docPr id="17" name="Frame1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43840" cy="175260"/>
                      <wp:effectExtent l="0" t="0" r="0" b="0"/>
                      <wp:wrapNone/>
                      <wp:docPr id="18" name="Frame18"/>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73355" cy="175260"/>
                      <wp:effectExtent l="0" t="0" r="0" b="0"/>
                      <wp:wrapNone/>
                      <wp:docPr id="19" name="Frame19"/>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807720" cy="175260"/>
                      <wp:effectExtent l="0" t="0" r="0" b="0"/>
                      <wp:wrapNone/>
                      <wp:docPr id="20" name="Frame20"/>
                      <a:graphic xmlns:a="http://schemas.openxmlformats.org/drawingml/2006/main">
                        <a:graphicData uri="http://schemas.microsoft.com/office/word/2010/wordprocessingShape">
                          <wps:wsp>
                            <wps:cNvSpPr txBox="1"/>
                            <wps:spPr>
                              <a:xfrm>
                                <a:off x="0" y="0"/>
                                <a:ext cx="80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1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84" w:type="dxa"/>
            <w:tcBorders/>
            <w:vAlign w:val="center"/>
          </w:tcPr>
          <w:p>
            <w:pPr>
              <w:pStyle w:val="TableContents"/>
              <w:bidi w:val="0"/>
              <w:spacing w:before="0" w:after="0"/>
              <w:ind w:left="0" w:right="0" w:hanging="0"/>
              <w:jc w:val="center"/>
              <w:rPr/>
            </w:pPr>
            <w:r>
              <w:rPr/>
              <w:t>    </w:t>
            </w:r>
          </w:p>
        </w:tc>
        <w:tc>
          <w:tcPr>
            <w:tcW w:w="15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84" w:type="dxa"/>
            <w:tcBorders/>
            <w:vAlign w:val="center"/>
          </w:tcPr>
          <w:p>
            <w:pPr>
              <w:pStyle w:val="TableContents"/>
              <w:bidi w:val="0"/>
              <w:spacing w:before="0" w:after="0"/>
              <w:ind w:left="0" w:right="0" w:hanging="0"/>
              <w:jc w:val="center"/>
              <w:rPr/>
            </w:pPr>
            <w:r>
              <w:rPr/>
              <w:t>​</w:t>
            </w:r>
          </w:p>
        </w:tc>
        <w:tc>
          <w:tcPr>
            <w:tcW w:w="15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6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1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amounts)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5,898,572</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5,604,152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1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5,283,807</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7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4,996,785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614,765</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607,367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righ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464,442</w:t>
            </w:r>
          </w:p>
        </w:tc>
        <w:tc>
          <w:tcPr>
            <w:tcW w:w="384"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righ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438,791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8,291</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72"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righ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142,032</w:t>
            </w:r>
          </w:p>
        </w:tc>
        <w:tc>
          <w:tcPr>
            <w:tcW w:w="384"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right"/>
              <w:rPr/>
            </w:pPr>
            <w:r>
              <w:rPr/>
              <w:t> </w:t>
            </w:r>
          </w:p>
        </w:tc>
        <w:tc>
          <w:tcPr>
            <w:tcW w:w="12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142,225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(5,466)</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expenses, net</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1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(59,762)</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7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(64,444)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76,804</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 </w:t>
            </w:r>
          </w:p>
        </w:tc>
        <w:tc>
          <w:tcPr>
            <w:tcW w:w="12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74,738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1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25,059</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7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51,745</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58,956</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84"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272"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righ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82,996</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2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88,092</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84,462</w:t>
            </w:r>
          </w:p>
        </w:tc>
        <w:tc>
          <w:tcPr>
            <w:tcW w:w="384" w:type="dxa"/>
            <w:tcBorders/>
            <w:shd w:fill="CCEEFF" w:val="clear"/>
            <w:vAlign w:val="center"/>
          </w:tcPr>
          <w:p>
            <w:pPr>
              <w:pStyle w:val="TableContents"/>
              <w:bidi w:val="0"/>
              <w:spacing w:before="0" w:after="0"/>
              <w:ind w:left="0" w:right="0" w:hanging="0"/>
              <w:jc w:val="left"/>
              <w:rPr/>
            </w:pPr>
            <w:r>
              <w:rPr/>
              <w:t>​</w:t>
            </w:r>
          </w:p>
        </w:tc>
        <w:tc>
          <w:tcPr>
            <w:tcW w:w="2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89,392</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 per common share</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84"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0.33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7" w:name="Consolidated_Statement_of_Comprehensive_"/>
      <w:bookmarkStart w:id="208" w:name="_0b2273b8_8013_42ca_a899_46267dd9f2b6"/>
      <w:bookmarkEnd w:id="207"/>
      <w:bookmarkEnd w:id="208"/>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09" w:name="Tc_z1qsa9ZRGECUnud9beA7-Q_11_5"/>
      <w:bookmarkStart w:id="210" w:name="Tc_nhxT30UeHEikPN539X1NgQ_11_2"/>
      <w:bookmarkStart w:id="211" w:name="Tc_QJozI74nmkiypEu3vZIs5A_11_0"/>
      <w:bookmarkStart w:id="212" w:name="Tc_7D3R4Xi4A0yi3JCY3ns2qw_10_0"/>
      <w:bookmarkStart w:id="213" w:name="Tc_5c-UC3ENOkGtkynK6pjEgQ_9_0"/>
      <w:bookmarkStart w:id="214" w:name="Tc_5K4DAFdM90q6YkGL78qv4w_8_0"/>
      <w:bookmarkStart w:id="215" w:name="Tc_0oIf1kwPFUiBzRcQuKVtUg_7_0"/>
      <w:bookmarkStart w:id="216" w:name="Tc__qXWaQaqdUyMd-riJF7UoA_6_0"/>
      <w:bookmarkStart w:id="217" w:name="Tc_Jg3z2ip0-E2OzHgMX5dvnQ_5_5"/>
      <w:bookmarkStart w:id="218" w:name="Tc_R-5Zdm8imU2v9ROYyqUkIA_5_2"/>
      <w:bookmarkStart w:id="219" w:name="Tc_wEEoQ-GYLEaTrwzN3fG9bg_5_0"/>
      <w:bookmarkStart w:id="220" w:name="Tc_otVlVm4c9k6O2I2JZSXskg_4_2"/>
      <w:bookmarkStart w:id="221" w:name="Tc_cyVJY9isiUOCSZVkRdIqgg_3_5"/>
      <w:bookmarkStart w:id="222" w:name="Tc_ijwRuE2HREeZJBUH5q9w8w_3_2"/>
      <w:bookmarkStart w:id="223" w:name="Tc_M8WZ-CSGu0CY010dv8Znag_2_5"/>
      <w:bookmarkStart w:id="224" w:name="Tc_o9C-0gdrkU6_TrPoxPhMfw_2_2"/>
      <w:bookmarkStart w:id="225" w:name="Tc_x51nv4Y-Sk-2y0lu7Hfbpw_1_2"/>
      <w:bookmarkStart w:id="226" w:name="_c20cb341_e6e3_4d22_b14d_f2809317817d"/>
      <w:bookmarkStart w:id="227" w:name="Tc_z1qsa9ZRGECUnud9beA7-Q_11_5"/>
      <w:bookmarkStart w:id="228" w:name="Tc_nhxT30UeHEikPN539X1NgQ_11_2"/>
      <w:bookmarkStart w:id="229" w:name="Tc_QJozI74nmkiypEu3vZIs5A_11_0"/>
      <w:bookmarkStart w:id="230" w:name="Tc_7D3R4Xi4A0yi3JCY3ns2qw_10_0"/>
      <w:bookmarkStart w:id="231" w:name="Tc_5c-UC3ENOkGtkynK6pjEgQ_9_0"/>
      <w:bookmarkStart w:id="232" w:name="Tc_5K4DAFdM90q6YkGL78qv4w_8_0"/>
      <w:bookmarkStart w:id="233" w:name="Tc_0oIf1kwPFUiBzRcQuKVtUg_7_0"/>
      <w:bookmarkStart w:id="234" w:name="Tc__qXWaQaqdUyMd-riJF7UoA_6_0"/>
      <w:bookmarkStart w:id="235" w:name="Tc_Jg3z2ip0-E2OzHgMX5dvnQ_5_5"/>
      <w:bookmarkStart w:id="236" w:name="Tc_R-5Zdm8imU2v9ROYyqUkIA_5_2"/>
      <w:bookmarkStart w:id="237" w:name="Tc_wEEoQ-GYLEaTrwzN3fG9bg_5_0"/>
      <w:bookmarkStart w:id="238" w:name="Tc_otVlVm4c9k6O2I2JZSXskg_4_2"/>
      <w:bookmarkStart w:id="239" w:name="Tc_cyVJY9isiUOCSZVkRdIqgg_3_5"/>
      <w:bookmarkStart w:id="240" w:name="Tc_ijwRuE2HREeZJBUH5q9w8w_3_2"/>
      <w:bookmarkStart w:id="241" w:name="Tc_M8WZ-CSGu0CY010dv8Znag_2_5"/>
      <w:bookmarkStart w:id="242" w:name="Tc_o9C-0gdrkU6_TrPoxPhMfw_2_2"/>
      <w:bookmarkStart w:id="243" w:name="Tc_x51nv4Y-Sk-2y0lu7Hfbpw_1_2"/>
      <w:bookmarkStart w:id="244" w:name="_c20cb341_e6e3_4d22_b14d_f2809317817d"/>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tbl>
      <w:tblPr>
        <w:tblW w:w="7583" w:type="dxa"/>
        <w:jc w:val="left"/>
        <w:tblInd w:w="0" w:type="dxa"/>
        <w:tblLayout w:type="fixed"/>
        <w:tblCellMar>
          <w:top w:w="0" w:type="dxa"/>
          <w:left w:w="0" w:type="dxa"/>
          <w:bottom w:w="0" w:type="dxa"/>
          <w:right w:w="0" w:type="dxa"/>
        </w:tblCellMar>
      </w:tblPr>
      <w:tblGrid>
        <w:gridCol w:w="4276"/>
        <w:gridCol w:w="326"/>
        <w:gridCol w:w="289"/>
        <w:gridCol w:w="1016"/>
        <w:gridCol w:w="326"/>
        <w:gridCol w:w="259"/>
        <w:gridCol w:w="109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715260" cy="175260"/>
                      <wp:effectExtent l="0" t="0" r="0" b="0"/>
                      <wp:wrapNone/>
                      <wp:docPr id="21" name="Frame21"/>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83515" cy="175260"/>
                      <wp:effectExtent l="0" t="0" r="0" b="0"/>
                      <wp:wrapNone/>
                      <wp:docPr id="23" name="Frame2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5160" cy="175260"/>
                      <wp:effectExtent l="0" t="0" r="0" b="0"/>
                      <wp:wrapNone/>
                      <wp:docPr id="24" name="Frame2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64465" cy="175260"/>
                      <wp:effectExtent l="0" t="0" r="0" b="0"/>
                      <wp:wrapNone/>
                      <wp:docPr id="26" name="Frame26"/>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785" cy="175260"/>
                      <wp:effectExtent l="0" t="0" r="0" b="0"/>
                      <wp:wrapNone/>
                      <wp:docPr id="27" name="Frame27"/>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5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51,745</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58,956</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(66,331)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185,833</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32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4,244</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1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income, net of tax</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(57,846)</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167,323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 income,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(6,101)</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226,279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5" w:name="Consolidated_Statement_of_Shareholders_E"/>
      <w:bookmarkStart w:id="246" w:name="_600060e6_9656_4201_a268_1ea54e1bbd1a"/>
      <w:bookmarkEnd w:id="245"/>
      <w:bookmarkEnd w:id="24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7" w:name="Tc_WbeF1u_qNUuZ9UO6_mt2RQ_12_17"/>
      <w:bookmarkStart w:id="248" w:name="Tc_wxEkR99160qCqsEEUdC5yQ_12_14"/>
      <w:bookmarkStart w:id="249" w:name="Tc_HH5HlCty0E6nuPgj-Gx3SA_12_11"/>
      <w:bookmarkStart w:id="250" w:name="Tc_jRQIlvftn0uBedzIpBKGnQ_12_8"/>
      <w:bookmarkStart w:id="251" w:name="Tc_r4F5K5wWU0GK41B8X03SPg_12_5"/>
      <w:bookmarkStart w:id="252" w:name="Tc_MEIB2E9jXEuhnLOGlk5Z4Q_12_0"/>
      <w:bookmarkStart w:id="253" w:name="Tc_VHmq3so6Fk-Vxd_VZHv66w_11_15"/>
      <w:bookmarkStart w:id="254" w:name="Tc_0iXngx6Pn0CJXSHj84Hdew_11_12"/>
      <w:bookmarkStart w:id="255" w:name="Tc_aeBCX8PywUuM7duoGPd9Sg_11_0"/>
      <w:bookmarkStart w:id="256" w:name="Tc_dsoCWWYamkmuR2Ixz2eJAQ_10_15"/>
      <w:bookmarkStart w:id="257" w:name="Tc_EKujtioRlkKAHTcS8vEPfQ_10_9"/>
      <w:bookmarkStart w:id="258" w:name="Tc_a2nrAdHHF02tAMJT8cHS8g_10_0"/>
      <w:bookmarkStart w:id="259" w:name="Tc_7lKYVGB0TUKuOGb2Iv9SDQ_9_15"/>
      <w:bookmarkStart w:id="260" w:name="Tc_nwTdilAr7kCMZGn5nxPoKw_9_9"/>
      <w:bookmarkStart w:id="261" w:name="Tc_SytTWRUHbEWOrAblifAcbQ_9_6"/>
      <w:bookmarkStart w:id="262" w:name="Tc_FuGccw6420OWb7ZI8BF8lA_9_3"/>
      <w:bookmarkStart w:id="263" w:name="Tc_5rCvhyoDWk-QXnmYK4ZBxw_9_0"/>
      <w:bookmarkStart w:id="264" w:name="Tc_8nwN_1Z6y0WqEbj3nvwTAQ_8_12"/>
      <w:bookmarkStart w:id="265" w:name="Tc_l3RJV8u2wEKhDvypZoBZuA_8_9"/>
      <w:bookmarkStart w:id="266" w:name="Tc_VKNp1aDHwE2zZS9h0117Fg_8_6"/>
      <w:bookmarkStart w:id="267" w:name="Tc_tyRYH_3PsEetrsaU6F-mQw_8_3"/>
      <w:bookmarkStart w:id="268" w:name="Tc_OVHxqjCpn0e_j0XhUuTbnA_8_0"/>
      <w:bookmarkStart w:id="269" w:name="Tc_ISGrGBtankiE-8W52BWV-Q_7_15"/>
      <w:bookmarkStart w:id="270" w:name="Tc_GzN3_oinjEWNMcUla9uX_g_7_9"/>
      <w:bookmarkStart w:id="271" w:name="Tc_72Ld7eO8hkqW6mFE0Dz3Sw_7_6"/>
      <w:bookmarkStart w:id="272" w:name="Tc_eoIdkV2HnUywrYlmpIz_YQ_7_3"/>
      <w:bookmarkStart w:id="273" w:name="Tc_OEkyVtspwkGFGO0RaEaC2w_7_0"/>
      <w:bookmarkStart w:id="274" w:name="Tc_SDV5mFBCxECElqW1xYZHxQ_6_17"/>
      <w:bookmarkStart w:id="275" w:name="Tc_oNx_o2ASlEaATEw1ErQcvA_6_14"/>
      <w:bookmarkStart w:id="276" w:name="Tc_vMxWcaH5j0qW21Amp7RKfw_6_11"/>
      <w:bookmarkStart w:id="277" w:name="Tc_C0CYjjvh2EeJFdwMBcvOyw_6_8"/>
      <w:bookmarkStart w:id="278" w:name="Tc_ZhHaNlHw40GW1NsvZMKcMQ_6_5"/>
      <w:bookmarkStart w:id="279" w:name="Tc_D-HtB9Im2Em2UXSo04nTJQ_6_0"/>
      <w:bookmarkStart w:id="280" w:name="Tc_6gcXuIpQdkG4vpL-FgVvxQ_5_2"/>
      <w:bookmarkStart w:id="281" w:name="Tc_11xfgHcnO0acsf6ltT_06g_4_17"/>
      <w:bookmarkStart w:id="282" w:name="Tc_iIkMWqvUXEK6brMXS9QBQA_4_14"/>
      <w:bookmarkStart w:id="283" w:name="Tc_yJuOEuxpZUeHMJzetiHE2Q_4_11"/>
      <w:bookmarkStart w:id="284" w:name="Tc_eiv8AeNwFEeNStGP4pGaJw_4_8"/>
      <w:bookmarkStart w:id="285" w:name="Tc_QCSZQoo_p02gcmicmpqQsQ_4_5"/>
      <w:bookmarkStart w:id="286" w:name="Tc_i4wzCwc34UylJ9rILwP_Zg_4_2"/>
      <w:bookmarkStart w:id="287" w:name="Tc__SzkS9SXt0m1OC3FT1dgnQ_3_17"/>
      <w:bookmarkStart w:id="288" w:name="Tc_8QFqyxDmbUGkVVU3tON0Tw_3_14"/>
      <w:bookmarkStart w:id="289" w:name="Tc_ULZ4GvY-2E-UeEb1TUN2tA_3_11"/>
      <w:bookmarkStart w:id="290" w:name="Tc_n45trwhUeUmQYIG4h_Sa9Q_3_8"/>
      <w:bookmarkStart w:id="291" w:name="Tc_xx97imEACkahmEX1Ozz21A_3_5"/>
      <w:bookmarkStart w:id="292" w:name="Tc_nt9bq7tuNkybTJN0RBDeIQ_3_2"/>
      <w:bookmarkStart w:id="293" w:name="Tc_d2pkBgkmuUOXAvcMp4sd8w_2_17"/>
      <w:bookmarkStart w:id="294" w:name="Tc_MZZzilaH_0KsHAOUH6mTIA_2_14"/>
      <w:bookmarkStart w:id="295" w:name="Tc_jyFtGdNLBkSNnUvPqmhYyA_2_8"/>
      <w:bookmarkStart w:id="296" w:name="Tc_pUHSIzKpDUGhEF3HHChNNQ_2_5"/>
      <w:bookmarkStart w:id="297" w:name="Tc_JJjeIHIo00mnfMgvof9wvA_2_2"/>
      <w:bookmarkStart w:id="298" w:name="Tc_8gK9CnOyt0KSbGlIhCPsSg_1_14"/>
      <w:bookmarkStart w:id="299" w:name="_7ca13586_f7fb_449b_8a87_4389293d179e"/>
      <w:bookmarkStart w:id="300" w:name="Tc_WbeF1u_qNUuZ9UO6_mt2RQ_12_17"/>
      <w:bookmarkStart w:id="301" w:name="Tc_wxEkR99160qCqsEEUdC5yQ_12_14"/>
      <w:bookmarkStart w:id="302" w:name="Tc_HH5HlCty0E6nuPgj-Gx3SA_12_11"/>
      <w:bookmarkStart w:id="303" w:name="Tc_jRQIlvftn0uBedzIpBKGnQ_12_8"/>
      <w:bookmarkStart w:id="304" w:name="Tc_r4F5K5wWU0GK41B8X03SPg_12_5"/>
      <w:bookmarkStart w:id="305" w:name="Tc_MEIB2E9jXEuhnLOGlk5Z4Q_12_0"/>
      <w:bookmarkStart w:id="306" w:name="Tc_VHmq3so6Fk-Vxd_VZHv66w_11_15"/>
      <w:bookmarkStart w:id="307" w:name="Tc_0iXngx6Pn0CJXSHj84Hdew_11_12"/>
      <w:bookmarkStart w:id="308" w:name="Tc_aeBCX8PywUuM7duoGPd9Sg_11_0"/>
      <w:bookmarkStart w:id="309" w:name="Tc_dsoCWWYamkmuR2Ixz2eJAQ_10_15"/>
      <w:bookmarkStart w:id="310" w:name="Tc_EKujtioRlkKAHTcS8vEPfQ_10_9"/>
      <w:bookmarkStart w:id="311" w:name="Tc_a2nrAdHHF02tAMJT8cHS8g_10_0"/>
      <w:bookmarkStart w:id="312" w:name="Tc_7lKYVGB0TUKuOGb2Iv9SDQ_9_15"/>
      <w:bookmarkStart w:id="313" w:name="Tc_nwTdilAr7kCMZGn5nxPoKw_9_9"/>
      <w:bookmarkStart w:id="314" w:name="Tc_SytTWRUHbEWOrAblifAcbQ_9_6"/>
      <w:bookmarkStart w:id="315" w:name="Tc_FuGccw6420OWb7ZI8BF8lA_9_3"/>
      <w:bookmarkStart w:id="316" w:name="Tc_5rCvhyoDWk-QXnmYK4ZBxw_9_0"/>
      <w:bookmarkStart w:id="317" w:name="Tc_8nwN_1Z6y0WqEbj3nvwTAQ_8_12"/>
      <w:bookmarkStart w:id="318" w:name="Tc_l3RJV8u2wEKhDvypZoBZuA_8_9"/>
      <w:bookmarkStart w:id="319" w:name="Tc_VKNp1aDHwE2zZS9h0117Fg_8_6"/>
      <w:bookmarkStart w:id="320" w:name="Tc_tyRYH_3PsEetrsaU6F-mQw_8_3"/>
      <w:bookmarkStart w:id="321" w:name="Tc_OVHxqjCpn0e_j0XhUuTbnA_8_0"/>
      <w:bookmarkStart w:id="322" w:name="Tc_ISGrGBtankiE-8W52BWV-Q_7_15"/>
      <w:bookmarkStart w:id="323" w:name="Tc_GzN3_oinjEWNMcUla9uX_g_7_9"/>
      <w:bookmarkStart w:id="324" w:name="Tc_72Ld7eO8hkqW6mFE0Dz3Sw_7_6"/>
      <w:bookmarkStart w:id="325" w:name="Tc_eoIdkV2HnUywrYlmpIz_YQ_7_3"/>
      <w:bookmarkStart w:id="326" w:name="Tc_OEkyVtspwkGFGO0RaEaC2w_7_0"/>
      <w:bookmarkStart w:id="327" w:name="Tc_SDV5mFBCxECElqW1xYZHxQ_6_17"/>
      <w:bookmarkStart w:id="328" w:name="Tc_oNx_o2ASlEaATEw1ErQcvA_6_14"/>
      <w:bookmarkStart w:id="329" w:name="Tc_vMxWcaH5j0qW21Amp7RKfw_6_11"/>
      <w:bookmarkStart w:id="330" w:name="Tc_C0CYjjvh2EeJFdwMBcvOyw_6_8"/>
      <w:bookmarkStart w:id="331" w:name="Tc_ZhHaNlHw40GW1NsvZMKcMQ_6_5"/>
      <w:bookmarkStart w:id="332" w:name="Tc_D-HtB9Im2Em2UXSo04nTJQ_6_0"/>
      <w:bookmarkStart w:id="333" w:name="Tc_6gcXuIpQdkG4vpL-FgVvxQ_5_2"/>
      <w:bookmarkStart w:id="334" w:name="Tc_11xfgHcnO0acsf6ltT_06g_4_17"/>
      <w:bookmarkStart w:id="335" w:name="Tc_iIkMWqvUXEK6brMXS9QBQA_4_14"/>
      <w:bookmarkStart w:id="336" w:name="Tc_yJuOEuxpZUeHMJzetiHE2Q_4_11"/>
      <w:bookmarkStart w:id="337" w:name="Tc_eiv8AeNwFEeNStGP4pGaJw_4_8"/>
      <w:bookmarkStart w:id="338" w:name="Tc_QCSZQoo_p02gcmicmpqQsQ_4_5"/>
      <w:bookmarkStart w:id="339" w:name="Tc_i4wzCwc34UylJ9rILwP_Zg_4_2"/>
      <w:bookmarkStart w:id="340" w:name="Tc__SzkS9SXt0m1OC3FT1dgnQ_3_17"/>
      <w:bookmarkStart w:id="341" w:name="Tc_8QFqyxDmbUGkVVU3tON0Tw_3_14"/>
      <w:bookmarkStart w:id="342" w:name="Tc_ULZ4GvY-2E-UeEb1TUN2tA_3_11"/>
      <w:bookmarkStart w:id="343" w:name="Tc_n45trwhUeUmQYIG4h_Sa9Q_3_8"/>
      <w:bookmarkStart w:id="344" w:name="Tc_xx97imEACkahmEX1Ozz21A_3_5"/>
      <w:bookmarkStart w:id="345" w:name="Tc_nt9bq7tuNkybTJN0RBDeIQ_3_2"/>
      <w:bookmarkStart w:id="346" w:name="Tc_d2pkBgkmuUOXAvcMp4sd8w_2_17"/>
      <w:bookmarkStart w:id="347" w:name="Tc_MZZzilaH_0KsHAOUH6mTIA_2_14"/>
      <w:bookmarkStart w:id="348" w:name="Tc_jyFtGdNLBkSNnUvPqmhYyA_2_8"/>
      <w:bookmarkStart w:id="349" w:name="Tc_pUHSIzKpDUGhEF3HHChNNQ_2_5"/>
      <w:bookmarkStart w:id="350" w:name="Tc_JJjeIHIo00mnfMgvof9wvA_2_2"/>
      <w:bookmarkStart w:id="351" w:name="Tc_8gK9CnOyt0KSbGlIhCPsSg_1_14"/>
      <w:bookmarkStart w:id="352" w:name="_7ca13586_f7fb_449b_8a87_4389293d179e"/>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tbl>
      <w:tblPr>
        <w:tblW w:w="10205" w:type="dxa"/>
        <w:jc w:val="left"/>
        <w:tblInd w:w="0" w:type="dxa"/>
        <w:tblLayout w:type="fixed"/>
        <w:tblCellMar>
          <w:top w:w="0" w:type="dxa"/>
          <w:left w:w="0" w:type="dxa"/>
          <w:bottom w:w="0" w:type="dxa"/>
          <w:right w:w="0" w:type="dxa"/>
        </w:tblCellMar>
      </w:tblPr>
      <w:tblGrid>
        <w:gridCol w:w="1482"/>
        <w:gridCol w:w="326"/>
        <w:gridCol w:w="157"/>
        <w:gridCol w:w="729"/>
        <w:gridCol w:w="326"/>
        <w:gridCol w:w="211"/>
        <w:gridCol w:w="677"/>
        <w:gridCol w:w="326"/>
        <w:gridCol w:w="211"/>
        <w:gridCol w:w="931"/>
        <w:gridCol w:w="326"/>
        <w:gridCol w:w="211"/>
        <w:gridCol w:w="931"/>
        <w:gridCol w:w="326"/>
        <w:gridCol w:w="284"/>
        <w:gridCol w:w="1142"/>
        <w:gridCol w:w="326"/>
        <w:gridCol w:w="216"/>
        <w:gridCol w:w="106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41070" cy="175260"/>
                      <wp:effectExtent l="0" t="0" r="0" b="0"/>
                      <wp:wrapNone/>
                      <wp:docPr id="28" name="Frame28"/>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9695" cy="175260"/>
                      <wp:effectExtent l="0" t="0" r="0" b="0"/>
                      <wp:wrapNone/>
                      <wp:docPr id="30" name="Frame30"/>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62915" cy="175260"/>
                      <wp:effectExtent l="0" t="0" r="0" b="0"/>
                      <wp:wrapNone/>
                      <wp:docPr id="31" name="Frame3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895" cy="175260"/>
                      <wp:effectExtent l="0" t="0" r="0" b="0"/>
                      <wp:wrapNone/>
                      <wp:docPr id="34" name="Frame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1185" cy="175260"/>
                      <wp:effectExtent l="0" t="0" r="0" b="0"/>
                      <wp:wrapNone/>
                      <wp:docPr id="37"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0340" cy="175260"/>
                      <wp:effectExtent l="0" t="0" r="0" b="0"/>
                      <wp:wrapNone/>
                      <wp:docPr id="42" name="Frame4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5170" cy="175260"/>
                      <wp:effectExtent l="0" t="0" r="0" b="0"/>
                      <wp:wrapNone/>
                      <wp:docPr id="43" name="Frame43"/>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7160" cy="175260"/>
                      <wp:effectExtent l="0" t="0" r="0" b="0"/>
                      <wp:wrapNone/>
                      <wp:docPr id="45" name="Frame4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77545" cy="175260"/>
                      <wp:effectExtent l="0" t="0" r="0" b="0"/>
                      <wp:wrapNone/>
                      <wp:docPr id="46" name="Frame46"/>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w:t>
            </w:r>
          </w:p>
        </w:tc>
        <w:tc>
          <w:tcPr>
            <w:tcW w:w="106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97" w:type="dxa"/>
            <w:gridSpan w:val="1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June 28, 2025</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83,854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1,755,141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3,430,193</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(257,693)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5,011,495</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51,745</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51,745</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(57,846)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(57,846)</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(28,464)</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(28,464)</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(137,044)</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(139,690)</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10,723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10,861</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September 27, 2025</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81,346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1,765,864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3,316,430</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(315,539)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4,848,101</w:t>
            </w:r>
          </w:p>
        </w:tc>
      </w:tr>
    </w:tbl>
    <w:p>
      <w:pPr>
        <w:pStyle w:val="TextBody"/>
        <w:bidi w:val="0"/>
        <w:spacing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3" w:name="Tc_JIqm8LA820-zea_06uZv3w_12_17"/>
      <w:bookmarkStart w:id="354" w:name="Tc_ptWRlmCDNkazO0hCtQeWpg_12_14"/>
      <w:bookmarkStart w:id="355" w:name="Tc_-49CA2bi10C8CCb0T3hjmw_12_11"/>
      <w:bookmarkStart w:id="356" w:name="Tc_3Y35Z8CsBkq_5XLVB4M8UA_12_8"/>
      <w:bookmarkStart w:id="357" w:name="Tc_N4bj6ZBV3EuzrlVp29wFlA_12_5"/>
      <w:bookmarkStart w:id="358" w:name="Tc_YGdmyqklI0KpVUjmQfwesw_12_0"/>
      <w:bookmarkStart w:id="359" w:name="Tc_mhDIrtsdIkKGVAxZKhmwLw_11_15"/>
      <w:bookmarkStart w:id="360" w:name="Tc_PGuME93sHkijrZr0oc_6Ow_11_12"/>
      <w:bookmarkStart w:id="361" w:name="Tc_mgyL3_PYBUSRwUcLsz8Dsg_11_0"/>
      <w:bookmarkStart w:id="362" w:name="Tc_q9zGdUuoWU-D2oPMG9tz5Q_10_15"/>
      <w:bookmarkStart w:id="363" w:name="Tc_beoCC0bX3EOWThrExVOmsg_10_9"/>
      <w:bookmarkStart w:id="364" w:name="Tc_wG0Yd6JxJUOt8JWWSswMFA_10_0"/>
      <w:bookmarkStart w:id="365" w:name="Tc__uVyzLQeTUe6Pu0tP6ymMQ_9_15"/>
      <w:bookmarkStart w:id="366" w:name="Tc_q_K7c2KtNEiWRzplq72GsQ_9_9"/>
      <w:bookmarkStart w:id="367" w:name="Tc_IrPHzKBTvkatHmBjJVLEow_9_6"/>
      <w:bookmarkStart w:id="368" w:name="Tc_fJoipPHua0qDBloo_xg6XA_9_3"/>
      <w:bookmarkStart w:id="369" w:name="Tc_XyhbXQA5AEGFFec-i5Ubug_9_0"/>
      <w:bookmarkStart w:id="370" w:name="Tc_Pk541WuHy0SWPi9VmU5lrw_8_12"/>
      <w:bookmarkStart w:id="371" w:name="Tc_VJ_AAO699kGphCpsma5yrw_8_9"/>
      <w:bookmarkStart w:id="372" w:name="Tc_VpYueASQEEe8aZtsdj7_IQ_8_6"/>
      <w:bookmarkStart w:id="373" w:name="Tc_ncx9aFLS60eWavNvLvZ6VQ_8_3"/>
      <w:bookmarkStart w:id="374" w:name="Tc_S3LAzWUAw0OWddGZNoD9zQ_8_0"/>
      <w:bookmarkStart w:id="375" w:name="Tc_hSpNoIGDQUK163dkXcKMew_7_15"/>
      <w:bookmarkStart w:id="376" w:name="Tc_y_a77jHJcke8Secc_f8AAw_7_9"/>
      <w:bookmarkStart w:id="377" w:name="Tc_6zKPurD5iUedhStjC7f5Vw_7_6"/>
      <w:bookmarkStart w:id="378" w:name="Tc_sIxfAh4ndkyc-1Hc6NS9bQ_7_3"/>
      <w:bookmarkStart w:id="379" w:name="Tc_DsK9vls4nkupMeIBjH453Q_7_0"/>
      <w:bookmarkStart w:id="380" w:name="Tc_tQspnrg4A0G-E87oz2sZ4A_6_17"/>
      <w:bookmarkStart w:id="381" w:name="Tc_ncr9Ge9zJ02XyWmAFO-83g_6_14"/>
      <w:bookmarkStart w:id="382" w:name="Tc_2OollSdfhEqUKz28uOxLFA_6_11"/>
      <w:bookmarkStart w:id="383" w:name="Tc_1rqRwt_hVEme-3qufxvB_w_6_8"/>
      <w:bookmarkStart w:id="384" w:name="Tc_dFM24TqOe0COp_jmjQFzFw_6_5"/>
      <w:bookmarkStart w:id="385" w:name="Tc_0uhsJE7NCk6srZ_5tDQnrA_6_0"/>
      <w:bookmarkStart w:id="386" w:name="Tc_ohawuP-S-0KOAbAZzvlGbg_5_2"/>
      <w:bookmarkStart w:id="387" w:name="Tc_2JoR0jMYy0C6MYdPTagG3w_4_17"/>
      <w:bookmarkStart w:id="388" w:name="Tc_gcR924jHUky3-EqM8VwroQ_4_14"/>
      <w:bookmarkStart w:id="389" w:name="Tc_kw_WrAOmREusQERTTo8Bvg_4_11"/>
      <w:bookmarkStart w:id="390" w:name="Tc_Mw0-TrzYZU2o1_gHIamchw_4_8"/>
      <w:bookmarkStart w:id="391" w:name="Tc_PvyodYvGR0O3syvQZEUxYg_4_5"/>
      <w:bookmarkStart w:id="392" w:name="Tc_fkIo8uML7kK_UwaZFLi0lA_4_2"/>
      <w:bookmarkStart w:id="393" w:name="Tc_K6HRVY25fkuBH2U_jBhowQ_3_17"/>
      <w:bookmarkStart w:id="394" w:name="Tc_DBJdMwpxG0iBPZHybPXq0g_3_14"/>
      <w:bookmarkStart w:id="395" w:name="Tc_G8oFQjVx5k2KpAKneFKG5A_3_11"/>
      <w:bookmarkStart w:id="396" w:name="Tc_AsnE7Wm4LEajXNHfGGKNDQ_3_8"/>
      <w:bookmarkStart w:id="397" w:name="Tc_5kVEI6mePki0d2RN2k51ig_3_5"/>
      <w:bookmarkStart w:id="398" w:name="Tc_F5Sze9crfEmyGKyuzLAUVQ_3_2"/>
      <w:bookmarkStart w:id="399" w:name="Tc_t7IC9aMSA0GiI7pJu_tCwQ_2_17"/>
      <w:bookmarkStart w:id="400" w:name="Tc_TkChjQx2W0u_75_9NUVO_w_2_14"/>
      <w:bookmarkStart w:id="401" w:name="Tc_84q897t0ZUGO1S5_VigKIQ_2_8"/>
      <w:bookmarkStart w:id="402" w:name="Tc_guF-aulsNE23NbTkgdqh-Q_2_5"/>
      <w:bookmarkStart w:id="403" w:name="Tc_y5aAhE4ft0evEuV--GlpAA_2_2"/>
      <w:bookmarkStart w:id="404" w:name="Tc_7F8pjf7UQ0WhDAdh0FaL7A_1_14"/>
      <w:bookmarkStart w:id="405" w:name="_547ddc63_8e86_487d_a3b8_5578c4993b85"/>
      <w:bookmarkStart w:id="406" w:name="Tc_JIqm8LA820-zea_06uZv3w_12_17"/>
      <w:bookmarkStart w:id="407" w:name="Tc_ptWRlmCDNkazO0hCtQeWpg_12_14"/>
      <w:bookmarkStart w:id="408" w:name="Tc_-49CA2bi10C8CCb0T3hjmw_12_11"/>
      <w:bookmarkStart w:id="409" w:name="Tc_3Y35Z8CsBkq_5XLVB4M8UA_12_8"/>
      <w:bookmarkStart w:id="410" w:name="Tc_N4bj6ZBV3EuzrlVp29wFlA_12_5"/>
      <w:bookmarkStart w:id="411" w:name="Tc_YGdmyqklI0KpVUjmQfwesw_12_0"/>
      <w:bookmarkStart w:id="412" w:name="Tc_mhDIrtsdIkKGVAxZKhmwLw_11_15"/>
      <w:bookmarkStart w:id="413" w:name="Tc_PGuME93sHkijrZr0oc_6Ow_11_12"/>
      <w:bookmarkStart w:id="414" w:name="Tc_mgyL3_PYBUSRwUcLsz8Dsg_11_0"/>
      <w:bookmarkStart w:id="415" w:name="Tc_q9zGdUuoWU-D2oPMG9tz5Q_10_15"/>
      <w:bookmarkStart w:id="416" w:name="Tc_beoCC0bX3EOWThrExVOmsg_10_9"/>
      <w:bookmarkStart w:id="417" w:name="Tc_wG0Yd6JxJUOt8JWWSswMFA_10_0"/>
      <w:bookmarkStart w:id="418" w:name="Tc__uVyzLQeTUe6Pu0tP6ymMQ_9_15"/>
      <w:bookmarkStart w:id="419" w:name="Tc_q_K7c2KtNEiWRzplq72GsQ_9_9"/>
      <w:bookmarkStart w:id="420" w:name="Tc_IrPHzKBTvkatHmBjJVLEow_9_6"/>
      <w:bookmarkStart w:id="421" w:name="Tc_fJoipPHua0qDBloo_xg6XA_9_3"/>
      <w:bookmarkStart w:id="422" w:name="Tc_XyhbXQA5AEGFFec-i5Ubug_9_0"/>
      <w:bookmarkStart w:id="423" w:name="Tc_Pk541WuHy0SWPi9VmU5lrw_8_12"/>
      <w:bookmarkStart w:id="424" w:name="Tc_VJ_AAO699kGphCpsma5yrw_8_9"/>
      <w:bookmarkStart w:id="425" w:name="Tc_VpYueASQEEe8aZtsdj7_IQ_8_6"/>
      <w:bookmarkStart w:id="426" w:name="Tc_ncx9aFLS60eWavNvLvZ6VQ_8_3"/>
      <w:bookmarkStart w:id="427" w:name="Tc_S3LAzWUAw0OWddGZNoD9zQ_8_0"/>
      <w:bookmarkStart w:id="428" w:name="Tc_hSpNoIGDQUK163dkXcKMew_7_15"/>
      <w:bookmarkStart w:id="429" w:name="Tc_y_a77jHJcke8Secc_f8AAw_7_9"/>
      <w:bookmarkStart w:id="430" w:name="Tc_6zKPurD5iUedhStjC7f5Vw_7_6"/>
      <w:bookmarkStart w:id="431" w:name="Tc_sIxfAh4ndkyc-1Hc6NS9bQ_7_3"/>
      <w:bookmarkStart w:id="432" w:name="Tc_DsK9vls4nkupMeIBjH453Q_7_0"/>
      <w:bookmarkStart w:id="433" w:name="Tc_tQspnrg4A0G-E87oz2sZ4A_6_17"/>
      <w:bookmarkStart w:id="434" w:name="Tc_ncr9Ge9zJ02XyWmAFO-83g_6_14"/>
      <w:bookmarkStart w:id="435" w:name="Tc_2OollSdfhEqUKz28uOxLFA_6_11"/>
      <w:bookmarkStart w:id="436" w:name="Tc_1rqRwt_hVEme-3qufxvB_w_6_8"/>
      <w:bookmarkStart w:id="437" w:name="Tc_dFM24TqOe0COp_jmjQFzFw_6_5"/>
      <w:bookmarkStart w:id="438" w:name="Tc_0uhsJE7NCk6srZ_5tDQnrA_6_0"/>
      <w:bookmarkStart w:id="439" w:name="Tc_ohawuP-S-0KOAbAZzvlGbg_5_2"/>
      <w:bookmarkStart w:id="440" w:name="Tc_2JoR0jMYy0C6MYdPTagG3w_4_17"/>
      <w:bookmarkStart w:id="441" w:name="Tc_gcR924jHUky3-EqM8VwroQ_4_14"/>
      <w:bookmarkStart w:id="442" w:name="Tc_kw_WrAOmREusQERTTo8Bvg_4_11"/>
      <w:bookmarkStart w:id="443" w:name="Tc_Mw0-TrzYZU2o1_gHIamchw_4_8"/>
      <w:bookmarkStart w:id="444" w:name="Tc_PvyodYvGR0O3syvQZEUxYg_4_5"/>
      <w:bookmarkStart w:id="445" w:name="Tc_fkIo8uML7kK_UwaZFLi0lA_4_2"/>
      <w:bookmarkStart w:id="446" w:name="Tc_K6HRVY25fkuBH2U_jBhowQ_3_17"/>
      <w:bookmarkStart w:id="447" w:name="Tc_DBJdMwpxG0iBPZHybPXq0g_3_14"/>
      <w:bookmarkStart w:id="448" w:name="Tc_G8oFQjVx5k2KpAKneFKG5A_3_11"/>
      <w:bookmarkStart w:id="449" w:name="Tc_AsnE7Wm4LEajXNHfGGKNDQ_3_8"/>
      <w:bookmarkStart w:id="450" w:name="Tc_5kVEI6mePki0d2RN2k51ig_3_5"/>
      <w:bookmarkStart w:id="451" w:name="Tc_F5Sze9crfEmyGKyuzLAUVQ_3_2"/>
      <w:bookmarkStart w:id="452" w:name="Tc_t7IC9aMSA0GiI7pJu_tCwQ_2_17"/>
      <w:bookmarkStart w:id="453" w:name="Tc_TkChjQx2W0u_75_9NUVO_w_2_14"/>
      <w:bookmarkStart w:id="454" w:name="Tc_84q897t0ZUGO1S5_VigKIQ_2_8"/>
      <w:bookmarkStart w:id="455" w:name="Tc_guF-aulsNE23NbTkgdqh-Q_2_5"/>
      <w:bookmarkStart w:id="456" w:name="Tc_y5aAhE4ft0evEuV--GlpAA_2_2"/>
      <w:bookmarkStart w:id="457" w:name="Tc_7F8pjf7UQ0WhDAdh0FaL7A_1_14"/>
      <w:bookmarkStart w:id="458" w:name="_547ddc63_8e86_487d_a3b8_5578c4993b8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p>
    <w:tbl>
      <w:tblPr>
        <w:tblW w:w="10205" w:type="dxa"/>
        <w:jc w:val="left"/>
        <w:tblInd w:w="0" w:type="dxa"/>
        <w:tblLayout w:type="fixed"/>
        <w:tblCellMar>
          <w:top w:w="0" w:type="dxa"/>
          <w:left w:w="0" w:type="dxa"/>
          <w:bottom w:w="0" w:type="dxa"/>
          <w:right w:w="0" w:type="dxa"/>
        </w:tblCellMar>
      </w:tblPr>
      <w:tblGrid>
        <w:gridCol w:w="1482"/>
        <w:gridCol w:w="326"/>
        <w:gridCol w:w="157"/>
        <w:gridCol w:w="729"/>
        <w:gridCol w:w="326"/>
        <w:gridCol w:w="211"/>
        <w:gridCol w:w="677"/>
        <w:gridCol w:w="326"/>
        <w:gridCol w:w="211"/>
        <w:gridCol w:w="931"/>
        <w:gridCol w:w="326"/>
        <w:gridCol w:w="211"/>
        <w:gridCol w:w="931"/>
        <w:gridCol w:w="326"/>
        <w:gridCol w:w="284"/>
        <w:gridCol w:w="1142"/>
        <w:gridCol w:w="326"/>
        <w:gridCol w:w="216"/>
        <w:gridCol w:w="106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41070" cy="175260"/>
                      <wp:effectExtent l="0" t="0" r="0" b="0"/>
                      <wp:wrapNone/>
                      <wp:docPr id="47" name="Frame47"/>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9695" cy="175260"/>
                      <wp:effectExtent l="0" t="0" r="0" b="0"/>
                      <wp:wrapNone/>
                      <wp:docPr id="49" name="Frame4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2915" cy="175260"/>
                      <wp:effectExtent l="0" t="0" r="0" b="0"/>
                      <wp:wrapNone/>
                      <wp:docPr id="50" name="Frame50"/>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29895" cy="175260"/>
                      <wp:effectExtent l="0" t="0" r="0" b="0"/>
                      <wp:wrapNone/>
                      <wp:docPr id="53" name="Frame5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6" name="Frame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0340" cy="175260"/>
                      <wp:effectExtent l="0" t="0" r="0" b="0"/>
                      <wp:wrapNone/>
                      <wp:docPr id="61" name="Frame6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5170" cy="175260"/>
                      <wp:effectExtent l="0" t="0" r="0" b="0"/>
                      <wp:wrapNone/>
                      <wp:docPr id="62" name="Frame6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7160" cy="175260"/>
                      <wp:effectExtent l="0" t="0" r="0" b="0"/>
                      <wp:wrapNone/>
                      <wp:docPr id="64" name="Frame6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77545" cy="175260"/>
                      <wp:effectExtent l="0" t="0" r="0" b="0"/>
                      <wp:wrapNone/>
                      <wp:docPr id="65" name="Frame65"/>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w:t>
            </w:r>
          </w:p>
        </w:tc>
        <w:tc>
          <w:tcPr>
            <w:tcW w:w="72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w:t>
            </w:r>
          </w:p>
        </w:tc>
        <w:tc>
          <w:tcPr>
            <w:tcW w:w="1067" w:type="dxa"/>
            <w:tcBorders/>
            <w:vAlign w:val="center"/>
          </w:tcPr>
          <w:p>
            <w:pPr>
              <w:pStyle w:val="TableContents"/>
              <w:bidi w:val="0"/>
              <w:spacing w:before="0" w:after="0"/>
              <w:ind w:left="0" w:right="0" w:hanging="0"/>
              <w:jc w:val="center"/>
              <w:rPr/>
            </w:pPr>
            <w:r>
              <w:rPr/>
              <w:t>​</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before="0" w:after="0"/>
              <w:ind w:left="0" w:right="0" w:hanging="0"/>
              <w:jc w:val="center"/>
              <w:rPr/>
            </w:pPr>
            <w:r>
              <w:rPr/>
              <w:t>​</w:t>
            </w:r>
          </w:p>
        </w:tc>
        <w:tc>
          <w:tcPr>
            <w:tcW w:w="8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397" w:type="dxa"/>
            <w:gridSpan w:val="17"/>
            <w:tcBorders/>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June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1,721,369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3,601,812</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(486,723)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4,925,504</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58,956</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58,956</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 </w:t>
            </w:r>
          </w:p>
        </w:tc>
        <w:tc>
          <w:tcPr>
            <w:tcW w:w="114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167,323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167,323</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right"/>
              <w:rPr/>
            </w:pPr>
            <w:r>
              <w:rPr/>
              <w:t> </w:t>
            </w:r>
          </w:p>
        </w:tc>
        <w:tc>
          <w:tcPr>
            <w:tcW w:w="7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(28,861)</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right"/>
              <w:rPr/>
            </w:pPr>
            <w:r>
              <w:rPr/>
              <w:t> </w:t>
            </w:r>
          </w:p>
        </w:tc>
        <w:tc>
          <w:tcPr>
            <w:tcW w:w="11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right"/>
              <w:rPr/>
            </w:pPr>
            <w:r>
              <w:rPr/>
              <w:t> </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(28,861)</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shd w:fill="CCEEFF" w:val="clear"/>
            <w:vAlign w:val="center"/>
          </w:tcPr>
          <w:p>
            <w:pPr>
              <w:pStyle w:val="TableContents"/>
              <w:bidi w:val="0"/>
              <w:spacing w:before="0" w:after="0"/>
              <w:ind w:left="0" w:right="0" w:hanging="0"/>
              <w:jc w:val="right"/>
              <w:rPr/>
            </w:pPr>
            <w:r>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(98,053)</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right"/>
              <w:rPr/>
            </w:pPr>
            <w:r>
              <w:rPr/>
              <w:t>​</w:t>
            </w:r>
          </w:p>
        </w:tc>
        <w:tc>
          <w:tcPr>
            <w:tcW w:w="11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right"/>
              <w:rPr/>
            </w:pPr>
            <w:r>
              <w:rPr/>
              <w:t> </w:t>
            </w:r>
          </w:p>
        </w:tc>
        <w:tc>
          <w:tcPr>
            <w:tcW w:w="106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(99,941)</w:t>
            </w:r>
          </w:p>
        </w:tc>
      </w:tr>
      <w:tr>
        <w:trPr/>
        <w:tc>
          <w:tcPr>
            <w:tcW w:w="148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7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14,658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67"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14,754</w:t>
            </w:r>
          </w:p>
        </w:tc>
      </w:tr>
      <w:tr>
        <w:trPr/>
        <w:tc>
          <w:tcPr>
            <w:tcW w:w="1482"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Balance, September 28, 2024</w:t>
            </w:r>
          </w:p>
        </w:tc>
        <w:tc>
          <w:tcPr>
            <w:tcW w:w="326" w:type="dxa"/>
            <w:tcBorders/>
            <w:shd w:fill="CCEEFF" w:val="clear"/>
            <w:vAlign w:val="center"/>
          </w:tcPr>
          <w:p>
            <w:pPr>
              <w:pStyle w:val="TableContents"/>
              <w:bidi w:val="0"/>
              <w:spacing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87,254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1,736,027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3,533,854</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(319,400)</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5,037,735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59" w:name="Consolidated_Statements_of_Cash_Flows_"/>
      <w:bookmarkStart w:id="460" w:name="_ebf370da_4136_40aa_bb72_c47f0118731b"/>
      <w:bookmarkEnd w:id="459"/>
      <w:bookmarkEnd w:id="460"/>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1" w:name="Tc_-D-pAYlueE6kshmD_cAdNw_42_5"/>
      <w:bookmarkStart w:id="462" w:name="Tc_EB6_wUXinEOjhu4InaqHZg_42_2"/>
      <w:bookmarkStart w:id="463" w:name="Tc_4hCsTyFXcUeVG8ZGJ5AbcA_42_0"/>
      <w:bookmarkStart w:id="464" w:name="Tc_q7ZgW-m0hU-wCPIcGVaqLg_41_0"/>
      <w:bookmarkStart w:id="465" w:name="Tc_SD5nRf0PbkWTVlu1Rcrq4w_40_0"/>
      <w:bookmarkStart w:id="466" w:name="Tc_tSgkI7KyRUiL-Bvxa1cJFw_39_0"/>
      <w:bookmarkStart w:id="467" w:name="Tc_KDWbjRlchEuY1DBL-AtRlQ_37_0"/>
      <w:bookmarkStart w:id="468" w:name="Tc_HHQVd4zyhUGn1V4oYX71Cg_35_0"/>
      <w:bookmarkStart w:id="469" w:name="Tc_H_6eucM_-06kckU1dJMz4Q_34_0"/>
      <w:bookmarkStart w:id="470" w:name="Tc_DwDZsm-lgkmOY-qFGc915Q_33_0"/>
      <w:bookmarkStart w:id="471" w:name="Tc_BcaON78okE6eDNGNbLLV5g_32_0"/>
      <w:bookmarkStart w:id="472" w:name="Tc_xaWcqveLykKaGwUigz44Mg_30_0"/>
      <w:bookmarkStart w:id="473" w:name="Tc_QV4WSvsEKkGXwjrrDyK1_g_29_0"/>
      <w:bookmarkStart w:id="474" w:name="Tc_7rTdm0xrQkaNNC6rtO1HaQ_28_0"/>
      <w:bookmarkStart w:id="475" w:name="Tc_OaAEXRvtakGQsXUppR7Epw_27_0"/>
      <w:bookmarkStart w:id="476" w:name="Tc_1pLB-9CLqUurNaF67rl7_w_26_6"/>
      <w:bookmarkStart w:id="477" w:name="Tc_FrvAFQAxOU6gvAX0eFFn6Q_26_0"/>
      <w:bookmarkStart w:id="478" w:name="Tc_LnlCKTBcW0GdKDs_QKsDJw_25_0"/>
      <w:bookmarkStart w:id="479" w:name="Tc_wOV7fMQ_3UyObBu6Galg7w_24_0"/>
      <w:bookmarkStart w:id="480" w:name="Tc_7vsyg1bjcUW9QCaD_SOA7g_23_0"/>
      <w:bookmarkStart w:id="481" w:name="Tc_I6Q6HvcmTE-8sr0CH1qREQ_22_6"/>
      <w:bookmarkStart w:id="482" w:name="Tc_1G2_NJgdikeAIoH9rr1i0Q_22_0"/>
      <w:bookmarkStart w:id="483" w:name="Tc_I0Vs4wNlWkm72s5VD-YxBw_21_0"/>
      <w:bookmarkStart w:id="484" w:name="Tc_cwYox8Ot6UGlSfnEJSlapQ_19_0"/>
      <w:bookmarkStart w:id="485" w:name="Tc_cGZ7MtlpaU-U_YKOq8hLNg_18_0"/>
      <w:bookmarkStart w:id="486" w:name="Tc_97Md-v0U0keUQEJNSs_Qvg_17_0"/>
      <w:bookmarkStart w:id="487" w:name="Tc_4VXzf7eYzEmlEarsSP4UmQ_16_0"/>
      <w:bookmarkStart w:id="488" w:name="Tc_6yr3HHykhEuMt0NvKW55lw_15_0"/>
      <w:bookmarkStart w:id="489" w:name="Tc_qVKQDn21KE2aLzIk59XP2w_14_0"/>
      <w:bookmarkStart w:id="490" w:name="Tc_PRw3uxKevEmY6dZEAG3t9Q_13_0"/>
      <w:bookmarkStart w:id="491" w:name="Tc_5CwrDn-0y0qyfY_6qIfihw_12_0"/>
      <w:bookmarkStart w:id="492" w:name="Tc_8198Qbxg7E-qPrHR9Hja1A_11_0"/>
      <w:bookmarkStart w:id="493" w:name="Tc_XBcNyCzKpkWCZnWDUWG9QQ_10_0"/>
      <w:bookmarkStart w:id="494" w:name="Tc_AousybSuekqwHcJiMUCVlg_9_0"/>
      <w:bookmarkStart w:id="495" w:name="Tc_4PBYskOVjEuAoGtb_EEkOg_8_0"/>
      <w:bookmarkStart w:id="496" w:name="Tc_SPHohSkr-0OTiqvEogD7pQ_6_5"/>
      <w:bookmarkStart w:id="497" w:name="Tc_u7nuBCCWO0e_eOmq0PiGzw_6_2"/>
      <w:bookmarkStart w:id="498" w:name="Tc_cbFqqPTVWEqMQ-sfShjk5A_6_0"/>
      <w:bookmarkStart w:id="499" w:name="Tc_uuaOJJVtx0i3evo7gqHztA_5_0"/>
      <w:bookmarkStart w:id="500" w:name="Tc_E6D7gNjb7Eyf07O1uMvqtQ_4_2"/>
      <w:bookmarkStart w:id="501" w:name="Tc_uYqQTHZ1VU66fN2kCOfgWw_3_5"/>
      <w:bookmarkStart w:id="502" w:name="Tc_r1W1K7BjPESHEqvG5czG1w_3_2"/>
      <w:bookmarkStart w:id="503" w:name="Tc_kM3Ro4PE4kGZVkH1msZJKQ_2_5"/>
      <w:bookmarkStart w:id="504" w:name="Tc_-fR1cvlZKUqorqUFXQP0aw_2_2"/>
      <w:bookmarkStart w:id="505" w:name="Tc_04ANTRSf60G4xJAr6-RjJA_1_2"/>
      <w:bookmarkStart w:id="506" w:name="_31576618_fe23_409a_b911_fad95c9490dc"/>
      <w:bookmarkStart w:id="507" w:name="Tc_-D-pAYlueE6kshmD_cAdNw_42_5"/>
      <w:bookmarkStart w:id="508" w:name="Tc_EB6_wUXinEOjhu4InaqHZg_42_2"/>
      <w:bookmarkStart w:id="509" w:name="Tc_4hCsTyFXcUeVG8ZGJ5AbcA_42_0"/>
      <w:bookmarkStart w:id="510" w:name="Tc_q7ZgW-m0hU-wCPIcGVaqLg_41_0"/>
      <w:bookmarkStart w:id="511" w:name="Tc_SD5nRf0PbkWTVlu1Rcrq4w_40_0"/>
      <w:bookmarkStart w:id="512" w:name="Tc_tSgkI7KyRUiL-Bvxa1cJFw_39_0"/>
      <w:bookmarkStart w:id="513" w:name="Tc_KDWbjRlchEuY1DBL-AtRlQ_37_0"/>
      <w:bookmarkStart w:id="514" w:name="Tc_HHQVd4zyhUGn1V4oYX71Cg_35_0"/>
      <w:bookmarkStart w:id="515" w:name="Tc_H_6eucM_-06kckU1dJMz4Q_34_0"/>
      <w:bookmarkStart w:id="516" w:name="Tc_DwDZsm-lgkmOY-qFGc915Q_33_0"/>
      <w:bookmarkStart w:id="517" w:name="Tc_BcaON78okE6eDNGNbLLV5g_32_0"/>
      <w:bookmarkStart w:id="518" w:name="Tc_xaWcqveLykKaGwUigz44Mg_30_0"/>
      <w:bookmarkStart w:id="519" w:name="Tc_QV4WSvsEKkGXwjrrDyK1_g_29_0"/>
      <w:bookmarkStart w:id="520" w:name="Tc_7rTdm0xrQkaNNC6rtO1HaQ_28_0"/>
      <w:bookmarkStart w:id="521" w:name="Tc_OaAEXRvtakGQsXUppR7Epw_27_0"/>
      <w:bookmarkStart w:id="522" w:name="Tc_1pLB-9CLqUurNaF67rl7_w_26_6"/>
      <w:bookmarkStart w:id="523" w:name="Tc_FrvAFQAxOU6gvAX0eFFn6Q_26_0"/>
      <w:bookmarkStart w:id="524" w:name="Tc_LnlCKTBcW0GdKDs_QKsDJw_25_0"/>
      <w:bookmarkStart w:id="525" w:name="Tc_wOV7fMQ_3UyObBu6Galg7w_24_0"/>
      <w:bookmarkStart w:id="526" w:name="Tc_7vsyg1bjcUW9QCaD_SOA7g_23_0"/>
      <w:bookmarkStart w:id="527" w:name="Tc_I6Q6HvcmTE-8sr0CH1qREQ_22_6"/>
      <w:bookmarkStart w:id="528" w:name="Tc_1G2_NJgdikeAIoH9rr1i0Q_22_0"/>
      <w:bookmarkStart w:id="529" w:name="Tc_I0Vs4wNlWkm72s5VD-YxBw_21_0"/>
      <w:bookmarkStart w:id="530" w:name="Tc_cwYox8Ot6UGlSfnEJSlapQ_19_0"/>
      <w:bookmarkStart w:id="531" w:name="Tc_cGZ7MtlpaU-U_YKOq8hLNg_18_0"/>
      <w:bookmarkStart w:id="532" w:name="Tc_97Md-v0U0keUQEJNSs_Qvg_17_0"/>
      <w:bookmarkStart w:id="533" w:name="Tc_4VXzf7eYzEmlEarsSP4UmQ_16_0"/>
      <w:bookmarkStart w:id="534" w:name="Tc_6yr3HHykhEuMt0NvKW55lw_15_0"/>
      <w:bookmarkStart w:id="535" w:name="Tc_qVKQDn21KE2aLzIk59XP2w_14_0"/>
      <w:bookmarkStart w:id="536" w:name="Tc_PRw3uxKevEmY6dZEAG3t9Q_13_0"/>
      <w:bookmarkStart w:id="537" w:name="Tc_5CwrDn-0y0qyfY_6qIfihw_12_0"/>
      <w:bookmarkStart w:id="538" w:name="Tc_8198Qbxg7E-qPrHR9Hja1A_11_0"/>
      <w:bookmarkStart w:id="539" w:name="Tc_XBcNyCzKpkWCZnWDUWG9QQ_10_0"/>
      <w:bookmarkStart w:id="540" w:name="Tc_AousybSuekqwHcJiMUCVlg_9_0"/>
      <w:bookmarkStart w:id="541" w:name="Tc_4PBYskOVjEuAoGtb_EEkOg_8_0"/>
      <w:bookmarkStart w:id="542" w:name="Tc_SPHohSkr-0OTiqvEogD7pQ_6_5"/>
      <w:bookmarkStart w:id="543" w:name="Tc_u7nuBCCWO0e_eOmq0PiGzw_6_2"/>
      <w:bookmarkStart w:id="544" w:name="Tc_cbFqqPTVWEqMQ-sfShjk5A_6_0"/>
      <w:bookmarkStart w:id="545" w:name="Tc_uuaOJJVtx0i3evo7gqHztA_5_0"/>
      <w:bookmarkStart w:id="546" w:name="Tc_E6D7gNjb7Eyf07O1uMvqtQ_4_2"/>
      <w:bookmarkStart w:id="547" w:name="Tc_uYqQTHZ1VU66fN2kCOfgWw_3_5"/>
      <w:bookmarkStart w:id="548" w:name="Tc_r1W1K7BjPESHEqvG5czG1w_3_2"/>
      <w:bookmarkStart w:id="549" w:name="Tc_kM3Ro4PE4kGZVkH1msZJKQ_2_5"/>
      <w:bookmarkStart w:id="550" w:name="Tc_-fR1cvlZKUqorqUFXQP0aw_2_2"/>
      <w:bookmarkStart w:id="551" w:name="Tc_04ANTRSf60G4xJAr6-RjJA_1_2"/>
      <w:bookmarkStart w:id="552" w:name="_31576618_fe23_409a_b911_fad95c9490dc"/>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tbl>
      <w:tblPr>
        <w:tblW w:w="9128" w:type="dxa"/>
        <w:jc w:val="left"/>
        <w:tblInd w:w="0" w:type="dxa"/>
        <w:tblLayout w:type="fixed"/>
        <w:tblCellMar>
          <w:top w:w="0" w:type="dxa"/>
          <w:left w:w="0" w:type="dxa"/>
          <w:bottom w:w="0" w:type="dxa"/>
          <w:right w:w="0" w:type="dxa"/>
        </w:tblCellMar>
      </w:tblPr>
      <w:tblGrid>
        <w:gridCol w:w="5941"/>
        <w:gridCol w:w="326"/>
        <w:gridCol w:w="260"/>
        <w:gridCol w:w="1045"/>
        <w:gridCol w:w="206"/>
        <w:gridCol w:w="259"/>
        <w:gridCol w:w="1091"/>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772535" cy="175260"/>
                      <wp:effectExtent l="0" t="0" r="0" b="0"/>
                      <wp:wrapNone/>
                      <wp:docPr id="66" name="Frame66"/>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5100" cy="175260"/>
                      <wp:effectExtent l="0" t="0" r="0" b="0"/>
                      <wp:wrapNone/>
                      <wp:docPr id="68" name="Frame6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3575" cy="175260"/>
                      <wp:effectExtent l="0" t="0" r="0" b="0"/>
                      <wp:wrapNone/>
                      <wp:docPr id="69" name="Frame69"/>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0810" cy="175260"/>
                      <wp:effectExtent l="0" t="0" r="0" b="0"/>
                      <wp:wrapNone/>
                      <wp:docPr id="70" name="Frame7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4465" cy="175260"/>
                      <wp:effectExtent l="0" t="0" r="0" b="0"/>
                      <wp:wrapNone/>
                      <wp:docPr id="71" name="Frame71"/>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785" cy="175260"/>
                      <wp:effectExtent l="0" t="0" r="0" b="0"/>
                      <wp:wrapNone/>
                      <wp:docPr id="72" name="Frame72"/>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0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06" w:type="dxa"/>
            <w:tcBorders/>
            <w:vAlign w:val="center"/>
          </w:tcPr>
          <w:p>
            <w:pPr>
              <w:pStyle w:val="TableContents"/>
              <w:bidi w:val="0"/>
              <w:spacing w:before="0" w:after="0"/>
              <w:ind w:left="0" w:right="0" w:hanging="0"/>
              <w:jc w:val="center"/>
              <w:rPr/>
            </w:pPr>
            <w:r>
              <w:rPr/>
              <w:t>​</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91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lef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51,745</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58,956</w:t>
            </w:r>
          </w:p>
        </w:tc>
      </w:tr>
      <w:tr>
        <w:trPr/>
        <w:tc>
          <w:tcPr>
            <w:tcW w:w="59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and other reconciling items: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19,883</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operating lease assets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13,934</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(5,868)</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(17,572)</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10,987</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19,337</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of effects from businesses acquired and divested):</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(192,583)</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(94,393)</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(216,326)</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(29,230)</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218,297</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213,610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net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(26,907)</w:t>
            </w:r>
          </w:p>
        </w:tc>
        <w:tc>
          <w:tcPr>
            <w:tcW w:w="206" w:type="dxa"/>
            <w:tcBorders/>
            <w:vAlign w:val="center"/>
          </w:tcPr>
          <w:p>
            <w:pPr>
              <w:pStyle w:val="TableContents"/>
              <w:bidi w:val="0"/>
              <w:spacing w:before="0" w:after="0"/>
              <w:ind w:left="0" w:right="0" w:hanging="0"/>
              <w:jc w:val="right"/>
              <w:rPr/>
            </w:pPr>
            <w:r>
              <w:rPr/>
              <w:t>​</w:t>
            </w:r>
          </w:p>
        </w:tc>
        <w:tc>
          <w:tcPr>
            <w:tcW w:w="259"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(89,179)</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(144,584)</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106,325</w: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notes, net of issuance costs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633,750</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borrowings under accounts receivable securitization, net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(299,400)</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under senior unsecured credit facility, net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(290,861)</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(repayments) under bank credit facilities and other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10,352</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term loan</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266,932</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Repurchases of common stock </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(138,308)</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(99,995)</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on common stock</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(28,464)</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(28,861)</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cash flows provided by (used for) financing activities </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4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155,138</w:t>
            </w:r>
          </w:p>
        </w:tc>
        <w:tc>
          <w:tcPr>
            <w:tcW w:w="206" w:type="dxa"/>
            <w:tcBorders/>
            <w:vAlign w:val="center"/>
          </w:tcPr>
          <w:p>
            <w:pPr>
              <w:pStyle w:val="TableContents"/>
              <w:bidi w:val="0"/>
              <w:spacing w:before="0" w:after="0"/>
              <w:ind w:left="0" w:right="0" w:hanging="0"/>
              <w:jc w:val="right"/>
              <w:rPr/>
            </w:pPr>
            <w:r>
              <w:rPr/>
              <w:t>​</w:t>
            </w:r>
          </w:p>
        </w:tc>
        <w:tc>
          <w:tcPr>
            <w:tcW w:w="25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(109,367)</w:t>
            </w:r>
          </w:p>
        </w:tc>
      </w:tr>
      <w:tr>
        <w:trPr/>
        <w:tc>
          <w:tcPr>
            <w:tcW w:w="59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104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(24,589)</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(31,776)</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206" w:type="dxa"/>
            <w:tcBorders/>
            <w:vAlign w:val="center"/>
          </w:tcPr>
          <w:p>
            <w:pPr>
              <w:pStyle w:val="TableContents"/>
              <w:bidi w:val="0"/>
              <w:spacing w:before="0" w:after="0"/>
              <w:ind w:left="0" w:right="0" w:hanging="0"/>
              <w:jc w:val="right"/>
              <w:rPr/>
            </w:pPr>
            <w:r>
              <w:rPr/>
              <w:t>​</w:t>
            </w:r>
          </w:p>
        </w:tc>
        <w:tc>
          <w:tcPr>
            <w:tcW w:w="25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9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used for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(24,509)</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(31,446)</w: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(3,008)</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w:t>
            </w:r>
          </w:p>
        </w:tc>
      </w:tr>
      <w:tr>
        <w:trPr/>
        <w:tc>
          <w:tcPr>
            <w:tcW w:w="59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45"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594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decrease</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(16,963)</w:t>
            </w:r>
          </w:p>
        </w:tc>
        <w:tc>
          <w:tcPr>
            <w:tcW w:w="206" w:type="dxa"/>
            <w:tcBorders/>
            <w:vAlign w:val="center"/>
          </w:tcPr>
          <w:p>
            <w:pPr>
              <w:pStyle w:val="TableContents"/>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(43,420)</w:t>
            </w:r>
          </w:p>
        </w:tc>
      </w:tr>
      <w:tr>
        <w:trPr/>
        <w:tc>
          <w:tcPr>
            <w:tcW w:w="594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192,428</w:t>
            </w:r>
          </w:p>
        </w:tc>
        <w:tc>
          <w:tcPr>
            <w:tcW w:w="206" w:type="dxa"/>
            <w:tcBorders/>
            <w:shd w:fill="CCEEFF" w:val="clear"/>
            <w:vAlign w:val="center"/>
          </w:tcPr>
          <w:p>
            <w:pPr>
              <w:pStyle w:val="TableContents"/>
              <w:bidi w:val="0"/>
              <w:spacing w:before="0" w:after="0"/>
              <w:ind w:left="0" w:right="0" w:hanging="0"/>
              <w:jc w:val="righ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310,941</w:t>
            </w:r>
          </w:p>
        </w:tc>
      </w:tr>
      <w:tr>
        <w:trPr/>
        <w:tc>
          <w:tcPr>
            <w:tcW w:w="594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at end of period</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175,465</w:t>
            </w:r>
          </w:p>
        </w:tc>
        <w:tc>
          <w:tcPr>
            <w:tcW w:w="206" w:type="dxa"/>
            <w:tcBorders/>
            <w:vAlign w:val="center"/>
          </w:tcPr>
          <w:p>
            <w:pPr>
              <w:pStyle w:val="TableContents"/>
              <w:bidi w:val="0"/>
              <w:spacing w:before="0" w:after="0"/>
              <w:ind w:left="0" w:right="0" w:hanging="0"/>
              <w:jc w:val="righ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267,521</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AVNET, INC. AND SUBSIDIARIES</w:t>
        <w:br/>
        <w:t>NOTES TO CONSOLIDATED FINANCIAL STATEMENTS</w:t>
        <w:br/>
        <w:t>(Unaudited)</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553" w:name="bm_1_Basis_of_presentation"/>
      <w:bookmarkStart w:id="554" w:name="Notes_to_Consolidated_Financial_Statemen"/>
      <w:bookmarkEnd w:id="553"/>
      <w:bookmarkEnd w:id="554"/>
      <w:r>
        <w:rPr>
          <w:rFonts w:ascii="Times New Roman;Times;serif" w:hAnsi="Times New Roman;Times;serif"/>
          <w:b/>
          <w:sz w:val="20"/>
        </w:rPr>
        <w:t>1. Basis of presentation and new accounting pronouncements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In the opinion of management, the accompanying unaudited interim consolidated financial statements contain all adjustments necessary to state fairly Avnet, Inc. and its consolidated subsidiaries’ (collectively, the “Company” or “Avnet”) financial position, results of operations, comprehensive income, and cash flows. All such adjustments are of a normal recurring nature.</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 </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28, 2025.</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During the three months ended September 27, 2025, the Company added the following convertible debt accounting policy. Other than this update, there have been no significant changes to the Company’s accounting policies.</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Convertible Debt – The Company accounts for its convertible debt as a liability, measured at amortized cost. Unamortized debt issuance costs incurred in connection with the issuance of the Company’s convertible debt are reflected in the consolidated balance sheets as a deduction of long-term debt. Debt issuance costs are amortized on a straight-line basis, which approximates the effective interest rate method, to interest expense over the term of the convertible debt. See Note 4, “Debt”, for further details.</w:t>
      </w:r>
    </w:p>
    <w:p>
      <w:pPr>
        <w:pStyle w:val="TextBody"/>
        <w:bidi w:val="0"/>
        <w:spacing w:before="200" w:after="200"/>
        <w:ind w:left="0" w:right="0" w:firstLine="475"/>
        <w:jc w:val="left"/>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November 2024, the FASB issued ASU 2024-04, </w:t>
      </w:r>
      <w:r>
        <w:rPr>
          <w:rFonts w:ascii="Times New Roman;Times;serif" w:hAnsi="Times New Roman;Times;serif"/>
          <w:i/>
          <w:sz w:val="20"/>
        </w:rPr>
        <w:t xml:space="preserve">Debt—Debt with Conversion and Other Options (Subtopic 470-20): Induced Conversions of Convertible Debt Instruments </w:t>
      </w:r>
      <w:r>
        <w:rPr>
          <w:rFonts w:ascii="Times New Roman;Times;serif" w:hAnsi="Times New Roman;Times;serif"/>
          <w:sz w:val="20"/>
        </w:rPr>
        <w:t>(“ASU No. 2024-04”), which clarifies the requirements for determining whether certain settlements of convertible debt should be accounted for as an induced conversion. The ASU is effective for fiscal years beginning after December 15, 2025, and interim periods within those annual reporting periods, and should be applied on a prospective basis, although retrospective application is permitted. The Company adopted this accounting standard at the beginning of fiscal 2026, which had no impact on the consolidated financial statements.</w:t>
      </w:r>
    </w:p>
    <w:p>
      <w:pPr>
        <w:pStyle w:val="TextBody"/>
        <w:bidi w:val="0"/>
        <w:spacing w:before="200" w:after="200"/>
        <w:ind w:left="0" w:right="0" w:firstLine="475"/>
        <w:jc w:val="left"/>
        <w:rPr>
          <w:rFonts w:ascii="Times New Roman;Times;serif" w:hAnsi="Times New Roman;Times;serif"/>
          <w:i/>
          <w:sz w:val="20"/>
        </w:rPr>
      </w:pPr>
      <w:r>
        <w:rPr>
          <w:rFonts w:ascii="Times New Roman;Times;serif" w:hAnsi="Times New Roman;Times;serif"/>
          <w:i/>
          <w:sz w:val="20"/>
        </w:rPr>
        <w:t>Recently issued accounting pronouncements</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 xml:space="preserve">Income Taxes (Topic 740): Improvements to Tax Disclosures </w:t>
      </w:r>
      <w:r>
        <w:rPr>
          <w:rFonts w:ascii="Times New Roman;Times;serif" w:hAnsi="Times New Roman;Times;serif"/>
          <w:sz w:val="20"/>
        </w:rPr>
        <w:t>(“ASU No. 2023-09”), which updates income tax disclosures related to the effective income tax rate reconciliation and requires disclosure of income taxes paid by jurisdiction. ASU No. 2023-09 is effective for the Company in fiscal year 2026 and will be adopted in its 2026 fiscal year Form 10-K on a prospective basis. Adoption of this new standard will result in increased disclosures in the Company’s fiscal 2026 Form 10-K.</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xml:space="preserve"> (“ASU 2024-03”), and in January 2025, the FASB issued ASU 2025-01, </w:t>
      </w:r>
      <w:r>
        <w:rPr>
          <w:rFonts w:ascii="Times New Roman;Times;serif" w:hAnsi="Times New Roman;Times;serif"/>
          <w:i/>
          <w:sz w:val="20"/>
        </w:rPr>
        <w:t xml:space="preserve">Income Statement - Reporting Comprehensive Income - Expense Disaggregation Disclosures: Clarifying the Effective Date </w:t>
      </w:r>
      <w:r>
        <w:rPr>
          <w:rFonts w:ascii="Times New Roman;Times;serif" w:hAnsi="Times New Roman;Times;serif"/>
          <w:sz w:val="20"/>
        </w:rPr>
        <w:t xml:space="preserve">(“ASU 2025-01”). The guidance is designed to improve financial reporting by requiring public business entities to disclose additional information about specific expense categories in the financial statement notes at interim and annual reporting periods. ASU No. 2024-03,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clarified by ASU 2025-01, will be effective for the Company in fiscal year 2028 and early adoption is permitted. The Company is currently evaluating the impact of adopting ASU No. 2024-03 on its disclosures.</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 xml:space="preserve">Financial Instruments - Credit Losses (Topic 326): Measurement of Credit Losses for Accounts Receivable and Contract Assets </w:t>
      </w:r>
      <w:r>
        <w:rPr>
          <w:rFonts w:ascii="Times New Roman;Times;serif" w:hAnsi="Times New Roman;Times;serif"/>
          <w:sz w:val="20"/>
        </w:rPr>
        <w:t>(“ASU No. 2025-05”), which provides the entity an option to elect a practical expedient to assume that current conditions as of the balance sheet date do not change for the remaining life of current accounts receivable and contract assets when developing forecasts for estimating expected credit losses. The election of the practical expedient is permitted on a prospective basis. ASU No. 2025-05 will be effective for the Company in fiscal 2027 and early adoption is permitted. The Company is in the process of evaluating the impact of adopting ASU No. 2025-05 on its consolidated financial statements and related disclosures.</w:t>
      </w:r>
    </w:p>
    <w:p>
      <w:pPr>
        <w:pStyle w:val="TextBody"/>
        <w:bidi w:val="0"/>
        <w:spacing w:lineRule="atLeast" w:line="142" w:before="0" w:after="0"/>
        <w:ind w:left="0" w:right="0" w:firstLine="475"/>
        <w:jc w:val="left"/>
        <w:rPr/>
      </w:pPr>
      <w:r>
        <w:rPr/>
        <w: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555" w:name="Tc_JacdlLP32kKtKgs7ltKv7Q_9_5"/>
      <w:bookmarkStart w:id="556" w:name="Tc_HBeEgZU8XEW_R9_ncvhbTA_9_2"/>
      <w:bookmarkStart w:id="557" w:name="Tc_BCWHk1j28ky8fz7koPz_sA_9_0"/>
      <w:bookmarkStart w:id="558" w:name="Tc_uPZ8X-Dm7kuHXO1MgDSsNQ_8_0"/>
      <w:bookmarkStart w:id="559" w:name="Tc_XK0CPOFL2kq717hsoKnjIA_7_0"/>
      <w:bookmarkStart w:id="560" w:name="Tc_Bafcd2NIWUOcxrggweREmw_6_0"/>
      <w:bookmarkStart w:id="561" w:name="Tc_x1Kp53x2mUOJAftGyUAipQ_5_0"/>
      <w:bookmarkStart w:id="562" w:name="Tc_tOqiShLybEm5WaGqklWXcA_4_5"/>
      <w:bookmarkStart w:id="563" w:name="Tc_K9dYbOnKnESmnfkqZY1AgA_4_2"/>
      <w:bookmarkStart w:id="564" w:name="Tc_YydlwkmvREGKmXorohU9VA_4_0"/>
      <w:bookmarkStart w:id="565" w:name="Tc_HybwJefDykKi1c1LJhsQNg_3_2"/>
      <w:bookmarkStart w:id="566" w:name="Tc_L20cTbZdz0KTx_Uuge3kYw_2_5"/>
      <w:bookmarkStart w:id="567" w:name="Tc_QSTw7hIEfUuopdiFXnLeaA_2_2"/>
      <w:bookmarkStart w:id="568" w:name="Tc_10Ti1kue40mwS7O_uBjNNQ_1_5"/>
      <w:bookmarkStart w:id="569" w:name="Tc_7KyAuWbsIUexWWnKCV0Lsw_1_2"/>
      <w:bookmarkStart w:id="570" w:name="Tc_AZJyi1V2vky8oD0bptncXQ_6_5"/>
      <w:bookmarkStart w:id="571" w:name="Tc_5AC7AwojY06wTvB_ustB0w_6_2"/>
      <w:bookmarkStart w:id="572" w:name="Tc_vCHcBuRNvUS2ddCeJXRB5w_6_0"/>
      <w:bookmarkStart w:id="573" w:name="Tc_muxLfLNOrUeW4W47BwcWRg_5_0"/>
      <w:bookmarkStart w:id="574" w:name="Tc_1b1m8r9z-UiTDGtE3bMgHw_4_5"/>
      <w:bookmarkStart w:id="575" w:name="Tc_7-KFWBO0lkeullW8yyzHdw_4_2"/>
      <w:bookmarkStart w:id="576" w:name="Tc_0AZwUQy_gEqcEJLLoIfhew_4_0"/>
      <w:bookmarkStart w:id="577" w:name="Tc_wM5zCJKsXEe-KcmLfSMVVw_3_2"/>
      <w:bookmarkStart w:id="578" w:name="Tc_D6gy0M9pqUSnNS0gDixDDw_2_5"/>
      <w:bookmarkStart w:id="579" w:name="Tc_72ZghCG00kah84ukG1KlEQ_2_2"/>
      <w:bookmarkStart w:id="580" w:name="Tc_C8v3CuVCgEOOwIxBErLLRg_1_5"/>
      <w:bookmarkStart w:id="581" w:name="Tc_0ISvE0Bxb06exHe7fGSYqg_1_2"/>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Fonts w:ascii="Times New Roman;Times;serif" w:hAnsi="Times New Roman;Times;serif"/>
          <w:b/>
          <w:sz w:val="20"/>
        </w:rPr>
        <w:t>2. Working capital</w:t>
      </w:r>
    </w:p>
    <w:p>
      <w:pPr>
        <w:pStyle w:val="TextBody"/>
        <w:bidi w:val="0"/>
        <w:spacing w:before="0" w:after="200"/>
        <w:ind w:left="0" w:right="0" w:firstLine="475"/>
        <w:jc w:val="both"/>
        <w:rPr>
          <w:rFonts w:ascii="Times New Roman;Times;serif" w:hAnsi="Times New Roman;Times;serif"/>
          <w:b/>
          <w:i/>
          <w:sz w:val="20"/>
        </w:rPr>
      </w:pPr>
      <w:r>
        <w:rPr>
          <w:rFonts w:ascii="Times New Roman;Times;serif" w:hAnsi="Times New Roman;Times;serif"/>
          <w:b/>
          <w:i/>
          <w:sz w:val="20"/>
        </w:rPr>
        <w:t>Receivables</w:t>
      </w:r>
    </w:p>
    <w:p>
      <w:pPr>
        <w:pStyle w:val="TextBody"/>
        <w:bidi w:val="0"/>
        <w:spacing w:before="0" w:after="200"/>
        <w:ind w:left="0" w:right="0" w:firstLine="475"/>
        <w:jc w:val="both"/>
        <w:rPr>
          <w:rFonts w:ascii="Times New Roman;Times;serif" w:hAnsi="Times New Roman;Times;serif"/>
          <w:sz w:val="20"/>
        </w:rPr>
      </w:pPr>
      <w:r>
        <w:rPr>
          <w:rFonts w:ascii="Times New Roman;Times;serif" w:hAnsi="Times New Roman;Times;serif"/>
          <w:sz w:val="20"/>
        </w:rPr>
        <w:t>The Company’s receivables and allowance for credit losses were as follows:</w:t>
      </w:r>
    </w:p>
    <w:p>
      <w:pPr>
        <w:pStyle w:val="TextBody"/>
        <w:bidi w:val="0"/>
        <w:spacing w:before="0" w:after="0"/>
        <w:ind w:left="0" w:right="0" w:hanging="0"/>
        <w:jc w:val="left"/>
        <w:rPr/>
      </w:pPr>
      <w:r>
        <w:rPr/>
        <w:t>​</w:t>
      </w:r>
    </w:p>
    <w:tbl>
      <w:tblPr>
        <w:tblW w:w="5066" w:type="dxa"/>
        <w:jc w:val="left"/>
        <w:tblInd w:w="0" w:type="dxa"/>
        <w:tblLayout w:type="fixed"/>
        <w:tblCellMar>
          <w:top w:w="0" w:type="dxa"/>
          <w:left w:w="0" w:type="dxa"/>
          <w:bottom w:w="0" w:type="dxa"/>
          <w:right w:w="0" w:type="dxa"/>
        </w:tblCellMar>
      </w:tblPr>
      <w:tblGrid>
        <w:gridCol w:w="2296"/>
        <w:gridCol w:w="109"/>
        <w:gridCol w:w="240"/>
        <w:gridCol w:w="1065"/>
        <w:gridCol w:w="109"/>
        <w:gridCol w:w="211"/>
        <w:gridCol w:w="103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57960" cy="175260"/>
                      <wp:effectExtent l="0" t="0" r="0" b="0"/>
                      <wp:wrapNone/>
                      <wp:docPr id="73" name="Frame73"/>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2400" cy="175260"/>
                      <wp:effectExtent l="0" t="0" r="0" b="0"/>
                      <wp:wrapNone/>
                      <wp:docPr id="75" name="Frame7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76275" cy="175260"/>
                      <wp:effectExtent l="0" t="0" r="0" b="0"/>
                      <wp:wrapNone/>
                      <wp:docPr id="76" name="Frame76"/>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57860" cy="175260"/>
                      <wp:effectExtent l="0" t="0" r="0" b="0"/>
                      <wp:wrapNone/>
                      <wp:docPr id="79" name="Frame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06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4,608,351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4,435,645</w:t>
            </w:r>
          </w:p>
        </w:tc>
      </w:tr>
      <w:tr>
        <w:trPr/>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09"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r>
      <w:tr>
        <w:trPr/>
        <w:tc>
          <w:tcPr>
            <w:tcW w:w="2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4,503,478</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4,327,450</w:t>
            </w:r>
          </w:p>
        </w:tc>
      </w:tr>
    </w:tbl>
    <w:p>
      <w:pPr>
        <w:pStyle w:val="TextBody"/>
        <w:bidi w:val="0"/>
        <w:spacing w:before="0" w:after="0"/>
        <w:ind w:left="0" w:right="0" w:firstLine="475"/>
        <w:jc w:val="both"/>
        <w:rPr/>
      </w:pPr>
      <w:r>
        <w:rPr/>
        <w:t>​</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The Company had the following activity in the allowance for credit losses during the first quarters of fiscal 2026 and fiscal 2025:</w:t>
      </w:r>
    </w:p>
    <w:p>
      <w:pPr>
        <w:pStyle w:val="TextBody"/>
        <w:bidi w:val="0"/>
        <w:spacing w:before="0" w:after="0"/>
        <w:ind w:left="0" w:right="0" w:hanging="0"/>
        <w:jc w:val="left"/>
        <w:rPr/>
      </w:pPr>
      <w:r>
        <w:rPr/>
        <w:t>​</w:t>
      </w:r>
    </w:p>
    <w:tbl>
      <w:tblPr>
        <w:tblW w:w="5814" w:type="dxa"/>
        <w:jc w:val="left"/>
        <w:tblInd w:w="0" w:type="dxa"/>
        <w:tblLayout w:type="fixed"/>
        <w:tblCellMar>
          <w:top w:w="0" w:type="dxa"/>
          <w:left w:w="0" w:type="dxa"/>
          <w:bottom w:w="0" w:type="dxa"/>
          <w:right w:w="0" w:type="dxa"/>
        </w:tblCellMar>
      </w:tblPr>
      <w:tblGrid>
        <w:gridCol w:w="2941"/>
        <w:gridCol w:w="109"/>
        <w:gridCol w:w="277"/>
        <w:gridCol w:w="1028"/>
        <w:gridCol w:w="109"/>
        <w:gridCol w:w="259"/>
        <w:gridCol w:w="109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67535" cy="175260"/>
                      <wp:effectExtent l="0" t="0" r="0" b="0"/>
                      <wp:wrapNone/>
                      <wp:docPr id="80" name="Frame8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5895" cy="175260"/>
                      <wp:effectExtent l="0" t="0" r="0" b="0"/>
                      <wp:wrapNone/>
                      <wp:docPr id="82" name="Frame8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2780" cy="175260"/>
                      <wp:effectExtent l="0" t="0" r="0" b="0"/>
                      <wp:wrapNone/>
                      <wp:docPr id="83" name="Frame83"/>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4465" cy="175260"/>
                      <wp:effectExtent l="0" t="0" r="0" b="0"/>
                      <wp:wrapNone/>
                      <wp:docPr id="85" name="Frame85"/>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92785" cy="175260"/>
                      <wp:effectExtent l="0" t="0" r="0" b="0"/>
                      <wp:wrapNone/>
                      <wp:docPr id="86" name="Frame86"/>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581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4"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108,195</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108,504</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Loss (Releases) Provisions </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Write Offs</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9"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104,873</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112,248</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200"/>
        <w:ind w:left="0" w:right="0" w:firstLine="475"/>
        <w:jc w:val="both"/>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Company’s inventories are primarily comprised of electronic components purchased from the Company’s suppliers, which are available for sale to customers in the normal course of the Company’s electronic component distribution business.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5% of inventories as of September 27, 2025, and approximately 6% of inventories as of June 28, 2025.</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180"/>
        <w:ind w:left="0" w:right="0" w:hanging="0"/>
        <w:jc w:val="both"/>
        <w:rPr>
          <w:rFonts w:ascii="Times New Roman;Times;serif" w:hAnsi="Times New Roman;Times;serif"/>
          <w:b/>
          <w:sz w:val="20"/>
        </w:rPr>
      </w:pPr>
      <w:bookmarkStart w:id="582" w:name="Tc_ykMej1lOiEyJvKbw6uAuxQ_6_8"/>
      <w:bookmarkStart w:id="583" w:name="Tc_slipGOBIfk6MPReOIJkmcw_6_5"/>
      <w:bookmarkStart w:id="584" w:name="Tc_CSfFixeC4kKlus-28fVPog_6_2"/>
      <w:bookmarkStart w:id="585" w:name="Tc_20apKxcIlUWFKqjW43HVKw_6_0"/>
      <w:bookmarkStart w:id="586" w:name="Tc_HJFWizFRM0WRZ5YEf0KnQA_5_0"/>
      <w:bookmarkStart w:id="587" w:name="Tc_mdw5xPCbXUOT1pvxFaPtGw_4_8"/>
      <w:bookmarkStart w:id="588" w:name="Tc_h056SEReNkSqwCgS-gTc4w_4_5"/>
      <w:bookmarkStart w:id="589" w:name="Tc_Lf0x7unwaEy5h9gyUblKOA_4_2"/>
      <w:bookmarkStart w:id="590" w:name="Tc_DpFtq79hJka6_MzNmMCeuw_4_0"/>
      <w:bookmarkStart w:id="591" w:name="Tc_xfOBiHI4PEi5LwI_bI_fGg_3_2"/>
      <w:bookmarkStart w:id="592" w:name="Tc_vkgLMqdcHEOOV7NK_wAcfw_2_8"/>
      <w:bookmarkStart w:id="593" w:name="Tc_ZAO-bJIPyEqf_Zm8960nfA_2_5"/>
      <w:bookmarkStart w:id="594" w:name="Tc_rn8qhvuBmEq1J1rIjzDrAQ_2_2"/>
      <w:bookmarkStart w:id="595" w:name="Tc_hqyUfuSbrUGjhr4upnQ8wA_1_2"/>
      <w:bookmarkStart w:id="596" w:name="_bc6cfb50_01c3_46bf_8b21_3a0d5ec8bfab"/>
      <w:bookmarkStart w:id="597" w:name="bm_3_Goodwill_and_intangible_assets"/>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b/>
          <w:sz w:val="20"/>
        </w:rPr>
        <w:t>3. Goodwill</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 xml:space="preserve">The following table presents the change in goodwill by reportable segment for the first quarter ended September 27, 2025. </w:t>
      </w:r>
    </w:p>
    <w:tbl>
      <w:tblPr>
        <w:tblW w:w="7284" w:type="dxa"/>
        <w:jc w:val="left"/>
        <w:tblInd w:w="0" w:type="dxa"/>
        <w:tblLayout w:type="fixed"/>
        <w:tblCellMar>
          <w:top w:w="0" w:type="dxa"/>
          <w:left w:w="0" w:type="dxa"/>
          <w:bottom w:w="0" w:type="dxa"/>
          <w:right w:w="0" w:type="dxa"/>
        </w:tblCellMar>
      </w:tblPr>
      <w:tblGrid>
        <w:gridCol w:w="3406"/>
        <w:gridCol w:w="206"/>
        <w:gridCol w:w="245"/>
        <w:gridCol w:w="911"/>
        <w:gridCol w:w="206"/>
        <w:gridCol w:w="211"/>
        <w:gridCol w:w="796"/>
        <w:gridCol w:w="206"/>
        <w:gridCol w:w="211"/>
        <w:gridCol w:w="88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62810" cy="175260"/>
                      <wp:effectExtent l="0" t="0" r="0" b="0"/>
                      <wp:wrapNone/>
                      <wp:docPr id="87" name="Frame8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810" cy="175260"/>
                      <wp:effectExtent l="0" t="0" r="0" b="0"/>
                      <wp:wrapNone/>
                      <wp:docPr id="88" name="Frame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5575" cy="175260"/>
                      <wp:effectExtent l="0" t="0" r="0" b="0"/>
                      <wp:wrapNone/>
                      <wp:docPr id="89" name="Frame8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8485" cy="175260"/>
                      <wp:effectExtent l="0" t="0" r="0" b="0"/>
                      <wp:wrapNone/>
                      <wp:docPr id="90" name="Frame9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0810" cy="175260"/>
                      <wp:effectExtent l="0" t="0" r="0" b="0"/>
                      <wp:wrapNone/>
                      <wp:docPr id="91" name="Frame9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93"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0810" cy="175260"/>
                      <wp:effectExtent l="0" t="0" r="0" b="0"/>
                      <wp:wrapNone/>
                      <wp:docPr id="94" name="Frame9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62610" cy="175260"/>
                      <wp:effectExtent l="0" t="0" r="0" b="0"/>
                      <wp:wrapNone/>
                      <wp:docPr id="96" name="Frame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Electronic </w:t>
            </w:r>
          </w:p>
        </w:tc>
        <w:tc>
          <w:tcPr>
            <w:tcW w:w="20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Components</w:t>
            </w:r>
          </w:p>
        </w:tc>
        <w:tc>
          <w:tcPr>
            <w:tcW w:w="206" w:type="dxa"/>
            <w:tcBorders/>
            <w:vAlign w:val="center"/>
          </w:tcPr>
          <w:p>
            <w:pPr>
              <w:pStyle w:val="TableContents"/>
              <w:bidi w:val="0"/>
              <w:spacing w:before="0" w:after="0"/>
              <w:ind w:left="0" w:right="0" w:hanging="0"/>
              <w:jc w:val="center"/>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Farnell</w:t>
            </w:r>
          </w:p>
        </w:tc>
        <w:tc>
          <w:tcPr>
            <w:tcW w:w="206" w:type="dxa"/>
            <w:tcBorders/>
            <w:vAlign w:val="center"/>
          </w:tcPr>
          <w:p>
            <w:pPr>
              <w:pStyle w:val="TableContents"/>
              <w:bidi w:val="0"/>
              <w:spacing w:before="0" w:after="0"/>
              <w:ind w:left="0" w:right="0" w:hanging="0"/>
              <w:jc w:val="center"/>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728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367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June 28, 2025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309,738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527,293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837,031</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206" w:type="dxa"/>
            <w:tcBorders/>
            <w:vAlign w:val="center"/>
          </w:tcPr>
          <w:p>
            <w:pPr>
              <w:pStyle w:val="TableContents"/>
              <w:bidi w:val="0"/>
              <w:spacing w:before="0" w:after="0"/>
              <w:ind w:left="0" w:right="0" w:hanging="0"/>
              <w:jc w:val="left"/>
              <w:rPr/>
            </w:pPr>
            <w:r>
              <w:rPr/>
              <w:t>​</w:t>
            </w:r>
          </w:p>
        </w:tc>
        <w:tc>
          <w:tcPr>
            <w:tcW w:w="24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(15,840)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(18,922)</w:t>
            </w:r>
          </w:p>
        </w:tc>
      </w:tr>
      <w:tr>
        <w:trPr/>
        <w:tc>
          <w:tcPr>
            <w:tcW w:w="3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September 27, 2025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306,656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511,453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818,109</w:t>
            </w:r>
          </w:p>
        </w:tc>
      </w:tr>
    </w:tbl>
    <w:tbl>
      <w:tblPr>
        <w:tblW w:w="5657" w:type="dxa"/>
        <w:jc w:val="left"/>
        <w:tblInd w:w="0" w:type="dxa"/>
        <w:tblLayout w:type="fixed"/>
        <w:tblCellMar>
          <w:top w:w="0" w:type="dxa"/>
          <w:left w:w="0" w:type="dxa"/>
          <w:bottom w:w="0" w:type="dxa"/>
          <w:right w:w="0" w:type="dxa"/>
        </w:tblCellMar>
      </w:tblPr>
      <w:tblGrid>
        <w:gridCol w:w="286"/>
        <w:gridCol w:w="5371"/>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3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accumulated impairments of $1,482,677</w:t>
            </w:r>
            <w:r>
              <w:rPr>
                <w:caps w:val="false"/>
                <w:smallCaps w:val="false"/>
              </w:rPr>
              <w:t xml:space="preserve"> </w:t>
            </w:r>
            <w:r>
              <w:rPr>
                <w:rFonts w:ascii="Times New Roman;Times;serif" w:hAnsi="Times New Roman;Times;serif"/>
                <w:b w:val="false"/>
                <w:i w:val="false"/>
                <w:caps w:val="false"/>
                <w:smallCaps w:val="false"/>
                <w:sz w:val="18"/>
              </w:rPr>
              <w:t>from prior fiscal years.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180"/>
        <w:ind w:left="0" w:right="0" w:hanging="0"/>
        <w:jc w:val="both"/>
        <w:rPr>
          <w:rFonts w:ascii="Times New Roman;Times;serif" w:hAnsi="Times New Roman;Times;serif"/>
          <w:b/>
          <w:sz w:val="20"/>
        </w:rPr>
      </w:pPr>
      <w:bookmarkStart w:id="598" w:name="_Hlk187934654"/>
      <w:bookmarkStart w:id="599" w:name="_Hlk124833251"/>
      <w:bookmarkStart w:id="600" w:name="_Hlk124836356"/>
      <w:bookmarkStart w:id="601" w:name="Tc_KsAdvLmt7U2XBb1rz18Kbw_17_11"/>
      <w:bookmarkStart w:id="602" w:name="Tc_zUOk8VBasU64Asnf5UlMHA_17_8"/>
      <w:bookmarkStart w:id="603" w:name="Tc_80PML3eYsEy2qBNoWmu8mw_17_0"/>
      <w:bookmarkStart w:id="604" w:name="Tc_wtW1azzadEWfVPpoGLzUhw_16_0"/>
      <w:bookmarkStart w:id="605" w:name="Tc_nPY6IUfjWEq1CjZC_eCx-A_15_0"/>
      <w:bookmarkStart w:id="606" w:name="Tc_0xy_2FgY4E-0FoKLYyeA5A_14_6"/>
      <w:bookmarkStart w:id="607" w:name="Tc_YOGpiRgcdEajhh54qmLMKA_14_3"/>
      <w:bookmarkStart w:id="608" w:name="Tc_3ZphsEYl0kmevKz6-v4BiA_14_0"/>
      <w:bookmarkStart w:id="609" w:name="Tc_Yk6rncvpt0WT5d8BNAEs9Q_13_6"/>
      <w:bookmarkStart w:id="610" w:name="Tc_OF4W0bRZHUaXra-2r3vPIw_13_3"/>
      <w:bookmarkStart w:id="611" w:name="Tc_B0zWwTAjlU-xlV1WbKK64w_13_0"/>
      <w:bookmarkStart w:id="612" w:name="Tc_oYsNpqX5MkyG1dP5DmfceQ_12_12"/>
      <w:bookmarkStart w:id="613" w:name="Tc_QE-63f_qokyCRsZ3wb4acQ_12_6"/>
      <w:bookmarkStart w:id="614" w:name="Tc_z9JHDsQvs0ea8wa1IAUQzw_12_5"/>
      <w:bookmarkStart w:id="615" w:name="Tc_G9HmjZgWbEmtdU7BqVI5yQ_12_3"/>
      <w:bookmarkStart w:id="616" w:name="Tc_1nBceoaZwUqGXr47P9p6bQ_12_0"/>
      <w:bookmarkStart w:id="617" w:name="Tc_awba6sI5pEqyU_jwttxf4w_11_6"/>
      <w:bookmarkStart w:id="618" w:name="Tc_Dfbryn2pOkugDv4IvIHhCw_11_3"/>
      <w:bookmarkStart w:id="619" w:name="Tc_ngqbvCkXNUq1Ux6CqfVnzw_11_0"/>
      <w:bookmarkStart w:id="620" w:name="Tc_3JQGwfn2nUeypYrS71tJ-Q_10_6"/>
      <w:bookmarkStart w:id="621" w:name="Tc_9Y5USN5eD0KdZaAlB6RlmQ_10_3"/>
      <w:bookmarkStart w:id="622" w:name="Tc_s9Y70tUknU636PBdare4uQ_10_0"/>
      <w:bookmarkStart w:id="623" w:name="Tc_amau6K6IzEuNAvKWDoAiAg_9_0"/>
      <w:bookmarkStart w:id="624" w:name="Tc_gajphvwohEy1fsjZ-GdxVw_8_6"/>
      <w:bookmarkStart w:id="625" w:name="Tc_pnjzEzyPjkO6t4K2RI8GcA_8_3"/>
      <w:bookmarkStart w:id="626" w:name="Tc_381lwF7A5kCToUiOdBG0OQ_8_0"/>
      <w:bookmarkStart w:id="627" w:name="Tc_RQxWlz-CbkCWkuC_-c1gbA_7_12"/>
      <w:bookmarkStart w:id="628" w:name="Tc_hiykpKU3Tkuv1UfjulJ-zQ_7_6"/>
      <w:bookmarkStart w:id="629" w:name="Tc_5TKesIxG7UaqvtT8CqeCrA_7_5"/>
      <w:bookmarkStart w:id="630" w:name="Tc_ONhOuqtdiUCKDy6rRObdRg_7_3"/>
      <w:bookmarkStart w:id="631" w:name="Tc_XLAC6QGiW0qzcTxjsiJvNA_7_0"/>
      <w:bookmarkStart w:id="632" w:name="Tc_axd2a2TimEmG1zUORfzugg_6_6"/>
      <w:bookmarkStart w:id="633" w:name="Tc_Wf7nhNlTVk28W2WnUsM5BA_6_3"/>
      <w:bookmarkStart w:id="634" w:name="Tc_DhU7budMbk6XE8znXiJiMw_6_0"/>
      <w:bookmarkStart w:id="635" w:name="Tc_rYIAuZHdNk-H8WBOxb1hqA_5_11"/>
      <w:bookmarkStart w:id="636" w:name="Tc_Lx_Cf-knPkO-p1Fcl_kexQ_5_8"/>
      <w:bookmarkStart w:id="637" w:name="Tc__5OB-ZGv1EmhD1ZB3snMiA_5_6"/>
      <w:bookmarkStart w:id="638" w:name="Tc_bb3zYM4vfUmWHONW2FMCBQ_5_3"/>
      <w:bookmarkStart w:id="639" w:name="Tc_neJbWN5uh0q45aigcx_YUw_5_0"/>
      <w:bookmarkStart w:id="640" w:name="Tc_Xwxp1XyGa0CMFDfR-ROf_w_4_0"/>
      <w:bookmarkStart w:id="641" w:name="Tc_KCJaulfXNUWg04Kua1_oQg_3_8"/>
      <w:bookmarkStart w:id="642" w:name="Tc_eFST3bQ_G0iCfW0hwwfJKQ_3_2"/>
      <w:bookmarkStart w:id="643" w:name="Tc_d54fxMfCKUCzlilEtC36Yw_2_11"/>
      <w:bookmarkStart w:id="644" w:name="Tc_rQN2qf7EiU2_s73M9JwQ9A_2_8"/>
      <w:bookmarkStart w:id="645" w:name="Tc_dnNafI3lbUuaSLRpqvgRyg_2_5"/>
      <w:bookmarkStart w:id="646" w:name="Tc_dhIxe5yjdU6ya-6kvdCPWw_2_2"/>
      <w:bookmarkStart w:id="647" w:name="Tc__p4DnZoYjU6JRvf8nld7fQ_1_11"/>
      <w:bookmarkStart w:id="648" w:name="Tc_a-OPRqESD0aTS-c5z_mUAQ_1_8"/>
      <w:bookmarkStart w:id="649" w:name="Tc_2LcgbPDC6kyqhDFuCUGrlA_1_5"/>
      <w:bookmarkStart w:id="650" w:name="Tc_jzJz_6zON0S0C_JSM3-qGQ_1_2"/>
      <w:bookmarkStart w:id="651" w:name="_6a0ecb88_6b05_4e86_ba2e_d32b3f44e397"/>
      <w:bookmarkStart w:id="652" w:name="Tc_8_2GOGphsEGCQCPVVl0enw_6_11"/>
      <w:bookmarkStart w:id="653" w:name="Tc_kAJ0iGr4c0q5_Gopn7xFbQ_6_8"/>
      <w:bookmarkStart w:id="654" w:name="Tc_iaVDo-5kHk2Nw9DnaWAlBQ_6_0"/>
      <w:bookmarkStart w:id="655" w:name="Tc_tyWMTBajFUq1HEist3G2yg_5_6"/>
      <w:bookmarkStart w:id="656" w:name="Tc_9O7FijmKGUWZwhBOVimvAQ_5_3"/>
      <w:bookmarkStart w:id="657" w:name="Tc_S6sFutIidUObaU8fOMhycA_5_0"/>
      <w:bookmarkStart w:id="658" w:name="Tc_8Wtd33KJLE-AVHaqYyw8Kg_4_12"/>
      <w:bookmarkStart w:id="659" w:name="Tc_CZ7V6BjPzk-XiJnWbTg8uA_4_8"/>
      <w:bookmarkStart w:id="660" w:name="Tc_QtEFgiJmL0GZ3XoJm_vI_g_4_6"/>
      <w:bookmarkStart w:id="661" w:name="Tc_f41tp_cYEEirCZlh2U01kA_4_5"/>
      <w:bookmarkStart w:id="662" w:name="Tc_KOhWpHcV3EC58f8dM5kXuQ_4_3"/>
      <w:bookmarkStart w:id="663" w:name="Tc_JKGD5_I3wUyP7DaIq2eoYQ_4_0"/>
      <w:bookmarkStart w:id="664" w:name="Tc_mL0SW-67NUurz39qLjU6Zw_3_8"/>
      <w:bookmarkStart w:id="665" w:name="Tc_OiwlBGnSkEOhd7u4uK1_aA_3_2"/>
      <w:bookmarkStart w:id="666" w:name="Tc_Z79GTV2cu0ORfIXdhpu3jA_2_11"/>
      <w:bookmarkStart w:id="667" w:name="Tc_Nt4RpT-bgEKGiEItUnH9Vw_2_8"/>
      <w:bookmarkStart w:id="668" w:name="Tc_eWY-xMDnpU2qgegIvvatZg_2_5"/>
      <w:bookmarkStart w:id="669" w:name="Tc_Jty06OZGmEuvwyi0g4r5fA_2_2"/>
      <w:bookmarkStart w:id="670" w:name="Tc_Es_Mmd3MEkKrAj88bRDTiA_1_11"/>
      <w:bookmarkStart w:id="671" w:name="Tc_ok1UH25NEku38NHzHJUgTg_1_8"/>
      <w:bookmarkStart w:id="672" w:name="Tc_18WpRdSxzEC1M80bDq9ULQ_1_5"/>
      <w:bookmarkStart w:id="673" w:name="Tc_75halIX4rUGrAHxqe2dNJw_1_2"/>
      <w:bookmarkStart w:id="674" w:name="_9b387134_d4fb_461d_acf1_533731ae6b2d"/>
      <w:bookmarkStart w:id="675" w:name="bm_4_Debt_"/>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b/>
          <w:sz w:val="20"/>
        </w:rPr>
        <w:t>4. Debt</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Short-term debt consists of the following (carrying balances in thousands):</w:t>
      </w:r>
    </w:p>
    <w:p>
      <w:pPr>
        <w:pStyle w:val="TextBody"/>
        <w:bidi w:val="0"/>
        <w:spacing w:before="0" w:after="0"/>
        <w:ind w:left="0" w:right="0" w:hanging="0"/>
        <w:jc w:val="left"/>
        <w:rPr/>
      </w:pPr>
      <w:r>
        <w:rPr/>
        <w:t>​</w:t>
      </w:r>
    </w:p>
    <w:tbl>
      <w:tblPr>
        <w:tblW w:w="7716" w:type="dxa"/>
        <w:jc w:val="left"/>
        <w:tblInd w:w="0" w:type="dxa"/>
        <w:tblLayout w:type="fixed"/>
        <w:tblCellMar>
          <w:top w:w="0" w:type="dxa"/>
          <w:left w:w="0" w:type="dxa"/>
          <w:bottom w:w="0" w:type="dxa"/>
          <w:right w:w="0" w:type="dxa"/>
        </w:tblCellMar>
      </w:tblPr>
      <w:tblGrid>
        <w:gridCol w:w="2311"/>
        <w:gridCol w:w="109"/>
        <w:gridCol w:w="825"/>
        <w:gridCol w:w="480"/>
        <w:gridCol w:w="266"/>
        <w:gridCol w:w="512"/>
        <w:gridCol w:w="298"/>
        <w:gridCol w:w="266"/>
        <w:gridCol w:w="277"/>
        <w:gridCol w:w="1028"/>
        <w:gridCol w:w="266"/>
        <w:gridCol w:w="211"/>
        <w:gridCol w:w="676"/>
        <w:gridCol w:w="19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67485" cy="175260"/>
                      <wp:effectExtent l="0" t="0" r="0" b="0"/>
                      <wp:wrapNone/>
                      <wp:docPr id="97" name="Frame9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3875" cy="175260"/>
                      <wp:effectExtent l="0" t="0" r="0" b="0"/>
                      <wp:wrapNone/>
                      <wp:docPr id="99" name="Frame9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4800" cy="175260"/>
                      <wp:effectExtent l="0" t="0" r="0" b="0"/>
                      <wp:wrapNone/>
                      <wp:docPr id="100" name="Frame100"/>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8910" cy="175260"/>
                      <wp:effectExtent l="0" t="0" r="0" b="0"/>
                      <wp:wrapNone/>
                      <wp:docPr id="101" name="Frame1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25120" cy="175260"/>
                      <wp:effectExtent l="0" t="0" r="0" b="0"/>
                      <wp:wrapNone/>
                      <wp:docPr id="102" name="Frame102"/>
                      <a:graphic xmlns:a="http://schemas.openxmlformats.org/drawingml/2006/main">
                        <a:graphicData uri="http://schemas.microsoft.com/office/word/2010/wordprocessingShape">
                          <wps:wsp>
                            <wps:cNvSpPr txBox="1"/>
                            <wps:spPr>
                              <a:xfrm>
                                <a:off x="0" y="0"/>
                                <a:ext cx="325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89230" cy="175260"/>
                      <wp:effectExtent l="0" t="0" r="0" b="0"/>
                      <wp:wrapNone/>
                      <wp:docPr id="103" name="Frame10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8910" cy="175260"/>
                      <wp:effectExtent l="0" t="0" r="0" b="0"/>
                      <wp:wrapNone/>
                      <wp:docPr id="104" name="Frame1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5895" cy="175260"/>
                      <wp:effectExtent l="0" t="0" r="0" b="0"/>
                      <wp:wrapNone/>
                      <wp:docPr id="105" name="Frame10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52780" cy="175260"/>
                      <wp:effectExtent l="0" t="0" r="0" b="0"/>
                      <wp:wrapNone/>
                      <wp:docPr id="106" name="Frame106"/>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8910" cy="175260"/>
                      <wp:effectExtent l="0" t="0" r="0" b="0"/>
                      <wp:wrapNone/>
                      <wp:docPr id="107" name="Frame1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1285" cy="175260"/>
                      <wp:effectExtent l="0" t="0" r="0" b="0"/>
                      <wp:wrapNone/>
                      <wp:docPr id="110" name="Frame1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6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6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6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1"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66" w:type="dxa"/>
            <w:tcBorders/>
            <w:vAlign w:val="center"/>
          </w:tcPr>
          <w:p>
            <w:pPr>
              <w:pStyle w:val="TableContents"/>
              <w:bidi w:val="0"/>
              <w:spacing w:before="0" w:after="0"/>
              <w:ind w:left="0" w:right="0" w:hanging="0"/>
              <w:jc w:val="center"/>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66" w:type="dxa"/>
            <w:tcBorders/>
            <w:vAlign w:val="center"/>
          </w:tcPr>
          <w:p>
            <w:pPr>
              <w:pStyle w:val="TableContents"/>
              <w:bidi w:val="0"/>
              <w:spacing w:before="0" w:after="0"/>
              <w:ind w:left="0" w:right="0" w:hanging="0"/>
              <w:jc w:val="center"/>
              <w:rPr/>
            </w:pPr>
            <w:r>
              <w:rPr/>
              <w:t>   </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66" w:type="dxa"/>
            <w:tcBorders/>
            <w:vAlign w:val="center"/>
          </w:tcPr>
          <w:p>
            <w:pPr>
              <w:pStyle w:val="TableContents"/>
              <w:bidi w:val="0"/>
              <w:spacing w:before="0" w:after="0"/>
              <w:ind w:left="0" w:right="0" w:hanging="0"/>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1" w:type="dxa"/>
            <w:tcBorders/>
            <w:vAlign w:val="center"/>
          </w:tcPr>
          <w:p>
            <w:pPr>
              <w:pStyle w:val="TableContents"/>
              <w:bidi w:val="0"/>
              <w:spacing w:before="0" w:after="0"/>
              <w:ind w:left="0" w:right="0" w:hanging="0"/>
              <w:jc w:val="center"/>
              <w:rPr/>
            </w:pPr>
            <w:r>
              <w:rPr/>
              <w:t>​</w:t>
            </w:r>
          </w:p>
        </w:tc>
      </w:tr>
      <w:tr>
        <w:trPr/>
        <w:tc>
          <w:tcPr>
            <w:tcW w:w="7716"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66" w:type="dxa"/>
            <w:tcBorders/>
            <w:vAlign w:val="center"/>
          </w:tcPr>
          <w:p>
            <w:pPr>
              <w:pStyle w:val="TableContents"/>
              <w:bidi w:val="0"/>
              <w:spacing w:before="0" w:after="0"/>
              <w:ind w:left="0" w:right="0" w:hanging="0"/>
              <w:jc w:val="center"/>
              <w:rPr/>
            </w:pPr>
            <w:r>
              <w:rPr/>
              <w:t>​</w:t>
            </w:r>
          </w:p>
        </w:tc>
        <w:tc>
          <w:tcPr>
            <w:tcW w:w="245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12" w:type="dxa"/>
            <w:tcBorders/>
            <w:shd w:fill="CCEEFF" w:val="clear"/>
            <w:vAlign w:val="center"/>
          </w:tcPr>
          <w:p>
            <w:pPr>
              <w:pStyle w:val="TableContents"/>
              <w:bidi w:val="0"/>
              <w:spacing w:before="0" w:after="0"/>
              <w:ind w:left="0" w:right="0" w:hanging="0"/>
              <w:jc w:val="righ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90,786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short-term debt </w:t>
            </w:r>
          </w:p>
        </w:tc>
        <w:tc>
          <w:tcPr>
            <w:tcW w:w="10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4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vAlign w:val="center"/>
          </w:tcPr>
          <w:p>
            <w:pPr>
              <w:pStyle w:val="TableContents"/>
              <w:bidi w:val="0"/>
              <w:spacing w:before="0" w:after="0"/>
              <w:ind w:left="0" w:right="0" w:hanging="0"/>
              <w:jc w:val="left"/>
              <w:rPr/>
            </w:pPr>
            <w:r>
              <w:rPr/>
              <w:t>​</w:t>
            </w:r>
          </w:p>
        </w:tc>
        <w:tc>
          <w:tcPr>
            <w:tcW w:w="27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98,525</w:t>
            </w:r>
          </w:p>
        </w:tc>
        <w:tc>
          <w:tcPr>
            <w:tcW w:w="26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67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1"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480"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6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12"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98"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189,311</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87,284</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Other short-term debt consists of various committed and uncommitted lines of credit and other forms of bank debt with financial institutions utilized primarily to support the ongoing working capital requirements of the Company, including its foreign operations. </w:t>
      </w:r>
    </w:p>
    <w:p>
      <w:pPr>
        <w:pStyle w:val="TextBody"/>
        <w:bidi w:val="0"/>
        <w:spacing w:before="0" w:after="0"/>
        <w:ind w:left="0" w:right="0" w:hanging="0"/>
        <w:jc w:val="both"/>
        <w:rPr/>
      </w:pPr>
      <w:r>
        <w:rPr/>
        <w:t>​</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Long-term debt consists of the following (carrying balances in thousands):</w:t>
      </w:r>
    </w:p>
    <w:tbl>
      <w:tblPr>
        <w:tblW w:w="10205" w:type="dxa"/>
        <w:jc w:val="left"/>
        <w:tblInd w:w="0" w:type="dxa"/>
        <w:tblLayout w:type="fixed"/>
        <w:tblCellMar>
          <w:top w:w="0" w:type="dxa"/>
          <w:left w:w="0" w:type="dxa"/>
          <w:bottom w:w="0" w:type="dxa"/>
          <w:right w:w="0" w:type="dxa"/>
        </w:tblCellMar>
      </w:tblPr>
      <w:tblGrid>
        <w:gridCol w:w="4630"/>
        <w:gridCol w:w="109"/>
        <w:gridCol w:w="819"/>
        <w:gridCol w:w="476"/>
        <w:gridCol w:w="326"/>
        <w:gridCol w:w="506"/>
        <w:gridCol w:w="294"/>
        <w:gridCol w:w="206"/>
        <w:gridCol w:w="238"/>
        <w:gridCol w:w="1058"/>
        <w:gridCol w:w="206"/>
        <w:gridCol w:w="211"/>
        <w:gridCol w:w="931"/>
        <w:gridCol w:w="195"/>
      </w:tblGrid>
      <w:tr>
        <w:trPr/>
        <w:tc>
          <w:tcPr>
            <w:tcW w:w="4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940050" cy="175260"/>
                      <wp:effectExtent l="0" t="0" r="0" b="0"/>
                      <wp:wrapNone/>
                      <wp:docPr id="111" name="Frame111"/>
                      <a:graphic xmlns:a="http://schemas.openxmlformats.org/drawingml/2006/main">
                        <a:graphicData uri="http://schemas.microsoft.com/office/word/2010/wordprocessingShape">
                          <wps:wsp>
                            <wps:cNvSpPr txBox="1"/>
                            <wps:spPr>
                              <a:xfrm>
                                <a:off x="0" y="0"/>
                                <a:ext cx="294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20065" cy="175260"/>
                      <wp:effectExtent l="0" t="0" r="0" b="0"/>
                      <wp:wrapNone/>
                      <wp:docPr id="113" name="Frame113"/>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02260" cy="175260"/>
                      <wp:effectExtent l="0" t="0" r="0" b="0"/>
                      <wp:wrapNone/>
                      <wp:docPr id="114" name="Frame11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21310" cy="175260"/>
                      <wp:effectExtent l="0" t="0" r="0" b="0"/>
                      <wp:wrapNone/>
                      <wp:docPr id="116" name="Frame116"/>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86690" cy="175260"/>
                      <wp:effectExtent l="0" t="0" r="0" b="0"/>
                      <wp:wrapNone/>
                      <wp:docPr id="117" name="Frame11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0810" cy="175260"/>
                      <wp:effectExtent l="0" t="0" r="0" b="0"/>
                      <wp:wrapNone/>
                      <wp:docPr id="118" name="Frame1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1130" cy="175260"/>
                      <wp:effectExtent l="0" t="0" r="0" b="0"/>
                      <wp:wrapNone/>
                      <wp:docPr id="119" name="Frame1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71830" cy="175260"/>
                      <wp:effectExtent l="0" t="0" r="0" b="0"/>
                      <wp:wrapNone/>
                      <wp:docPr id="120" name="Frame120"/>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0810" cy="175260"/>
                      <wp:effectExtent l="0" t="0" r="0" b="0"/>
                      <wp:wrapNone/>
                      <wp:docPr id="121" name="Frame1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3825" cy="175260"/>
                      <wp:effectExtent l="0" t="0" r="0" b="0"/>
                      <wp:wrapNone/>
                      <wp:docPr id="124" name="Frame124"/>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206" w:type="dxa"/>
            <w:tcBorders/>
            <w:vAlign w:val="center"/>
          </w:tcPr>
          <w:p>
            <w:pPr>
              <w:pStyle w:val="TableContents"/>
              <w:bidi w:val="0"/>
              <w:spacing w:before="0" w:after="0"/>
              <w:ind w:left="0" w:right="0" w:hanging="0"/>
              <w:jc w:val="center"/>
              <w:rPr/>
            </w:pPr>
            <w:r>
              <w:rPr/>
              <w:t>​</w:t>
            </w:r>
          </w:p>
        </w:tc>
        <w:tc>
          <w:tcPr>
            <w:tcW w:w="129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c>
          <w:tcPr>
            <w:tcW w:w="195" w:type="dxa"/>
            <w:tcBorders/>
            <w:vAlign w:val="center"/>
          </w:tcPr>
          <w:p>
            <w:pPr>
              <w:pStyle w:val="TableContents"/>
              <w:bidi w:val="0"/>
              <w:spacing w:before="0" w:after="0"/>
              <w:ind w:left="0" w:right="0" w:hanging="0"/>
              <w:jc w:val="center"/>
              <w:rPr/>
            </w:pPr>
            <w:r>
              <w:rPr/>
              <w:t>​</w:t>
            </w:r>
          </w:p>
        </w:tc>
      </w:tr>
      <w:tr>
        <w:trPr/>
        <w:tc>
          <w:tcPr>
            <w:tcW w:w="46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9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06" w:type="dxa"/>
            <w:tcBorders/>
            <w:vAlign w:val="center"/>
          </w:tcPr>
          <w:p>
            <w:pPr>
              <w:pStyle w:val="TableContents"/>
              <w:bidi w:val="0"/>
              <w:spacing w:before="0" w:after="0"/>
              <w:ind w:left="0" w:right="0" w:hanging="0"/>
              <w:jc w:val="center"/>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95" w:type="dxa"/>
            <w:tcBorders/>
            <w:vAlign w:val="center"/>
          </w:tcPr>
          <w:p>
            <w:pPr>
              <w:pStyle w:val="TableContents"/>
              <w:bidi w:val="0"/>
              <w:spacing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6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42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06" w:type="dxa"/>
            <w:tcBorders/>
            <w:vAlign w:val="center"/>
          </w:tcPr>
          <w:p>
            <w:pPr>
              <w:pStyle w:val="TableContents"/>
              <w:bidi w:val="0"/>
              <w:spacing w:before="0" w:after="0"/>
              <w:ind w:left="0" w:right="0" w:hanging="0"/>
              <w:jc w:val="center"/>
              <w:rPr/>
            </w:pPr>
            <w:r>
              <w:rPr/>
              <w:t>​</w:t>
            </w:r>
          </w:p>
        </w:tc>
        <w:tc>
          <w:tcPr>
            <w:tcW w:w="2644"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5" w:type="dxa"/>
            <w:tcBorders/>
            <w:vAlign w:val="center"/>
          </w:tcPr>
          <w:p>
            <w:pPr>
              <w:pStyle w:val="TableContents"/>
              <w:bidi w:val="0"/>
              <w:spacing w:before="0" w:after="0"/>
              <w:ind w:left="0" w:right="0" w:hanging="0"/>
              <w:jc w:val="center"/>
              <w:rPr/>
            </w:pPr>
            <w:r>
              <w:rPr/>
              <w:t> </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facilities:</w:t>
            </w:r>
          </w:p>
        </w:tc>
        <w:tc>
          <w:tcPr>
            <w:tcW w:w="109" w:type="dxa"/>
            <w:tcBorders/>
            <w:shd w:fill="CCEEFF" w:val="clear"/>
            <w:vAlign w:val="center"/>
          </w:tcPr>
          <w:p>
            <w:pPr>
              <w:pStyle w:val="TableContents"/>
              <w:bidi w:val="0"/>
              <w:spacing w:before="0" w:after="0"/>
              <w:ind w:left="0" w:right="0" w:hanging="0"/>
              <w:jc w:val="center"/>
              <w:rPr/>
            </w:pPr>
            <w:r>
              <w:rPr/>
              <w:t>​</w:t>
            </w:r>
          </w:p>
        </w:tc>
        <w:tc>
          <w:tcPr>
            <w:tcW w:w="819" w:type="dxa"/>
            <w:tcBorders/>
            <w:shd w:fill="CCEEFF" w:val="clear"/>
            <w:vAlign w:val="center"/>
          </w:tcPr>
          <w:p>
            <w:pPr>
              <w:pStyle w:val="TableContents"/>
              <w:bidi w:val="0"/>
              <w:spacing w:before="0" w:after="0"/>
              <w:ind w:left="0" w:right="0" w:hanging="0"/>
              <w:jc w:val="center"/>
              <w:rPr/>
            </w:pPr>
            <w:r>
              <w:rPr/>
              <w:t>​</w:t>
            </w:r>
          </w:p>
        </w:tc>
        <w:tc>
          <w:tcPr>
            <w:tcW w:w="4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06" w:type="dxa"/>
            <w:tcBorders/>
            <w:shd w:fill="CCEEFF" w:val="clear"/>
            <w:vAlign w:val="center"/>
          </w:tcPr>
          <w:p>
            <w:pPr>
              <w:pStyle w:val="TableContents"/>
              <w:bidi w:val="0"/>
              <w:spacing w:before="0" w:after="0"/>
              <w:ind w:left="0" w:right="0" w:hanging="0"/>
              <w:jc w:val="center"/>
              <w:rPr/>
            </w:pPr>
            <w:r>
              <w:rPr/>
              <w:t>​</w:t>
            </w:r>
          </w:p>
        </w:tc>
        <w:tc>
          <w:tcPr>
            <w:tcW w:w="294"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1058"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95" w:type="dxa"/>
            <w:tcBorders/>
            <w:shd w:fill="CCEEFF" w:val="clear"/>
            <w:vAlign w:val="center"/>
          </w:tcPr>
          <w:p>
            <w:pPr>
              <w:pStyle w:val="TableContents"/>
              <w:bidi w:val="0"/>
              <w:spacing w:before="0" w:after="0"/>
              <w:ind w:left="0" w:right="0" w:hanging="0"/>
              <w:jc w:val="center"/>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 (due December 2026)</w:t>
            </w:r>
          </w:p>
        </w:tc>
        <w:tc>
          <w:tcPr>
            <w:tcW w:w="109"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center"/>
              <w:rPr/>
            </w:pPr>
            <w:r>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200,600</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5" w:type="dxa"/>
            <w:tcBorders/>
            <w:vAlign w:val="center"/>
          </w:tcPr>
          <w:p>
            <w:pPr>
              <w:pStyle w:val="TableContents"/>
              <w:bidi w:val="0"/>
              <w:spacing w:before="0" w:after="0"/>
              <w:ind w:left="0" w:right="0" w:hanging="0"/>
              <w:jc w:val="center"/>
              <w:rPr/>
            </w:pPr>
            <w:r>
              <w:rPr/>
              <w:t>​</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 (due January 2030)</w:t>
            </w:r>
          </w:p>
        </w:tc>
        <w:tc>
          <w:tcPr>
            <w:tcW w:w="109" w:type="dxa"/>
            <w:tcBorders/>
            <w:shd w:fill="CCEEFF" w:val="clear"/>
            <w:vAlign w:val="center"/>
          </w:tcPr>
          <w:p>
            <w:pPr>
              <w:pStyle w:val="TableContents"/>
              <w:bidi w:val="0"/>
              <w:spacing w:before="0" w:after="0"/>
              <w:ind w:left="0" w:right="0" w:hanging="0"/>
              <w:jc w:val="center"/>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122,682</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411,586</w:t>
            </w:r>
          </w:p>
        </w:tc>
        <w:tc>
          <w:tcPr>
            <w:tcW w:w="195" w:type="dxa"/>
            <w:tcBorders/>
            <w:shd w:fill="CCEEFF" w:val="clear"/>
            <w:vAlign w:val="center"/>
          </w:tcPr>
          <w:p>
            <w:pPr>
              <w:pStyle w:val="TableContents"/>
              <w:bidi w:val="0"/>
              <w:spacing w:before="0" w:after="0"/>
              <w:ind w:left="0" w:right="0" w:hanging="0"/>
              <w:jc w:val="center"/>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 noncurrent portion</w:t>
            </w:r>
          </w:p>
        </w:tc>
        <w:tc>
          <w:tcPr>
            <w:tcW w:w="109"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center"/>
              <w:rPr/>
            </w:pPr>
            <w:r>
              <w:rPr/>
              <w:t>​</w:t>
            </w:r>
          </w:p>
        </w:tc>
        <w:tc>
          <w:tcPr>
            <w:tcW w:w="506" w:type="dxa"/>
            <w:tcBorders/>
            <w:vAlign w:val="center"/>
          </w:tcPr>
          <w:p>
            <w:pPr>
              <w:pStyle w:val="TableContents"/>
              <w:bidi w:val="0"/>
              <w:spacing w:before="0" w:after="0"/>
              <w:ind w:left="0" w:right="0" w:hanging="0"/>
              <w:jc w:val="righ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175,745</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center"/>
              <w:rPr/>
            </w:pPr>
            <w:r>
              <w:rPr/>
              <w:t>​</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debt</w:t>
            </w:r>
          </w:p>
        </w:tc>
        <w:tc>
          <w:tcPr>
            <w:tcW w:w="109" w:type="dxa"/>
            <w:tcBorders/>
            <w:shd w:fill="CCEEFF" w:val="clear"/>
            <w:vAlign w:val="center"/>
          </w:tcPr>
          <w:p>
            <w:pPr>
              <w:pStyle w:val="TableContents"/>
              <w:bidi w:val="0"/>
              <w:spacing w:before="0" w:after="0"/>
              <w:ind w:left="0" w:right="0" w:hanging="0"/>
              <w:jc w:val="center"/>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21,121</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21,975</w:t>
            </w:r>
          </w:p>
        </w:tc>
        <w:tc>
          <w:tcPr>
            <w:tcW w:w="195" w:type="dxa"/>
            <w:tcBorders/>
            <w:shd w:fill="CCEEFF" w:val="clear"/>
            <w:vAlign w:val="center"/>
          </w:tcPr>
          <w:p>
            <w:pPr>
              <w:pStyle w:val="TableContents"/>
              <w:bidi w:val="0"/>
              <w:spacing w:before="0" w:after="0"/>
              <w:ind w:left="0" w:right="0" w:hanging="0"/>
              <w:jc w:val="center"/>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notes due:</w:t>
            </w:r>
          </w:p>
        </w:tc>
        <w:tc>
          <w:tcPr>
            <w:tcW w:w="109"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pPr>
            <w:r>
              <w:rPr/>
              <w:t>​</w:t>
            </w:r>
          </w:p>
        </w:tc>
        <w:tc>
          <w:tcPr>
            <w:tcW w:w="2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1058"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4630"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April 2026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195" w:type="dxa"/>
            <w:tcBorders/>
            <w:shd w:fill="CCEEFF" w:val="clear"/>
            <w:vAlign w:val="center"/>
          </w:tcPr>
          <w:p>
            <w:pPr>
              <w:pStyle w:val="TableContents"/>
              <w:bidi w:val="0"/>
              <w:spacing w:before="0" w:after="0"/>
              <w:ind w:left="0" w:right="0" w:hanging="0"/>
              <w:jc w:val="right"/>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2028</w:t>
            </w:r>
          </w:p>
        </w:tc>
        <w:tc>
          <w:tcPr>
            <w:tcW w:w="109"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 </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5" w:type="dxa"/>
            <w:tcBorders/>
            <w:vAlign w:val="center"/>
          </w:tcPr>
          <w:p>
            <w:pPr>
              <w:pStyle w:val="TableContents"/>
              <w:bidi w:val="0"/>
              <w:spacing w:before="0" w:after="0"/>
              <w:ind w:left="0" w:right="0" w:hanging="0"/>
              <w:jc w:val="right"/>
              <w:rPr/>
            </w:pPr>
            <w:r>
              <w:rPr/>
              <w:t>​</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2030 (Convertible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right"/>
              <w:rPr/>
            </w:pPr>
            <w:r>
              <w:rPr/>
              <w:t>​</w:t>
            </w:r>
          </w:p>
        </w:tc>
        <w:tc>
          <w:tcPr>
            <w:tcW w:w="10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95" w:type="dxa"/>
            <w:tcBorders/>
            <w:shd w:fill="CCEEFF" w:val="clear"/>
            <w:vAlign w:val="center"/>
          </w:tcPr>
          <w:p>
            <w:pPr>
              <w:pStyle w:val="TableContents"/>
              <w:bidi w:val="0"/>
              <w:spacing w:before="0" w:after="0"/>
              <w:ind w:left="0" w:right="0" w:hanging="0"/>
              <w:jc w:val="right"/>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2031</w:t>
            </w:r>
          </w:p>
        </w:tc>
        <w:tc>
          <w:tcPr>
            <w:tcW w:w="109"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5" w:type="dxa"/>
            <w:tcBorders/>
            <w:vAlign w:val="center"/>
          </w:tcPr>
          <w:p>
            <w:pPr>
              <w:pStyle w:val="TableContents"/>
              <w:bidi w:val="0"/>
              <w:spacing w:before="0" w:after="0"/>
              <w:ind w:left="0" w:right="0" w:hanging="0"/>
              <w:jc w:val="right"/>
              <w:rPr/>
            </w:pPr>
            <w:r>
              <w:rPr/>
              <w:t>​</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2032</w:t>
            </w:r>
          </w:p>
        </w:tc>
        <w:tc>
          <w:tcPr>
            <w:tcW w:w="109"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5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5" w:type="dxa"/>
            <w:tcBorders/>
            <w:shd w:fill="CCEEFF" w:val="clear"/>
            <w:vAlign w:val="center"/>
          </w:tcPr>
          <w:p>
            <w:pPr>
              <w:pStyle w:val="TableContents"/>
              <w:bidi w:val="0"/>
              <w:spacing w:before="0" w:after="0"/>
              <w:ind w:left="0" w:right="0" w:hanging="0"/>
              <w:jc w:val="right"/>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before discount and debt issuance costs</w:t>
            </w:r>
          </w:p>
        </w:tc>
        <w:tc>
          <w:tcPr>
            <w:tcW w:w="109"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color w:val="575757"/>
              </w:rPr>
            </w:pPr>
            <w:r>
              <w:rPr>
                <w:color w:val="575757"/>
              </w:rPr>
              <w:t>​</w:t>
            </w:r>
          </w:p>
        </w:tc>
        <w:tc>
          <w:tcPr>
            <w:tcW w:w="20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right"/>
              <w:rPr/>
            </w:pPr>
            <w:r>
              <w:rPr/>
              <w:t> </w:t>
            </w:r>
          </w:p>
        </w:tc>
        <w:tc>
          <w:tcPr>
            <w:tcW w:w="10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2,820,148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2,583,561</w:t>
            </w:r>
          </w:p>
        </w:tc>
        <w:tc>
          <w:tcPr>
            <w:tcW w:w="195" w:type="dxa"/>
            <w:tcBorders/>
            <w:vAlign w:val="center"/>
          </w:tcPr>
          <w:p>
            <w:pPr>
              <w:pStyle w:val="TableContents"/>
              <w:bidi w:val="0"/>
              <w:spacing w:before="0" w:after="0"/>
              <w:ind w:left="0" w:right="0" w:hanging="0"/>
              <w:jc w:val="right"/>
              <w:rPr/>
            </w:pPr>
            <w:r>
              <w:rPr/>
              <w:t>​</w:t>
            </w:r>
          </w:p>
        </w:tc>
      </w:tr>
      <w:tr>
        <w:trPr/>
        <w:tc>
          <w:tcPr>
            <w:tcW w:w="46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 – unamortized</w:t>
            </w:r>
          </w:p>
        </w:tc>
        <w:tc>
          <w:tcPr>
            <w:tcW w:w="109"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(8,832)</w:t>
            </w:r>
          </w:p>
        </w:tc>
        <w:tc>
          <w:tcPr>
            <w:tcW w:w="195" w:type="dxa"/>
            <w:tcBorders/>
            <w:shd w:fill="CCEEFF" w:val="clear"/>
            <w:vAlign w:val="center"/>
          </w:tcPr>
          <w:p>
            <w:pPr>
              <w:pStyle w:val="TableContents"/>
              <w:bidi w:val="0"/>
              <w:spacing w:before="0" w:after="0"/>
              <w:ind w:left="0" w:right="0" w:hanging="0"/>
              <w:jc w:val="right"/>
              <w:rPr/>
            </w:pPr>
            <w:r>
              <w:rPr/>
              <w:t>​</w:t>
            </w:r>
          </w:p>
        </w:tc>
      </w:tr>
      <w:tr>
        <w:trPr/>
        <w:tc>
          <w:tcPr>
            <w:tcW w:w="4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2,795,948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2,574,729</w:t>
            </w:r>
          </w:p>
        </w:tc>
        <w:tc>
          <w:tcPr>
            <w:tcW w:w="19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475"/>
        <w:jc w:val="left"/>
        <w:rPr/>
      </w:pPr>
      <w:r>
        <w:rPr/>
        <w:t>​</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15"/>
              </w:rPr>
            </w:pPr>
            <w:r>
              <w:rPr>
                <w:rFonts w:ascii="Times New Roman;Times;serif" w:hAnsi="Times New Roman;Times;serif"/>
                <w:sz w:val="15"/>
              </w:rPr>
              <w:t>(1)</w:t>
            </w:r>
          </w:p>
        </w:tc>
        <w:tc>
          <w:tcPr>
            <w:tcW w:w="993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As of September 27, 2025, the Company classified its $550</w:t>
            </w:r>
            <w:r>
              <w:rPr>
                <w:caps w:val="false"/>
                <w:smallCaps w:val="false"/>
              </w:rPr>
              <w:t xml:space="preserve"> </w:t>
            </w:r>
            <w:r>
              <w:rPr>
                <w:rFonts w:ascii="Times New Roman;Times;serif" w:hAnsi="Times New Roman;Times;serif"/>
                <w:b w:val="false"/>
                <w:i w:val="false"/>
                <w:caps w:val="false"/>
                <w:smallCaps w:val="false"/>
                <w:sz w:val="18"/>
              </w:rPr>
              <w:t>million of 4.63%</w:t>
            </w:r>
            <w:r>
              <w:rPr>
                <w:caps w:val="false"/>
                <w:smallCaps w:val="false"/>
              </w:rPr>
              <w:t xml:space="preserve"> </w:t>
            </w:r>
            <w:r>
              <w:rPr>
                <w:rFonts w:ascii="Times New Roman;Times;serif" w:hAnsi="Times New Roman;Times;serif"/>
                <w:b w:val="false"/>
                <w:i w:val="false"/>
                <w:caps w:val="false"/>
                <w:smallCaps w:val="false"/>
                <w:sz w:val="18"/>
              </w:rPr>
              <w:t>Notes due April 2026 as long-term debt based on its ability and intent to refinance these notes on a long-term basis.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a trade accounts receivable securitization program (the “Securitization Program”) in the United States with a group of financial institutions, which is due in December 2026. The Securitization Program allows the Company to transfer, on an ongoing revolving basis, an undivided interest in a designated pool of trade accounts receivable, to provide security or collateral for borrowings of up to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$825.0 million and $813.9 million at September 27, 2025, and June 28, 2025, respectively. The Securitization Program contains certain covenants relating to the quality of the receivables sold.</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a five-year $1.50 billion revolving credit facility (the “Credit Facility”) with a syndicate of banks, which expires in January 2030. It consists of revolving credit facilities and the issuance of up to $200.0 million of letters of credit and up to $300.0 million of loans in certain approved currencies. As of September 27, 2025, and June 28, 2025, there were $0.8 million and $0.9 million, respectively,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below a certain threshold, which the Company was in compliance with as of September 27, 2025, and June 28, 2025. On August 28, 2025, the Company amended its Credit Facility through September 2026 to temporarily raise the maximum permitted leverage ratio. The amendment also restricts the Company's ability to make certain payments including the repurchase of shares in excess of $100 million worth of its common stock, which was reached in the first quarter of fiscal 2026 in connection with the issuance of the Convertible Notes discussed further below. </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In July of 2026 the Company entered into a credit agreement (“Term Loan”) for approximately $266.5 million that matures in approximately equal annual installments over the next three years. The Term Loan bears a blended variable interest rate between tranches as outlined in the tables above.</w:t>
      </w:r>
    </w:p>
    <w:p>
      <w:pPr>
        <w:pStyle w:val="TextBody"/>
        <w:bidi w:val="0"/>
        <w:spacing w:before="200" w:after="0"/>
        <w:ind w:left="0" w:right="0" w:firstLine="475"/>
        <w:jc w:val="left"/>
        <w:rPr>
          <w:rFonts w:ascii="Times New Roman;Times;serif" w:hAnsi="Times New Roman;Times;serif"/>
          <w:i/>
          <w:sz w:val="20"/>
        </w:rPr>
      </w:pPr>
      <w:r>
        <w:rPr>
          <w:rFonts w:ascii="Times New Roman;Times;serif" w:hAnsi="Times New Roman;Times;serif"/>
          <w:i/>
          <w:sz w:val="20"/>
        </w:rPr>
        <w:t>Convertible Notes</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In September 2025, the Company issued $650 million aggregate principal amount of convertible senior notes due 2030 (the “Convertible Notes”). The net proceeds from the sale of the Convertible Notes were approximately $633.8 million. </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The Convertible Notes accrue interest at a rate of 1.75% per annum. Before June 1, 2030, noteholders will have the right to convert their Convertible Notes only upon the occurrence of certain events, including but not limited to, the Company’s common stock trading above approximately $91 per share for a specific period, the market value of the Convertible Notes trading below 98% of the product of the trading price of the Company’s common stock and the conversion rate for a specific period, and certain fundamental changes to the Company’s corporate structure. The initial conversion price is approximately $70.27 per share of common stock.</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may redeem all or any portion of the Convertible Notes, at the Company’s option, on or after September 8, 2028, if the sale price of the Company’s common stock has been at least approximately $91 per common share for at least 20 trading days during any 30 consecutive trading-day period. </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Upon conversion of the Convertible Notes, the Company must satisfy the aggregate principal amount of the notes being converted in cash. For any conversion obligation exceeding the aggregate principal amount, the Company may, at its discretion, settle the remainder through cash, shares of the Company’s common stock, or a combination thereof.</w:t>
      </w:r>
    </w:p>
    <w:p>
      <w:pPr>
        <w:pStyle w:val="TextBody"/>
        <w:bidi w:val="0"/>
        <w:spacing w:before="200" w:after="0"/>
        <w:ind w:left="0" w:right="0" w:firstLine="475"/>
        <w:jc w:val="left"/>
        <w:rPr>
          <w:rFonts w:ascii="Times New Roman;Times;serif" w:hAnsi="Times New Roman;Times;serif"/>
          <w:sz w:val="20"/>
        </w:rPr>
      </w:pPr>
      <w:r>
        <w:rPr>
          <w:rFonts w:ascii="Times New Roman;Times;serif" w:hAnsi="Times New Roman;Times;serif"/>
          <w:sz w:val="20"/>
        </w:rPr>
        <w:t xml:space="preserve">As of September 27, 2025, the carrying value and fair value of the Company’s total debt was $2.99 billion and $2.99 billion, respectively. At June 28, 2025, the carrying value and fair value of the Company’s total debt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$2.66 billion and $2.65 billion, respectively. Fair value for public notes including convertible notes was estimated based on quoted market prices (Level 1) and, for other forms of debt, fair value approximates carrying value due to the market based variable nature of the interest rates on those debt facilities (Level 2).</w:t>
      </w:r>
    </w:p>
    <w:p>
      <w:pPr>
        <w:pStyle w:val="TextBody"/>
        <w:bidi w:val="0"/>
        <w:spacing w:before="0" w:after="0"/>
        <w:ind w:left="0" w:right="0" w:firstLine="475"/>
        <w:jc w:val="both"/>
        <w:rPr/>
      </w:pPr>
      <w:r>
        <w:rPr/>
        <w:t>​</w:t>
      </w:r>
    </w:p>
    <w:p>
      <w:pPr>
        <w:pStyle w:val="TextBody"/>
        <w:bidi w:val="0"/>
        <w:spacing w:before="0" w:after="0"/>
        <w:ind w:left="0" w:right="0" w:firstLine="475"/>
        <w:jc w:val="both"/>
        <w:rPr/>
      </w:pPr>
      <w:bookmarkStart w:id="676" w:name="_Hlk126071764"/>
      <w:bookmarkEnd w:id="676"/>
      <w:r>
        <w:rPr/>
        <w:t>​</w:t>
      </w:r>
    </w:p>
    <w:p>
      <w:pPr>
        <w:pStyle w:val="TextBody"/>
        <w:bidi w:val="0"/>
        <w:spacing w:before="0" w:after="200"/>
        <w:ind w:left="0" w:right="0" w:hanging="0"/>
        <w:jc w:val="both"/>
        <w:rPr>
          <w:rFonts w:ascii="Times New Roman;Times;serif" w:hAnsi="Times New Roman;Times;serif"/>
          <w:b/>
          <w:sz w:val="20"/>
        </w:rPr>
      </w:pPr>
      <w:bookmarkStart w:id="677" w:name="Tc_itfQsFLknEqu_K37qfIfPw_8_5"/>
      <w:bookmarkStart w:id="678" w:name="Tc_Yts6jej6oEKewM_yBlyulg_8_2"/>
      <w:bookmarkStart w:id="679" w:name="Tc_WXM-Jr3CVk-Jg0pOXO2Xuw_7_0"/>
      <w:bookmarkStart w:id="680" w:name="Tc_kdS2GN6Wt0-NKrLL5_8pXw_6_5"/>
      <w:bookmarkStart w:id="681" w:name="Tc_JL-fUgjqjES1wnYgIyJDNw_6_2"/>
      <w:bookmarkStart w:id="682" w:name="Tc_Q6MCnhPw90-ObWw-l5FA3A_5_5"/>
      <w:bookmarkStart w:id="683" w:name="Tc_XHB5Ii3b4k6gIflxe5olYQ_5_2"/>
      <w:bookmarkStart w:id="684" w:name="Tc_JH3O5h-GUkm70BajKPwYSw_4_0"/>
      <w:bookmarkStart w:id="685" w:name="Tc_V_641qa2Z0qji-mzEL8d2Q_3_2"/>
      <w:bookmarkStart w:id="686" w:name="Tc_mXjrx-_sqUid5DnH2XJBKw_2_5"/>
      <w:bookmarkStart w:id="687" w:name="Tc_7iPwam_NWkOglRLfFbMgMA_2_2"/>
      <w:bookmarkStart w:id="688" w:name="Tc_UFAOoJ5tY0mm26gOWTZzng_1_5"/>
      <w:bookmarkStart w:id="689" w:name="Tc_RO4JPDaCoUatMKASnk4egQ_1_2"/>
      <w:bookmarkStart w:id="690" w:name="bm_5_Derivative_financial_instruments"/>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Fonts w:ascii="Times New Roman;Times;serif" w:hAnsi="Times New Roman;Times;serif"/>
          <w:b/>
          <w:sz w:val="20"/>
        </w:rPr>
        <w:t>5. Derivative financial instruments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economic hedges to reduce this risk utilizing natural hedging (</w:t>
      </w:r>
      <w:r>
        <w:rPr>
          <w:rFonts w:ascii="Times New Roman;Times;serif" w:hAnsi="Times New Roman;Times;serif"/>
          <w:i/>
          <w:sz w:val="20"/>
        </w:rPr>
        <w:t>i.e.</w:t>
      </w:r>
      <w:r>
        <w:rPr>
          <w:rFonts w:ascii="Times New Roman;Times;serif" w:hAnsi="Times New Roman;Times;serif"/>
          <w:sz w:val="20"/>
        </w:rPr>
        <w:t>, offsetting receivables and payables in the same foreign currency) and creating offsetting positions using derivative financial instruments (primarily forward foreign currency exchange contracts typically with maturities of less than 60 days, but no longer than one year). The Company continues to have exposure to foreign currency risks to the extent they are not economically hedged. The fair value of forward foreign currency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 is based on Level 2 criteria under the ASC 820 fair value hierarchy.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pStyle w:val="TextBody"/>
        <w:bidi w:val="0"/>
        <w:spacing w:before="0" w:after="0"/>
        <w:ind w:left="0" w:right="0" w:hanging="0"/>
        <w:jc w:val="left"/>
        <w:rPr/>
      </w:pPr>
      <w:r>
        <w:rPr/>
        <w:t>​</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The locations and fair values of the Company’s derivative financial instruments in the Company’s consolidated balance sheets are as follows:</w:t>
      </w:r>
    </w:p>
    <w:p>
      <w:pPr>
        <w:pStyle w:val="TextBody"/>
        <w:bidi w:val="0"/>
        <w:spacing w:before="0" w:after="0"/>
        <w:ind w:left="0" w:right="0" w:hanging="0"/>
        <w:jc w:val="left"/>
        <w:rPr/>
      </w:pPr>
      <w:r>
        <w:rPr/>
        <w:t>​</w:t>
      </w:r>
    </w:p>
    <w:tbl>
      <w:tblPr>
        <w:tblW w:w="5403" w:type="dxa"/>
        <w:jc w:val="left"/>
        <w:tblInd w:w="0" w:type="dxa"/>
        <w:tblLayout w:type="fixed"/>
        <w:tblCellMar>
          <w:top w:w="0" w:type="dxa"/>
          <w:left w:w="0" w:type="dxa"/>
          <w:bottom w:w="0" w:type="dxa"/>
          <w:right w:w="0" w:type="dxa"/>
        </w:tblCellMar>
      </w:tblPr>
      <w:tblGrid>
        <w:gridCol w:w="2671"/>
        <w:gridCol w:w="109"/>
        <w:gridCol w:w="309"/>
        <w:gridCol w:w="996"/>
        <w:gridCol w:w="326"/>
        <w:gridCol w:w="211"/>
        <w:gridCol w:w="78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96085" cy="175260"/>
                      <wp:effectExtent l="0" t="0" r="0" b="0"/>
                      <wp:wrapNone/>
                      <wp:docPr id="125" name="Frame125"/>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6215" cy="175260"/>
                      <wp:effectExtent l="0" t="0" r="0" b="0"/>
                      <wp:wrapNone/>
                      <wp:docPr id="127" name="Frame12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2460" cy="175260"/>
                      <wp:effectExtent l="0" t="0" r="0" b="0"/>
                      <wp:wrapNone/>
                      <wp:docPr id="128" name="Frame12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4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Economic hedges</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43,750</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w:t>
            </w:r>
          </w:p>
        </w:tc>
        <w:tc>
          <w:tcPr>
            <w:tcW w:w="109"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27,640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69,143</w:t>
            </w:r>
          </w:p>
        </w:tc>
      </w:tr>
    </w:tbl>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00"/>
        <w:ind w:left="0" w:right="0" w:firstLine="475"/>
        <w:jc w:val="left"/>
        <w:rPr>
          <w:rFonts w:ascii="Times New Roman;Times;serif" w:hAnsi="Times New Roman;Times;serif"/>
          <w:sz w:val="20"/>
        </w:rPr>
      </w:pPr>
      <w:bookmarkStart w:id="691" w:name="Tc_wSKcgtRS60OsjJkgQo-1aA_6_6"/>
      <w:bookmarkStart w:id="692" w:name="Tc_zVtjni2L80GyvAAssWHfmg_6_3"/>
      <w:bookmarkStart w:id="693" w:name="Tc_uUzsNiKDW0mDhtBImpzqZw_6_1"/>
      <w:bookmarkStart w:id="694" w:name="Tc_eFf_hJ1AR0iTRVfZ5k0Oiw_6_0"/>
      <w:bookmarkStart w:id="695" w:name="Tc_Cz7iPf8bOkyH1mWInMFXZw_5_6"/>
      <w:bookmarkStart w:id="696" w:name="Tc_Rs-kVEJilUSQFLxTOh8hlQ_5_3"/>
      <w:bookmarkStart w:id="697" w:name="Tc_ZwyBpjnDIEi0ZL2bejyTYw_5_0"/>
      <w:bookmarkStart w:id="698" w:name="Tc_bN5SqH0mKU-NG4Btxusrzw_4_3"/>
      <w:bookmarkStart w:id="699" w:name="Tc_lz4hCetFh0GbE5N_B4cziA_3_6"/>
      <w:bookmarkStart w:id="700" w:name="Tc_axl_vmf19U6iDDW7D8SXAA_3_3"/>
      <w:bookmarkStart w:id="701" w:name="Tc_vx_1sNIMskyKzOeepnZegQ_2_6"/>
      <w:bookmarkStart w:id="702" w:name="Tc_BfPr0kD9qUO40TVDjf4Hnw_2_3"/>
      <w:bookmarkStart w:id="703" w:name="Tc_htpEWl0WIkyM8DxfUNVILQ_1_3"/>
      <w:bookmarkEnd w:id="691"/>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sz w:val="20"/>
        </w:rPr>
        <w:t>The locations of derivative financial instruments on the Company’s consolidated statements of operations are as follows:</w:t>
      </w:r>
    </w:p>
    <w:p>
      <w:pPr>
        <w:pStyle w:val="TextBody"/>
        <w:bidi w:val="0"/>
        <w:spacing w:before="0" w:after="0"/>
        <w:ind w:left="0" w:right="0" w:hanging="0"/>
        <w:jc w:val="left"/>
        <w:rPr/>
      </w:pPr>
      <w:r>
        <w:rPr/>
        <w:t>​</w:t>
      </w:r>
    </w:p>
    <w:tbl>
      <w:tblPr>
        <w:tblW w:w="8132" w:type="dxa"/>
        <w:jc w:val="left"/>
        <w:tblInd w:w="0" w:type="dxa"/>
        <w:tblLayout w:type="fixed"/>
        <w:tblCellMar>
          <w:top w:w="0" w:type="dxa"/>
          <w:left w:w="0" w:type="dxa"/>
          <w:bottom w:w="0" w:type="dxa"/>
          <w:right w:w="0" w:type="dxa"/>
        </w:tblCellMar>
      </w:tblPr>
      <w:tblGrid>
        <w:gridCol w:w="1771"/>
        <w:gridCol w:w="3391"/>
        <w:gridCol w:w="109"/>
        <w:gridCol w:w="326"/>
        <w:gridCol w:w="979"/>
        <w:gridCol w:w="206"/>
        <w:gridCol w:w="305"/>
        <w:gridCol w:w="1045"/>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124585" cy="175260"/>
                      <wp:effectExtent l="0" t="0" r="0" b="0"/>
                      <wp:wrapNone/>
                      <wp:docPr id="132" name="Frame132"/>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53285" cy="175260"/>
                      <wp:effectExtent l="0" t="0" r="0" b="0"/>
                      <wp:wrapNone/>
                      <wp:docPr id="133" name="Frame133"/>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21665" cy="175260"/>
                      <wp:effectExtent l="0" t="0" r="0" b="0"/>
                      <wp:wrapNone/>
                      <wp:docPr id="136" name="Frame136"/>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0810" cy="175260"/>
                      <wp:effectExtent l="0" t="0" r="0" b="0"/>
                      <wp:wrapNone/>
                      <wp:docPr id="137" name="Frame1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93675" cy="175260"/>
                      <wp:effectExtent l="0" t="0" r="0" b="0"/>
                      <wp:wrapNone/>
                      <wp:docPr id="138" name="Frame138"/>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3575" cy="175260"/>
                      <wp:effectExtent l="0" t="0" r="0" b="0"/>
                      <wp:wrapNone/>
                      <wp:docPr id="139" name="Frame139"/>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0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06" w:type="dxa"/>
            <w:tcBorders/>
            <w:vAlign w:val="center"/>
          </w:tcPr>
          <w:p>
            <w:pPr>
              <w:pStyle w:val="TableContents"/>
              <w:bidi w:val="0"/>
              <w:spacing w:before="0" w:after="0"/>
              <w:ind w:left="0" w:right="0" w:hanging="0"/>
              <w:jc w:val="center"/>
              <w:rPr/>
            </w:pPr>
            <w:r>
              <w:rPr/>
              <w:t>​</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132"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before="0" w:after="0"/>
              <w:ind w:left="0" w:right="0" w:hanging="0"/>
              <w:jc w:val="left"/>
              <w:rPr/>
            </w:pPr>
            <w:r>
              <w:rPr/>
              <w:t>​</w:t>
            </w:r>
          </w:p>
        </w:tc>
        <w:tc>
          <w:tcPr>
            <w:tcW w:w="33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Economic hedges </w:t>
            </w:r>
          </w:p>
        </w:tc>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(7,340)</w:t>
            </w:r>
          </w:p>
        </w:tc>
        <w:tc>
          <w:tcPr>
            <w:tcW w:w="20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24,037</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 currency swap</w:t>
            </w:r>
          </w:p>
        </w:tc>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 net</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c>
          <w:tcPr>
            <w:tcW w:w="20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701</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704" w:name="bm_6_Commitments_and_contingencies"/>
      <w:bookmarkEnd w:id="704"/>
      <w:r>
        <w:rPr>
          <w:rFonts w:ascii="Times New Roman;Times;serif" w:hAnsi="Times New Roman;Times;serif"/>
          <w:b/>
          <w:sz w:val="20"/>
        </w:rPr>
        <w:t>6. Commitments and contingencies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 </w:t>
      </w:r>
    </w:p>
    <w:p>
      <w:pPr>
        <w:pStyle w:val="TextBody"/>
        <w:bidi w:val="0"/>
        <w:spacing w:before="0" w:after="0"/>
        <w:ind w:left="0" w:right="0" w:firstLine="274"/>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0" w:after="0"/>
        <w:ind w:left="0" w:right="0" w:firstLine="274"/>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September 27, 2025, and June 28, 2025, the Company had aggregate estimated liabilities of $9.6 million, classified within accrued expenses and other for such compliance-related matters that were both probable and estimable as of such dates.</w:t>
      </w:r>
    </w:p>
    <w:p>
      <w:pPr>
        <w:pStyle w:val="TextBody"/>
        <w:bidi w:val="0"/>
        <w:spacing w:before="0" w:after="0"/>
        <w:ind w:left="0" w:right="0" w:hanging="0"/>
        <w:jc w:val="left"/>
        <w:rPr/>
      </w:pPr>
      <w:r>
        <w:rPr/>
        <w:t>​</w:t>
      </w:r>
    </w:p>
    <w:p>
      <w:pPr>
        <w:pStyle w:val="TextBody"/>
        <w:bidi w:val="0"/>
        <w:spacing w:before="0" w:after="200"/>
        <w:ind w:left="0" w:right="0" w:firstLine="475"/>
        <w:jc w:val="left"/>
        <w:rPr>
          <w:rFonts w:ascii="Times New Roman;Times;serif" w:hAnsi="Times New Roman;Times;serif"/>
          <w:i/>
          <w:sz w:val="20"/>
        </w:rPr>
      </w:pPr>
      <w:r>
        <w:rPr>
          <w:rFonts w:ascii="Times New Roman;Times;serif" w:hAnsi="Times New Roman;Times;serif"/>
          <w:i/>
          <w:sz w:val="20"/>
        </w:rPr>
        <w:t>Contingent Liability for Mexico Consumption Tax Audit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Company’s facilities in Mexico operate under the Mexican Maquiladora (IMMEX) program. This program provides for reduced tariffs and eased import regulations. In September 2023, the Mexican customs and tax authority (Servicio de Administracion Tributaria (SAT)) opened an audit related to the Company’s participation in the IMMEX program for the period January 11, 2019, to January 11, 2020. The SAT initially asserted that the Company’s subsidiary, Avnet de Mexico S.A. de C.V., has underpaid value-added taxes (VAT) and is also liable for inflationary and interest adjustments, fines, and penalties. The Company disputes the SAT’s assertion and is working to resolve the issue through various administrative, legal, and diplomatic channels. The SAT has not issued a final assessment. The Company is not able to predict the outcome of this matter with certainty, including the timing of any resolution and the amount of any assessment. However, based on information available as of the balance sheet date, it is probable that Avnet de Mexico will ultimately incur an assessment. Consequently, the Company recorded a net loss contingency of $43.4 million within “restructuring, integration and other expenses” in the Company’s consolidated statement of operations in fiscal year 2025. That amount is the Company’s best estimate of the losses from this matter and is subject to change based on the results of the SAT audit, the Company’s ability to recover VAT, and any administrative processes or legal appeals.</w:t>
      </w:r>
    </w:p>
    <w:p>
      <w:pPr>
        <w:pStyle w:val="TextBody"/>
        <w:bidi w:val="0"/>
        <w:spacing w:before="0" w:after="0"/>
        <w:ind w:left="0" w:right="0" w:firstLine="475"/>
        <w:jc w:val="left"/>
        <w:rPr/>
      </w:pPr>
      <w:r>
        <w:rPr/>
        <w:t>​</w:t>
      </w:r>
    </w:p>
    <w:p>
      <w:pPr>
        <w:pStyle w:val="TextBody"/>
        <w:bidi w:val="0"/>
        <w:spacing w:before="0" w:after="200"/>
        <w:ind w:left="0" w:right="0" w:hanging="0"/>
        <w:jc w:val="both"/>
        <w:rPr>
          <w:rFonts w:ascii="Times New Roman;Times;serif" w:hAnsi="Times New Roman;Times;serif"/>
          <w:b/>
          <w:sz w:val="20"/>
        </w:rPr>
      </w:pPr>
      <w:bookmarkStart w:id="705" w:name="bm_7_Income_taxes"/>
      <w:bookmarkStart w:id="706" w:name="_Hlk93498429"/>
      <w:bookmarkEnd w:id="705"/>
      <w:bookmarkEnd w:id="706"/>
      <w:r>
        <w:rPr>
          <w:rFonts w:ascii="Times New Roman;Times;serif" w:hAnsi="Times New Roman;Times;serif"/>
          <w:b/>
          <w:sz w:val="20"/>
        </w:rPr>
        <w:t>7. Income taxes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below discussion of the effective tax rate for the periods presented in the consolidated statements of operations is in comparison to the 21% U.S. statutory federal income tax rate.</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Company’s effective tax rate on its income before taxes was 32.6% in the first quarter of fiscal 2026. During the first quarter of fiscal 2026, the Company’s effective tax rate was unfavorably impacted primarily by (i) the effect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tax rates enacted in foreign jurisdictions, and (ii) increases to unrecognized tax benefit reserves net of settlements.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quarter of fiscal 2025, the Company’s effective tax rate on its income before taxes was 21.1%. During the first quarter of fiscal 2025, the Company’s effective tax rate was unfavorably impacted primarily by (i) increases to unrecognized tax benefit reserves and audit settlements, (ii) the mix of income in higher tax jurisdictions, and (iii) increases to valuation allowances, partially offset by (iv) increases in tax attribute carryforwards.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On July 4, 2025, the U.S. government enacted the One Big Beautiful Bill Act (the “OBBB”). The bill includes extensions of current tax provisions and makes many significant tax changes. Most of the provisions enacted by the OBBB take effect in fiscal year 2025 to 2027. The company expects no material adverse impact related to the OBBB in fiscal 2026; however, the Company will continue to monitor developments and update the potential impacts on its consolidated financial statements as new information becomes available.</w:t>
      </w:r>
    </w:p>
    <w:p>
      <w:pPr>
        <w:pStyle w:val="TextBody"/>
        <w:bidi w:val="0"/>
        <w:spacing w:before="0" w:after="0"/>
        <w:ind w:left="0" w:right="0" w:firstLine="480"/>
        <w:jc w:val="both"/>
        <w:rPr/>
      </w:pPr>
      <w:r>
        <w:rPr/>
        <w:t>​</w:t>
      </w:r>
    </w:p>
    <w:p>
      <w:pPr>
        <w:pStyle w:val="TextBody"/>
        <w:bidi w:val="0"/>
        <w:spacing w:before="0" w:after="200"/>
        <w:ind w:left="0" w:right="0" w:hanging="0"/>
        <w:jc w:val="both"/>
        <w:rPr>
          <w:rFonts w:ascii="Times New Roman;Times;serif" w:hAnsi="Times New Roman;Times;serif"/>
          <w:b/>
          <w:sz w:val="20"/>
        </w:rPr>
      </w:pPr>
      <w:bookmarkStart w:id="707" w:name="Tc_cAtgoZkwr0WL2Zv3cGmaXA_13_5"/>
      <w:bookmarkStart w:id="708" w:name="Tc_GW4dfdKhMk-u9258g-CG3A_13_2"/>
      <w:bookmarkStart w:id="709" w:name="Tc_F9mhd0JioEmtnCiY-W0w_g_13_0"/>
      <w:bookmarkStart w:id="710" w:name="Tc_v_szmkXldk6dLCc8f9cSKw_11_0"/>
      <w:bookmarkStart w:id="711" w:name="Tc_UgMTu1VwF0eDQ_auv0vcUg_10_0"/>
      <w:bookmarkStart w:id="712" w:name="Tc_vLLe-rxgIEiaMzhl5Zwh_g_9_0"/>
      <w:bookmarkStart w:id="713" w:name="Tc_CAkQ_si1gUCKBmcScHwP-w_8_0"/>
      <w:bookmarkStart w:id="714" w:name="Tc_Q95Ykml5FkqsEQdy529Txg_7_0"/>
      <w:bookmarkStart w:id="715" w:name="Tc_CC-vaspoNUqWkYuoRfP9Rw_5_5"/>
      <w:bookmarkStart w:id="716" w:name="Tc_u44pT2GmXUaf_rfUALzDsw_5_2"/>
      <w:bookmarkStart w:id="717" w:name="Tc_leXJGMOK6kmYjFixiGhHkg_5_0"/>
      <w:bookmarkStart w:id="718" w:name="Tc_JxSqPefVDk6k_RPXdfZupw_4_2"/>
      <w:bookmarkStart w:id="719" w:name="Tc_pLKpGYzBAkmJS80S7NMwtg_3_5"/>
      <w:bookmarkStart w:id="720" w:name="Tc_MOJWVe1fpUiiJcBVpeJLyg_3_2"/>
      <w:bookmarkStart w:id="721" w:name="Tc_vRcdGRrHEUCvvRhpJIlUiQ_2_5"/>
      <w:bookmarkStart w:id="722" w:name="Tc_wQUKDnTSt0GriZisD_g1oQ_2_2"/>
      <w:bookmarkStart w:id="723" w:name="Tc_hKGvR2---EupTI-PNebEDQ_1_2"/>
      <w:bookmarkStart w:id="724" w:name="_bd246086_7ffe_448a_8c20_c88ea474e528"/>
      <w:bookmarkStart w:id="725" w:name="bm_8_Pension_plan"/>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Times;serif" w:hAnsi="Times New Roman;Times;serif"/>
          <w:b/>
          <w:sz w:val="20"/>
        </w:rPr>
        <w:t>8. Pension plan</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The Company has a noncontributory defined benefit pension plan that covers substantially all current and some former U.S. employees (the “Plan”). Components of net periodic pension cost for the Plan were as follows:</w:t>
      </w:r>
    </w:p>
    <w:p>
      <w:pPr>
        <w:pStyle w:val="TextBody"/>
        <w:bidi w:val="0"/>
        <w:spacing w:before="0" w:after="0"/>
        <w:ind w:left="0" w:right="0" w:hanging="0"/>
        <w:jc w:val="left"/>
        <w:rPr/>
      </w:pPr>
      <w:r>
        <w:rPr/>
        <w:t>​</w:t>
      </w:r>
    </w:p>
    <w:tbl>
      <w:tblPr>
        <w:tblW w:w="8483" w:type="dxa"/>
        <w:jc w:val="left"/>
        <w:tblInd w:w="0" w:type="dxa"/>
        <w:tblLayout w:type="fixed"/>
        <w:tblCellMar>
          <w:top w:w="0" w:type="dxa"/>
          <w:left w:w="0" w:type="dxa"/>
          <w:bottom w:w="0" w:type="dxa"/>
          <w:right w:w="0" w:type="dxa"/>
        </w:tblCellMar>
      </w:tblPr>
      <w:tblGrid>
        <w:gridCol w:w="5296"/>
        <w:gridCol w:w="206"/>
        <w:gridCol w:w="289"/>
        <w:gridCol w:w="1016"/>
        <w:gridCol w:w="326"/>
        <w:gridCol w:w="286"/>
        <w:gridCol w:w="1064"/>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362960" cy="175260"/>
                      <wp:effectExtent l="0" t="0" r="0" b="0"/>
                      <wp:wrapNone/>
                      <wp:docPr id="140" name="Frame140"/>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0810" cy="175260"/>
                      <wp:effectExtent l="0" t="0" r="0" b="0"/>
                      <wp:wrapNone/>
                      <wp:docPr id="141" name="Frame14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83515" cy="175260"/>
                      <wp:effectExtent l="0" t="0" r="0" b="0"/>
                      <wp:wrapNone/>
                      <wp:docPr id="142" name="Frame142"/>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5160" cy="175260"/>
                      <wp:effectExtent l="0" t="0" r="0" b="0"/>
                      <wp:wrapNone/>
                      <wp:docPr id="143" name="Frame143"/>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81610" cy="175260"/>
                      <wp:effectExtent l="0" t="0" r="0" b="0"/>
                      <wp:wrapNone/>
                      <wp:docPr id="145" name="Frame14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75640" cy="175260"/>
                      <wp:effectExtent l="0" t="0" r="0" b="0"/>
                      <wp:wrapNone/>
                      <wp:docPr id="146" name="Frame146"/>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848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 within selling, general and administrative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20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righ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6,183</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20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righ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(10,438)</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net actuarial loss and other</w:t>
            </w:r>
          </w:p>
        </w:tc>
        <w:tc>
          <w:tcPr>
            <w:tcW w:w="20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1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recognized due to benefit obligation settlement</w:t>
            </w:r>
          </w:p>
        </w:tc>
        <w:tc>
          <w:tcPr>
            <w:tcW w:w="20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1064" w:type="dxa"/>
            <w:tcBorders/>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periodic pension benefit within other expense, net</w:t>
            </w:r>
          </w:p>
        </w:tc>
        <w:tc>
          <w:tcPr>
            <w:tcW w:w="20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8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1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4"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cost (benefit)</w:t>
            </w:r>
          </w:p>
        </w:tc>
        <w:tc>
          <w:tcPr>
            <w:tcW w:w="20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0"/>
        <w:ind w:left="0" w:right="0" w:hanging="0"/>
        <w:jc w:val="left"/>
        <w:rPr/>
      </w:pPr>
      <w:r>
        <w:rPr/>
        <w:t>​</w:t>
      </w:r>
    </w:p>
    <w:p>
      <w:pPr>
        <w:pStyle w:val="TextBody"/>
        <w:bidi w:val="0"/>
        <w:spacing w:before="0" w:after="0"/>
        <w:ind w:left="0" w:right="0" w:firstLine="48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made $4.0 million of contributions during the first quarter of fiscal 2026 and expects to make additional contributions to the Plan of $4.0 million in the remainder of fiscal 2026.</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726" w:name="bm_9_Shareholders_equity"/>
      <w:bookmarkEnd w:id="726"/>
      <w:r>
        <w:rPr>
          <w:rFonts w:ascii="Times New Roman;Times;serif" w:hAnsi="Times New Roman;Times;serif"/>
          <w:b/>
          <w:sz w:val="20"/>
        </w:rPr>
        <w:t>9. Shareholders’ equity</w:t>
      </w:r>
    </w:p>
    <w:p>
      <w:pPr>
        <w:pStyle w:val="TextBody"/>
        <w:bidi w:val="0"/>
        <w:spacing w:before="0" w:after="200"/>
        <w:ind w:left="0" w:right="0" w:firstLine="475"/>
        <w:jc w:val="both"/>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On September 5, 2025, the Company repurchased 1.9 million shares of its outstanding common stock at a price of $52.05 per share, concurrently with the Company’s issuance of its Convertible Notes (refer to Note 4) to mitigate the potential future dilution associated with the issuance of such notes. Additionally, early in the first quarter of fiscal 2026, the Company repurchased 0.7 million shares for a total cost of $38.3 million. As of September 27, 2025, the Company had $225.8 million remaining under its share repurchase authorization.</w:t>
      </w:r>
    </w:p>
    <w:p>
      <w:pPr>
        <w:pStyle w:val="TextBody"/>
        <w:bidi w:val="0"/>
        <w:spacing w:before="0" w:after="0"/>
        <w:ind w:left="0" w:right="0" w:firstLine="475"/>
        <w:jc w:val="both"/>
        <w:rPr/>
      </w:pPr>
      <w:r>
        <w:rPr/>
        <w:t>​</w:t>
      </w:r>
    </w:p>
    <w:p>
      <w:pPr>
        <w:pStyle w:val="TextBody"/>
        <w:bidi w:val="0"/>
        <w:spacing w:before="0" w:after="200"/>
        <w:ind w:left="0" w:right="0" w:firstLine="475"/>
        <w:jc w:val="both"/>
        <w:rPr>
          <w:rFonts w:ascii="Times New Roman;Times;serif" w:hAnsi="Times New Roman;Times;serif"/>
          <w:i/>
          <w:sz w:val="20"/>
        </w:rPr>
      </w:pPr>
      <w:r>
        <w:rPr>
          <w:rFonts w:ascii="Times New Roman;Times;serif" w:hAnsi="Times New Roman;Times;serif"/>
          <w:i/>
          <w:sz w:val="20"/>
        </w:rPr>
        <w:t>Common stock dividend</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August 2025, the Company’s Board of Directors approved a dividend of $0.35 per common share and dividend payments of $28.5 million were made in September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727" w:name="Tc_nQbtgihfiUio-j5WUODJfA_14_6"/>
      <w:bookmarkStart w:id="728" w:name="Tc_ct-_gZ2bzEWkxm4SplXt4A_14_3"/>
      <w:bookmarkStart w:id="729" w:name="Tc_7Aj0THCye0mNABWt-bDhnw_14_0"/>
      <w:bookmarkStart w:id="730" w:name="Tc_--8JVhSCNkCXTF-j02k7oQ_13_5"/>
      <w:bookmarkStart w:id="731" w:name="Tc_2bSPbixZdUetYq50gu6jqA_13_2"/>
      <w:bookmarkStart w:id="732" w:name="Tc_zIiZuWjZwUyf7imCfVZFYQ_13_0"/>
      <w:bookmarkStart w:id="733" w:name="Tc_ha4tRtaJZkuOlv61Po6uTg_12_5"/>
      <w:bookmarkStart w:id="734" w:name="Tc_3PWFmE25HUGycaS6SjT5oQ_12_2"/>
      <w:bookmarkStart w:id="735" w:name="Tc_59LTfxJu6kOJRlm6dgcxAA_12_0"/>
      <w:bookmarkStart w:id="736" w:name="Tc_APMta7yvSE-e4ck6MJGZKA_11_0"/>
      <w:bookmarkStart w:id="737" w:name="Tc_OPsNXv881kWWPQ1MtHdLNg_10_0"/>
      <w:bookmarkStart w:id="738" w:name="Tc_9j0xTKFS-kOjPkg17AfWEA_9_0"/>
      <w:bookmarkStart w:id="739" w:name="Tc_USKcJDLBxU6OumgbhgsuTQ_8_0"/>
      <w:bookmarkStart w:id="740" w:name="Tc_v1eHKNY1uUaml3WeYqVy1Q_6_5"/>
      <w:bookmarkStart w:id="741" w:name="Tc_9ci8g4geE0-vPaufGvx90A_6_2"/>
      <w:bookmarkStart w:id="742" w:name="Tc_95CoQkdWbEqak2_Ky2e93A_6_0"/>
      <w:bookmarkStart w:id="743" w:name="Tc_elGyynH8HEGaembDVzRbkQ_5_0"/>
      <w:bookmarkStart w:id="744" w:name="Tc_ZLMrHlhwyk21tz7BR38IgA_4_2"/>
      <w:bookmarkStart w:id="745" w:name="Tc_IJiMc9kpjESA-cMc6WqFdg_3_5"/>
      <w:bookmarkStart w:id="746" w:name="Tc_KLtS1qRLrEyS_RKgOcZmaw_3_2"/>
      <w:bookmarkStart w:id="747" w:name="Tc_WBCBlD-lAkeVJunlyABPZA_2_5"/>
      <w:bookmarkStart w:id="748" w:name="Tc_eppuUL3ne0WhCVHDikKvQA_2_2"/>
      <w:bookmarkStart w:id="749" w:name="Tc_35sP6dN1vkKwAkOl5wwr7w_1_2"/>
      <w:bookmarkStart w:id="750" w:name="bm_10_Earnings_per_share"/>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r>
        <w:rPr>
          <w:rFonts w:ascii="Times New Roman;Times;serif" w:hAnsi="Times New Roman;Times;serif"/>
          <w:b/>
          <w:sz w:val="20"/>
        </w:rPr>
        <w:t>10. Earnings per share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987"/>
        <w:gridCol w:w="146"/>
        <w:gridCol w:w="323"/>
        <w:gridCol w:w="1043"/>
        <w:gridCol w:w="287"/>
        <w:gridCol w:w="319"/>
        <w:gridCol w:w="1100"/>
      </w:tblGrid>
      <w:tr>
        <w:trPr/>
        <w:tc>
          <w:tcPr>
            <w:tcW w:w="6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436745" cy="175260"/>
                      <wp:effectExtent l="0" t="0" r="0" b="0"/>
                      <wp:wrapNone/>
                      <wp:docPr id="147" name="Frame147"/>
                      <a:graphic xmlns:a="http://schemas.openxmlformats.org/drawingml/2006/main">
                        <a:graphicData uri="http://schemas.microsoft.com/office/word/2010/wordprocessingShape">
                          <wps:wsp>
                            <wps:cNvSpPr txBox="1"/>
                            <wps:spPr>
                              <a:xfrm>
                                <a:off x="0" y="0"/>
                                <a:ext cx="4436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5105" cy="175260"/>
                      <wp:effectExtent l="0" t="0" r="0" b="0"/>
                      <wp:wrapNone/>
                      <wp:docPr id="149" name="Frame149"/>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62305" cy="175260"/>
                      <wp:effectExtent l="0" t="0" r="0" b="0"/>
                      <wp:wrapNone/>
                      <wp:docPr id="150" name="Frame150"/>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82245" cy="175260"/>
                      <wp:effectExtent l="0" t="0" r="0" b="0"/>
                      <wp:wrapNone/>
                      <wp:docPr id="151" name="Frame15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2565" cy="175260"/>
                      <wp:effectExtent l="0" t="0" r="0" b="0"/>
                      <wp:wrapNone/>
                      <wp:docPr id="152" name="Frame15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98500" cy="175260"/>
                      <wp:effectExtent l="0" t="0" r="0" b="0"/>
                      <wp:wrapNone/>
                      <wp:docPr id="153" name="Frame153"/>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7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69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36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287" w:type="dxa"/>
            <w:tcBorders/>
            <w:vAlign w:val="center"/>
          </w:tcPr>
          <w:p>
            <w:pPr>
              <w:pStyle w:val="TableContents"/>
              <w:bidi w:val="0"/>
              <w:spacing w:before="0" w:after="0"/>
              <w:ind w:left="0" w:right="0" w:hanging="0"/>
              <w:jc w:val="center"/>
              <w:rPr/>
            </w:pPr>
            <w:r>
              <w:rPr/>
              <w:t>​</w:t>
            </w:r>
          </w:p>
        </w:tc>
        <w:tc>
          <w:tcPr>
            <w:tcW w:w="141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69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6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87" w:type="dxa"/>
            <w:tcBorders/>
            <w:vAlign w:val="center"/>
          </w:tcPr>
          <w:p>
            <w:pPr>
              <w:pStyle w:val="TableContents"/>
              <w:bidi w:val="0"/>
              <w:spacing w:before="0" w:after="0"/>
              <w:ind w:left="0" w:right="0" w:hanging="0"/>
              <w:jc w:val="center"/>
              <w:rPr/>
            </w:pPr>
            <w:r>
              <w:rPr/>
              <w:t>  </w:t>
            </w:r>
          </w:p>
        </w:tc>
        <w:tc>
          <w:tcPr>
            <w:tcW w:w="141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9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72"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data)</w:t>
            </w:r>
          </w:p>
        </w:tc>
      </w:tr>
      <w:tr>
        <w:trPr/>
        <w:tc>
          <w:tcPr>
            <w:tcW w:w="6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center"/>
              <w:rPr/>
            </w:pPr>
            <w:r>
              <w:rPr/>
              <w:t>   </w:t>
            </w:r>
          </w:p>
        </w:tc>
        <w:tc>
          <w:tcPr>
            <w:tcW w:w="319"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left"/>
              <w:rPr/>
            </w:pPr>
            <w:r>
              <w:rPr/>
              <w:t>​</w:t>
            </w:r>
          </w:p>
        </w:tc>
      </w:tr>
      <w:tr>
        <w:trPr/>
        <w:tc>
          <w:tcPr>
            <w:tcW w:w="6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51,745</w:t>
            </w:r>
          </w:p>
        </w:tc>
        <w:tc>
          <w:tcPr>
            <w:tcW w:w="287" w:type="dxa"/>
            <w:tcBorders/>
            <w:vAlign w:val="center"/>
          </w:tcPr>
          <w:p>
            <w:pPr>
              <w:pStyle w:val="TableContents"/>
              <w:bidi w:val="0"/>
              <w:spacing w:before="0" w:after="0"/>
              <w:ind w:left="0" w:right="0" w:hanging="0"/>
              <w:jc w:val="center"/>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58,956</w:t>
            </w:r>
          </w:p>
        </w:tc>
      </w:tr>
      <w:tr>
        <w:trPr/>
        <w:tc>
          <w:tcPr>
            <w:tcW w:w="6987"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287" w:type="dxa"/>
            <w:tcBorders/>
            <w:shd w:fill="CCEEFF" w:val="clear"/>
            <w:vAlign w:val="center"/>
          </w:tcPr>
          <w:p>
            <w:pPr>
              <w:pStyle w:val="TableContents"/>
              <w:bidi w:val="0"/>
              <w:spacing w:before="0" w:after="0"/>
              <w:ind w:left="0" w:right="0" w:hanging="0"/>
              <w:jc w:val="center"/>
              <w:rPr/>
            </w:pPr>
            <w:r>
              <w:rPr/>
              <w:t>​</w:t>
            </w:r>
          </w:p>
        </w:tc>
        <w:tc>
          <w:tcPr>
            <w:tcW w:w="319" w:type="dxa"/>
            <w:tcBorders/>
            <w:shd w:fill="CCEEFF" w:val="clear"/>
            <w:vAlign w:val="center"/>
          </w:tcPr>
          <w:p>
            <w:pPr>
              <w:pStyle w:val="TableContents"/>
              <w:bidi w:val="0"/>
              <w:spacing w:before="0" w:after="0"/>
              <w:ind w:left="0" w:right="0" w:hanging="0"/>
              <w:jc w:val="left"/>
              <w:rPr/>
            </w:pPr>
            <w:r>
              <w:rPr/>
              <w:t>​</w:t>
            </w:r>
          </w:p>
        </w:tc>
        <w:tc>
          <w:tcPr>
            <w:tcW w:w="1100" w:type="dxa"/>
            <w:tcBorders/>
            <w:shd w:fill="CCEEFF" w:val="clear"/>
            <w:vAlign w:val="center"/>
          </w:tcPr>
          <w:p>
            <w:pPr>
              <w:pStyle w:val="TableContents"/>
              <w:bidi w:val="0"/>
              <w:spacing w:before="0" w:after="0"/>
              <w:ind w:left="0" w:right="0" w:hanging="0"/>
              <w:jc w:val="right"/>
              <w:rPr/>
            </w:pPr>
            <w:r>
              <w:rPr/>
              <w:t>​</w:t>
            </w:r>
          </w:p>
        </w:tc>
      </w:tr>
      <w:tr>
        <w:trPr/>
        <w:tc>
          <w:tcPr>
            <w:tcW w:w="6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right"/>
              <w:rPr/>
            </w:pPr>
            <w:r>
              <w:rPr/>
              <w:t>​</w:t>
            </w:r>
          </w:p>
        </w:tc>
        <w:tc>
          <w:tcPr>
            <w:tcW w:w="1043"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right"/>
              <w:rPr/>
            </w:pPr>
            <w:r>
              <w:rPr/>
              <w:t>​</w:t>
            </w:r>
          </w:p>
        </w:tc>
        <w:tc>
          <w:tcPr>
            <w:tcW w:w="1100" w:type="dxa"/>
            <w:tcBorders/>
            <w:vAlign w:val="center"/>
          </w:tcPr>
          <w:p>
            <w:pPr>
              <w:pStyle w:val="TableContents"/>
              <w:bidi w:val="0"/>
              <w:spacing w:before="0" w:after="0"/>
              <w:ind w:left="0" w:right="0" w:hanging="0"/>
              <w:jc w:val="right"/>
              <w:rPr/>
            </w:pPr>
            <w:r>
              <w:rPr/>
              <w:t>​</w:t>
            </w:r>
          </w:p>
        </w:tc>
      </w:tr>
      <w:tr>
        <w:trPr/>
        <w:tc>
          <w:tcPr>
            <w:tcW w:w="6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basic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 </w:t>
            </w:r>
          </w:p>
        </w:tc>
        <w:tc>
          <w:tcPr>
            <w:tcW w:w="10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82,996</w:t>
            </w:r>
          </w:p>
        </w:tc>
        <w:tc>
          <w:tcPr>
            <w:tcW w:w="287"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right"/>
              <w:rPr/>
            </w:pPr>
            <w:r>
              <w:rPr/>
              <w:t> </w:t>
            </w:r>
          </w:p>
        </w:tc>
        <w:tc>
          <w:tcPr>
            <w:tcW w:w="11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88,092</w:t>
            </w:r>
          </w:p>
        </w:tc>
      </w:tr>
      <w:tr>
        <w:trPr/>
        <w:tc>
          <w:tcPr>
            <w:tcW w:w="6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effect of dilutive stock-based compensation awards</w:t>
            </w:r>
          </w:p>
        </w:tc>
        <w:tc>
          <w:tcPr>
            <w:tcW w:w="146" w:type="dxa"/>
            <w:tcBorders/>
            <w:vAlign w:val="center"/>
          </w:tcPr>
          <w:p>
            <w:pPr>
              <w:pStyle w:val="TableContents"/>
              <w:bidi w:val="0"/>
              <w:spacing w:before="0" w:after="0"/>
              <w:ind w:left="0" w:right="0" w:hanging="0"/>
              <w:jc w:val="left"/>
              <w:rPr/>
            </w:pPr>
            <w:r>
              <w:rPr/>
              <w:t>​</w:t>
            </w:r>
          </w:p>
        </w:tc>
        <w:tc>
          <w:tcPr>
            <w:tcW w:w="323"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4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c>
          <w:tcPr>
            <w:tcW w:w="287" w:type="dxa"/>
            <w:tcBorders/>
            <w:vAlign w:val="center"/>
          </w:tcPr>
          <w:p>
            <w:pPr>
              <w:pStyle w:val="TableContents"/>
              <w:bidi w:val="0"/>
              <w:spacing w:before="0" w:after="0"/>
              <w:ind w:left="0" w:right="0" w:hanging="0"/>
              <w:jc w:val="left"/>
              <w:rPr/>
            </w:pPr>
            <w:r>
              <w:rPr/>
              <w:t>​</w:t>
            </w:r>
          </w:p>
        </w:tc>
        <w:tc>
          <w:tcPr>
            <w:tcW w:w="319"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10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6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diluted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84,462</w:t>
            </w:r>
          </w:p>
        </w:tc>
        <w:tc>
          <w:tcPr>
            <w:tcW w:w="287"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89,392</w:t>
            </w:r>
          </w:p>
        </w:tc>
      </w:tr>
      <w:tr>
        <w:trPr/>
        <w:tc>
          <w:tcPr>
            <w:tcW w:w="6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14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0.62</w:t>
            </w:r>
          </w:p>
        </w:tc>
        <w:tc>
          <w:tcPr>
            <w:tcW w:w="287"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0.67</w:t>
            </w:r>
          </w:p>
        </w:tc>
      </w:tr>
      <w:tr>
        <w:trPr/>
        <w:tc>
          <w:tcPr>
            <w:tcW w:w="69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46"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287"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r>
      <w:tr>
        <w:trPr/>
        <w:tc>
          <w:tcPr>
            <w:tcW w:w="6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excluded from earnings per share calculation due to an anti-dilutive effect</w:t>
            </w:r>
          </w:p>
        </w:tc>
        <w:tc>
          <w:tcPr>
            <w:tcW w:w="14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calculates basic earnings per share, or EPS, by dividing net income by the weighted average number of common shares outstanding during the period. Diluted earnings per share is computed using the treasury stock method for outstanding stock options, restricted stock units, and performance share units and the if-converted method for convertible debt.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751" w:name="Tc_w3b2_fAEfkuyS6b6V2xbjg_11_5"/>
      <w:bookmarkStart w:id="752" w:name="Tc_0zJ14EIACUqqV-S3BZ3o5g_11_2"/>
      <w:bookmarkStart w:id="753" w:name="Tc_jiaBGj4aGUiz0S0Mr3y_EA_11_0"/>
      <w:bookmarkStart w:id="754" w:name="Tc_r6Xd6px2lk2y1dgUDVphOw_10_5"/>
      <w:bookmarkStart w:id="755" w:name="Tc_SXGMdqVzxkqLyrIK0dqOBQ_10_2"/>
      <w:bookmarkStart w:id="756" w:name="Tc_ntjNpgiiXUS7oliIyIotNg_10_0"/>
      <w:bookmarkStart w:id="757" w:name="Tc_B1Ji00kUUUuanctS0C9rpw_9_0"/>
      <w:bookmarkStart w:id="758" w:name="Tc_24lZDI63m02bnT37fydq0A_8_5"/>
      <w:bookmarkStart w:id="759" w:name="Tc_2exAR4sn30ms3547PcExGA_8_3"/>
      <w:bookmarkStart w:id="760" w:name="Tc_T3_095PcK0iDa6bd_q69vA_8_0"/>
      <w:bookmarkStart w:id="761" w:name="Tc_1814KSZEAkKnG58899ffrw_7_0"/>
      <w:bookmarkStart w:id="762" w:name="Tc_m_9oJrBkjkCLdZeqAdMEVQ_6_5"/>
      <w:bookmarkStart w:id="763" w:name="Tc_D6RaXOKKWUCSh9AV3qQXOQ_6_2"/>
      <w:bookmarkStart w:id="764" w:name="Tc_mJFhfgAHq0ilcG6T1Zpidg_6_0"/>
      <w:bookmarkStart w:id="765" w:name="Tc_FRYe4CRpSkCVMwnyHmv-Sg_5_0"/>
      <w:bookmarkStart w:id="766" w:name="Tc_njVcFtsYvUO_N22n6DgQww_4_2"/>
      <w:bookmarkStart w:id="767" w:name="Tc_Do-Pg79IZUevrEzLZSepFQ_3_5"/>
      <w:bookmarkStart w:id="768" w:name="Tc_ChLGLcYMlkKDknb3I8Ro-g_3_2"/>
      <w:bookmarkStart w:id="769" w:name="Tc_YsZNj1rPRkiiKdJRAjiIyw_2_5"/>
      <w:bookmarkStart w:id="770" w:name="Tc_6s5JGnDfJE-hAGOgKNffiA_2_2"/>
      <w:bookmarkStart w:id="771" w:name="Tc_RO_Wply6UkCRidPx-4GWFw_1_2"/>
      <w:bookmarkStart w:id="772" w:name="bm_11_Additional_cash_flow_information"/>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11. Additional cash flow information</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Non-cash investing and financing activities and supplemental cash flow information were as follows:</w:t>
      </w:r>
    </w:p>
    <w:p>
      <w:pPr>
        <w:pStyle w:val="TextBody"/>
        <w:bidi w:val="0"/>
        <w:spacing w:before="0" w:after="0"/>
        <w:ind w:left="0" w:right="0" w:hanging="0"/>
        <w:jc w:val="left"/>
        <w:rPr/>
      </w:pPr>
      <w:r>
        <w:rPr/>
        <w:t>​</w:t>
      </w:r>
    </w:p>
    <w:tbl>
      <w:tblPr>
        <w:tblW w:w="6878" w:type="dxa"/>
        <w:jc w:val="left"/>
        <w:tblInd w:w="0" w:type="dxa"/>
        <w:tblLayout w:type="fixed"/>
        <w:tblCellMar>
          <w:top w:w="0" w:type="dxa"/>
          <w:left w:w="0" w:type="dxa"/>
          <w:bottom w:w="0" w:type="dxa"/>
          <w:right w:w="0" w:type="dxa"/>
        </w:tblCellMar>
      </w:tblPr>
      <w:tblGrid>
        <w:gridCol w:w="3571"/>
        <w:gridCol w:w="326"/>
        <w:gridCol w:w="309"/>
        <w:gridCol w:w="996"/>
        <w:gridCol w:w="326"/>
        <w:gridCol w:w="286"/>
        <w:gridCol w:w="1064"/>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67585" cy="175260"/>
                      <wp:effectExtent l="0" t="0" r="0" b="0"/>
                      <wp:wrapNone/>
                      <wp:docPr id="154" name="Frame154"/>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96215" cy="175260"/>
                      <wp:effectExtent l="0" t="0" r="0" b="0"/>
                      <wp:wrapNone/>
                      <wp:docPr id="156" name="Frame156"/>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32460" cy="175260"/>
                      <wp:effectExtent l="0" t="0" r="0" b="0"/>
                      <wp:wrapNone/>
                      <wp:docPr id="157" name="Frame157"/>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1610" cy="175260"/>
                      <wp:effectExtent l="0" t="0" r="0" b="0"/>
                      <wp:wrapNone/>
                      <wp:docPr id="159" name="Frame15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75640" cy="175260"/>
                      <wp:effectExtent l="0" t="0" r="0" b="0"/>
                      <wp:wrapNone/>
                      <wp:docPr id="160" name="Frame160"/>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687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incurred but not paid</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12,465</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15,514</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Financing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9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Unsettled share repurchases</w:t>
            </w:r>
          </w:p>
        </w:tc>
        <w:tc>
          <w:tcPr>
            <w:tcW w:w="326" w:type="dxa"/>
            <w:tcBorders/>
            <w:vAlign w:val="center"/>
          </w:tcPr>
          <w:p>
            <w:pPr>
              <w:pStyle w:val="TableContents"/>
              <w:bidi w:val="0"/>
              <w:spacing w:before="0" w:after="0"/>
              <w:ind w:left="0" w:right="0" w:hanging="0"/>
              <w:jc w:val="center"/>
              <w:rPr/>
            </w:pPr>
            <w:r>
              <w:rPr/>
              <w:t>​</w:t>
            </w:r>
          </w:p>
        </w:tc>
        <w:tc>
          <w:tcPr>
            <w:tcW w:w="309" w:type="dxa"/>
            <w:tcBorders/>
            <w:vAlign w:val="center"/>
          </w:tcPr>
          <w:p>
            <w:pPr>
              <w:pStyle w:val="TableContents"/>
              <w:bidi w:val="0"/>
              <w:spacing w:before="0" w:after="0"/>
              <w:ind w:left="0" w:right="0" w:hanging="0"/>
              <w:jc w:val="left"/>
              <w:rPr/>
            </w:pPr>
            <w:r>
              <w:rPr/>
              <w:t>​</w:t>
            </w:r>
          </w:p>
        </w:tc>
        <w:tc>
          <w:tcPr>
            <w:tcW w:w="9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26" w:type="dxa"/>
            <w:tcBorders/>
            <w:shd w:fill="CCEEFF" w:val="clear"/>
            <w:vAlign w:val="center"/>
          </w:tcPr>
          <w:p>
            <w:pPr>
              <w:pStyle w:val="TableContents"/>
              <w:bidi w:val="0"/>
              <w:spacing w:before="0" w:after="0"/>
              <w:ind w:left="0" w:right="0" w:hanging="0"/>
              <w:jc w:val="center"/>
              <w:rPr/>
            </w:pPr>
            <w:r>
              <w:rPr/>
              <w:t>​</w:t>
            </w:r>
          </w:p>
        </w:tc>
        <w:tc>
          <w:tcPr>
            <w:tcW w:w="309" w:type="dxa"/>
            <w:tcBorders/>
            <w:shd w:fill="CCEEFF" w:val="clear"/>
            <w:vAlign w:val="center"/>
          </w:tcPr>
          <w:p>
            <w:pPr>
              <w:pStyle w:val="TableContents"/>
              <w:bidi w:val="0"/>
              <w:spacing w:before="0" w:after="0"/>
              <w:ind w:left="0" w:right="0" w:hanging="0"/>
              <w:jc w:val="center"/>
              <w:rPr/>
            </w:pPr>
            <w:r>
              <w:rPr/>
              <w:t>​</w:t>
            </w:r>
          </w:p>
        </w:tc>
        <w:tc>
          <w:tcPr>
            <w:tcW w:w="9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1064" w:type="dxa"/>
            <w:tcBorders/>
            <w:shd w:fill="CCEEFF" w:val="clear"/>
            <w:vAlign w:val="center"/>
          </w:tcPr>
          <w:p>
            <w:pPr>
              <w:pStyle w:val="TableContents"/>
              <w:bidi w:val="0"/>
              <w:spacing w:before="0" w:after="0"/>
              <w:ind w:left="0" w:right="0" w:hanging="0"/>
              <w:jc w:val="center"/>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60,201</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71,856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payments, net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47,034</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75,716</w:t>
            </w:r>
          </w:p>
        </w:tc>
      </w:tr>
    </w:tbl>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Included in cash and cash equivalents as of September 27, 2025, and June 28, 2025, was $3.3 million and $3.5 million, respectively, of cash equivalents. Fair value of cash equivalents are measured using Level 1 criteria in the fair value hierarchy and are primarily comprised of investment grade money market funds and overnight time deposits.</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00"/>
        <w:ind w:left="0" w:right="0" w:hanging="0"/>
        <w:jc w:val="both"/>
        <w:rPr>
          <w:rFonts w:ascii="Times New Roman;Times;serif" w:hAnsi="Times New Roman;Times;serif"/>
          <w:b/>
          <w:sz w:val="20"/>
        </w:rPr>
      </w:pPr>
      <w:bookmarkStart w:id="773" w:name="bm_12_Segment_information"/>
      <w:bookmarkEnd w:id="773"/>
      <w:r>
        <w:rPr>
          <w:rFonts w:ascii="Times New Roman;Times;serif" w:hAnsi="Times New Roman;Times;serif"/>
          <w:b/>
          <w:sz w:val="20"/>
        </w:rPr>
        <w:t>12. Segment information</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Avnet has two primary operating groups — Electronic Components (“EC”) and Farnell (“Farnell”). Both operating groups have operations in each of the three major economic regions of the world: (i) the Americas, (ii) EMEA, and (iii) Asia. Each operating group has its own management team, who manage various functions within each operating group. Each operating group also has distinct financial reporting to the executive level, which informs operating decisions, strategic planning, and resource allocation for the Company as a whole.</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Avnet’s EC operating group primarily supports high and medium-volume customers. It markets, sells, and distributes electronic components from many of the world’s leading electronic component manufacturers, including semiconductors, IP&amp;E components (interconnect, passive and electromechanical components), and other integrated and embedded components. EC serves a variety of markets ranging from industrial to automotive to defense and aerospace. It offers an array of customer support options throughout the entire product lifecycle, including both turnkey and customized design, supply chain, programming, and logistics services.</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also distributes new product introductions for its suppliers across their various product categories.</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The Company has identified its Chief Executive Officer (“CEO”) as the chief operating decision maker (“CODM”). The CODM evaluates the performance of both reportable segments based on operating income. Sales, cost of goods sold, and operating expenses are also monitored closely. This information is used to monitor operating margins, measure segment profitability, allocate resources, and make budgeting and forecasting decisions about the reportable segments. The CODM also uses these measures to monitor trends in year over year performance comparisons, sequential quarter performance comparisons, and to compare actual results to forecasts.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Normal"/>
        <w:bidi w:val="0"/>
        <w:spacing w:before="0" w:after="0"/>
        <w:jc w:val="left"/>
        <w:rPr>
          <w:sz w:val="4"/>
          <w:szCs w:val="4"/>
        </w:rPr>
      </w:pPr>
      <w:r>
        <w:rPr>
          <w:sz w:val="4"/>
          <w:szCs w:val="4"/>
        </w:rPr>
      </w:r>
      <w:bookmarkStart w:id="774" w:name="Tc_ZS0Z6aaEU0iORQBahz3qdg_43_5"/>
      <w:bookmarkStart w:id="775" w:name="Tc_JSlaQ4EAakaA_1KYF9lavg_43_2"/>
      <w:bookmarkStart w:id="776" w:name="Tc_-p41cSW5Q0CYXo3DfGgbow_43_0"/>
      <w:bookmarkStart w:id="777" w:name="Tc_N2ktskelmkWb2CYtf-m55A_42_0"/>
      <w:bookmarkStart w:id="778" w:name="Tc_sVyYY_01eEmb3jtEFvpACA_41_0"/>
      <w:bookmarkStart w:id="779" w:name="Tc_cAvkG04t-0yl76GTguRvQQ_40_5"/>
      <w:bookmarkStart w:id="780" w:name="Tc_t5qflTsyc0yeDV8NY2n96g_40_2"/>
      <w:bookmarkStart w:id="781" w:name="Tc_WJUS8kSxgE2gFakw_Wb-SQ_40_0"/>
      <w:bookmarkStart w:id="782" w:name="Tc_Ye_OV9lKhUmIEptqF6Tp_w_39_0"/>
      <w:bookmarkStart w:id="783" w:name="Tc_vujo4kk5GEmXrYloGZBosg_38_5"/>
      <w:bookmarkStart w:id="784" w:name="Tc_lfNmNX5Stk6cSyFrF1CN5A_38_2"/>
      <w:bookmarkStart w:id="785" w:name="Tc_c65Mm_2V8ECbSJAJ5FB8Qg_37_0"/>
      <w:bookmarkStart w:id="786" w:name="Tc_-NEeTjb6O0OuSI_koFVHJA_36_0"/>
      <w:bookmarkStart w:id="787" w:name="Tc_zv6-0cmINk6gNWjmnNifTg_35_5"/>
      <w:bookmarkStart w:id="788" w:name="Tc_EicQZZwbo0i8iEhCLtBgkw_35_2"/>
      <w:bookmarkStart w:id="789" w:name="Tc_3LVBBrD1ik-91iRB4ZIWSw_35_0"/>
      <w:bookmarkStart w:id="790" w:name="Tc_jp2d-tSk10-wdtYGpS-Y1A_34_0"/>
      <w:bookmarkStart w:id="791" w:name="Tc_fsI6zb0OVUS0Bo8hzKpqNQ_33_5"/>
      <w:bookmarkStart w:id="792" w:name="Tc_YMPH9AqEokq_HFVshtRhew_33_2"/>
      <w:bookmarkStart w:id="793" w:name="Tc_3-1fsvh5Dk6lE-hxlRtfBQ_32_0"/>
      <w:bookmarkStart w:id="794" w:name="Tc_KtvYtSuZuUW3CoZBWG6iMw_31_0"/>
      <w:bookmarkStart w:id="795" w:name="Tc_G--jppW4A0GVBq25kDS8UA_30_5"/>
      <w:bookmarkStart w:id="796" w:name="Tc_w62ZRdaHYkCOVaQr5JBvSw_30_2"/>
      <w:bookmarkStart w:id="797" w:name="Tc_TkAWUdd-kUSxb2JaRTRUWw_30_0"/>
      <w:bookmarkStart w:id="798" w:name="Tc_z_hlWkIowk-ApkIbo5L7hQ_29_0"/>
      <w:bookmarkStart w:id="799" w:name="Tc_Abr3JI0CNUevDikkFoyx0w_27_5"/>
      <w:bookmarkStart w:id="800" w:name="Tc_oEFHCPbgjkyfyS-DswE28Q_27_2"/>
      <w:bookmarkStart w:id="801" w:name="Tc_a5S_du9DMUeO-7IRYyEDcA_27_0"/>
      <w:bookmarkStart w:id="802" w:name="Tc_hy0OGQJ5CEquSZwA9mFM7w_26_0"/>
      <w:bookmarkStart w:id="803" w:name="Tc_DkImCV91u0qYWaE_VgbvDw_25_0"/>
      <w:bookmarkStart w:id="804" w:name="Tc_7r-76vp1FkqFKrVm1ipa2w_24_5"/>
      <w:bookmarkStart w:id="805" w:name="Tc_Lb1koaama0ixam172575kQ_24_2"/>
      <w:bookmarkStart w:id="806" w:name="Tc_8C8h7dOpBEet1SQGxhhAFQ_24_0"/>
      <w:bookmarkStart w:id="807" w:name="Tc_ZLJhlVdl_UC8njxVxil2pA_23_0"/>
      <w:bookmarkStart w:id="808" w:name="Tc_9NZ0HCkofUqlVdXcJEU5JA_21_5"/>
      <w:bookmarkStart w:id="809" w:name="Tc_wL6Hb-LyckK9JH7LdSK4kQ_21_2"/>
      <w:bookmarkStart w:id="810" w:name="Tc_xDCWB_Jff0K1poQk3x_BhA_21_0"/>
      <w:bookmarkStart w:id="811" w:name="Tc_1r3zLJb_a0yvglcytQJ8tQ_19_5"/>
      <w:bookmarkStart w:id="812" w:name="Tc_TLKxmDAGCE6QxKOJ1YPsDA_19_2"/>
      <w:bookmarkStart w:id="813" w:name="Tc_s-UBoVzjWESHxz9OSVaAjg_19_0"/>
      <w:bookmarkStart w:id="814" w:name="Tc_Wb4gq5dMpkOct2A4JUR3Mw_18_0"/>
      <w:bookmarkStart w:id="815" w:name="Tc_6gfjTVAaYEC1vmCC5q93XQ_17_5"/>
      <w:bookmarkStart w:id="816" w:name="Tc_VGcBc4bUgUKxiP_9URsRhw_17_2"/>
      <w:bookmarkStart w:id="817" w:name="Tc_iegCDczQNUGw5vYWmdjm-A_17_0"/>
      <w:bookmarkStart w:id="818" w:name="Tc_UqSHHkVr7kONpa6Q8t1Mag_16_0"/>
      <w:bookmarkStart w:id="819" w:name="Tc_19qJaToEBk-KhlrwuMMjew_14_5"/>
      <w:bookmarkStart w:id="820" w:name="Tc_cl247-yo0Ue2VnjmJyJA8w_14_2"/>
      <w:bookmarkStart w:id="821" w:name="Tc_kGblb4_pgUyQMNFrsxdQ8A_14_0"/>
      <w:bookmarkStart w:id="822" w:name="Tc_io4DZCM4GU-6fM7GW8CxuQ_13_0"/>
      <w:bookmarkStart w:id="823" w:name="Tc_pFsKQlIcIU2YYHwKLy09pg_12_5"/>
      <w:bookmarkStart w:id="824" w:name="Tc_MwpC6B9Z-0ud6YE8A8ANsQ_12_2"/>
      <w:bookmarkStart w:id="825" w:name="Tc_RhjlG5HNykSa1pp31lMaAw_12_0"/>
      <w:bookmarkStart w:id="826" w:name="Tc_CLPmdcc8ik6f9r-E4YTnvw_11_0"/>
      <w:bookmarkStart w:id="827" w:name="Tc_Y2llpiKafUqvi3KydJBp3g_10_0"/>
      <w:bookmarkStart w:id="828" w:name="Tc_RTj-qH7cbkGYioA8kZFPtA_8_5"/>
      <w:bookmarkStart w:id="829" w:name="Tc_NBICm-cwrUqkgF-d9ONosg_8_2"/>
      <w:bookmarkStart w:id="830" w:name="Tc_Vr8pkrc7T0K0XgUQm2aoHw_8_0"/>
      <w:bookmarkStart w:id="831" w:name="Tc_ZJrGZdwEDk2M5Nct6L6s4A_7_0"/>
      <w:bookmarkStart w:id="832" w:name="Tc_cym8EObeFUeVBMaWGlFzvA_6_5"/>
      <w:bookmarkStart w:id="833" w:name="Tc_tSfjzWgnqU-kMi_33MyNJA_6_2"/>
      <w:bookmarkStart w:id="834" w:name="Tc_QLYVj1mHsk2D3MLBf-iWPQ_6_0"/>
      <w:bookmarkStart w:id="835" w:name="Tc_yPxlEMJGkUKRqM_6qUihvw_5_0"/>
      <w:bookmarkStart w:id="836" w:name="Tc_95W_MEHQV0-2PQ-5wf4O3Q_4_2"/>
      <w:bookmarkStart w:id="837" w:name="Tc_VjtwDFGpRUGX4mJ3nZ2HXg_3_5"/>
      <w:bookmarkStart w:id="838" w:name="Tc_ngtVi4vnI0yZHFu7eTGw9Q_3_2"/>
      <w:bookmarkStart w:id="839" w:name="Tc_puW923VMS0i6d4r2D_8z6g_2_5"/>
      <w:bookmarkStart w:id="840" w:name="Tc_ohj_ch0_-UmBi2KuAcTpFg_2_2"/>
      <w:bookmarkStart w:id="841" w:name="Tc_IbGccA2h1kiECFOScbxtHQ_1_2"/>
      <w:bookmarkStart w:id="842" w:name="Tc_ZS0Z6aaEU0iORQBahz3qdg_43_5"/>
      <w:bookmarkStart w:id="843" w:name="Tc_JSlaQ4EAakaA_1KYF9lavg_43_2"/>
      <w:bookmarkStart w:id="844" w:name="Tc_-p41cSW5Q0CYXo3DfGgbow_43_0"/>
      <w:bookmarkStart w:id="845" w:name="Tc_N2ktskelmkWb2CYtf-m55A_42_0"/>
      <w:bookmarkStart w:id="846" w:name="Tc_sVyYY_01eEmb3jtEFvpACA_41_0"/>
      <w:bookmarkStart w:id="847" w:name="Tc_cAvkG04t-0yl76GTguRvQQ_40_5"/>
      <w:bookmarkStart w:id="848" w:name="Tc_t5qflTsyc0yeDV8NY2n96g_40_2"/>
      <w:bookmarkStart w:id="849" w:name="Tc_WJUS8kSxgE2gFakw_Wb-SQ_40_0"/>
      <w:bookmarkStart w:id="850" w:name="Tc_Ye_OV9lKhUmIEptqF6Tp_w_39_0"/>
      <w:bookmarkStart w:id="851" w:name="Tc_vujo4kk5GEmXrYloGZBosg_38_5"/>
      <w:bookmarkStart w:id="852" w:name="Tc_lfNmNX5Stk6cSyFrF1CN5A_38_2"/>
      <w:bookmarkStart w:id="853" w:name="Tc_c65Mm_2V8ECbSJAJ5FB8Qg_37_0"/>
      <w:bookmarkStart w:id="854" w:name="Tc_-NEeTjb6O0OuSI_koFVHJA_36_0"/>
      <w:bookmarkStart w:id="855" w:name="Tc_zv6-0cmINk6gNWjmnNifTg_35_5"/>
      <w:bookmarkStart w:id="856" w:name="Tc_EicQZZwbo0i8iEhCLtBgkw_35_2"/>
      <w:bookmarkStart w:id="857" w:name="Tc_3LVBBrD1ik-91iRB4ZIWSw_35_0"/>
      <w:bookmarkStart w:id="858" w:name="Tc_jp2d-tSk10-wdtYGpS-Y1A_34_0"/>
      <w:bookmarkStart w:id="859" w:name="Tc_fsI6zb0OVUS0Bo8hzKpqNQ_33_5"/>
      <w:bookmarkStart w:id="860" w:name="Tc_YMPH9AqEokq_HFVshtRhew_33_2"/>
      <w:bookmarkStart w:id="861" w:name="Tc_3-1fsvh5Dk6lE-hxlRtfBQ_32_0"/>
      <w:bookmarkStart w:id="862" w:name="Tc_KtvYtSuZuUW3CoZBWG6iMw_31_0"/>
      <w:bookmarkStart w:id="863" w:name="Tc_G--jppW4A0GVBq25kDS8UA_30_5"/>
      <w:bookmarkStart w:id="864" w:name="Tc_w62ZRdaHYkCOVaQr5JBvSw_30_2"/>
      <w:bookmarkStart w:id="865" w:name="Tc_TkAWUdd-kUSxb2JaRTRUWw_30_0"/>
      <w:bookmarkStart w:id="866" w:name="Tc_z_hlWkIowk-ApkIbo5L7hQ_29_0"/>
      <w:bookmarkStart w:id="867" w:name="Tc_Abr3JI0CNUevDikkFoyx0w_27_5"/>
      <w:bookmarkStart w:id="868" w:name="Tc_oEFHCPbgjkyfyS-DswE28Q_27_2"/>
      <w:bookmarkStart w:id="869" w:name="Tc_a5S_du9DMUeO-7IRYyEDcA_27_0"/>
      <w:bookmarkStart w:id="870" w:name="Tc_hy0OGQJ5CEquSZwA9mFM7w_26_0"/>
      <w:bookmarkStart w:id="871" w:name="Tc_DkImCV91u0qYWaE_VgbvDw_25_0"/>
      <w:bookmarkStart w:id="872" w:name="Tc_7r-76vp1FkqFKrVm1ipa2w_24_5"/>
      <w:bookmarkStart w:id="873" w:name="Tc_Lb1koaama0ixam172575kQ_24_2"/>
      <w:bookmarkStart w:id="874" w:name="Tc_8C8h7dOpBEet1SQGxhhAFQ_24_0"/>
      <w:bookmarkStart w:id="875" w:name="Tc_ZLJhlVdl_UC8njxVxil2pA_23_0"/>
      <w:bookmarkStart w:id="876" w:name="Tc_9NZ0HCkofUqlVdXcJEU5JA_21_5"/>
      <w:bookmarkStart w:id="877" w:name="Tc_wL6Hb-LyckK9JH7LdSK4kQ_21_2"/>
      <w:bookmarkStart w:id="878" w:name="Tc_xDCWB_Jff0K1poQk3x_BhA_21_0"/>
      <w:bookmarkStart w:id="879" w:name="Tc_1r3zLJb_a0yvglcytQJ8tQ_19_5"/>
      <w:bookmarkStart w:id="880" w:name="Tc_TLKxmDAGCE6QxKOJ1YPsDA_19_2"/>
      <w:bookmarkStart w:id="881" w:name="Tc_s-UBoVzjWESHxz9OSVaAjg_19_0"/>
      <w:bookmarkStart w:id="882" w:name="Tc_Wb4gq5dMpkOct2A4JUR3Mw_18_0"/>
      <w:bookmarkStart w:id="883" w:name="Tc_6gfjTVAaYEC1vmCC5q93XQ_17_5"/>
      <w:bookmarkStart w:id="884" w:name="Tc_VGcBc4bUgUKxiP_9URsRhw_17_2"/>
      <w:bookmarkStart w:id="885" w:name="Tc_iegCDczQNUGw5vYWmdjm-A_17_0"/>
      <w:bookmarkStart w:id="886" w:name="Tc_UqSHHkVr7kONpa6Q8t1Mag_16_0"/>
      <w:bookmarkStart w:id="887" w:name="Tc_19qJaToEBk-KhlrwuMMjew_14_5"/>
      <w:bookmarkStart w:id="888" w:name="Tc_cl247-yo0Ue2VnjmJyJA8w_14_2"/>
      <w:bookmarkStart w:id="889" w:name="Tc_kGblb4_pgUyQMNFrsxdQ8A_14_0"/>
      <w:bookmarkStart w:id="890" w:name="Tc_io4DZCM4GU-6fM7GW8CxuQ_13_0"/>
      <w:bookmarkStart w:id="891" w:name="Tc_pFsKQlIcIU2YYHwKLy09pg_12_5"/>
      <w:bookmarkStart w:id="892" w:name="Tc_MwpC6B9Z-0ud6YE8A8ANsQ_12_2"/>
      <w:bookmarkStart w:id="893" w:name="Tc_RhjlG5HNykSa1pp31lMaAw_12_0"/>
      <w:bookmarkStart w:id="894" w:name="Tc_CLPmdcc8ik6f9r-E4YTnvw_11_0"/>
      <w:bookmarkStart w:id="895" w:name="Tc_Y2llpiKafUqvi3KydJBp3g_10_0"/>
      <w:bookmarkStart w:id="896" w:name="Tc_RTj-qH7cbkGYioA8kZFPtA_8_5"/>
      <w:bookmarkStart w:id="897" w:name="Tc_NBICm-cwrUqkgF-d9ONosg_8_2"/>
      <w:bookmarkStart w:id="898" w:name="Tc_Vr8pkrc7T0K0XgUQm2aoHw_8_0"/>
      <w:bookmarkStart w:id="899" w:name="Tc_ZJrGZdwEDk2M5Nct6L6s4A_7_0"/>
      <w:bookmarkStart w:id="900" w:name="Tc_cym8EObeFUeVBMaWGlFzvA_6_5"/>
      <w:bookmarkStart w:id="901" w:name="Tc_tSfjzWgnqU-kMi_33MyNJA_6_2"/>
      <w:bookmarkStart w:id="902" w:name="Tc_QLYVj1mHsk2D3MLBf-iWPQ_6_0"/>
      <w:bookmarkStart w:id="903" w:name="Tc_yPxlEMJGkUKRqM_6qUihvw_5_0"/>
      <w:bookmarkStart w:id="904" w:name="Tc_95W_MEHQV0-2PQ-5wf4O3Q_4_2"/>
      <w:bookmarkStart w:id="905" w:name="Tc_VjtwDFGpRUGX4mJ3nZ2HXg_3_5"/>
      <w:bookmarkStart w:id="906" w:name="Tc_ngtVi4vnI0yZHFu7eTGw9Q_3_2"/>
      <w:bookmarkStart w:id="907" w:name="Tc_puW923VMS0i6d4r2D_8z6g_2_5"/>
      <w:bookmarkStart w:id="908" w:name="Tc_ohj_ch0_-UmBi2KuAcTpFg_2_2"/>
      <w:bookmarkStart w:id="909" w:name="Tc_IbGccA2h1kiECFOScbxtHQ_1_2"/>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p>
    <w:tbl>
      <w:tblPr>
        <w:tblW w:w="7793" w:type="dxa"/>
        <w:jc w:val="left"/>
        <w:tblInd w:w="0" w:type="dxa"/>
        <w:tblLayout w:type="fixed"/>
        <w:tblCellMar>
          <w:top w:w="0" w:type="dxa"/>
          <w:left w:w="0" w:type="dxa"/>
          <w:bottom w:w="0" w:type="dxa"/>
          <w:right w:w="0" w:type="dxa"/>
        </w:tblCellMar>
      </w:tblPr>
      <w:tblGrid>
        <w:gridCol w:w="4486"/>
        <w:gridCol w:w="326"/>
        <w:gridCol w:w="240"/>
        <w:gridCol w:w="1065"/>
        <w:gridCol w:w="326"/>
        <w:gridCol w:w="227"/>
        <w:gridCol w:w="1123"/>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848610" cy="175260"/>
                      <wp:effectExtent l="0" t="0" r="0" b="0"/>
                      <wp:wrapNone/>
                      <wp:docPr id="161" name="Frame161"/>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2400" cy="175260"/>
                      <wp:effectExtent l="0" t="0" r="0" b="0"/>
                      <wp:wrapNone/>
                      <wp:docPr id="163" name="Frame16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76275" cy="175260"/>
                      <wp:effectExtent l="0" t="0" r="0" b="0"/>
                      <wp:wrapNone/>
                      <wp:docPr id="164" name="Frame164"/>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4145" cy="175260"/>
                      <wp:effectExtent l="0" t="0" r="0" b="0"/>
                      <wp:wrapNone/>
                      <wp:docPr id="166" name="Frame16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13105" cy="175260"/>
                      <wp:effectExtent l="0" t="0" r="0" b="0"/>
                      <wp:wrapNone/>
                      <wp:docPr id="167" name="Frame167"/>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79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left"/>
              <w:rPr/>
            </w:pPr>
            <w:r>
              <w:rPr/>
              <w:t>    </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5,499,690</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5,257,058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398,882</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347,094</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Sales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5,898,572</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5,604,152</w:t>
            </w:r>
          </w:p>
        </w:tc>
      </w:tr>
      <w:tr>
        <w:trPr/>
        <w:tc>
          <w:tcPr>
            <w:tcW w:w="44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 Segment Expenses and Operating Income:</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4,992,639</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4,740,029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348,037</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319,660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159,014</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197,369</w:t>
            </w:r>
          </w:p>
        </w:tc>
      </w:tr>
      <w:tr>
        <w:trPr/>
        <w:tc>
          <w:tcPr>
            <w:tcW w:w="44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291,168</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256,757</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90,617</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88,478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17,097</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reportable segment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176,111</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199,228</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(25,424)</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(30,284)</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(8,291)</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 </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(26,351)</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and other</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142,032</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142,225</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20,730</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4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24,589</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31,776</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&amp; amortization expense:</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11,873</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13,842</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4,954</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right"/>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6,031</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3"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by geographic area:</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123" w:type="dxa"/>
            <w:tcBorders/>
            <w:shd w:fill="CCEEFF" w:val="clear"/>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1,369,920</w:t>
            </w:r>
          </w:p>
        </w:tc>
        <w:tc>
          <w:tcPr>
            <w:tcW w:w="32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1,329,884</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 </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1,665,879</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right"/>
              <w:rPr/>
            </w:pPr>
            <w:r>
              <w:rPr/>
              <w:t> </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1,668,169</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06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2,862,773</w:t>
            </w:r>
          </w:p>
        </w:tc>
        <w:tc>
          <w:tcPr>
            <w:tcW w:w="326" w:type="dxa"/>
            <w:tcBorders/>
            <w:vAlign w:val="center"/>
          </w:tcPr>
          <w:p>
            <w:pPr>
              <w:pStyle w:val="TableContents"/>
              <w:bidi w:val="0"/>
              <w:spacing w:before="0" w:after="0"/>
              <w:ind w:left="0" w:right="0" w:hanging="0"/>
              <w:jc w:val="left"/>
              <w:rPr/>
            </w:pPr>
            <w:r>
              <w:rPr/>
              <w:t>​</w:t>
            </w:r>
          </w:p>
        </w:tc>
        <w:tc>
          <w:tcPr>
            <w:tcW w:w="227" w:type="dxa"/>
            <w:tcBorders>
              <w:bottom w:val="single" w:sz="12" w:space="0" w:color="000000"/>
            </w:tcBorders>
            <w:tcMar>
              <w:bottom w:w="28" w:type="dxa"/>
            </w:tcMar>
            <w:vAlign w:val="center"/>
          </w:tcPr>
          <w:p>
            <w:pPr>
              <w:pStyle w:val="TableContents"/>
              <w:bidi w:val="0"/>
              <w:spacing w:before="0" w:after="0"/>
              <w:ind w:left="0" w:right="0" w:hanging="0"/>
              <w:jc w:val="left"/>
              <w:rPr/>
            </w:pPr>
            <w:r>
              <w:rPr/>
              <w:t> </w:t>
            </w:r>
          </w:p>
        </w:tc>
        <w:tc>
          <w:tcPr>
            <w:tcW w:w="1123"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2,606,099</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Sales</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5,898,572</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5,604,152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200"/>
        <w:ind w:left="0" w:right="0" w:firstLine="475"/>
        <w:jc w:val="left"/>
        <w:rPr>
          <w:rFonts w:ascii="Times New Roman;Times;serif" w:hAnsi="Times New Roman;Times;serif"/>
          <w:sz w:val="20"/>
        </w:rPr>
      </w:pPr>
      <w:bookmarkStart w:id="910" w:name="Tc_UzC_G9JHEkWgxXUlRNZyHA_14_5"/>
      <w:bookmarkStart w:id="911" w:name="Tc_kGljVQi0_USeBp0pfB7Kdg_14_2"/>
      <w:bookmarkStart w:id="912" w:name="Tc_TPNKdwPIxEGQ_fYQWMcw6A_14_0"/>
      <w:bookmarkStart w:id="913" w:name="Tc_bWLlmV_sJkCm5xKxjehLZQ_13_0"/>
      <w:bookmarkStart w:id="914" w:name="Tc_3hTXi_D9q0S-HHnn6XFoHw_12_0"/>
      <w:bookmarkStart w:id="915" w:name="Tc_rGIFtRjN-0mlfq-JpMVcAg_11_5"/>
      <w:bookmarkStart w:id="916" w:name="Tc_cNCUD5zQa0aMm9s8et1i7g_11_2"/>
      <w:bookmarkStart w:id="917" w:name="Tc_KJ5HBg0nmUeszOkT15Znqw_11_0"/>
      <w:bookmarkStart w:id="918" w:name="Tc_F0Z_TYemX0y1TCCLjNMy1w_10_0"/>
      <w:bookmarkStart w:id="919" w:name="Tc_NUU9C5HEIEulIR6yPJ600g_8_5"/>
      <w:bookmarkStart w:id="920" w:name="Tc_M1-_IvOE6kCW5Jm8Rlg7Pw_8_2"/>
      <w:bookmarkStart w:id="921" w:name="Tc___TFe8LOq0usaGCV7VAMIw_7_0"/>
      <w:bookmarkStart w:id="922" w:name="Tc_0b-UU5HgnEiUVJGT-dO6kA_6_0"/>
      <w:bookmarkStart w:id="923" w:name="Tc_oNxU8jqkm0SIdxyvB_RXPg_5_5"/>
      <w:bookmarkStart w:id="924" w:name="Tc_ERSKOcbfzUuFlZmD2JHztg_5_2"/>
      <w:bookmarkStart w:id="925" w:name="Tc_-RJzCfvNZEmSgjYkF3ANBA_5_0"/>
      <w:bookmarkStart w:id="926" w:name="Tc_Wmucr2WDY0SihDYjhDX_xA_4_0"/>
      <w:bookmarkStart w:id="927" w:name="Tc_sGiHk9M1PUa7yJ3M6eELqg_3_2"/>
      <w:bookmarkStart w:id="928" w:name="Tc_qyat0SoT3EGzja7033Q2xg_2_5"/>
      <w:bookmarkStart w:id="929" w:name="Tc_ks6yhh0GsUmi7kfUeWiT_g_2_2"/>
      <w:bookmarkStart w:id="930" w:name="Tc_DRLx5COCA0uzZGzT9wKhoQ_1_5"/>
      <w:bookmarkStart w:id="931" w:name="Tc_vdAAR0UeJE6l1KV77UHrYQ_1_2"/>
      <w:bookmarkStart w:id="932" w:name="_4336503d_3d40_464c_89c0_bdea73ec8b55"/>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sz w:val="20"/>
        </w:rPr>
        <w:t>Assets by segment and property, plant and equipment, net, by geographic area as follows:</w:t>
      </w:r>
    </w:p>
    <w:tbl>
      <w:tblPr>
        <w:tblW w:w="5801" w:type="dxa"/>
        <w:jc w:val="left"/>
        <w:tblInd w:w="0" w:type="dxa"/>
        <w:tblLayout w:type="fixed"/>
        <w:tblCellMar>
          <w:top w:w="0" w:type="dxa"/>
          <w:left w:w="0" w:type="dxa"/>
          <w:bottom w:w="0" w:type="dxa"/>
          <w:right w:w="0" w:type="dxa"/>
        </w:tblCellMar>
      </w:tblPr>
      <w:tblGrid>
        <w:gridCol w:w="2986"/>
        <w:gridCol w:w="109"/>
        <w:gridCol w:w="220"/>
        <w:gridCol w:w="1085"/>
        <w:gridCol w:w="109"/>
        <w:gridCol w:w="211"/>
        <w:gridCol w:w="108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896110" cy="175260"/>
                      <wp:effectExtent l="0" t="0" r="0" b="0"/>
                      <wp:wrapNone/>
                      <wp:docPr id="168" name="Frame16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9700" cy="175260"/>
                      <wp:effectExtent l="0" t="0" r="0" b="0"/>
                      <wp:wrapNone/>
                      <wp:docPr id="170" name="Frame17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88975" cy="175260"/>
                      <wp:effectExtent l="0" t="0" r="0" b="0"/>
                      <wp:wrapNone/>
                      <wp:docPr id="171" name="Frame171"/>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86435" cy="175260"/>
                      <wp:effectExtent l="0" t="0" r="0" b="0"/>
                      <wp:wrapNone/>
                      <wp:docPr id="174" name="Frame17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color w:val="575757"/>
              </w:rPr>
            </w:pPr>
            <w:r>
              <w:rPr>
                <w:color w:val="575757"/>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109" w:type="dxa"/>
            <w:tcBorders/>
            <w:vAlign w:val="center"/>
          </w:tcPr>
          <w:p>
            <w:pPr>
              <w:pStyle w:val="TableContents"/>
              <w:bidi w:val="0"/>
              <w:spacing w:before="0" w:after="0"/>
              <w:ind w:left="0" w:right="0" w:hanging="0"/>
              <w:jc w:val="left"/>
              <w:rPr/>
            </w:pPr>
            <w:r>
              <w:rPr/>
              <w:t>​</w:t>
            </w:r>
          </w:p>
        </w:tc>
        <w:tc>
          <w:tcPr>
            <w:tcW w:w="12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2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80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70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righ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10,318,401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9,984,932</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righ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1,742,437</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346,929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391,184</w:t>
            </w:r>
          </w:p>
        </w:tc>
      </w:tr>
      <w:tr>
        <w:trPr/>
        <w:tc>
          <w:tcPr>
            <w:tcW w:w="29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12,414,357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12,118,553</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right"/>
              <w:rPr/>
            </w:pPr>
            <w:r>
              <w:rPr/>
              <w:t>​</w:t>
            </w:r>
          </w:p>
        </w:tc>
        <w:tc>
          <w:tcPr>
            <w:tcW w:w="108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157,172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154,927</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righ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489,664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109" w:type="dxa"/>
            <w:tcBorders/>
            <w:vAlign w:val="center"/>
          </w:tcPr>
          <w:p>
            <w:pPr>
              <w:pStyle w:val="TableContents"/>
              <w:bidi w:val="0"/>
              <w:spacing w:before="0" w:after="0"/>
              <w:ind w:left="0" w:right="0" w:hanging="0"/>
              <w:jc w:val="left"/>
              <w:rPr/>
            </w:pPr>
            <w:r>
              <w:rPr/>
              <w:t>​</w:t>
            </w:r>
          </w:p>
        </w:tc>
        <w:tc>
          <w:tcPr>
            <w:tcW w:w="220"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22,656</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665,980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667,247</w:t>
            </w:r>
          </w:p>
        </w:tc>
      </w:tr>
    </w:tbl>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bookmarkStart w:id="933" w:name="Tc_cV26yeWGJU6qgRvOEOW_dw_5_8"/>
      <w:bookmarkStart w:id="934" w:name="Tc_db7q7dUl3USK4pM-TGwZgQ_5_5"/>
      <w:bookmarkStart w:id="935" w:name="Tc_ShU1xAbE90yAb3iS0i85ZQ_5_2"/>
      <w:bookmarkStart w:id="936" w:name="Tc_2iDbZ3hSYk28F7GM-ANb3Q_5_0"/>
      <w:bookmarkStart w:id="937" w:name="Tc_9stgbYoPBE25aMKelEnnoA_4_6"/>
      <w:bookmarkStart w:id="938" w:name="Tc_6fvOLXwk7Uibum1vkY8jHQ_4_0"/>
      <w:bookmarkStart w:id="939" w:name="Tc_4Fcv0Sk270uZOasAF6OxnQ_3_8"/>
      <w:bookmarkStart w:id="940" w:name="Tc_jHnmKBO0HU25oc90RY74tQ_3_5"/>
      <w:bookmarkStart w:id="941" w:name="Tc_ANo3l1EEWkaV-ZjI1vEE0w_3_2"/>
      <w:bookmarkStart w:id="942" w:name="Tc_5pL-T0fJsUO29AzYtxDBWQ_2_2"/>
      <w:bookmarkStart w:id="943" w:name="Tc_zbHdgdr83EC_5iSlKvgDTw_1_8"/>
      <w:bookmarkStart w:id="944" w:name="Tc_xLkt7_v4tESkyxMenILMmQ_1_5"/>
      <w:bookmarkStart w:id="945" w:name="Tc_6y7vwx5RDEW7aWgoMmzt4g_1_2"/>
      <w:bookmarkStart w:id="946" w:name="_df995650_56e5_4e47_aa5f_5348cb1edf1f"/>
      <w:bookmarkStart w:id="947" w:name="bm_13_Restructuring_integration_and_othe"/>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b/>
          <w:sz w:val="20"/>
        </w:rPr>
        <w:t>13. Restructuring expenses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Fiscal 2026</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During fiscal 2026, the Company incurred restructuring expenses primarily related to headcount reductions including from the planned closure of certain distribution centers intended to reduce future operating expenses. The following table presents the activity during the first quarter of fiscal 2026 related to the restructuring liabilities established during fiscal 2026:</w:t>
      </w:r>
    </w:p>
    <w:tbl>
      <w:tblPr>
        <w:tblW w:w="6257" w:type="dxa"/>
        <w:jc w:val="left"/>
        <w:tblInd w:w="0" w:type="dxa"/>
        <w:tblLayout w:type="fixed"/>
        <w:tblCellMar>
          <w:top w:w="0" w:type="dxa"/>
          <w:left w:w="0" w:type="dxa"/>
          <w:bottom w:w="0" w:type="dxa"/>
          <w:right w:w="0" w:type="dxa"/>
        </w:tblCellMar>
      </w:tblPr>
      <w:tblGrid>
        <w:gridCol w:w="2926"/>
        <w:gridCol w:w="109"/>
        <w:gridCol w:w="244"/>
        <w:gridCol w:w="732"/>
        <w:gridCol w:w="326"/>
        <w:gridCol w:w="211"/>
        <w:gridCol w:w="436"/>
        <w:gridCol w:w="326"/>
        <w:gridCol w:w="211"/>
        <w:gridCol w:w="73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58010" cy="175260"/>
                      <wp:effectExtent l="0" t="0" r="0" b="0"/>
                      <wp:wrapNone/>
                      <wp:docPr id="175" name="Frame175"/>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4940" cy="175260"/>
                      <wp:effectExtent l="0" t="0" r="0" b="0"/>
                      <wp:wrapNone/>
                      <wp:docPr id="177" name="Frame17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64820" cy="175260"/>
                      <wp:effectExtent l="0" t="0" r="0" b="0"/>
                      <wp:wrapNone/>
                      <wp:docPr id="178" name="Frame178"/>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76860" cy="175260"/>
                      <wp:effectExtent l="0" t="0" r="0" b="0"/>
                      <wp:wrapNone/>
                      <wp:docPr id="181" name="Frame18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67360" cy="175260"/>
                      <wp:effectExtent l="0" t="0" r="0" b="0"/>
                      <wp:wrapNone/>
                      <wp:docPr id="184" name="Frame18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color w:val="A6A6A6"/>
              </w:rPr>
            </w:pPr>
            <w:r>
              <w:rPr>
                <w:color w:val="A6A6A6"/>
              </w:rPr>
              <w:t>​</w:t>
            </w:r>
          </w:p>
        </w:tc>
        <w:tc>
          <w:tcPr>
            <w:tcW w:w="109" w:type="dxa"/>
            <w:tcBorders/>
            <w:vAlign w:val="center"/>
          </w:tcPr>
          <w:p>
            <w:pPr>
              <w:pStyle w:val="TableContents"/>
              <w:bidi w:val="0"/>
              <w:spacing w:before="0" w:after="0"/>
              <w:ind w:left="0" w:right="0" w:hanging="0"/>
              <w:jc w:val="center"/>
              <w:rPr>
                <w:color w:val="A6A6A6"/>
              </w:rPr>
            </w:pPr>
            <w:r>
              <w:rPr>
                <w:color w:val="A6A6A6"/>
              </w:rPr>
              <w:t>​</w:t>
            </w:r>
          </w:p>
        </w:tc>
        <w:tc>
          <w:tcPr>
            <w:tcW w:w="9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w:t>
            </w:r>
          </w:p>
        </w:tc>
        <w:tc>
          <w:tcPr>
            <w:tcW w:w="326" w:type="dxa"/>
            <w:tcBorders/>
            <w:vAlign w:val="center"/>
          </w:tcPr>
          <w:p>
            <w:pPr>
              <w:pStyle w:val="TableContents"/>
              <w:bidi w:val="0"/>
              <w:spacing w:before="0" w:after="0"/>
              <w:ind w:left="0" w:right="0" w:hanging="0"/>
              <w:jc w:val="center"/>
              <w:rPr/>
            </w:pPr>
            <w:r>
              <w:rPr/>
              <w:t>    </w:t>
            </w:r>
          </w:p>
        </w:tc>
        <w:tc>
          <w:tcPr>
            <w:tcW w:w="6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6257"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color w:val="A6A6A6"/>
              </w:rPr>
            </w:pPr>
            <w:r>
              <w:rPr>
                <w:color w:val="A6A6A6"/>
              </w:rPr>
              <w:t>​</w:t>
            </w:r>
          </w:p>
        </w:tc>
        <w:tc>
          <w:tcPr>
            <w:tcW w:w="109" w:type="dxa"/>
            <w:tcBorders/>
            <w:vAlign w:val="center"/>
          </w:tcPr>
          <w:p>
            <w:pPr>
              <w:pStyle w:val="TableContents"/>
              <w:bidi w:val="0"/>
              <w:spacing w:before="0" w:after="0"/>
              <w:ind w:left="0" w:right="0" w:hanging="0"/>
              <w:jc w:val="center"/>
              <w:rPr>
                <w:color w:val="A6A6A6"/>
              </w:rPr>
            </w:pPr>
            <w:r>
              <w:rPr>
                <w:color w:val="A6A6A6"/>
              </w:rPr>
              <w:t>​</w:t>
            </w:r>
          </w:p>
        </w:tc>
        <w:tc>
          <w:tcPr>
            <w:tcW w:w="322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2026 restructuring expenses</w:t>
            </w:r>
          </w:p>
        </w:tc>
        <w:tc>
          <w:tcPr>
            <w:tcW w:w="109"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1,631</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109" w:type="dxa"/>
            <w:tcBorders/>
            <w:vAlign w:val="center"/>
          </w:tcPr>
          <w:p>
            <w:pPr>
              <w:pStyle w:val="TableContents"/>
              <w:bidi w:val="0"/>
              <w:spacing w:before="0" w:after="0"/>
              <w:ind w:left="0" w:right="0" w:hanging="0"/>
              <w:jc w:val="left"/>
              <w:rPr>
                <w:color w:val="A6A6A6"/>
              </w:rPr>
            </w:pPr>
            <w:r>
              <w:rPr>
                <w:color w:val="A6A6A6"/>
              </w:rPr>
              <w:t>​</w:t>
            </w:r>
          </w:p>
        </w:tc>
        <w:tc>
          <w:tcPr>
            <w:tcW w:w="244"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32"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43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27, 2025</w:t>
            </w:r>
          </w:p>
        </w:tc>
        <w:tc>
          <w:tcPr>
            <w:tcW w:w="109" w:type="dxa"/>
            <w:tcBorders/>
            <w:shd w:fill="CCEEFF" w:val="clear"/>
            <w:vAlign w:val="center"/>
          </w:tcPr>
          <w:p>
            <w:pPr>
              <w:pStyle w:val="TableContents"/>
              <w:bidi w:val="0"/>
              <w:spacing w:before="0" w:after="0"/>
              <w:ind w:left="0" w:right="0" w:hanging="0"/>
              <w:jc w:val="left"/>
              <w:rPr>
                <w:color w:val="A6A6A6"/>
              </w:rPr>
            </w:pPr>
            <w:r>
              <w:rPr>
                <w:color w:val="A6A6A6"/>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552</w:t>
            </w:r>
          </w:p>
        </w:tc>
      </w:tr>
    </w:tbl>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Severance expense recorded in the first quarter of fiscal 2026 related to the reduction, or planned reduction, of approximately 50 employees, primarily in operations, distribution centers, and business support functions. The $1.6 million of restructuring expenses recorded in the first quarter of fiscal 2026 was related to EC. The Company expects the majority of the remaining amounts to be paid by the end of fiscal 2026.</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Fiscal 2025</w:t>
      </w:r>
    </w:p>
    <w:p>
      <w:pPr>
        <w:pStyle w:val="TextBody"/>
        <w:bidi w:val="0"/>
        <w:spacing w:before="0" w:after="200"/>
        <w:ind w:left="0" w:right="0" w:firstLine="475"/>
        <w:jc w:val="left"/>
        <w:rPr>
          <w:rFonts w:ascii="Times New Roman;Times;serif" w:hAnsi="Times New Roman;Times;serif"/>
          <w:sz w:val="2"/>
        </w:rPr>
      </w:pPr>
      <w:r>
        <w:rPr>
          <w:rFonts w:ascii="Times New Roman;Times;serif" w:hAnsi="Times New Roman;Times;serif"/>
          <w:sz w:val="20"/>
        </w:rPr>
        <w:t>During fiscal 2025, the Company incurred restructuring expenses primarily related to severance of which $19.4</w:t>
      </w:r>
      <w:r>
        <w:rPr>
          <w:rFonts w:ascii="Times New Roman;Times;serif" w:hAnsi="Times New Roman;Times;serif"/>
          <w:sz w:val="2"/>
        </w:rPr>
        <w:t xml:space="preserve"> </w:t>
      </w:r>
      <w:r>
        <w:rPr>
          <w:rFonts w:ascii="Times New Roman;Times;serif" w:hAnsi="Times New Roman;Times;serif"/>
          <w:sz w:val="20"/>
        </w:rPr>
        <w:t>million remained unpaid at the end of fiscal 2025 and $15.0</w:t>
      </w:r>
      <w:r>
        <w:rPr>
          <w:rFonts w:ascii="Times New Roman;Times;serif" w:hAnsi="Times New Roman;Times;serif"/>
          <w:sz w:val="2"/>
        </w:rPr>
        <w:t xml:space="preserve"> </w:t>
      </w:r>
      <w:r>
        <w:rPr>
          <w:rFonts w:ascii="Times New Roman;Times;serif" w:hAnsi="Times New Roman;Times;serif"/>
          <w:sz w:val="20"/>
        </w:rPr>
        <w:t>million remained unpaid at the end of the first quarter of fiscal 2026. These remaining restructuring liabilities are expected to be paid by the end of fiscal 2026.</w:t>
      </w:r>
      <w:r>
        <w:rPr>
          <w:rFonts w:ascii="Times New Roman;Times;serif" w:hAnsi="Times New Roman;Times;serif"/>
          <w:sz w:val="2"/>
        </w:rPr>
        <w:t xml:space="preserve"> </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0"/>
        <w:ind w:left="0" w:right="0" w:firstLine="450"/>
        <w:jc w:val="left"/>
        <w:rPr>
          <w:rFonts w:ascii="Times New Roman;Times;serif" w:hAnsi="Times New Roman;Times;serif"/>
          <w:sz w:val="20"/>
        </w:rPr>
      </w:pPr>
      <w:bookmarkStart w:id="948" w:name="_530672a6_4ad2_4cf1_a9ca_6e3dd384133e"/>
      <w:bookmarkEnd w:id="948"/>
      <w:r>
        <w:rPr>
          <w:rFonts w:ascii="Times New Roman;Times;serif" w:hAnsi="Times New Roman;Times;serif"/>
          <w:sz w:val="20"/>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28, 2025,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tariffs,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pStyle w:val="TextBody"/>
        <w:bidi w:val="0"/>
        <w:spacing w:before="0" w:after="0"/>
        <w:ind w:left="0" w:right="0" w:firstLine="45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pStyle w:val="TextBody"/>
        <w:bidi w:val="0"/>
        <w:spacing w:before="0" w:after="0"/>
        <w:ind w:left="0" w:right="0" w:firstLine="450"/>
        <w:jc w:val="both"/>
        <w:rPr/>
      </w:pPr>
      <w:r>
        <w:rPr/>
        <w:t>​</w:t>
      </w:r>
    </w:p>
    <w:p>
      <w:pPr>
        <w:pStyle w:val="Normal"/>
        <w:bidi w:val="0"/>
        <w:spacing w:before="0" w:after="0"/>
        <w:jc w:val="left"/>
        <w:rPr>
          <w:sz w:val="4"/>
          <w:szCs w:val="4"/>
        </w:rPr>
      </w:pPr>
      <w:r>
        <w:rPr>
          <w:sz w:val="4"/>
          <w:szCs w:val="4"/>
        </w:rPr>
      </w:r>
      <w:bookmarkStart w:id="949" w:name="Item_2"/>
      <w:bookmarkStart w:id="950" w:name="Item_2_Managements_Discussion_and_Analy"/>
      <w:bookmarkStart w:id="951" w:name="Item_2"/>
      <w:bookmarkStart w:id="952" w:name="Item_2_Managements_Discussion_and_Analy"/>
      <w:bookmarkEnd w:id="951"/>
      <w:bookmarkEnd w:id="952"/>
    </w:p>
    <w:tbl>
      <w:tblPr>
        <w:tblW w:w="8267" w:type="dxa"/>
        <w:jc w:val="left"/>
        <w:tblInd w:w="0" w:type="dxa"/>
        <w:tblLayout w:type="fixed"/>
        <w:tblCellMar>
          <w:top w:w="0" w:type="dxa"/>
          <w:left w:w="0" w:type="dxa"/>
          <w:bottom w:w="0" w:type="dxa"/>
          <w:right w:w="0" w:type="dxa"/>
        </w:tblCellMar>
      </w:tblPr>
      <w:tblGrid>
        <w:gridCol w:w="706"/>
        <w:gridCol w:w="756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2.</w:t>
            </w:r>
          </w:p>
        </w:tc>
        <w:tc>
          <w:tcPr>
            <w:tcW w:w="756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Management’s Discussion and Analysis of Financial Condition and Results of Operations</w:t>
            </w:r>
          </w:p>
        </w:tc>
      </w:tr>
    </w:tbl>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description of the Company’s critical accounting policies and an understanding of Avnet and the significant factors that influenced the Company’s performance during the quarter ended September 27, 2025, this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(“MD&amp;A”) should be read in conjunction with the consolidated financial statements, including the related notes, appearing in Item 1 of this Quarterly Report on Form 10-Q, as well as the Company’s Annual Report on Form 10-K for the fiscal year ended June 28, 2025.</w:t>
      </w:r>
    </w:p>
    <w:p>
      <w:pPr>
        <w:pStyle w:val="TextBody"/>
        <w:bidi w:val="0"/>
        <w:spacing w:before="240" w:after="0"/>
        <w:ind w:left="0" w:right="0" w:firstLine="480"/>
        <w:jc w:val="left"/>
        <w:rPr>
          <w:rFonts w:ascii="Times New Roman;Times;serif" w:hAnsi="Times New Roman;Times;serif"/>
          <w:sz w:val="20"/>
        </w:rPr>
      </w:pPr>
      <w:bookmarkStart w:id="953" w:name="_Hlk85693413"/>
      <w:bookmarkEnd w:id="953"/>
      <w:r>
        <w:rPr>
          <w:rFonts w:ascii="Times New Roman;Times;serif" w:hAnsi="Times New Roman;Times;serif"/>
          <w:sz w:val="20"/>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pStyle w:val="TextBody"/>
        <w:bidi w:val="0"/>
        <w:spacing w:before="0" w:after="0"/>
        <w:ind w:left="0" w:right="0" w:hanging="0"/>
        <w:jc w:val="left"/>
        <w:rPr/>
      </w:pPr>
      <w:r>
        <w:rPr/>
        <w:t>​</w:t>
      </w:r>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In addition to disclosing financial results that are determined in accordance with generally accepted accounting principles in the U.S. (“GAAP”), the Company also discloses certain non-GAAP financial information,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operating income,” which is operating income excluding (i) restructuring, integration, and other expenses, and (ii) amortization of acquired intangible assets.</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475"/>
        <w:jc w:val="left"/>
        <w:rPr>
          <w:rFonts w:ascii="Times New Roman;Times;serif" w:hAnsi="Times New Roman;Times;serif"/>
          <w:sz w:val="20"/>
        </w:rPr>
      </w:pPr>
      <w:r>
        <w:rPr>
          <w:rFonts w:ascii="Times New Roman;Times;serif" w:hAnsi="Times New Roman;Times;serif"/>
          <w:sz w:val="20"/>
        </w:rPr>
        <w:t>The reconciliation of operating income to adjusted operating income is presented in the following table:</w:t>
      </w:r>
    </w:p>
    <w:tbl>
      <w:tblPr>
        <w:tblW w:w="7163" w:type="dxa"/>
        <w:jc w:val="left"/>
        <w:tblInd w:w="0" w:type="dxa"/>
        <w:tblLayout w:type="fixed"/>
        <w:tblCellMar>
          <w:top w:w="0" w:type="dxa"/>
          <w:left w:w="0" w:type="dxa"/>
          <w:bottom w:w="0" w:type="dxa"/>
          <w:right w:w="0" w:type="dxa"/>
        </w:tblCellMar>
      </w:tblPr>
      <w:tblGrid>
        <w:gridCol w:w="3856"/>
        <w:gridCol w:w="326"/>
        <w:gridCol w:w="277"/>
        <w:gridCol w:w="1028"/>
        <w:gridCol w:w="326"/>
        <w:gridCol w:w="259"/>
        <w:gridCol w:w="109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448560" cy="175260"/>
                      <wp:effectExtent l="0" t="0" r="0" b="0"/>
                      <wp:wrapNone/>
                      <wp:docPr id="185" name="Frame185"/>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5895" cy="175260"/>
                      <wp:effectExtent l="0" t="0" r="0" b="0"/>
                      <wp:wrapNone/>
                      <wp:docPr id="187" name="Frame18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52780" cy="175260"/>
                      <wp:effectExtent l="0" t="0" r="0" b="0"/>
                      <wp:wrapNone/>
                      <wp:docPr id="188" name="Frame18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64465" cy="175260"/>
                      <wp:effectExtent l="0" t="0" r="0" b="0"/>
                      <wp:wrapNone/>
                      <wp:docPr id="190" name="Frame19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785" cy="175260"/>
                      <wp:effectExtent l="0" t="0" r="0" b="0"/>
                      <wp:wrapNone/>
                      <wp:docPr id="191" name="Frame191"/>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28,</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26" w:type="dxa"/>
            <w:tcBorders/>
            <w:vAlign w:val="center"/>
          </w:tcPr>
          <w:p>
            <w:pPr>
              <w:pStyle w:val="TableContents"/>
              <w:bidi w:val="0"/>
              <w:spacing w:before="0" w:after="0"/>
              <w:ind w:left="0" w:right="0" w:hanging="0"/>
              <w:jc w:val="center"/>
              <w:rPr/>
            </w:pPr>
            <w:r>
              <w:rPr/>
              <w:t>    </w:t>
            </w:r>
          </w:p>
        </w:tc>
        <w:tc>
          <w:tcPr>
            <w:tcW w:w="13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16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142,032</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142,225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righ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8,291</w:t>
            </w:r>
          </w:p>
        </w:tc>
        <w:tc>
          <w:tcPr>
            <w:tcW w:w="32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 </w:t>
            </w:r>
          </w:p>
        </w:tc>
        <w:tc>
          <w:tcPr>
            <w:tcW w:w="10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acquired intangible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Adjusted operating income </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150,687</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168,944</w:t>
            </w:r>
          </w:p>
        </w:tc>
      </w:tr>
    </w:tbl>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pStyle w:val="TextBody"/>
        <w:bidi w:val="0"/>
        <w:spacing w:before="240" w:after="20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475"/>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Avnet has two primary operating groups — Electronic Components (“EC”) and Farnell, which are discussed further in Note 12 “Segment information” to the Company’s consolidated financial statements included in this Quarterly Report on Form 10-Q.</w:t>
      </w:r>
    </w:p>
    <w:p>
      <w:pPr>
        <w:pStyle w:val="TextBody"/>
        <w:bidi w:val="0"/>
        <w:spacing w:before="0" w:after="0"/>
        <w:ind w:left="0" w:right="0" w:firstLine="475"/>
        <w:jc w:val="left"/>
        <w:rPr/>
      </w:pPr>
      <w:r>
        <w:rPr/>
        <w:t>​</w:t>
      </w:r>
    </w:p>
    <w:p>
      <w:pPr>
        <w:pStyle w:val="TextBody"/>
        <w:bidi w:val="0"/>
        <w:spacing w:before="0" w:after="200"/>
        <w:ind w:left="0" w:right="0" w:firstLine="475"/>
        <w:jc w:val="both"/>
        <w:rPr>
          <w:rFonts w:ascii="Times New Roman;Times;serif" w:hAnsi="Times New Roman;Times;serif"/>
          <w:b/>
          <w:i/>
          <w:sz w:val="20"/>
        </w:rPr>
      </w:pPr>
      <w:r>
        <w:rPr>
          <w:rFonts w:ascii="Times New Roman;Times;serif" w:hAnsi="Times New Roman;Times;serif"/>
          <w:b/>
          <w:i/>
          <w:sz w:val="20"/>
        </w:rPr>
        <w:t>Industry outlook</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Company’s operations subject it to tariffs and other trade protection measures. The U.S. administration has instituted certain changes, and may make additional changes, in trade policies that include the negotiation or termination of trade agreements, higher tariffs on imports into the U.S., and other measures affecting trade between the U.S. and other countries from which the Company imports. Due in part to these measures, some countries are changing their trade policies relating to goods imported from the U.S. These global trade disruptions and geopolitical tensions, together with any related downturns in the global economy, could dampen customer demand, increase market volatility, and impact currency exchange rates, all of which could materially and adversely affect the Company’s financial performance. Evaluating and complying with new and future trade measures diverts management’s attention from existing initiatives, which may negatively impact the Company’s business operations.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impact of these changes in trade policies will depend on various factors, including (i) when trade measures are implemented, (ii) the ultimate amount, scope, nature, and duration of tariffs and other trade measures, and (iii) the extent to which the Company can mitigate impacts and pass on any increased costs associated with these changes. In addition, the impact of trade disruptions on general economic conditions and demand for electronic components is difficult to predict.</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employs and continues to develop systems and other measures to mitigate the impact of tariffs, including selective supply chain, logistics, and pricing actions. The Company also has contingency plans to respond to a range of economic scenarios. The Company’s management continues to monitor and evaluate the changing tariff situation, as well as the overall environment in the electronic components industry. However, despite these efforts, the Company may not be able to fully mitigate the impact of changes in trade policies or an economic downturn.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decreased sales, resulting in lower operating income. The duration of the current downturn remains uncertain, however, in the first quarter of fiscal 2026, the Company saw year over year and quarter over quarter sales improvements in the Americas and Asia regions of EC as well as in its Farnell operating group. The Company’s EMEA region of EC continues to have year-over-year sales declines. The Company expects sales in the second quarter of fiscal 2026 to increase approximately 2% compared to first quarter sales of fiscal 2026.</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Additionally, the Company’s total inventories relative to its sales continue to be higher than they have historically been as a result of this industry downturn. The Company has and may in the future purchase additional inventories in certain components even in an industry downturn, if the Company believes the purchase will benefit the Company’s financial or strategic business objectives.</w:t>
      </w:r>
    </w:p>
    <w:p>
      <w:pPr>
        <w:pStyle w:val="TextBody"/>
        <w:bidi w:val="0"/>
        <w:spacing w:before="0" w:after="0"/>
        <w:ind w:left="0" w:right="0" w:firstLine="475"/>
        <w:jc w:val="left"/>
        <w:rPr>
          <w:color w:val="FF0000"/>
        </w:rPr>
      </w:pPr>
      <w:r>
        <w:rPr>
          <w:color w:val="FF0000"/>
        </w:rPr>
        <w:t>​</w:t>
      </w:r>
    </w:p>
    <w:p>
      <w:pPr>
        <w:pStyle w:val="TextBody"/>
        <w:bidi w:val="0"/>
        <w:spacing w:before="120" w:after="200"/>
        <w:ind w:left="0" w:right="0" w:hanging="0"/>
        <w:jc w:val="both"/>
        <w:rPr>
          <w:rFonts w:ascii="Times New Roman;Times;serif" w:hAnsi="Times New Roman;Times;serif"/>
          <w:b/>
          <w:sz w:val="20"/>
        </w:rPr>
      </w:pPr>
      <w:bookmarkStart w:id="954" w:name="Results_of_operations"/>
      <w:bookmarkEnd w:id="954"/>
      <w:r>
        <w:rPr>
          <w:rFonts w:ascii="Times New Roman;Times;serif" w:hAnsi="Times New Roman;Times;serif"/>
          <w:b/>
          <w:sz w:val="20"/>
        </w:rPr>
        <w:t>Results of Operations</w:t>
      </w:r>
    </w:p>
    <w:p>
      <w:pPr>
        <w:pStyle w:val="Normal"/>
        <w:bidi w:val="0"/>
        <w:spacing w:before="0" w:after="0"/>
        <w:jc w:val="left"/>
        <w:rPr>
          <w:sz w:val="4"/>
          <w:szCs w:val="4"/>
        </w:rPr>
      </w:pPr>
      <w:r>
        <w:rPr>
          <w:sz w:val="4"/>
          <w:szCs w:val="4"/>
        </w:rPr>
      </w:r>
      <w:bookmarkStart w:id="955" w:name="_Hlk164167237"/>
      <w:bookmarkStart w:id="956" w:name="_Hlk164167237"/>
      <w:bookmarkEnd w:id="956"/>
    </w:p>
    <w:tbl>
      <w:tblPr>
        <w:tblW w:w="7971" w:type="dxa"/>
        <w:jc w:val="left"/>
        <w:tblInd w:w="0" w:type="dxa"/>
        <w:tblLayout w:type="fixed"/>
        <w:tblCellMar>
          <w:top w:w="0" w:type="dxa"/>
          <w:left w:w="0" w:type="dxa"/>
          <w:bottom w:w="0" w:type="dxa"/>
          <w:right w:w="0" w:type="dxa"/>
        </w:tblCellMar>
      </w:tblPr>
      <w:tblGrid>
        <w:gridCol w:w="3361"/>
        <w:gridCol w:w="196"/>
        <w:gridCol w:w="511"/>
        <w:gridCol w:w="256"/>
        <w:gridCol w:w="206"/>
        <w:gridCol w:w="196"/>
        <w:gridCol w:w="511"/>
        <w:gridCol w:w="256"/>
        <w:gridCol w:w="206"/>
        <w:gridCol w:w="196"/>
        <w:gridCol w:w="541"/>
        <w:gridCol w:w="361"/>
        <w:gridCol w:w="109"/>
        <w:gridCol w:w="684"/>
        <w:gridCol w:w="381"/>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34235" cy="175260"/>
                      <wp:effectExtent l="0" t="0" r="0" b="0"/>
                      <wp:wrapNone/>
                      <wp:docPr id="192" name="Frame19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24460" cy="175260"/>
                      <wp:effectExtent l="0" t="0" r="0" b="0"/>
                      <wp:wrapNone/>
                      <wp:docPr id="193" name="Frame1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4485" cy="175260"/>
                      <wp:effectExtent l="0" t="0" r="0" b="0"/>
                      <wp:wrapNone/>
                      <wp:docPr id="194" name="Frame19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2560" cy="175260"/>
                      <wp:effectExtent l="0" t="0" r="0" b="0"/>
                      <wp:wrapNone/>
                      <wp:docPr id="195" name="Frame19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0810" cy="175260"/>
                      <wp:effectExtent l="0" t="0" r="0" b="0"/>
                      <wp:wrapNone/>
                      <wp:docPr id="196" name="Frame19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24485" cy="175260"/>
                      <wp:effectExtent l="0" t="0" r="0" b="0"/>
                      <wp:wrapNone/>
                      <wp:docPr id="198" name="Frame19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62560" cy="175260"/>
                      <wp:effectExtent l="0" t="0" r="0" b="0"/>
                      <wp:wrapNone/>
                      <wp:docPr id="199" name="Frame19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0810" cy="175260"/>
                      <wp:effectExtent l="0" t="0" r="0" b="0"/>
                      <wp:wrapNone/>
                      <wp:docPr id="200" name="Frame20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43535" cy="175260"/>
                      <wp:effectExtent l="0" t="0" r="0" b="0"/>
                      <wp:wrapNone/>
                      <wp:docPr id="202" name="Frame202"/>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9235" cy="175260"/>
                      <wp:effectExtent l="0" t="0" r="0" b="0"/>
                      <wp:wrapNone/>
                      <wp:docPr id="203" name="Frame20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4340" cy="175260"/>
                      <wp:effectExtent l="0" t="0" r="0" b="0"/>
                      <wp:wrapNone/>
                      <wp:docPr id="205" name="Frame20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41935" cy="175260"/>
                      <wp:effectExtent l="0" t="0" r="0" b="0"/>
                      <wp:wrapNone/>
                      <wp:docPr id="206" name="Frame206"/>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2132" w:type="dxa"/>
            <w:gridSpan w:val="7"/>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Quarters Ended</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96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Q1 2026</w:t>
            </w:r>
          </w:p>
        </w:tc>
        <w:tc>
          <w:tcPr>
            <w:tcW w:w="206" w:type="dxa"/>
            <w:tcBorders/>
            <w:vAlign w:val="center"/>
          </w:tcPr>
          <w:p>
            <w:pPr>
              <w:pStyle w:val="TableContents"/>
              <w:bidi w:val="0"/>
              <w:spacing w:before="0" w:after="0"/>
              <w:ind w:left="0" w:right="0" w:hanging="0"/>
              <w:jc w:val="left"/>
              <w:rPr/>
            </w:pPr>
            <w:r>
              <w:rPr/>
              <w:t>  </w:t>
            </w:r>
          </w:p>
        </w:tc>
        <w:tc>
          <w:tcPr>
            <w:tcW w:w="963"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Q1 2025</w:t>
            </w:r>
          </w:p>
        </w:tc>
        <w:tc>
          <w:tcPr>
            <w:tcW w:w="206" w:type="dxa"/>
            <w:tcBorders/>
            <w:vAlign w:val="center"/>
          </w:tcPr>
          <w:p>
            <w:pPr>
              <w:pStyle w:val="TableContents"/>
              <w:bidi w:val="0"/>
              <w:spacing w:before="0" w:after="0"/>
              <w:ind w:left="0" w:right="0" w:hanging="0"/>
              <w:jc w:val="left"/>
              <w:rPr/>
            </w:pPr>
            <w:r>
              <w:rPr/>
              <w:t>  </w:t>
            </w:r>
          </w:p>
        </w:tc>
        <w:tc>
          <w:tcPr>
            <w:tcW w:w="1098" w:type="dxa"/>
            <w:gridSpan w:val="3"/>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w:t>
            </w:r>
          </w:p>
        </w:tc>
        <w:tc>
          <w:tcPr>
            <w:tcW w:w="109" w:type="dxa"/>
            <w:tcBorders/>
            <w:vAlign w:val="center"/>
          </w:tcPr>
          <w:p>
            <w:pPr>
              <w:pStyle w:val="TableContents"/>
              <w:bidi w:val="0"/>
              <w:spacing w:before="0" w:after="0"/>
              <w:ind w:left="0" w:right="0" w:hanging="0"/>
              <w:jc w:val="center"/>
              <w:rPr/>
            </w:pPr>
            <w:r>
              <w:rPr/>
              <w:t>​</w:t>
            </w:r>
          </w:p>
        </w:tc>
        <w:tc>
          <w:tcPr>
            <w:tcW w:w="106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Variance %</w:t>
            </w:r>
          </w:p>
        </w:tc>
      </w:tr>
      <w:tr>
        <w:trPr/>
        <w:tc>
          <w:tcPr>
            <w:tcW w:w="7971"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4610" w:type="dxa"/>
            <w:gridSpan w:val="14"/>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 in millions, unless otherwise stated)</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Sales</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5,899</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5,604</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607</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381"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Restructuring, integration, and other expenses</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(68.5)</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81"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Adjusted operating income</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151</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169</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(10.8)</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net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w:t>
            </w:r>
          </w:p>
        </w:tc>
        <w:tc>
          <w:tcPr>
            <w:tcW w:w="381"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other financing expenses, net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w:t>
            </w:r>
          </w:p>
        </w:tc>
        <w:tc>
          <w:tcPr>
            <w:tcW w:w="381"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81"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 earnings per share</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0.61</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0.66</w:t>
            </w:r>
          </w:p>
        </w:tc>
        <w:tc>
          <w:tcPr>
            <w:tcW w:w="25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81"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2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Metrics</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1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5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9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54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61"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684"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81" w:type="dxa"/>
            <w:tcBorders/>
            <w:shd w:fill="CCEEFF" w:val="clear"/>
            <w:vAlign w:val="center"/>
          </w:tcPr>
          <w:p>
            <w:pPr>
              <w:pStyle w:val="TableContents"/>
              <w:bidi w:val="0"/>
              <w:spacing w:before="0" w:after="0"/>
              <w:ind w:left="0" w:right="0" w:hanging="0"/>
              <w:jc w:val="left"/>
              <w:rPr>
                <w:color w:val="575757"/>
              </w:rPr>
            </w:pPr>
            <w:r>
              <w:rPr>
                <w:color w:val="575757"/>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margin</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c>
          <w:tcPr>
            <w:tcW w:w="2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color w:val="575757"/>
              </w:rPr>
            </w:pPr>
            <w:r>
              <w:rPr>
                <w:color w:val="575757"/>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margin</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Adjusted operating income margin</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2.6</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3.0</w:t>
            </w:r>
          </w:p>
        </w:tc>
        <w:tc>
          <w:tcPr>
            <w:tcW w:w="25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(46)</w:t>
            </w:r>
          </w:p>
        </w:tc>
        <w:tc>
          <w:tcPr>
            <w:tcW w:w="36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bps</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i/>
                <w:sz w:val="18"/>
              </w:rPr>
            </w:pPr>
            <w:r>
              <w:rPr>
                <w:rFonts w:ascii="Times New Roman;Times;serif" w:hAnsi="Times New Roman;Times;serif"/>
                <w:i/>
                <w:sz w:val="18"/>
              </w:rPr>
              <w:t>(0.5)</w:t>
            </w:r>
          </w:p>
        </w:tc>
        <w:tc>
          <w:tcPr>
            <w:tcW w:w="381"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Effective tax rate</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bps</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lineRule="atLeast" w:line="220" w:before="0" w:after="200"/>
        <w:ind w:left="0" w:right="0" w:firstLine="475"/>
        <w:jc w:val="left"/>
        <w:rPr>
          <w:rFonts w:ascii="Times New Roman;Times;serif" w:hAnsi="Times New Roman;Times;serif"/>
          <w:sz w:val="20"/>
        </w:rPr>
      </w:pPr>
      <w:r>
        <w:rPr>
          <w:rFonts w:ascii="Times New Roman;Times;serif" w:hAnsi="Times New Roman;Times;serif"/>
          <w:sz w:val="20"/>
        </w:rPr>
        <w:t>The following table presents the percentage change in sales for the first quarter of fiscal 2026 as compared to the first quarter of fiscal 2025, by geographic region and operating group.</w:t>
      </w:r>
    </w:p>
    <w:tbl>
      <w:tblPr>
        <w:tblW w:w="5203" w:type="dxa"/>
        <w:jc w:val="left"/>
        <w:tblInd w:w="0" w:type="dxa"/>
        <w:tblLayout w:type="fixed"/>
        <w:tblCellMar>
          <w:top w:w="0" w:type="dxa"/>
          <w:left w:w="0" w:type="dxa"/>
          <w:bottom w:w="0" w:type="dxa"/>
          <w:right w:w="0" w:type="dxa"/>
        </w:tblCellMar>
      </w:tblPr>
      <w:tblGrid>
        <w:gridCol w:w="2221"/>
        <w:gridCol w:w="326"/>
        <w:gridCol w:w="786"/>
        <w:gridCol w:w="459"/>
        <w:gridCol w:w="121"/>
        <w:gridCol w:w="766"/>
        <w:gridCol w:w="524"/>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410335" cy="175260"/>
                      <wp:effectExtent l="0" t="0" r="0" b="0"/>
                      <wp:wrapNone/>
                      <wp:docPr id="207" name="Frame207"/>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499110" cy="175260"/>
                      <wp:effectExtent l="0" t="0" r="0" b="0"/>
                      <wp:wrapNone/>
                      <wp:docPr id="209" name="Frame209"/>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91465" cy="175260"/>
                      <wp:effectExtent l="0" t="0" r="0" b="0"/>
                      <wp:wrapNone/>
                      <wp:docPr id="210" name="Frame21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6835" cy="175260"/>
                      <wp:effectExtent l="0" t="0" r="0" b="0"/>
                      <wp:wrapNone/>
                      <wp:docPr id="211" name="Frame211"/>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86410" cy="175260"/>
                      <wp:effectExtent l="0" t="0" r="0" b="0"/>
                      <wp:wrapNone/>
                      <wp:docPr id="212" name="Frame21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32740" cy="175260"/>
                      <wp:effectExtent l="0" t="0" r="0" b="0"/>
                      <wp:wrapNone/>
                      <wp:docPr id="213" name="Frame213"/>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5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Quarter Ended</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5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27, 2025</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color w:val="575757"/>
              </w:rPr>
            </w:pPr>
            <w:r>
              <w:rPr>
                <w:color w:val="575757"/>
              </w:rPr>
              <w:t>​</w:t>
            </w:r>
          </w:p>
        </w:tc>
        <w:tc>
          <w:tcPr>
            <w:tcW w:w="121"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pPr>
            <w:r>
              <w:rPr/>
              <w:t>​</w:t>
            </w:r>
          </w:p>
        </w:tc>
        <w:tc>
          <w:tcPr>
            <w:tcW w:w="121"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121"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 in</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c>
          <w:tcPr>
            <w:tcW w:w="121"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Constant</w:t>
            </w:r>
          </w:p>
        </w:tc>
      </w:tr>
      <w:tr>
        <w:trPr/>
        <w:tc>
          <w:tcPr>
            <w:tcW w:w="22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121" w:type="dxa"/>
            <w:tcBorders/>
            <w:vAlign w:val="center"/>
          </w:tcPr>
          <w:p>
            <w:pPr>
              <w:pStyle w:val="TableContents"/>
              <w:bidi w:val="0"/>
              <w:spacing w:before="0" w:after="0"/>
              <w:ind w:left="0" w:right="0" w:hanging="0"/>
              <w:jc w:val="left"/>
              <w:rPr/>
            </w:pPr>
            <w:r>
              <w:rPr/>
              <w:t>​</w:t>
            </w:r>
          </w:p>
        </w:tc>
        <w:tc>
          <w:tcPr>
            <w:tcW w:w="12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w:t>
            </w:r>
          </w:p>
        </w:tc>
        <w:tc>
          <w:tcPr>
            <w:tcW w:w="32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by region</w:t>
            </w:r>
          </w:p>
        </w:tc>
        <w:tc>
          <w:tcPr>
            <w:tcW w:w="32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pPr>
            <w:r>
              <w:rPr/>
              <w:t>​</w:t>
            </w:r>
          </w:p>
        </w:tc>
        <w:tc>
          <w:tcPr>
            <w:tcW w:w="459"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lef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2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0"/>
              <w:ind w:left="0" w:right="0" w:hanging="0"/>
              <w:jc w:val="righ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by operating group</w:t>
            </w:r>
          </w:p>
        </w:tc>
        <w:tc>
          <w:tcPr>
            <w:tcW w:w="32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left"/>
              <w:rPr/>
            </w:pPr>
            <w:r>
              <w:rPr/>
              <w:t>​</w:t>
            </w:r>
          </w:p>
        </w:tc>
        <w:tc>
          <w:tcPr>
            <w:tcW w:w="459" w:type="dxa"/>
            <w:tcBorders/>
            <w:vAlign w:val="center"/>
          </w:tcPr>
          <w:p>
            <w:pPr>
              <w:pStyle w:val="TableContents"/>
              <w:bidi w:val="0"/>
              <w:spacing w:before="0" w:after="0"/>
              <w:ind w:left="0" w:right="0" w:hanging="0"/>
              <w:jc w:val="left"/>
              <w:rPr/>
            </w:pPr>
            <w:r>
              <w:rPr/>
              <w:t>​</w:t>
            </w:r>
          </w:p>
        </w:tc>
        <w:tc>
          <w:tcPr>
            <w:tcW w:w="12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pPr>
            <w:r>
              <w:rPr/>
              <w:t>​</w:t>
            </w:r>
          </w:p>
        </w:tc>
        <w:tc>
          <w:tcPr>
            <w:tcW w:w="524" w:type="dxa"/>
            <w:tcBorders/>
            <w:vAlign w:val="center"/>
          </w:tcPr>
          <w:p>
            <w:pPr>
              <w:pStyle w:val="TableContents"/>
              <w:bidi w:val="0"/>
              <w:spacing w:before="0" w:after="0"/>
              <w:ind w:left="0" w:right="0" w:hanging="0"/>
              <w:jc w:val="left"/>
              <w:rPr/>
            </w:pPr>
            <w:r>
              <w:rPr/>
              <w:t>​</w:t>
            </w:r>
          </w:p>
        </w:tc>
      </w:tr>
      <w:tr>
        <w:trPr/>
        <w:tc>
          <w:tcPr>
            <w:tcW w:w="2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w:t>
            </w:r>
          </w:p>
        </w:tc>
        <w:tc>
          <w:tcPr>
            <w:tcW w:w="326" w:type="dxa"/>
            <w:tcBorders/>
            <w:shd w:fill="CCEEFF" w:val="clear"/>
            <w:vAlign w:val="center"/>
          </w:tcPr>
          <w:p>
            <w:pPr>
              <w:pStyle w:val="TableContents"/>
              <w:bidi w:val="0"/>
              <w:spacing w:before="0" w:after="0"/>
              <w:ind w:left="0" w:right="0" w:hanging="0"/>
              <w:jc w:val="left"/>
              <w:rPr/>
            </w:pPr>
            <w:r>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4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 w:type="dxa"/>
            <w:tcBorders/>
            <w:vAlign w:val="center"/>
          </w:tcPr>
          <w:p>
            <w:pPr>
              <w:pStyle w:val="TableContents"/>
              <w:bidi w:val="0"/>
              <w:spacing w:before="0" w:after="0"/>
              <w:ind w:left="0" w:right="0" w:hanging="0"/>
              <w:jc w:val="righ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5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360" w:right="0" w:hanging="0"/>
        <w:jc w:val="both"/>
        <w:rPr/>
      </w:pPr>
      <w:r>
        <w:rPr/>
        <w:t>​</w:t>
      </w:r>
    </w:p>
    <w:p>
      <w:pPr>
        <w:pStyle w:val="TextBody"/>
        <w:bidi w:val="0"/>
        <w:spacing w:before="0" w:after="0"/>
        <w:ind w:left="0" w:right="0" w:firstLine="475"/>
        <w:jc w:val="left"/>
        <w:rPr>
          <w:rFonts w:ascii="Times New Roman;Times;serif" w:hAnsi="Times New Roman;Times;serif"/>
          <w:sz w:val="20"/>
        </w:rPr>
      </w:pPr>
      <w:bookmarkStart w:id="957" w:name="_Hlk21930440"/>
      <w:bookmarkStart w:id="958" w:name="_Hlk69537729"/>
      <w:bookmarkEnd w:id="957"/>
      <w:bookmarkEnd w:id="958"/>
      <w:r>
        <w:rPr>
          <w:rFonts w:ascii="Times New Roman;Times;serif" w:hAnsi="Times New Roman;Times;serif"/>
          <w:sz w:val="20"/>
        </w:rPr>
        <w:t>Sales of $5.90 billion for the first quarter of fiscal 2026 increased $294.4 million, or 5.3%, as compared to $5.60 billion for the same quarter last year reflecting year-over-year sales growth in both the EC and Farnell operating groups.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EC sales of $5.50 billion in the first quarter of fiscal 2026 increased $242.6 million, or 4.6%, from the prior year first quarter sales of $5.26 billion, with the Americas and Asia regions contributing to the increase offset by sales declines in the EMEA region. The increase in sales is primarily due to increased demand in the Asia region, most notably in the transportation, compute and communication sectors.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Farnell sales for the first quarter of fiscal 2026 were $398.9 million, reflecting an increase of $51.8 million, or 14.9%, compared to the same period in the prior year. The increase in sales in the first quarter of fiscal 2026 is primarily due to improvement in demand for single board computers globally and for on-the-board electronic components in the Asia and Americas regions.</w:t>
      </w:r>
    </w:p>
    <w:p>
      <w:pPr>
        <w:pStyle w:val="TextBody"/>
        <w:bidi w:val="0"/>
        <w:spacing w:before="0" w:after="0"/>
        <w:ind w:left="0" w:right="0" w:firstLine="475"/>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Company’s gross profit and gross profit margin are primarily affected by sales volume, product mix, and geographic sales mix. Gross profit for the first quarter of fiscal 2026 increased $7.4 million, or 1.2% from the first quarter of fiscal 2025. This increase is primarily due to sales volume increases in both operating groups partially offset by the decline in gross profit margin in the EC operating group including the impact from geographical sales mix.</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margin decreased by 42 basis points to 10.4% for the first quarter of fiscal 2026 when compared to the first quarter of fiscal 2025. The decrease in gross profit margin was partially due to a geographic sales mix to Asia. Sales in the higher gross profit margin western regions represented approximately 51% of sales in the first quarter of fiscal 2026, versus 53% of sales during the first quarter of fiscal 2025. The remaining reduction in gross profit margin was due to declines in gross margin in the EC Americas and EMEA regions primarily due to changes in customer and product mix.</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EC gross profit margin decreased year over year largely due to the factors discussed above. Farnell gross profit margin increased year over year, primarily due to an increase in product mix of on-the-board components.</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Selling, general, and administrative expenses (“SG&amp;A expenses”) increased $25.7 million or 5.9% from the first quarter of fiscal 2025. The increase in SG&amp;A expenses is primarily due to increases in variable operating expenses associated with the increase in sales volumes discussed above and the impact of changes in foreign currency translation rates.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Management monitors SG&amp;A expenses as a percentage of sales and as a percentage of gross profit. In the first quarter of fiscal 2026, SG&amp;A expenses were 7.9% of sales and 75.5% of gross profit, as compared with 7.8% and 72.2%, respectively, in the first quarter of fiscal 2025. The year-over-year increase in SG&amp;A expenses as a percentage of gross profit is primarily due to the decline in gross profit margin in EC discussed further above.</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sz w:val="20"/>
        </w:rPr>
      </w:pPr>
      <w:bookmarkStart w:id="959" w:name="_Hlk164186309"/>
      <w:bookmarkEnd w:id="959"/>
      <w:r>
        <w:rPr>
          <w:rFonts w:ascii="Times New Roman;Times;serif" w:hAnsi="Times New Roman;Times;serif"/>
          <w:b/>
          <w:sz w:val="20"/>
        </w:rPr>
        <w:t>Restructuring, Integration, and Other Expenses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recorded total restructuring, integration, and other expense in the first quarter of fiscal 2026 of $8.3 million, consisting of $1.6 million of severance and other employee-related expenses, and $6.7 million of integration and other costs. The after-tax impact of restructuring, integration, and other expenses were $5.8 million and $0.07 per share on a diluted basis.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Comparatively, the Company recorded restructuring, integration, and other expenses of $26.4 million during the first quarter of fiscal 2025 consisting of severance costs of $3.4 million, facility exits costs of $5.2 million, asset impairments of $14.9 million, and integration and other costs of $2.9 million.</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color w:val="252525"/>
          <w:sz w:val="20"/>
        </w:rPr>
      </w:pPr>
      <w:bookmarkStart w:id="960" w:name="a1147"/>
      <w:bookmarkEnd w:id="960"/>
      <w:r>
        <w:rPr>
          <w:rFonts w:ascii="Times New Roman;Times;serif" w:hAnsi="Times New Roman;Times;serif"/>
          <w:color w:val="252525"/>
          <w:sz w:val="20"/>
        </w:rPr>
        <w:t>See Note 13 “Restructuring expenses” to the Company’s consolidated financial statements included in this Quarterly Report on Form 10-Q.</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Operating income for the first quarter of fiscal 2026 was $142.0 million, a decrease of $0.2 million or 0.1%, year over year. Operating income margin for the first quarter of fiscal 2026 was 2.4%, a decrease of 13 basis points compared to 2.5% in the first quarter of fiscal 2025. Adjusted operating income for the first quarter of fiscal 2026 was $150.7 million, a decrease of $18.3 million, or 10.8%. Adjusted operating income margin for the first quarter of fiscal 2026 was 2.6% compared to 3.0% in the first quarter of fiscal 2025. The decreases in adjusted operating income and adjusted operating income margin are primarily due to the decreases in gross profit margin and the increase in SG&amp;A expenses as discussed further above.</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Comparing the first quarter of fiscal 2026 to the first quarter of fiscal 2025, EC operating income decreased 19.4% to $159.0 million, and EC operating income margin decreased 86 basis points to 2.9%, with decreases in the EMEA and Americas regions partially offset by an improvement in the Asia region. Farnell operating income increased 819.7% to $17.1 million in the first quarter of fiscal 2026. Farnell operating income margin increased 375 basis points year over year to 4.3%. The increases in operating income and operating income margin in Farnell are due to the higher sales and higher gross profit margin with only a slight increase in SG&amp;A expenses. </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Interest and Other Financing Expenses, Net and Other Expense, Net</w:t>
      </w:r>
    </w:p>
    <w:p>
      <w:pPr>
        <w:pStyle w:val="TextBody"/>
        <w:bidi w:val="0"/>
        <w:spacing w:before="0" w:after="0"/>
        <w:ind w:left="0" w:right="0" w:firstLine="480"/>
        <w:jc w:val="left"/>
        <w:rPr>
          <w:rFonts w:ascii="Times New Roman;Times;serif" w:hAnsi="Times New Roman;Times;serif"/>
          <w:sz w:val="20"/>
        </w:rPr>
      </w:pPr>
      <w:bookmarkStart w:id="961" w:name="keyword"/>
      <w:bookmarkEnd w:id="961"/>
      <w:r>
        <w:rPr>
          <w:rFonts w:ascii="Times New Roman;Times;serif" w:hAnsi="Times New Roman;Times;serif"/>
          <w:sz w:val="20"/>
        </w:rPr>
        <w:t xml:space="preserve">Interest and other financing expenses in the first quarter of fiscal 2026 were $59.8 million, a decrease of $4.7 million as compared to $64.4 million in the first quarter of fiscal 2025. </w:t>
      </w:r>
      <w:r>
        <w:rPr>
          <w:rFonts w:ascii="Times New Roman;Times;serif" w:hAnsi="Times New Roman;Times;serif"/>
          <w:color w:val="252525"/>
          <w:sz w:val="20"/>
        </w:rPr>
        <w:t>The decrease in interest and other financing expenses in the first quarter of fiscal 2026 compared to fiscal 2025 is primarily a result of lower average borrowing rates.</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had other expenses of $5.5 million in the first quarter of fiscal 2026 compared to other expenses of $3.0 million in the first quarter of fiscal 2025. The increase in other expenses in the first quarter of fiscal 2026 is primarily due to increases in foreign currency translation losses. </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Income Tax </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Income tax expense for the first quarter of fiscal 2026 was $25.1 million reflecting an effective tax rate of 32.6% compared to $15.8 million, reflecting an effective tax rate of 21.1% in the first quarter of fiscal 2025. The increase in the effective tax rate for the first quarter of fiscal 2026 as compared to the first quarter of fiscal 2025 was primarily due the effect of changes in tax rates enacted in foreign jurisdictions and increases to unrecognized tax benefit reserves net of settlements. </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 result of the factors described above, the Company’s net income for the first quarter of fiscal 2026 was $51.7 million, or $0.61 per share on a diluted basis, as compared with $59.0 million, or $0.66 per share on a diluted basis, in the first quarter of fiscal 2025. Diluted earnings per share in the first quarter of fiscal 2026 benefited from a 5.5% reduction in diluted shares outstanding compared to the first quarter of fiscal 2025, primarily due to share repurchases over the past year.</w:t>
      </w:r>
    </w:p>
    <w:p>
      <w:pPr>
        <w:pStyle w:val="TextBody"/>
        <w:bidi w:val="0"/>
        <w:spacing w:before="0" w:after="0"/>
        <w:ind w:left="0" w:right="0" w:firstLine="475"/>
        <w:jc w:val="left"/>
        <w:rPr/>
      </w:pPr>
      <w:r>
        <w:rPr/>
        <w:t>​</w:t>
      </w:r>
    </w:p>
    <w:p>
      <w:pPr>
        <w:pStyle w:val="TextBody"/>
        <w:bidi w:val="0"/>
        <w:spacing w:before="240" w:after="200"/>
        <w:ind w:left="0" w:right="0" w:hanging="0"/>
        <w:jc w:val="center"/>
        <w:rPr>
          <w:rFonts w:ascii="Times New Roman;Times;serif" w:hAnsi="Times New Roman;Times;serif"/>
          <w:b/>
          <w:sz w:val="20"/>
        </w:rPr>
      </w:pPr>
      <w:bookmarkStart w:id="962" w:name="Liquidity_and_Capital_Resources"/>
      <w:bookmarkEnd w:id="962"/>
      <w:r>
        <w:rPr>
          <w:rFonts w:ascii="Times New Roman;Times;serif" w:hAnsi="Times New Roman;Times;serif"/>
          <w:b/>
          <w:sz w:val="20"/>
        </w:rPr>
        <w:t>LIQUIDITY AND CAPITAL RESOURCES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200"/>
        <w:ind w:left="0" w:right="0" w:firstLine="475"/>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480"/>
        <w:jc w:val="left"/>
        <w:rPr>
          <w:rFonts w:ascii="Times New Roman;Times;serif" w:hAnsi="Times New Roman;Times;serif"/>
          <w:sz w:val="20"/>
        </w:rPr>
      </w:pPr>
      <w:bookmarkStart w:id="963" w:name="_Hlk124836429"/>
      <w:bookmarkEnd w:id="963"/>
      <w:r>
        <w:rPr>
          <w:rFonts w:ascii="Times New Roman;Times;serif" w:hAnsi="Times New Roman;Times;serif"/>
          <w:sz w:val="20"/>
        </w:rPr>
        <w:t xml:space="preserve">Net cash used for operating activities was $144.6 million for the first quarter of fiscal 2026, compared to net cash provided by operating activities of $106.3 million for the first quarter of fiscal 2025. The $250.9 million increase in net cash used for operating activities year over year is primarily due to cash used for working capital and other. Cash used for working capital and other was $217.5 million during the first quarter of fiscal 2026, compared to $0.8 million of cash generated during the first quarter of fiscal 2025, with the difference attributable primarily to an increase in accounts receivable primarily to support the growth in Asia sales. </w:t>
      </w:r>
    </w:p>
    <w:p>
      <w:pPr>
        <w:pStyle w:val="TextBody"/>
        <w:bidi w:val="0"/>
        <w:spacing w:before="0" w:after="0"/>
        <w:ind w:left="0" w:right="0" w:firstLine="480"/>
        <w:jc w:val="both"/>
        <w:rPr/>
      </w:pPr>
      <w:r>
        <w:rPr/>
        <w:t>​</w:t>
      </w:r>
    </w:p>
    <w:p>
      <w:pPr>
        <w:pStyle w:val="TextBody"/>
        <w:bidi w:val="0"/>
        <w:spacing w:before="0" w:after="200"/>
        <w:ind w:left="0" w:right="0" w:firstLine="475"/>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Net proceeds of debt totaled $320.8 million during the first quarter of fiscal 2026, including net proceeds of $633.8 million from the issuance of Convertible Notes, and $277.3 million for term loans and other debt, partially offset by net repayments of $290.9 million under the Credit Facility, and $299.4 million under the Securitization Program. This compares to $15.7 million of net proceeds during the first quarter of the prior fiscal year. The Company has repurchased $138.3 million of common stock under its share repurchase plan during the first quarter of fiscal 2026 compared to $100.0 million in the same period of the prior fiscal year. The Company paid cash dividends to shareholders of $0.35 per share, or $28.5 million, during the first quarter of fiscal 2026 as compared to $0.33 per share, or $28.9 million, during the first quarter of fiscal 2025. </w:t>
      </w:r>
    </w:p>
    <w:p>
      <w:pPr>
        <w:pStyle w:val="TextBody"/>
        <w:bidi w:val="0"/>
        <w:spacing w:before="0" w:after="0"/>
        <w:ind w:left="0" w:right="0" w:firstLine="480"/>
        <w:jc w:val="left"/>
        <w:rPr/>
      </w:pPr>
      <w:r>
        <w:rPr/>
        <w:t>​</w:t>
      </w:r>
    </w:p>
    <w:p>
      <w:pPr>
        <w:pStyle w:val="TextBody"/>
        <w:bidi w:val="0"/>
        <w:spacing w:before="0" w:after="200"/>
        <w:ind w:left="0" w:right="0" w:firstLine="475"/>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firstLine="475"/>
        <w:jc w:val="left"/>
        <w:rPr>
          <w:rFonts w:ascii="Times New Roman;Times;serif" w:hAnsi="Times New Roman;Times;serif"/>
          <w:sz w:val="20"/>
        </w:rPr>
      </w:pPr>
      <w:bookmarkStart w:id="964" w:name="_Hlk195630493"/>
      <w:bookmarkEnd w:id="964"/>
      <w:r>
        <w:rPr>
          <w:rFonts w:ascii="Times New Roman;Times;serif" w:hAnsi="Times New Roman;Times;serif"/>
          <w:sz w:val="20"/>
        </w:rPr>
        <w:t xml:space="preserve">Net cash used in investing activities decreased during the first quarter of fiscal 2026 by $6.9 million, when compared to the same period in fiscal 2025, primarily due to a decrease in capital expenditures. </w:t>
      </w:r>
    </w:p>
    <w:p>
      <w:pPr>
        <w:pStyle w:val="TextBody"/>
        <w:bidi w:val="0"/>
        <w:spacing w:before="0" w:after="0"/>
        <w:ind w:left="0" w:right="0" w:firstLine="475"/>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detailed description of the Company’s long-term debt and lease commitments for the next five years and thereafter, see </w:t>
      </w:r>
      <w:r>
        <w:rPr>
          <w:rFonts w:ascii="Times New Roman;Times;serif" w:hAnsi="Times New Roman;Times;serif"/>
          <w:i/>
          <w:sz w:val="20"/>
        </w:rPr>
        <w:t>Long-Term Contractual Obligations</w:t>
      </w:r>
      <w:r>
        <w:rPr>
          <w:rFonts w:ascii="Times New Roman;Times;serif" w:hAnsi="Times New Roman;Times;serif"/>
          <w:sz w:val="20"/>
        </w:rPr>
        <w:t xml:space="preserve"> appearing in Item 7 of the Company’s Annual Report on Form 10-K for the fiscal year ended June 28, 2025 and Note 4 “Debt” to the Company’s consolidated financial statements included in this Quarterly Report on Form 10-Q. There are no material changes to this information outside of the issuance of Convertible Notes, entering into a term loan and other normal borrowings and repayments of long-term debt and operating lease payments. The Company does not currently have any material non-cancellable commitments for capital expenditures or inventory purchases outside of the normal course of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8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Financing Transactions</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See Note 4, “Debt” to the Company’s consolidated financial statements included in this Quarterly Report on Form 10-Q for additional information on financing transactions, including the Credit Facility, the Securitization Program, and other outstanding notes and debt as of September 27, 2025. The Company was in compliance with all covenants under the Credit Facility and the Securitization Program as of September 27, 2025, and June 28, 2025.</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various lines of credit, financing arrangements, and other forms of bank debt in the U.S. and various foreign locations to fund the working capital, foreign exchange, overdraft, capital expenditure, and letter of credit needs of its wholly owned subsidiaries. Outstanding borrowings under such forms of debt at the end of first quarter of fiscal 2026 was $119.6 million.</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of the consolidated financial statements.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held cash and cash equivalents of $175.5 million as of September 27, 2025, of which $146.0 million was held outside the United States. As of June 28, 2025, the Company held cash and cash equivalents of $192.4 million, of which $181.8 million was held outside of the United States.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periods of weakening demand in the electronic components industry, the Company typically generates cash from operating activities. Conversely, the Company will use cash for working capital requirements during periods of higher growth. The Company generated $473.6 million in cash flows from operating activities over the trailing four fiscal quarters ended September 27, 2025.</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September 2025, the Company issued $650 million aggregate principal amount of convertible senior notes due 2030 (see Note 4). The Company used the net proceeds to (i) reduce the Credit Facility by $533.8 million and (ii) repurchase $100 million of the Company’s common stock in privately negotiated transactions entered into in connection with the convertible debt offering.</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the end of the first quarter of fiscal 2026, the Company had a combined total borrowing capacity of $2.0 billion under the Credit Facility and the Securitization Program. There were $122.7 million of borrowings outstanding and $0.8 million in letters of credit issued under the Credit Facility, and $200.6 million outstanding under the Securitization Program, resulting in approximately $1.68 billion of total committed availability as of September 27, 2025. Availability under the Securitization Program is subject to the Company having sufficient eligible trade accounts receivable in the United States to support desired borrowings. The Company expects to repay the $550 million Notes due April 2026 using cash on hand and availability under the Credit Facility.</w:t>
      </w:r>
    </w:p>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2026, the Company had an average daily balance outstanding of approximately $774.9 million under the Credit Facility, and approximately $484.7 million under the Securitization Program. The Company also has average borrowings that are higher than quarter end borrowings from various lines of credit, financing arrangements, and other forms of bank debt in the U.S. and various foreign locations.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September 27, 2025, the Company does not expect to repurchase additional shares until its’ consolidated leverage ratio returns to historical levels. When share repurchases resume, the Company may repurchase stock from time to time at the discretion of management, subject to strategic considerations, market conditions (including share price), and other factors. The Company may terminate or limit the share repurchase program at any time without prior notice. The Company has $225.8 million of shares of capacity remaining on the share repurchase program approved by the Board of Directors.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historically paid quarterly cash dividends on shares of its common stock, and future dividends are subject to approval by the Board of Directors. During the first quarter of fiscal 2026, the Board of Directors approved a dividend of $0.35 per share, which resulted in $28.5 million of dividend payments during the quarter.</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 </w:t>
      </w:r>
    </w:p>
    <w:p>
      <w:pPr>
        <w:pStyle w:val="TextBody"/>
        <w:bidi w:val="0"/>
        <w:spacing w:before="0" w:after="0"/>
        <w:ind w:left="0" w:right="0" w:firstLine="475"/>
        <w:jc w:val="left"/>
        <w:rPr/>
      </w:pPr>
      <w:r>
        <w:rPr/>
        <w:t>​</w:t>
      </w:r>
    </w:p>
    <w:p>
      <w:pPr>
        <w:pStyle w:val="TextBody"/>
        <w:bidi w:val="0"/>
        <w:spacing w:before="0" w:after="200"/>
        <w:ind w:left="0" w:right="0" w:firstLine="475"/>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See Note 1, “Basis of presentation and new accounting pronouncements” to the Company’s consolidated financial statements included in this Quarterly Report on Form 10-Q for a description of recently issued accounting pronouncements.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5" w:name="Item_3_Quantitative_and_Qualitative_Disc"/>
      <w:bookmarkStart w:id="966" w:name="_01944266_4f7d_403d_804f_6dd2fd4e9557"/>
      <w:bookmarkStart w:id="967" w:name="Item_3_Quantitative_and_Qualitative_Disc"/>
      <w:bookmarkStart w:id="968" w:name="_01944266_4f7d_403d_804f_6dd2fd4e9557"/>
      <w:bookmarkEnd w:id="967"/>
      <w:bookmarkEnd w:id="968"/>
    </w:p>
    <w:tbl>
      <w:tblPr>
        <w:tblW w:w="5852" w:type="dxa"/>
        <w:jc w:val="left"/>
        <w:tblInd w:w="0" w:type="dxa"/>
        <w:tblLayout w:type="fixed"/>
        <w:tblCellMar>
          <w:top w:w="0" w:type="dxa"/>
          <w:left w:w="0" w:type="dxa"/>
          <w:bottom w:w="0" w:type="dxa"/>
          <w:right w:w="0" w:type="dxa"/>
        </w:tblCellMar>
      </w:tblPr>
      <w:tblGrid>
        <w:gridCol w:w="706"/>
        <w:gridCol w:w="514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3.</w:t>
            </w:r>
          </w:p>
        </w:tc>
        <w:tc>
          <w:tcPr>
            <w:tcW w:w="514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Quantitative and Qualitative Disclosures About Market Risk</w:t>
            </w:r>
          </w:p>
        </w:tc>
      </w:tr>
    </w:tbl>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in the Company’s Annual Report on Form 10-K for the fiscal year ended June 28, 2025, for further discussion of market risks associated with foreign currency exchange rates and interest rates. Avnet’s exposure to such risks has not changed materially since June 28, 2025,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Liquidity and Capital Resources — Financing Transactions</w:t>
      </w:r>
      <w:r>
        <w:rPr>
          <w:rFonts w:ascii="Times New Roman;Times;serif" w:hAnsi="Times New Roman;Times;serif"/>
          <w:sz w:val="20"/>
        </w:rPr>
        <w:t xml:space="preserve"> appearing in Item 2 of this Quarterly Report on Form 10-Q for further discussion of the Company’s financing transactions and capital structure. As of September 27, 2025, approximately 77% of the Company’s debt bears interest at a fixed rate and 23% of the Company’s debt bears interest at variable rates. Therefore, a hypothetical 1.0% (100 basis points) increase in interest rates would result in a $1.7 million decrease in income before income taxes in the Company’s consolidated statement of operations for the first quarter of fiscal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69" w:name="Item_4_Controls_and_Procedures"/>
      <w:bookmarkStart w:id="970" w:name="_8c1ec2e8_89eb_4eb1_94b2_181449f10618"/>
      <w:bookmarkStart w:id="971" w:name="Item_4_Controls_and_Procedures"/>
      <w:bookmarkStart w:id="972" w:name="_8c1ec2e8_89eb_4eb1_94b2_181449f10618"/>
      <w:bookmarkEnd w:id="971"/>
      <w:bookmarkEnd w:id="972"/>
    </w:p>
    <w:tbl>
      <w:tblPr>
        <w:tblW w:w="2912" w:type="dxa"/>
        <w:jc w:val="left"/>
        <w:tblInd w:w="0" w:type="dxa"/>
        <w:tblLayout w:type="fixed"/>
        <w:tblCellMar>
          <w:top w:w="0" w:type="dxa"/>
          <w:left w:w="0" w:type="dxa"/>
          <w:bottom w:w="0" w:type="dxa"/>
          <w:right w:w="0" w:type="dxa"/>
        </w:tblCellMar>
      </w:tblPr>
      <w:tblGrid>
        <w:gridCol w:w="706"/>
        <w:gridCol w:w="220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4.</w:t>
            </w:r>
          </w:p>
        </w:tc>
        <w:tc>
          <w:tcPr>
            <w:tcW w:w="220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Controls and Procedures</w:t>
            </w:r>
          </w:p>
        </w:tc>
      </w:tr>
    </w:tbl>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2026,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973" w:name="PART_II_OTHER_INFORMATION"/>
      <w:bookmarkStart w:id="974" w:name="_b6f7b574_0bfe_4be6_b085_0f8c9caca141"/>
      <w:bookmarkEnd w:id="973"/>
      <w:bookmarkEnd w:id="974"/>
      <w:r>
        <w:rPr>
          <w:rFonts w:ascii="Times New Roman;Times;serif" w:hAnsi="Times New Roman;Times;serif"/>
          <w:b/>
          <w:sz w:val="20"/>
        </w:rPr>
        <w:t>PART II</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Normal"/>
        <w:bidi w:val="0"/>
        <w:spacing w:before="0" w:after="0"/>
        <w:jc w:val="left"/>
        <w:rPr>
          <w:sz w:val="4"/>
          <w:szCs w:val="4"/>
        </w:rPr>
      </w:pPr>
      <w:r>
        <w:rPr>
          <w:sz w:val="4"/>
          <w:szCs w:val="4"/>
        </w:rPr>
      </w:r>
      <w:bookmarkStart w:id="975" w:name="Item_1_Legal_Proceedings"/>
      <w:bookmarkStart w:id="976" w:name="Item_1_Legal_Proceedings"/>
      <w:bookmarkEnd w:id="976"/>
    </w:p>
    <w:tbl>
      <w:tblPr>
        <w:tblW w:w="2402" w:type="dxa"/>
        <w:jc w:val="left"/>
        <w:tblInd w:w="0" w:type="dxa"/>
        <w:tblLayout w:type="fixed"/>
        <w:tblCellMar>
          <w:top w:w="0" w:type="dxa"/>
          <w:left w:w="0" w:type="dxa"/>
          <w:bottom w:w="0" w:type="dxa"/>
          <w:right w:w="0" w:type="dxa"/>
        </w:tblCellMar>
      </w:tblPr>
      <w:tblGrid>
        <w:gridCol w:w="706"/>
        <w:gridCol w:w="169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w:t>
            </w:r>
          </w:p>
        </w:tc>
        <w:tc>
          <w:tcPr>
            <w:tcW w:w="169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Legal Proceedings</w:t>
            </w:r>
          </w:p>
        </w:tc>
      </w:tr>
    </w:tbl>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77" w:name="Item_1A_Risk_Factors"/>
      <w:bookmarkStart w:id="978" w:name="Item_1A_Risk_Factors"/>
      <w:bookmarkEnd w:id="978"/>
    </w:p>
    <w:tbl>
      <w:tblPr>
        <w:tblW w:w="2057" w:type="dxa"/>
        <w:jc w:val="left"/>
        <w:tblInd w:w="0" w:type="dxa"/>
        <w:tblLayout w:type="fixed"/>
        <w:tblCellMar>
          <w:top w:w="0" w:type="dxa"/>
          <w:left w:w="0" w:type="dxa"/>
          <w:bottom w:w="0" w:type="dxa"/>
          <w:right w:w="0" w:type="dxa"/>
        </w:tblCellMar>
      </w:tblPr>
      <w:tblGrid>
        <w:gridCol w:w="841"/>
        <w:gridCol w:w="1216"/>
      </w:tblGrid>
      <w:tr>
        <w:trPr/>
        <w:tc>
          <w:tcPr>
            <w:tcW w:w="841"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1A.</w:t>
            </w:r>
          </w:p>
        </w:tc>
        <w:tc>
          <w:tcPr>
            <w:tcW w:w="121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Risk Factors</w:t>
            </w:r>
          </w:p>
        </w:tc>
      </w:tr>
    </w:tbl>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discussion of the Company’s business and operations should be read together with the risk factors contained in Item 1A of its Annual Report on Form 10-K for the fiscal year ended June 28, 2025,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September 27, 2025, there have been no material changes to the risk factors set forth in the Company’s Annual Report on Form 10-K for the fiscal year ended June 28, 2025.</w:t>
      </w:r>
    </w:p>
    <w:p>
      <w:pPr>
        <w:pStyle w:val="TextBody"/>
        <w:bidi w:val="0"/>
        <w:spacing w:before="0" w:after="0"/>
        <w:ind w:left="0" w:right="0" w:firstLine="480"/>
        <w:jc w:val="both"/>
        <w:rPr/>
      </w:pPr>
      <w:r>
        <w:rPr/>
        <w:t>​</w:t>
      </w:r>
    </w:p>
    <w:p>
      <w:pPr>
        <w:pStyle w:val="Normal"/>
        <w:bidi w:val="0"/>
        <w:spacing w:before="0" w:after="0"/>
        <w:jc w:val="left"/>
        <w:rPr>
          <w:sz w:val="4"/>
          <w:szCs w:val="4"/>
        </w:rPr>
      </w:pPr>
      <w:r>
        <w:rPr>
          <w:sz w:val="4"/>
          <w:szCs w:val="4"/>
        </w:rPr>
      </w:r>
      <w:bookmarkStart w:id="979" w:name="Item_2_Unregistered_Sales_of_Equity_Secu"/>
      <w:bookmarkStart w:id="980" w:name="Item_2_Unregistered_Sales_of_Equity_Secu"/>
      <w:bookmarkEnd w:id="980"/>
    </w:p>
    <w:tbl>
      <w:tblPr>
        <w:tblW w:w="5777" w:type="dxa"/>
        <w:jc w:val="left"/>
        <w:tblInd w:w="0" w:type="dxa"/>
        <w:tblLayout w:type="fixed"/>
        <w:tblCellMar>
          <w:top w:w="0" w:type="dxa"/>
          <w:left w:w="0" w:type="dxa"/>
          <w:bottom w:w="0" w:type="dxa"/>
          <w:right w:w="0" w:type="dxa"/>
        </w:tblCellMar>
      </w:tblPr>
      <w:tblGrid>
        <w:gridCol w:w="706"/>
        <w:gridCol w:w="5071"/>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2.</w:t>
            </w:r>
          </w:p>
        </w:tc>
        <w:tc>
          <w:tcPr>
            <w:tcW w:w="5071"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Unregistered Sales of Equity Securities and Use of Proceeds</w:t>
            </w:r>
          </w:p>
        </w:tc>
      </w:tr>
    </w:tbl>
    <w:p>
      <w:pPr>
        <w:pStyle w:val="TextBody"/>
        <w:bidi w:val="0"/>
        <w:spacing w:before="0" w:after="0"/>
        <w:ind w:left="0" w:right="0" w:firstLine="475"/>
        <w:jc w:val="left"/>
        <w:rPr>
          <w:rFonts w:ascii="Times New Roman;Times;serif" w:hAnsi="Times New Roman;Times;serif"/>
          <w:sz w:val="20"/>
        </w:rPr>
      </w:pPr>
      <w:bookmarkStart w:id="981" w:name="_Hlk176516288"/>
      <w:bookmarkEnd w:id="981"/>
      <w:r>
        <w:rPr>
          <w:rFonts w:ascii="Times New Roman;Times;serif" w:hAnsi="Times New Roman;Times;serif"/>
          <w:sz w:val="20"/>
        </w:rPr>
        <w:t>The Company’s Board of Directors has approved the repurchase plan of up to an aggregate of $600 million of common stock. The following table includes the Company’s monthly purchases of the Company’s common stock, excluding excise tax, during the first quarter of fiscal 2026, under the share repurchase program, which is part of publicly announced plans, in addition to the shares repurchased concurrently with the Company’s issuance of its Convertible Notes (refer to Note 4).</w:t>
      </w:r>
    </w:p>
    <w:p>
      <w:pPr>
        <w:pStyle w:val="TextBody"/>
        <w:bidi w:val="0"/>
        <w:spacing w:before="0" w:after="0"/>
        <w:ind w:left="0" w:right="0" w:firstLine="480"/>
        <w:jc w:val="left"/>
        <w:rPr/>
      </w:pPr>
      <w:r>
        <w:rPr/>
        <w:t>​</w:t>
      </w:r>
    </w:p>
    <w:tbl>
      <w:tblPr>
        <w:tblW w:w="9330" w:type="dxa"/>
        <w:jc w:val="left"/>
        <w:tblInd w:w="0" w:type="dxa"/>
        <w:tblLayout w:type="fixed"/>
        <w:tblCellMar>
          <w:top w:w="0" w:type="dxa"/>
          <w:left w:w="0" w:type="dxa"/>
          <w:bottom w:w="0" w:type="dxa"/>
          <w:right w:w="0" w:type="dxa"/>
        </w:tblCellMar>
      </w:tblPr>
      <w:tblGrid>
        <w:gridCol w:w="2266"/>
        <w:gridCol w:w="326"/>
        <w:gridCol w:w="991"/>
        <w:gridCol w:w="326"/>
        <w:gridCol w:w="222"/>
        <w:gridCol w:w="604"/>
        <w:gridCol w:w="326"/>
        <w:gridCol w:w="1771"/>
        <w:gridCol w:w="326"/>
        <w:gridCol w:w="171"/>
        <w:gridCol w:w="1810"/>
        <w:gridCol w:w="1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438910" cy="175260"/>
                      <wp:effectExtent l="0" t="0" r="0" b="0"/>
                      <wp:wrapNone/>
                      <wp:docPr id="214" name="Frame214"/>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29285" cy="175260"/>
                      <wp:effectExtent l="0" t="0" r="0" b="0"/>
                      <wp:wrapNone/>
                      <wp:docPr id="216" name="Frame21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40970" cy="175260"/>
                      <wp:effectExtent l="0" t="0" r="0" b="0"/>
                      <wp:wrapNone/>
                      <wp:docPr id="218" name="Frame21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3540" cy="175260"/>
                      <wp:effectExtent l="0" t="0" r="0" b="0"/>
                      <wp:wrapNone/>
                      <wp:docPr id="219" name="Frame219"/>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24585" cy="175260"/>
                      <wp:effectExtent l="0" t="0" r="0" b="0"/>
                      <wp:wrapNone/>
                      <wp:docPr id="221" name="Frame221"/>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08585" cy="175260"/>
                      <wp:effectExtent l="0" t="0" r="0" b="0"/>
                      <wp:wrapNone/>
                      <wp:docPr id="223" name="Frame223"/>
                      <a:graphic xmlns:a="http://schemas.openxmlformats.org/drawingml/2006/main">
                        <a:graphicData uri="http://schemas.microsoft.com/office/word/2010/wordprocessingShape">
                          <wps:wsp>
                            <wps:cNvSpPr txBox="1"/>
                            <wps:spPr>
                              <a:xfrm>
                                <a:off x="0" y="0"/>
                                <a:ext cx="10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149350" cy="175260"/>
                      <wp:effectExtent l="0" t="0" r="0" b="0"/>
                      <wp:wrapNone/>
                      <wp:docPr id="224" name="Frame224"/>
                      <a:graphic xmlns:a="http://schemas.openxmlformats.org/drawingml/2006/main">
                        <a:graphicData uri="http://schemas.microsoft.com/office/word/2010/wordprocessingShape">
                          <wps:wsp>
                            <wps:cNvSpPr txBox="1"/>
                            <wps:spPr>
                              <a:xfrm>
                                <a:off x="0" y="0"/>
                                <a:ext cx="1149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1285" cy="175260"/>
                      <wp:effectExtent l="0" t="0" r="0" b="0"/>
                      <wp:wrapNone/>
                      <wp:docPr id="225" name="Frame2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Total Number of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Approximate Dollar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Shares Purchased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Value of Shares That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as Part of Publicly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May Yet Be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Announced Plans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Purchased under the</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vAlign w:val="center"/>
          </w:tcPr>
          <w:p>
            <w:pPr>
              <w:pStyle w:val="TableContents"/>
              <w:bidi w:val="0"/>
              <w:spacing w:before="0" w:after="0"/>
              <w:ind w:left="0" w:right="0" w:hanging="0"/>
              <w:jc w:val="center"/>
              <w:rPr/>
            </w:pPr>
            <w:r>
              <w:rPr/>
              <w:t>    </w:t>
            </w:r>
          </w:p>
        </w:tc>
        <w:tc>
          <w:tcPr>
            <w:tcW w:w="1771" w:type="dxa"/>
            <w:tcBorders>
              <w:bottom w:val="single" w:sz="1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or Programs </w:t>
            </w:r>
          </w:p>
        </w:tc>
        <w:tc>
          <w:tcPr>
            <w:tcW w:w="326" w:type="dxa"/>
            <w:tcBorders/>
            <w:vAlign w:val="center"/>
          </w:tcPr>
          <w:p>
            <w:pPr>
              <w:pStyle w:val="TableContents"/>
              <w:bidi w:val="0"/>
              <w:spacing w:before="0" w:after="0"/>
              <w:ind w:left="0" w:right="0" w:hanging="0"/>
              <w:jc w:val="center"/>
              <w:rPr/>
            </w:pPr>
            <w:r>
              <w:rPr/>
              <w:t>    </w:t>
            </w:r>
          </w:p>
        </w:tc>
        <w:tc>
          <w:tcPr>
            <w:tcW w:w="19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Plans or Programs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29 – July 26</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268,630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54.04</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268,630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349,602,000</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27 – August 23</w:t>
            </w:r>
          </w:p>
        </w:tc>
        <w:tc>
          <w:tcPr>
            <w:tcW w:w="326" w:type="dxa"/>
            <w:tcBorders/>
            <w:vAlign w:val="center"/>
          </w:tcPr>
          <w:p>
            <w:pPr>
              <w:pStyle w:val="TableContents"/>
              <w:bidi w:val="0"/>
              <w:spacing w:before="0" w:after="0"/>
              <w:ind w:left="0" w:right="0" w:hanging="0"/>
              <w:jc w:val="left"/>
              <w:rPr>
                <w:color w:val="575757"/>
              </w:rPr>
            </w:pPr>
            <w:r>
              <w:rPr>
                <w:color w:val="575757"/>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456,297</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456,297</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171" w:type="dxa"/>
            <w:tcBorders/>
            <w:vAlign w:val="center"/>
          </w:tcPr>
          <w:p>
            <w:pPr>
              <w:pStyle w:val="TableContents"/>
              <w:bidi w:val="0"/>
              <w:spacing w:before="0" w:after="0"/>
              <w:ind w:left="0" w:right="0" w:hanging="0"/>
              <w:jc w:val="left"/>
              <w:rPr/>
            </w:pPr>
            <w:r>
              <w:rPr/>
              <w:t>​</w:t>
            </w:r>
          </w:p>
        </w:tc>
        <w:tc>
          <w:tcPr>
            <w:tcW w:w="1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325,813,000</w:t>
            </w:r>
          </w:p>
        </w:tc>
        <w:tc>
          <w:tcPr>
            <w:tcW w:w="191"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24 – September 27</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1,921,229</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52.05</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1,921,229</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171" w:type="dxa"/>
            <w:tcBorders/>
            <w:shd w:fill="CCEEFF" w:val="clear"/>
            <w:vAlign w:val="center"/>
          </w:tcPr>
          <w:p>
            <w:pPr>
              <w:pStyle w:val="TableContents"/>
              <w:bidi w:val="0"/>
              <w:spacing w:before="0" w:after="0"/>
              <w:ind w:left="0" w:right="0" w:hanging="0"/>
              <w:jc w:val="left"/>
              <w:rPr/>
            </w:pPr>
            <w:r>
              <w:rPr/>
              <w:t>​</w:t>
            </w:r>
          </w:p>
        </w:tc>
        <w:tc>
          <w:tcPr>
            <w:tcW w:w="1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225,813,000</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480"/>
        <w:jc w:val="left"/>
        <w:rPr/>
      </w:pPr>
      <w:r>
        <w:rPr/>
        <w:t>​</w:t>
      </w:r>
    </w:p>
    <w:p>
      <w:pPr>
        <w:pStyle w:val="TextBody"/>
        <w:bidi w:val="0"/>
        <w:spacing w:before="0" w:after="0"/>
        <w:ind w:left="0" w:right="0" w:firstLine="48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8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82" w:name="Item_6_Exhibits"/>
      <w:bookmarkStart w:id="983" w:name="_77e8ee0c_3bde_48f9_8f39_b8b5e3773bb9"/>
      <w:bookmarkStart w:id="984" w:name="Item_6_Exhibits"/>
      <w:bookmarkStart w:id="985" w:name="_77e8ee0c_3bde_48f9_8f39_b8b5e3773bb9"/>
      <w:bookmarkEnd w:id="984"/>
      <w:bookmarkEnd w:id="985"/>
    </w:p>
    <w:tbl>
      <w:tblPr>
        <w:tblW w:w="1562" w:type="dxa"/>
        <w:jc w:val="left"/>
        <w:tblInd w:w="0" w:type="dxa"/>
        <w:tblLayout w:type="fixed"/>
        <w:tblCellMar>
          <w:top w:w="0" w:type="dxa"/>
          <w:left w:w="0" w:type="dxa"/>
          <w:bottom w:w="0" w:type="dxa"/>
          <w:right w:w="0" w:type="dxa"/>
        </w:tblCellMar>
      </w:tblPr>
      <w:tblGrid>
        <w:gridCol w:w="706"/>
        <w:gridCol w:w="856"/>
      </w:tblGrid>
      <w:tr>
        <w:trPr/>
        <w:tc>
          <w:tcPr>
            <w:tcW w:w="706" w:type="dxa"/>
            <w:tcBorders/>
            <w:vAlign w:val="center"/>
          </w:tcPr>
          <w:p>
            <w:pPr>
              <w:pStyle w:val="TableContents"/>
              <w:bidi w:val="0"/>
              <w:spacing w:before="0" w:after="200"/>
              <w:jc w:val="left"/>
              <w:rPr>
                <w:rFonts w:ascii="Times New Roman;Times;serif" w:hAnsi="Times New Roman;Times;serif"/>
                <w:b/>
                <w:sz w:val="20"/>
              </w:rPr>
            </w:pPr>
            <w:r>
              <w:rPr>
                <w:rFonts w:ascii="Times New Roman;Times;serif" w:hAnsi="Times New Roman;Times;serif"/>
                <w:b/>
                <w:sz w:val="20"/>
              </w:rPr>
              <w:t>Item 6.</w:t>
            </w:r>
          </w:p>
        </w:tc>
        <w:tc>
          <w:tcPr>
            <w:tcW w:w="856" w:type="dxa"/>
            <w:tcBorders/>
            <w:vAlign w:val="center"/>
          </w:tcPr>
          <w:p>
            <w:pPr>
              <w:pStyle w:val="TableContents"/>
              <w:bidi w:val="0"/>
              <w:spacing w:before="0" w:after="200"/>
              <w:jc w:val="left"/>
              <w:rPr>
                <w:rFonts w:ascii="Times New Roman;Times;serif" w:hAnsi="Times New Roman;Times;serif"/>
                <w:b/>
                <w:i/>
                <w:sz w:val="20"/>
              </w:rPr>
            </w:pPr>
            <w:r>
              <w:rPr>
                <w:rFonts w:ascii="Times New Roman;Times;serif" w:hAnsi="Times New Roman;Times;serif"/>
                <w:b/>
                <w:i/>
                <w:sz w:val="20"/>
              </w:rPr>
              <w:t>Exhibits</w:t>
            </w:r>
          </w:p>
        </w:tc>
      </w:tr>
    </w:tbl>
    <w:tbl>
      <w:tblPr>
        <w:tblW w:w="10205" w:type="dxa"/>
        <w:jc w:val="left"/>
        <w:tblInd w:w="0" w:type="dxa"/>
        <w:tblLayout w:type="fixed"/>
        <w:tblCellMar>
          <w:top w:w="0" w:type="dxa"/>
          <w:left w:w="0" w:type="dxa"/>
          <w:bottom w:w="0" w:type="dxa"/>
          <w:right w:w="0" w:type="dxa"/>
        </w:tblCellMar>
      </w:tblPr>
      <w:tblGrid>
        <w:gridCol w:w="927"/>
        <w:gridCol w:w="326"/>
        <w:gridCol w:w="8952"/>
      </w:tblGrid>
      <w:tr>
        <w:trPr/>
        <w:tc>
          <w:tcPr>
            <w:tcW w:w="927"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bottom w:val="single" w:sz="8" w:space="0" w:color="000000"/>
            </w:tcBorders>
            <w:tcMar>
              <w:bottom w:w="40" w:type="dxa"/>
            </w:tcM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8" w:space="0" w:color="000000"/>
            </w:tcBorders>
            <w:tcMar>
              <w:bottom w:w="40" w:type="dxa"/>
            </w:tcMar>
            <w:vAlign w:val="center"/>
          </w:tcPr>
          <w:p>
            <w:pPr>
              <w:pStyle w:val="TableContents"/>
              <w:bidi w:val="0"/>
              <w:spacing w:before="0" w:after="0"/>
              <w:ind w:left="0" w:right="0" w:hanging="0"/>
              <w:jc w:val="left"/>
              <w:rPr/>
            </w:pPr>
            <w:r>
              <w:rPr/>
              <w:t>    </w:t>
            </w:r>
          </w:p>
        </w:tc>
        <w:tc>
          <w:tcPr>
            <w:tcW w:w="8952"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r>
      <w:tr>
        <w:trPr/>
        <w:tc>
          <w:tcPr>
            <w:tcW w:w="927"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both"/>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50927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50927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50927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50927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 the instance document does not appear in the Interactive Data File because its XBRL tags are embedded within the Inline XBRL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86" w:name="Signature_Page"/>
      <w:bookmarkStart w:id="987" w:name="_7af24e95_9fd7_40d9_b330_2722fc4a7981"/>
      <w:bookmarkEnd w:id="986"/>
      <w:bookmarkEnd w:id="987"/>
      <w:r>
        <w:rPr>
          <w:rFonts w:ascii="Times New Roman;Times;serif" w:hAnsi="Times New Roman;Times;serif"/>
          <w:b/>
          <w:sz w:val="20"/>
        </w:rPr>
        <w:t>SIGNATURE</w:t>
      </w:r>
    </w:p>
    <w:p>
      <w:pPr>
        <w:pStyle w:val="TextBody"/>
        <w:bidi w:val="0"/>
        <w:spacing w:before="20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31, 2025</w:t>
      </w:r>
    </w:p>
    <w:tbl>
      <w:tblPr>
        <w:tblW w:w="3081" w:type="dxa"/>
        <w:jc w:val="left"/>
        <w:tblInd w:w="0" w:type="dxa"/>
        <w:tblLayout w:type="fixed"/>
        <w:tblCellMar>
          <w:top w:w="0" w:type="dxa"/>
          <w:left w:w="0" w:type="dxa"/>
          <w:bottom w:w="0" w:type="dxa"/>
          <w:right w:w="0" w:type="dxa"/>
        </w:tblCellMar>
      </w:tblPr>
      <w:tblGrid>
        <w:gridCol w:w="124"/>
        <w:gridCol w:w="406"/>
        <w:gridCol w:w="2551"/>
      </w:tblGrid>
      <w:tr>
        <w:trPr/>
        <w:tc>
          <w:tcPr>
            <w:tcW w:w="124" w:type="dxa"/>
            <w:tcBorders/>
            <w:vAlign w:val="center"/>
          </w:tcPr>
          <w:p>
            <w:pPr>
              <w:pStyle w:val="TableContents"/>
              <w:bidi w:val="0"/>
              <w:spacing w:before="0" w:after="0"/>
              <w:ind w:left="0" w:right="0" w:hanging="0"/>
              <w:jc w:val="left"/>
              <w:rPr/>
            </w:pPr>
            <w:r>
              <w:rPr/>
              <w:t>​</w:t>
            </w:r>
          </w:p>
        </w:tc>
        <w:tc>
          <w:tcPr>
            <w:tcW w:w="29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343" w:before="0" w:after="0"/>
        <w:ind w:left="0" w:right="0" w:hanging="0"/>
        <w:jc w:val="left"/>
        <w:rPr/>
      </w:pPr>
      <w:bookmarkStart w:id="988" w:name="avt-20250927xex31d1.htm"/>
      <w:bookmarkStart w:id="989" w:name="ksavt20250927xex31d1"/>
      <w:bookmarkEnd w:id="988"/>
      <w:bookmarkEnd w:id="989"/>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990" w:name="Ex_311"/>
      <w:bookmarkEnd w:id="990"/>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Philip R. Gallagher,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October 31, 2025</w:t>
      </w:r>
    </w:p>
    <w:p>
      <w:pPr>
        <w:pStyle w:val="TextBody"/>
        <w:bidi w:val="0"/>
        <w:spacing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15085" cy="175260"/>
                      <wp:effectExtent l="0" t="0" r="0" b="0"/>
                      <wp:wrapNone/>
                      <wp:docPr id="226" name="Frame22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15085" cy="332740"/>
                      <wp:effectExtent l="0" t="0" r="0" b="0"/>
                      <wp:wrapNone/>
                      <wp:docPr id="227" name="Frame227"/>
                      <a:graphic xmlns:a="http://schemas.openxmlformats.org/drawingml/2006/main">
                        <a:graphicData uri="http://schemas.microsoft.com/office/word/2010/wordprocessingShape">
                          <wps:wsp>
                            <wps:cNvSpPr txBox="1"/>
                            <wps:spPr>
                              <a:xfrm>
                                <a:off x="0" y="0"/>
                                <a:ext cx="1315085" cy="332740"/>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8740" cy="175260"/>
                      <wp:effectExtent l="0" t="0" r="0" b="0"/>
                      <wp:wrapNone/>
                      <wp:docPr id="228" name="Frame22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c>
          <w:tcPr>
            <w:tcW w:w="20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15085" cy="146685"/>
                      <wp:effectExtent l="0" t="0" r="0" b="0"/>
                      <wp:wrapNone/>
                      <wp:docPr id="229" name="Frame229"/>
                      <a:graphic xmlns:a="http://schemas.openxmlformats.org/drawingml/2006/main">
                        <a:graphicData uri="http://schemas.microsoft.com/office/word/2010/wordprocessingShape">
                          <wps:wsp>
                            <wps:cNvSpPr txBox="1"/>
                            <wps:spPr>
                              <a:xfrm>
                                <a:off x="0" y="0"/>
                                <a:ext cx="1315085" cy="146685"/>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91" w:name="avt-20250927xex31d2.htm"/>
      <w:bookmarkStart w:id="992" w:name="ksavt20250927xex31d2"/>
      <w:bookmarkEnd w:id="991"/>
      <w:bookmarkEnd w:id="992"/>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bookmarkStart w:id="993" w:name="Ex_312"/>
      <w:bookmarkEnd w:id="993"/>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Kenneth A. Jacobson,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Date: October 31, 2025 </w:t>
      </w:r>
    </w:p>
    <w:p>
      <w:pPr>
        <w:pStyle w:val="TextBody"/>
        <w:bidi w:val="0"/>
        <w:spacing w:lineRule="atLeast" w:line="200" w:before="0" w:after="0"/>
        <w:ind w:left="0" w:right="0" w:hanging="0"/>
        <w:jc w:val="left"/>
        <w:rPr/>
      </w:pPr>
      <w:r>
        <w:rPr/>
        <w:t>​</w:t>
      </w:r>
    </w:p>
    <w:tbl>
      <w:tblPr>
        <w:tblW w:w="2135" w:type="dxa"/>
        <w:jc w:val="righ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276985" cy="175260"/>
                      <wp:effectExtent l="0" t="0" r="0" b="0"/>
                      <wp:wrapNone/>
                      <wp:docPr id="230" name="Frame23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76985" cy="293370"/>
                      <wp:effectExtent l="0" t="0" r="0" b="0"/>
                      <wp:wrapNone/>
                      <wp:docPr id="231" name="Frame231"/>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78740" cy="175260"/>
                      <wp:effectExtent l="0" t="0" r="0" b="0"/>
                      <wp:wrapNone/>
                      <wp:docPr id="232" name="Frame23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76985" cy="146685"/>
                      <wp:effectExtent l="0" t="0" r="0" b="0"/>
                      <wp:wrapNone/>
                      <wp:docPr id="233" name="Frame233"/>
                      <a:graphic xmlns:a="http://schemas.openxmlformats.org/drawingml/2006/main">
                        <a:graphicData uri="http://schemas.microsoft.com/office/word/2010/wordprocessingShape">
                          <wps:wsp>
                            <wps:cNvSpPr txBox="1"/>
                            <wps:spPr>
                              <a:xfrm>
                                <a:off x="0" y="0"/>
                                <a:ext cx="12769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94" w:name="avt-20250927xex32d1.htm"/>
      <w:bookmarkStart w:id="995" w:name="ksavt20250927xex32d1"/>
      <w:bookmarkEnd w:id="994"/>
      <w:bookmarkEnd w:id="995"/>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996" w:name="Ex_321"/>
      <w:bookmarkEnd w:id="996"/>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September 27, 2025 (the “Report”), I, Philip R. Gallagher, Chief Executive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October 31, 2025</w:t>
      </w:r>
    </w:p>
    <w:p>
      <w:pPr>
        <w:pStyle w:val="TextBody"/>
        <w:bidi w:val="0"/>
        <w:spacing w:lineRule="atLeast" w:line="200"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15085" cy="175260"/>
                      <wp:effectExtent l="0" t="0" r="0" b="0"/>
                      <wp:wrapNone/>
                      <wp:docPr id="234" name="Frame234"/>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15085" cy="293370"/>
                      <wp:effectExtent l="0" t="0" r="0" b="0"/>
                      <wp:wrapNone/>
                      <wp:docPr id="235" name="Frame235"/>
                      <a:graphic xmlns:a="http://schemas.openxmlformats.org/drawingml/2006/main">
                        <a:graphicData uri="http://schemas.microsoft.com/office/word/2010/wordprocessingShape">
                          <wps:wsp>
                            <wps:cNvSpPr txBox="1"/>
                            <wps:spPr>
                              <a:xfrm>
                                <a:off x="0" y="0"/>
                                <a:ext cx="13150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97" w:name="avt-20250927xex32d2.htm"/>
      <w:bookmarkStart w:id="998" w:name="ksavt20250927xex32d2"/>
      <w:bookmarkEnd w:id="997"/>
      <w:bookmarkEnd w:id="998"/>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bookmarkStart w:id="999" w:name="Ex_322"/>
      <w:bookmarkEnd w:id="999"/>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September 27, 2025 (the “Report”), I, Kenneth A. Jacobson, Chief Financial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October 31, 2025</w:t>
      </w:r>
    </w:p>
    <w:p>
      <w:pPr>
        <w:pStyle w:val="TextBody"/>
        <w:bidi w:val="0"/>
        <w:spacing w:lineRule="atLeast" w:line="200" w:before="0" w:after="0"/>
        <w:ind w:left="0" w:right="0" w:hanging="0"/>
        <w:jc w:val="left"/>
        <w:rPr/>
      </w:pPr>
      <w:r>
        <w:rPr/>
        <w:t>​</w:t>
      </w:r>
    </w:p>
    <w:tbl>
      <w:tblPr>
        <w:tblW w:w="2135" w:type="dxa"/>
        <w:jc w:val="center"/>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276985" cy="175260"/>
                      <wp:effectExtent l="0" t="0" r="0" b="0"/>
                      <wp:wrapNone/>
                      <wp:docPr id="236" name="Frame23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276985" cy="293370"/>
                      <wp:effectExtent l="0" t="0" r="0" b="0"/>
                      <wp:wrapNone/>
                      <wp:docPr id="237" name="Frame237"/>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12711</Words>
  <Characters>71865</Characters>
  <CharactersWithSpaces>85430</CharactersWithSpaces>
  <Paragraphs>3855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