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w:t>
      </w:r>
    </w:p>
    <w:p>
      <w:pPr>
        <w:spacing w:after="0" w:line="2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TO SECTION 13 OR 15(D) OF THE</w:t>
      </w: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October 26, 2000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 V N E T, I N 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22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1-4224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11-1890605</w:t>
      </w:r>
    </w:p>
    <w:p>
      <w:pPr>
        <w:spacing w:after="0" w:line="2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3">
            <w:col w:w="3300" w:space="720"/>
            <w:col w:w="1380" w:space="720"/>
            <w:col w:w="4099"/>
          </w:cols>
          <w:pgMar w:left="240" w:top="218"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2211 South 47th Street, Phoenix, Arizona</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Courier New" w:cs="Courier New" w:eastAsia="Courier New" w:hAnsi="Courier New"/>
          <w:sz w:val="18"/>
          <w:szCs w:val="18"/>
          <w:color w:val="auto"/>
        </w:rPr>
        <w:t>85034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340" w:space="720"/>
            <w:col w:w="3159"/>
          </w:cols>
          <w:pgMar w:left="240" w:top="218" w:right="1440" w:bottom="1440" w:gutter="0" w:footer="0" w:header="0"/>
          <w:type w:val="continuous"/>
        </w:sectPr>
      </w:pP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(480) 643-2000</w:t>
      </w:r>
    </w:p>
    <w:p>
      <w:pPr>
        <w:spacing w:after="0" w:line="200" w:lineRule="exact"/>
        <w:rPr>
          <w:sz w:val="24"/>
          <w:szCs w:val="24"/>
          <w:color w:val="auto"/>
        </w:rPr>
      </w:pPr>
    </w:p>
    <w:p>
      <w:pPr>
        <w:sectPr>
          <w:pgSz w:w="11900" w:h="16838" w:orient="portrait"/>
          <w:cols w:equalWidth="0" w:num="2">
            <w:col w:w="5280" w:space="200"/>
            <w:col w:w="4739"/>
          </w:cols>
          <w:pgMar w:left="240" w:top="218" w:right="1440" w:bottom="1440" w:gutter="0" w:footer="0" w:header="0"/>
          <w:type w:val="continuous"/>
        </w:sectPr>
      </w:pPr>
    </w:p>
    <w:p>
      <w:pPr>
        <w:spacing w:after="0" w:line="22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169" w:lineRule="exact"/>
        <w:rPr>
          <w:sz w:val="20"/>
          <w:szCs w:val="20"/>
          <w:color w:val="auto"/>
        </w:rPr>
      </w:pPr>
    </w:p>
    <w:p>
      <w:pPr>
        <w:ind w:left="960" w:right="2099"/>
        <w:spacing w:after="0" w:line="402" w:lineRule="auto"/>
        <w:rPr>
          <w:sz w:val="20"/>
          <w:szCs w:val="20"/>
          <w:color w:val="auto"/>
        </w:rPr>
      </w:pPr>
      <w:r>
        <w:rPr>
          <w:rFonts w:ascii="Courier New" w:cs="Courier New" w:eastAsia="Courier New" w:hAnsi="Courier New"/>
          <w:sz w:val="16"/>
          <w:szCs w:val="16"/>
          <w:color w:val="auto"/>
        </w:rPr>
        <w:t>The following Press Release of Avnet, Inc. was issued on October 26, 2000. Such Press Release is filed as Exhibit 99 attached hereto.</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99.</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Inapplicable.</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(electronic filing only)</w:t>
      </w:r>
    </w:p>
    <w:p>
      <w:pPr>
        <w:spacing w:after="0" w:line="223" w:lineRule="exact"/>
        <w:rPr>
          <w:rFonts w:ascii="Courier New" w:cs="Courier New" w:eastAsia="Courier New" w:hAnsi="Courier New"/>
          <w:sz w:val="16"/>
          <w:szCs w:val="16"/>
          <w:color w:val="auto"/>
        </w:rPr>
      </w:pPr>
    </w:p>
    <w:p>
      <w:pPr>
        <w:ind w:left="3280" w:hanging="428"/>
        <w:spacing w:after="0"/>
        <w:tabs>
          <w:tab w:leader="none" w:pos="3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of Avnet,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other item of this report form is presently applicable to the Registrant.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I G N A T U R E</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AVNET, INC.</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85"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26, 2000</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Raymond Sadowski</w:t>
      </w:r>
    </w:p>
    <w:p>
      <w:pPr>
        <w:spacing w:after="0" w:line="75" w:lineRule="exact"/>
        <w:rPr>
          <w:sz w:val="20"/>
          <w:szCs w:val="20"/>
          <w:color w:val="auto"/>
        </w:rPr>
      </w:pPr>
    </w:p>
    <w:p>
      <w:pPr>
        <w:sectPr>
          <w:pgSz w:w="11900" w:h="16838" w:orient="portrait"/>
          <w:cols w:equalWidth="0" w:num="2">
            <w:col w:w="3920" w:space="720"/>
            <w:col w:w="5579"/>
          </w:cols>
          <w:pgMar w:left="240" w:top="285" w:right="1440" w:bottom="1440" w:gutter="0" w:footer="0" w:header="0"/>
          <w:type w:val="continuous"/>
        </w:sectPr>
      </w:pPr>
    </w:p>
    <w:p>
      <w:pPr>
        <w:ind w:left="4960"/>
        <w:spacing w:after="0"/>
        <w:rPr>
          <w:sz w:val="20"/>
          <w:szCs w:val="20"/>
          <w:color w:val="auto"/>
        </w:rPr>
      </w:pPr>
      <w:r>
        <w:rPr>
          <w:rFonts w:ascii="Courier New" w:cs="Courier New" w:eastAsia="Courier New" w:hAnsi="Courier New"/>
          <w:sz w:val="16"/>
          <w:szCs w:val="16"/>
          <w:color w:val="auto"/>
        </w:rPr>
        <w:t>_______________________________</w:t>
      </w:r>
    </w:p>
    <w:p>
      <w:pPr>
        <w:ind w:left="4960"/>
        <w:spacing w:after="0" w:line="238" w:lineRule="auto"/>
        <w:rPr>
          <w:sz w:val="20"/>
          <w:szCs w:val="20"/>
          <w:color w:val="auto"/>
        </w:rPr>
      </w:pPr>
      <w:r>
        <w:rPr>
          <w:rFonts w:ascii="Courier New" w:cs="Courier New" w:eastAsia="Courier New" w:hAnsi="Courier New"/>
          <w:sz w:val="18"/>
          <w:szCs w:val="18"/>
          <w:color w:val="auto"/>
        </w:rPr>
        <w:t>Raymond Sadowski</w:t>
      </w:r>
    </w:p>
    <w:p>
      <w:pPr>
        <w:ind w:left="4960"/>
        <w:spacing w:after="0"/>
        <w:rPr>
          <w:sz w:val="20"/>
          <w:szCs w:val="20"/>
          <w:color w:val="auto"/>
        </w:rPr>
      </w:pPr>
      <w:r>
        <w:rPr>
          <w:rFonts w:ascii="Courier New" w:cs="Courier New" w:eastAsia="Courier New" w:hAnsi="Courier New"/>
          <w:sz w:val="18"/>
          <w:szCs w:val="18"/>
          <w:color w:val="auto"/>
        </w:rPr>
        <w:t>Senior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285"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2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w:t>
            </w:r>
          </w:p>
        </w:tc>
        <w:tc>
          <w:tcPr>
            <w:tcW w:w="558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5580" w:type="dxa"/>
            <w:vAlign w:val="bottom"/>
          </w:tcPr>
          <w:p>
            <w:pPr>
              <w:ind w:left="1360"/>
              <w:spacing w:after="0"/>
              <w:rPr>
                <w:sz w:val="20"/>
                <w:szCs w:val="20"/>
                <w:color w:val="auto"/>
              </w:rPr>
            </w:pPr>
            <w:r>
              <w:rPr>
                <w:rFonts w:ascii="Courier New" w:cs="Courier New" w:eastAsia="Courier New" w:hAnsi="Courier New"/>
                <w:sz w:val="18"/>
                <w:szCs w:val="18"/>
                <w:color w:val="auto"/>
              </w:rPr>
              <w:t>EXHIBIT INDEX</w:t>
            </w: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Exhibit Number</w:t>
            </w:r>
          </w:p>
        </w:tc>
        <w:tc>
          <w:tcPr>
            <w:tcW w:w="5580" w:type="dxa"/>
            <w:vAlign w:val="bottom"/>
          </w:tcPr>
          <w:p>
            <w:pPr>
              <w:ind w:left="1900"/>
              <w:spacing w:after="0"/>
              <w:rPr>
                <w:sz w:val="20"/>
                <w:szCs w:val="20"/>
                <w:color w:val="auto"/>
              </w:rPr>
            </w:pPr>
            <w:r>
              <w:rPr>
                <w:rFonts w:ascii="Courier New" w:cs="Courier New" w:eastAsia="Courier New" w:hAnsi="Courier New"/>
                <w:sz w:val="18"/>
                <w:szCs w:val="18"/>
                <w:color w:val="auto"/>
              </w:rPr>
              <w:t>Description of Exhibit</w:t>
            </w: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5580" w:type="dxa"/>
            <w:vAlign w:val="bottom"/>
          </w:tcPr>
          <w:p>
            <w:pPr>
              <w:ind w:left="2100"/>
              <w:spacing w:after="0"/>
              <w:rPr>
                <w:sz w:val="20"/>
                <w:szCs w:val="20"/>
                <w:color w:val="auto"/>
              </w:rPr>
            </w:pPr>
            <w:r>
              <w:rPr>
                <w:rFonts w:ascii="Courier New" w:cs="Courier New" w:eastAsia="Courier New" w:hAnsi="Courier New"/>
                <w:sz w:val="18"/>
                <w:szCs w:val="18"/>
                <w:color w:val="auto"/>
              </w:rPr>
              <w:t>----------------------</w:t>
            </w:r>
          </w:p>
        </w:tc>
      </w:tr>
      <w:tr>
        <w:trPr>
          <w:trHeight w:val="608"/>
        </w:trPr>
        <w:tc>
          <w:tcPr>
            <w:tcW w:w="22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27</w:t>
            </w:r>
          </w:p>
        </w:tc>
        <w:tc>
          <w:tcPr>
            <w:tcW w:w="5580" w:type="dxa"/>
            <w:vAlign w:val="bottom"/>
          </w:tcPr>
          <w:p>
            <w:pPr>
              <w:ind w:left="520"/>
              <w:spacing w:after="0"/>
              <w:rPr>
                <w:sz w:val="20"/>
                <w:szCs w:val="20"/>
                <w:color w:val="auto"/>
              </w:rPr>
            </w:pPr>
            <w:r>
              <w:rPr>
                <w:rFonts w:ascii="Courier New" w:cs="Courier New" w:eastAsia="Courier New" w:hAnsi="Courier New"/>
                <w:sz w:val="18"/>
                <w:szCs w:val="18"/>
                <w:color w:val="auto"/>
                <w:w w:val="97"/>
              </w:rPr>
              <w:t>Financial Data Schedule (electronic filing only)</w:t>
            </w:r>
          </w:p>
        </w:tc>
      </w:tr>
      <w:tr>
        <w:trPr>
          <w:trHeight w:val="405"/>
        </w:trPr>
        <w:tc>
          <w:tcPr>
            <w:tcW w:w="22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99</w:t>
            </w:r>
          </w:p>
        </w:tc>
        <w:tc>
          <w:tcPr>
            <w:tcW w:w="5580" w:type="dxa"/>
            <w:vAlign w:val="bottom"/>
          </w:tcPr>
          <w:p>
            <w:pPr>
              <w:ind w:left="520"/>
              <w:spacing w:after="0"/>
              <w:rPr>
                <w:sz w:val="20"/>
                <w:szCs w:val="20"/>
                <w:color w:val="auto"/>
              </w:rPr>
            </w:pPr>
            <w:r>
              <w:rPr>
                <w:rFonts w:ascii="Courier New" w:cs="Courier New" w:eastAsia="Courier New" w:hAnsi="Courier New"/>
                <w:sz w:val="18"/>
                <w:szCs w:val="18"/>
                <w:color w:val="auto"/>
              </w:rPr>
              <w:t>Press Release of Avnet, Inc.</w:t>
            </w:r>
          </w:p>
        </w:tc>
      </w:tr>
    </w:tbl>
    <w:p>
      <w:pPr>
        <w:sectPr>
          <w:pgSz w:w="11900" w:h="16838" w:orient="portrait"/>
          <w:cols w:equalWidth="0" w:num="1">
            <w:col w:w="10219"/>
          </w:cols>
          <w:pgMar w:left="240" w:top="28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372"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JUN-29-2001</w:t>
      </w:r>
    </w:p>
    <w:p>
      <w:pPr>
        <w:ind w:left="2940"/>
        <w:spacing w:after="0" w:line="238" w:lineRule="auto"/>
        <w:rPr>
          <w:sz w:val="20"/>
          <w:szCs w:val="20"/>
          <w:color w:val="auto"/>
        </w:rPr>
      </w:pPr>
      <w:r>
        <w:rPr>
          <w:rFonts w:ascii="Courier New" w:cs="Courier New" w:eastAsia="Courier New" w:hAnsi="Courier New"/>
          <w:sz w:val="18"/>
          <w:szCs w:val="18"/>
          <w:color w:val="auto"/>
        </w:rPr>
        <w:t>JUL-01-2000</w:t>
      </w:r>
    </w:p>
    <w:p>
      <w:pPr>
        <w:ind w:left="3160"/>
        <w:spacing w:after="0"/>
        <w:rPr>
          <w:sz w:val="20"/>
          <w:szCs w:val="20"/>
          <w:color w:val="auto"/>
        </w:rPr>
      </w:pPr>
      <w:r>
        <w:rPr>
          <w:rFonts w:ascii="Courier New" w:cs="Courier New" w:eastAsia="Courier New" w:hAnsi="Courier New"/>
          <w:sz w:val="18"/>
          <w:szCs w:val="18"/>
          <w:color w:val="auto"/>
        </w:rPr>
        <w:t>SEP-29-2000</w:t>
      </w:r>
    </w:p>
    <w:p>
      <w:pPr>
        <w:ind w:left="4320"/>
        <w:spacing w:after="0" w:line="238" w:lineRule="auto"/>
        <w:rPr>
          <w:sz w:val="20"/>
          <w:szCs w:val="20"/>
          <w:color w:val="auto"/>
        </w:rPr>
      </w:pPr>
      <w:r>
        <w:rPr>
          <w:rFonts w:ascii="Courier New" w:cs="Courier New" w:eastAsia="Courier New" w:hAnsi="Courier New"/>
          <w:sz w:val="18"/>
          <w:szCs w:val="18"/>
          <w:color w:val="auto"/>
        </w:rPr>
        <w:t>63,542</w:t>
      </w:r>
    </w:p>
    <w:p>
      <w:pPr>
        <w:ind w:left="4200"/>
        <w:spacing w:after="0"/>
        <w:rPr>
          <w:sz w:val="20"/>
          <w:szCs w:val="20"/>
          <w:color w:val="auto"/>
        </w:rPr>
      </w:pPr>
      <w:r>
        <w:rPr>
          <w:rFonts w:ascii="Courier New" w:cs="Courier New" w:eastAsia="Courier New" w:hAnsi="Courier New"/>
          <w:sz w:val="18"/>
          <w:szCs w:val="18"/>
          <w:color w:val="auto"/>
        </w:rPr>
        <w:t>0</w:t>
      </w:r>
    </w:p>
    <w:p>
      <w:pPr>
        <w:ind w:left="3260"/>
        <w:spacing w:after="0" w:line="238" w:lineRule="auto"/>
        <w:rPr>
          <w:sz w:val="20"/>
          <w:szCs w:val="20"/>
          <w:color w:val="auto"/>
        </w:rPr>
      </w:pPr>
      <w:r>
        <w:rPr>
          <w:rFonts w:ascii="Courier New" w:cs="Courier New" w:eastAsia="Courier New" w:hAnsi="Courier New"/>
          <w:sz w:val="18"/>
          <w:szCs w:val="18"/>
          <w:color w:val="auto"/>
        </w:rPr>
        <w:t>2,071,416</w:t>
      </w:r>
    </w:p>
    <w:p>
      <w:pPr>
        <w:ind w:left="3680"/>
        <w:spacing w:after="0"/>
        <w:rPr>
          <w:sz w:val="20"/>
          <w:szCs w:val="20"/>
          <w:color w:val="auto"/>
        </w:rPr>
      </w:pPr>
      <w:r>
        <w:rPr>
          <w:rFonts w:ascii="Courier New" w:cs="Courier New" w:eastAsia="Courier New" w:hAnsi="Courier New"/>
          <w:sz w:val="18"/>
          <w:szCs w:val="18"/>
          <w:color w:val="auto"/>
        </w:rPr>
        <w:t>46,524</w:t>
      </w:r>
    </w:p>
    <w:p>
      <w:pPr>
        <w:ind w:left="3460"/>
        <w:spacing w:after="0" w:line="238" w:lineRule="auto"/>
        <w:rPr>
          <w:sz w:val="20"/>
          <w:szCs w:val="20"/>
          <w:color w:val="auto"/>
        </w:rPr>
      </w:pPr>
      <w:r>
        <w:rPr>
          <w:rFonts w:ascii="Courier New" w:cs="Courier New" w:eastAsia="Courier New" w:hAnsi="Courier New"/>
          <w:sz w:val="18"/>
          <w:szCs w:val="18"/>
          <w:color w:val="auto"/>
        </w:rPr>
        <w:t>2,062,628</w:t>
      </w:r>
    </w:p>
    <w:p>
      <w:pPr>
        <w:ind w:left="2940"/>
        <w:spacing w:after="0"/>
        <w:rPr>
          <w:sz w:val="20"/>
          <w:szCs w:val="20"/>
          <w:color w:val="auto"/>
        </w:rPr>
      </w:pPr>
      <w:r>
        <w:rPr>
          <w:rFonts w:ascii="Courier New" w:cs="Courier New" w:eastAsia="Courier New" w:hAnsi="Courier New"/>
          <w:sz w:val="18"/>
          <w:szCs w:val="18"/>
          <w:color w:val="auto"/>
        </w:rPr>
        <w:t>4,226,562</w:t>
      </w:r>
    </w:p>
    <w:p>
      <w:pPr>
        <w:ind w:left="4200"/>
        <w:spacing w:after="0" w:line="238" w:lineRule="auto"/>
        <w:rPr>
          <w:sz w:val="20"/>
          <w:szCs w:val="20"/>
          <w:color w:val="auto"/>
        </w:rPr>
      </w:pPr>
      <w:r>
        <w:rPr>
          <w:rFonts w:ascii="Courier New" w:cs="Courier New" w:eastAsia="Courier New" w:hAnsi="Courier New"/>
          <w:sz w:val="18"/>
          <w:szCs w:val="18"/>
          <w:color w:val="auto"/>
        </w:rPr>
        <w:t>612,170</w:t>
      </w:r>
    </w:p>
    <w:p>
      <w:pPr>
        <w:ind w:left="3360"/>
        <w:spacing w:after="0"/>
        <w:rPr>
          <w:sz w:val="20"/>
          <w:szCs w:val="20"/>
          <w:color w:val="auto"/>
        </w:rPr>
      </w:pPr>
      <w:r>
        <w:rPr>
          <w:rFonts w:ascii="Courier New" w:cs="Courier New" w:eastAsia="Courier New" w:hAnsi="Courier New"/>
          <w:sz w:val="18"/>
          <w:szCs w:val="18"/>
          <w:color w:val="auto"/>
        </w:rPr>
        <w:t>310,159</w:t>
      </w:r>
    </w:p>
    <w:p>
      <w:pPr>
        <w:ind w:left="3160"/>
        <w:spacing w:after="0" w:line="238" w:lineRule="auto"/>
        <w:rPr>
          <w:sz w:val="20"/>
          <w:szCs w:val="20"/>
          <w:color w:val="auto"/>
        </w:rPr>
      </w:pPr>
      <w:r>
        <w:rPr>
          <w:rFonts w:ascii="Courier New" w:cs="Courier New" w:eastAsia="Courier New" w:hAnsi="Courier New"/>
          <w:sz w:val="18"/>
          <w:szCs w:val="18"/>
          <w:color w:val="auto"/>
        </w:rPr>
        <w:t>5,748,732</w:t>
      </w:r>
    </w:p>
    <w:p>
      <w:pPr>
        <w:ind w:left="2420"/>
        <w:spacing w:after="0"/>
        <w:rPr>
          <w:sz w:val="20"/>
          <w:szCs w:val="20"/>
          <w:color w:val="auto"/>
        </w:rPr>
      </w:pPr>
      <w:r>
        <w:rPr>
          <w:rFonts w:ascii="Courier New" w:cs="Courier New" w:eastAsia="Courier New" w:hAnsi="Courier New"/>
          <w:sz w:val="18"/>
          <w:szCs w:val="18"/>
          <w:color w:val="auto"/>
        </w:rPr>
        <w:t>2,294,740</w:t>
      </w:r>
    </w:p>
    <w:p>
      <w:pPr>
        <w:ind w:left="3900"/>
        <w:spacing w:after="0" w:line="238" w:lineRule="auto"/>
        <w:rPr>
          <w:sz w:val="20"/>
          <w:szCs w:val="20"/>
          <w:color w:val="auto"/>
        </w:rPr>
      </w:pPr>
      <w:r>
        <w:rPr>
          <w:rFonts w:ascii="Courier New" w:cs="Courier New" w:eastAsia="Courier New" w:hAnsi="Courier New"/>
          <w:sz w:val="18"/>
          <w:szCs w:val="18"/>
          <w:color w:val="auto"/>
        </w:rPr>
        <w:t>1,378,094</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92,228</w:t>
      </w:r>
    </w:p>
    <w:p>
      <w:pPr>
        <w:ind w:left="3580"/>
        <w:spacing w:after="0" w:line="238" w:lineRule="auto"/>
        <w:rPr>
          <w:sz w:val="20"/>
          <w:szCs w:val="20"/>
          <w:color w:val="auto"/>
        </w:rPr>
      </w:pPr>
      <w:r>
        <w:rPr>
          <w:rFonts w:ascii="Courier New" w:cs="Courier New" w:eastAsia="Courier New" w:hAnsi="Courier New"/>
          <w:sz w:val="18"/>
          <w:szCs w:val="18"/>
          <w:color w:val="auto"/>
        </w:rPr>
        <w:t>1,983,670</w:t>
      </w:r>
    </w:p>
    <w:p>
      <w:pPr>
        <w:ind w:left="1680"/>
        <w:spacing w:after="0"/>
        <w:rPr>
          <w:sz w:val="20"/>
          <w:szCs w:val="20"/>
          <w:color w:val="auto"/>
        </w:rPr>
      </w:pPr>
      <w:r>
        <w:rPr>
          <w:rFonts w:ascii="Courier New" w:cs="Courier New" w:eastAsia="Courier New" w:hAnsi="Courier New"/>
          <w:sz w:val="18"/>
          <w:szCs w:val="18"/>
          <w:color w:val="auto"/>
        </w:rPr>
        <w:t>5,748,732</w:t>
      </w:r>
    </w:p>
    <w:p>
      <w:pPr>
        <w:ind w:left="3900"/>
        <w:spacing w:after="0" w:line="238" w:lineRule="auto"/>
        <w:rPr>
          <w:sz w:val="20"/>
          <w:szCs w:val="20"/>
          <w:color w:val="auto"/>
        </w:rPr>
      </w:pPr>
      <w:r>
        <w:rPr>
          <w:rFonts w:ascii="Courier New" w:cs="Courier New" w:eastAsia="Courier New" w:hAnsi="Courier New"/>
          <w:sz w:val="18"/>
          <w:szCs w:val="18"/>
          <w:color w:val="auto"/>
        </w:rPr>
        <w:t>2,957,227</w:t>
      </w:r>
    </w:p>
    <w:p>
      <w:pPr>
        <w:ind w:left="2940"/>
        <w:spacing w:after="0"/>
        <w:rPr>
          <w:sz w:val="20"/>
          <w:szCs w:val="20"/>
          <w:color w:val="auto"/>
        </w:rPr>
      </w:pPr>
      <w:r>
        <w:rPr>
          <w:rFonts w:ascii="Courier New" w:cs="Courier New" w:eastAsia="Courier New" w:hAnsi="Courier New"/>
          <w:sz w:val="18"/>
          <w:szCs w:val="18"/>
          <w:color w:val="auto"/>
        </w:rPr>
        <w:t>2,957,227</w:t>
      </w:r>
    </w:p>
    <w:p>
      <w:pPr>
        <w:jc w:val="right"/>
        <w:ind w:right="5059"/>
        <w:spacing w:after="0" w:line="238" w:lineRule="auto"/>
        <w:rPr>
          <w:sz w:val="20"/>
          <w:szCs w:val="20"/>
          <w:color w:val="auto"/>
        </w:rPr>
      </w:pPr>
      <w:r>
        <w:rPr>
          <w:rFonts w:ascii="Courier New" w:cs="Courier New" w:eastAsia="Courier New" w:hAnsi="Courier New"/>
          <w:sz w:val="18"/>
          <w:szCs w:val="18"/>
          <w:color w:val="auto"/>
        </w:rPr>
        <w:t>2,517,614</w:t>
      </w:r>
    </w:p>
    <w:p>
      <w:pPr>
        <w:ind w:left="3260"/>
        <w:spacing w:after="0"/>
        <w:rPr>
          <w:sz w:val="20"/>
          <w:szCs w:val="20"/>
          <w:color w:val="auto"/>
        </w:rPr>
      </w:pPr>
      <w:r>
        <w:rPr>
          <w:rFonts w:ascii="Courier New" w:cs="Courier New" w:eastAsia="Courier New" w:hAnsi="Courier New"/>
          <w:sz w:val="18"/>
          <w:szCs w:val="18"/>
          <w:color w:val="auto"/>
        </w:rPr>
        <w:t>2,790,983</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35,126</w:t>
      </w:r>
    </w:p>
    <w:p>
      <w:pPr>
        <w:ind w:left="3260"/>
        <w:spacing w:after="0"/>
        <w:rPr>
          <w:sz w:val="20"/>
          <w:szCs w:val="20"/>
          <w:color w:val="auto"/>
        </w:rPr>
      </w:pPr>
      <w:r>
        <w:rPr>
          <w:rFonts w:ascii="Courier New" w:cs="Courier New" w:eastAsia="Courier New" w:hAnsi="Courier New"/>
          <w:sz w:val="18"/>
          <w:szCs w:val="18"/>
          <w:color w:val="auto"/>
        </w:rPr>
        <w:t>130,139</w:t>
      </w:r>
    </w:p>
    <w:p>
      <w:pPr>
        <w:ind w:left="3680"/>
        <w:spacing w:after="0" w:line="238" w:lineRule="auto"/>
        <w:rPr>
          <w:sz w:val="20"/>
          <w:szCs w:val="20"/>
          <w:color w:val="auto"/>
        </w:rPr>
      </w:pPr>
      <w:r>
        <w:rPr>
          <w:rFonts w:ascii="Courier New" w:cs="Courier New" w:eastAsia="Courier New" w:hAnsi="Courier New"/>
          <w:sz w:val="18"/>
          <w:szCs w:val="18"/>
          <w:color w:val="auto"/>
        </w:rPr>
        <w:t>54,568</w:t>
      </w:r>
    </w:p>
    <w:p>
      <w:pPr>
        <w:ind w:left="2940"/>
        <w:spacing w:after="0"/>
        <w:rPr>
          <w:sz w:val="20"/>
          <w:szCs w:val="20"/>
          <w:color w:val="auto"/>
        </w:rPr>
      </w:pPr>
      <w:r>
        <w:rPr>
          <w:rFonts w:ascii="Courier New" w:cs="Courier New" w:eastAsia="Courier New" w:hAnsi="Courier New"/>
          <w:sz w:val="18"/>
          <w:szCs w:val="18"/>
          <w:color w:val="auto"/>
        </w:rPr>
        <w:t>75,571</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8"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75,571</w:t>
      </w:r>
    </w:p>
    <w:p>
      <w:pPr>
        <w:ind w:left="4000"/>
        <w:spacing w:after="0" w:line="238" w:lineRule="auto"/>
        <w:rPr>
          <w:sz w:val="20"/>
          <w:szCs w:val="20"/>
          <w:color w:val="auto"/>
        </w:rPr>
      </w:pPr>
      <w:r>
        <w:rPr>
          <w:rFonts w:ascii="Courier New" w:cs="Courier New" w:eastAsia="Courier New" w:hAnsi="Courier New"/>
          <w:sz w:val="18"/>
          <w:szCs w:val="18"/>
          <w:color w:val="auto"/>
        </w:rPr>
        <w:t>0.82</w:t>
      </w:r>
    </w:p>
    <w:p>
      <w:pPr>
        <w:ind w:left="3780"/>
        <w:spacing w:after="0"/>
        <w:rPr>
          <w:sz w:val="20"/>
          <w:szCs w:val="20"/>
          <w:color w:val="auto"/>
        </w:rPr>
      </w:pPr>
      <w:r>
        <w:rPr>
          <w:rFonts w:ascii="Courier New" w:cs="Courier New" w:eastAsia="Courier New" w:hAnsi="Courier New"/>
          <w:sz w:val="18"/>
          <w:szCs w:val="18"/>
          <w:color w:val="auto"/>
        </w:rPr>
        <w:t>0.81</w:t>
      </w:r>
    </w:p>
    <w:p>
      <w:pPr>
        <w:sectPr>
          <w:pgSz w:w="11900" w:h="16838" w:orient="portrait"/>
          <w:cols w:equalWidth="0" w:num="1">
            <w:col w:w="10099"/>
          </w:cols>
          <w:pgMar w:left="360" w:top="51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860" w:type="dxa"/>
            <w:vAlign w:val="bottom"/>
          </w:tcPr>
          <w:p>
            <w:pPr>
              <w:spacing w:after="0"/>
              <w:rPr>
                <w:sz w:val="24"/>
                <w:szCs w:val="24"/>
                <w:color w:val="auto"/>
              </w:rPr>
            </w:pPr>
          </w:p>
        </w:tc>
        <w:tc>
          <w:tcPr>
            <w:tcW w:w="4580" w:type="dxa"/>
            <w:vAlign w:val="bottom"/>
          </w:tcPr>
          <w:p>
            <w:pPr>
              <w:ind w:left="2460"/>
              <w:spacing w:after="0"/>
              <w:rPr>
                <w:sz w:val="20"/>
                <w:szCs w:val="20"/>
                <w:color w:val="auto"/>
              </w:rPr>
            </w:pPr>
            <w:r>
              <w:rPr>
                <w:rFonts w:ascii="Courier New" w:cs="Courier New" w:eastAsia="Courier New" w:hAnsi="Courier New"/>
                <w:sz w:val="18"/>
                <w:szCs w:val="18"/>
                <w:color w:val="auto"/>
              </w:rPr>
              <w:t>EXHIBIT 99</w:t>
            </w:r>
          </w:p>
        </w:tc>
        <w:tc>
          <w:tcPr>
            <w:tcW w:w="0" w:type="dxa"/>
            <w:vAlign w:val="bottom"/>
          </w:tcPr>
          <w:p>
            <w:pPr>
              <w:spacing w:after="0"/>
              <w:rPr>
                <w:sz w:val="1"/>
                <w:szCs w:val="1"/>
                <w:color w:val="auto"/>
              </w:rPr>
            </w:pPr>
          </w:p>
        </w:tc>
      </w:tr>
      <w:tr>
        <w:trPr>
          <w:trHeight w:val="279"/>
        </w:trPr>
        <w:tc>
          <w:tcPr>
            <w:tcW w:w="3860" w:type="dxa"/>
            <w:vAlign w:val="bottom"/>
          </w:tcPr>
          <w:p>
            <w:pPr>
              <w:spacing w:after="0"/>
              <w:rPr>
                <w:sz w:val="20"/>
                <w:szCs w:val="20"/>
                <w:color w:val="auto"/>
              </w:rPr>
            </w:pPr>
            <w:r>
              <w:rPr>
                <w:rFonts w:ascii="Courier New" w:cs="Courier New" w:eastAsia="Courier New" w:hAnsi="Courier New"/>
                <w:sz w:val="18"/>
                <w:szCs w:val="18"/>
                <w:color w:val="auto"/>
              </w:rPr>
              <w:t>[AVNET LOGO]</w:t>
            </w:r>
          </w:p>
        </w:tc>
        <w:tc>
          <w:tcPr>
            <w:tcW w:w="4580" w:type="dxa"/>
            <w:vAlign w:val="bottom"/>
          </w:tcPr>
          <w:p>
            <w:pPr>
              <w:ind w:left="2460"/>
              <w:spacing w:after="0"/>
              <w:rPr>
                <w:sz w:val="20"/>
                <w:szCs w:val="20"/>
                <w:color w:val="auto"/>
              </w:rPr>
            </w:pPr>
            <w:r>
              <w:rPr>
                <w:rFonts w:ascii="Courier New" w:cs="Courier New" w:eastAsia="Courier New" w:hAnsi="Courier New"/>
                <w:sz w:val="18"/>
                <w:szCs w:val="18"/>
                <w:color w:val="auto"/>
              </w:rPr>
              <w:t>Avnet, Inc.</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PRESS RELEASE</w:t>
            </w:r>
          </w:p>
        </w:tc>
        <w:tc>
          <w:tcPr>
            <w:tcW w:w="4580" w:type="dxa"/>
            <w:vAlign w:val="bottom"/>
          </w:tcPr>
          <w:p>
            <w:pPr>
              <w:ind w:left="2460"/>
              <w:spacing w:after="0" w:line="203" w:lineRule="exact"/>
              <w:rPr>
                <w:sz w:val="20"/>
                <w:szCs w:val="20"/>
                <w:color w:val="auto"/>
              </w:rPr>
            </w:pPr>
            <w:r>
              <w:rPr>
                <w:rFonts w:ascii="Courier New" w:cs="Courier New" w:eastAsia="Courier New" w:hAnsi="Courier New"/>
                <w:sz w:val="18"/>
                <w:szCs w:val="18"/>
                <w:color w:val="auto"/>
                <w:w w:val="97"/>
              </w:rPr>
              <w:t>2211 South 47 Street</w:t>
            </w:r>
          </w:p>
        </w:tc>
        <w:tc>
          <w:tcPr>
            <w:tcW w:w="0" w:type="dxa"/>
            <w:vAlign w:val="bottom"/>
          </w:tcPr>
          <w:p>
            <w:pPr>
              <w:spacing w:after="0"/>
              <w:rPr>
                <w:sz w:val="1"/>
                <w:szCs w:val="1"/>
                <w:color w:val="auto"/>
              </w:rPr>
            </w:pPr>
          </w:p>
        </w:tc>
      </w:tr>
      <w:tr>
        <w:trPr>
          <w:trHeight w:val="296"/>
        </w:trPr>
        <w:tc>
          <w:tcPr>
            <w:tcW w:w="3860" w:type="dxa"/>
            <w:vAlign w:val="bottom"/>
            <w:vMerge w:val="continue"/>
          </w:tcPr>
          <w:p>
            <w:pPr>
              <w:spacing w:after="0"/>
              <w:rPr>
                <w:sz w:val="24"/>
                <w:szCs w:val="24"/>
                <w:color w:val="auto"/>
              </w:rPr>
            </w:pPr>
          </w:p>
        </w:tc>
        <w:tc>
          <w:tcPr>
            <w:tcW w:w="4580" w:type="dxa"/>
            <w:vAlign w:val="bottom"/>
          </w:tcPr>
          <w:p>
            <w:pPr>
              <w:ind w:left="2460"/>
              <w:spacing w:after="0"/>
              <w:rPr>
                <w:sz w:val="20"/>
                <w:szCs w:val="20"/>
                <w:color w:val="auto"/>
              </w:rPr>
            </w:pPr>
            <w:r>
              <w:rPr>
                <w:rFonts w:ascii="Courier New" w:cs="Courier New" w:eastAsia="Courier New" w:hAnsi="Courier New"/>
                <w:sz w:val="18"/>
                <w:szCs w:val="18"/>
                <w:color w:val="auto"/>
              </w:rPr>
              <w:t>Phoenix, AZ 85034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26, 2000</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AVNET REPORTS RECORD FIRST QUARTER SALES AND EARNINGS</w:t>
      </w:r>
    </w:p>
    <w:p>
      <w:pPr>
        <w:spacing w:after="0" w:line="200" w:lineRule="exact"/>
        <w:rPr>
          <w:sz w:val="20"/>
          <w:szCs w:val="20"/>
          <w:color w:val="auto"/>
        </w:rPr>
      </w:pPr>
    </w:p>
    <w:p>
      <w:pPr>
        <w:spacing w:after="0" w:line="204"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Phoenix, Arizona - Avnet, Inc. (NYSE:AVT) reported today record results for its first quarter ended September 29, 2000. Net income was a record $75.6 million, or $0.81 per share on a diluted basis, in the first quarter of fiscal 2001 more than double the net income, excluding special charges, of $26.1 million, or $0.37 per share on a diluted basis, in the first quarter of last year. First quarter fiscal net income and diluted earnings per share were 189% and 119%, respectively, higher than in last year's first quarter. Sales for the current year's first quarter were a record $2.96 billion, up 79% as compared with sales of $1.65 billion in the first quarter of the prior year. Including the special charges described on the attached financial statements, the prior year's net income and diluted earnings per share were $22.1 million and $0.31, respectively.</w:t>
      </w:r>
    </w:p>
    <w:p>
      <w:pPr>
        <w:spacing w:after="0" w:line="105"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Roy Vallee, Avnet's Chairman and CEO, stated "I am extremely pleased with our record results which represent significant improvement in both sales and earnings highlighted by operating income margin of 5.6%, the fourth consecutive quarter of sequential improvement excluding special items." Mr. Vallee added "These outstanding results were achieved even though our first fiscal quarter is usually impacted by the typical industry summer slowdown thus providing further evidence that the electronic components industry environment continues to be very healthy. Our results also reflect benefits from our recent successful acquisition activity."</w:t>
      </w:r>
    </w:p>
    <w:p>
      <w:pPr>
        <w:spacing w:after="0" w:line="99"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Mr. Vallee further commented "Our Electronics Marketing group benefited from the continued robust conditions in the global electronics components market and from the synergy and other benefits associated with our recent acquisitions. We are also encouraged by our Computer Marketing group's results which reflect the overall strength in the computer market and the additional sales resulting from the July 3, 2000 acquisition of Savoir Technology. Despite continued weakness in the microprocessor market, our Avnet Applied Computing group posted another quarter of sequential improvement in operating income as its embedded solutions division experienced strong growth during the period."</w:t>
      </w:r>
    </w:p>
    <w:p>
      <w:pPr>
        <w:spacing w:after="0" w:line="75"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Mr. Vallee concluded by saying "We have received European Union approval to proceed with our acquisition of the EBV, WBC, Atlas Services (Europe) and RKE Systems businesses of Veba Electronics and we expect to close the transaction by the end of October 2000."</w:t>
      </w:r>
    </w:p>
    <w:p>
      <w:pPr>
        <w:spacing w:after="0" w:line="82"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Phoenix, Arizona, USA-based Avnet, Inc. (NYSE:AVT), a Fortune 500 company with annual sales exceeding $9 billion, is one of the world's largest distributors of semiconductors, interconnect, passive and electromechanical components and computer products from the leading manufacturers. Serving customers in 60 countries, Avnet markets, inventories and adds value to these products and provides world-class supply-chain management and engineering services. The Company's web site is located at www.avnet.com.</w:t>
      </w:r>
    </w:p>
    <w:p>
      <w:pPr>
        <w:spacing w:after="0" w:line="3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Contact: John Hovis, SVP Investor Relations or Raymond Sadowski, SVP &amp; CFO</w:t>
      </w:r>
    </w:p>
    <w:p>
      <w:pPr>
        <w:spacing w:after="0" w:line="29" w:lineRule="exact"/>
        <w:rPr>
          <w:sz w:val="20"/>
          <w:szCs w:val="20"/>
          <w:color w:val="auto"/>
        </w:rPr>
      </w:pPr>
    </w:p>
    <w:p>
      <w:pPr>
        <w:ind w:left="1900" w:hanging="207"/>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(480) 643-7291 * Fax (480) 643-7370</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Internet: http://www.avnet.com * e-mail: john.hovis@avnet.com</w:t>
      </w:r>
    </w:p>
    <w:p>
      <w:pPr>
        <w:sectPr>
          <w:pgSz w:w="11900" w:h="16838" w:orient="portrait"/>
          <w:cols w:equalWidth="0" w:num="1">
            <w:col w:w="10219"/>
          </w:cols>
          <w:pgMar w:left="240" w:top="110"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AVNET,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(MILLIONS EXCEPT PER SHARE DATA)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INCLUDING SPECIAL ITEMS(1)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3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FIRST QUARTERS ENDED</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SEPTEMBER 29,</w:t>
            </w:r>
          </w:p>
        </w:tc>
        <w:tc>
          <w:tcPr>
            <w:tcW w:w="23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3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OCTOBER 1,</w:t>
            </w:r>
          </w:p>
        </w:tc>
        <w:tc>
          <w:tcPr>
            <w:tcW w:w="110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4"/>
              </w:rPr>
              <w:t>% CHANGE</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23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1999(1)</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3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$2,957.2</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$1,654.3</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130.1</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39.4</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230%</w:t>
            </w: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75.6</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22.1</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241%</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$0.82</w:t>
            </w:r>
          </w:p>
        </w:tc>
        <w:tc>
          <w:tcPr>
            <w:tcW w:w="232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$0.31</w:t>
            </w:r>
          </w:p>
        </w:tc>
        <w:tc>
          <w:tcPr>
            <w:tcW w:w="5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165%</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52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ind w:left="220"/>
              <w:spacing w:after="0"/>
              <w:rPr>
                <w:sz w:val="20"/>
                <w:szCs w:val="20"/>
                <w:color w:val="auto"/>
              </w:rPr>
            </w:pPr>
            <w:r>
              <w:rPr>
                <w:rFonts w:ascii="Courier New" w:cs="Courier New" w:eastAsia="Courier New" w:hAnsi="Courier New"/>
                <w:sz w:val="18"/>
                <w:szCs w:val="18"/>
                <w:color w:val="auto"/>
              </w:rPr>
              <w:t>Diluted</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$0.81</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$0.31</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161%</w:t>
            </w:r>
          </w:p>
        </w:tc>
        <w:tc>
          <w:tcPr>
            <w:tcW w:w="0" w:type="dxa"/>
            <w:vAlign w:val="bottom"/>
          </w:tcPr>
          <w:p>
            <w:pPr>
              <w:spacing w:after="0"/>
              <w:rPr>
                <w:sz w:val="1"/>
                <w:szCs w:val="1"/>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EXCLUDING SPECIAL ITEMS</w:t>
            </w:r>
          </w:p>
        </w:tc>
        <w:tc>
          <w:tcPr>
            <w:tcW w:w="1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FIRST QUARTERS ENDED</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SEPTEMBER 29,</w:t>
            </w:r>
          </w:p>
        </w:tc>
        <w:tc>
          <w:tcPr>
            <w:tcW w:w="23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3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OCTOBER 1,</w:t>
            </w:r>
          </w:p>
        </w:tc>
        <w:tc>
          <w:tcPr>
            <w:tcW w:w="11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CHANGE</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23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1999</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3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$2,957.2</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$1,654.3</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130.1</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45.5</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186%</w:t>
            </w: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75.6</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26.1</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189%</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$0.82</w:t>
            </w:r>
          </w:p>
        </w:tc>
        <w:tc>
          <w:tcPr>
            <w:tcW w:w="232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$0.37</w:t>
            </w:r>
          </w:p>
        </w:tc>
        <w:tc>
          <w:tcPr>
            <w:tcW w:w="5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122%</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52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ind w:left="220"/>
              <w:spacing w:after="0"/>
              <w:rPr>
                <w:sz w:val="20"/>
                <w:szCs w:val="20"/>
                <w:color w:val="auto"/>
              </w:rPr>
            </w:pPr>
            <w:r>
              <w:rPr>
                <w:rFonts w:ascii="Courier New" w:cs="Courier New" w:eastAsia="Courier New" w:hAnsi="Courier New"/>
                <w:sz w:val="18"/>
                <w:szCs w:val="18"/>
                <w:color w:val="auto"/>
              </w:rPr>
              <w:t>Diluted</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$0.81</w:t>
            </w:r>
          </w:p>
        </w:tc>
        <w:tc>
          <w:tcPr>
            <w:tcW w:w="2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$0.37</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420" w:right="1879" w:hanging="412"/>
        <w:spacing w:after="0" w:line="274"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2000 first quarter results include the impact of incremental special charges associated with the reorganization of the Company's Electronics Marketing European operations amounting to $6.1 million pre-tax, $4.0 million after-tax and $0.06 per share on a diluted basis.</w:t>
      </w:r>
    </w:p>
    <w:p>
      <w:pPr>
        <w:spacing w:after="0" w:line="284"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All per share data for fiscal 2000 has been restated to reflect a two-for-one split of the Company's common stock approved by the Board of Directors on August 31, 2000 and distributed on September 28, 2000 to shareholders of record on September 18, 2000.</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AVNET,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(THOUSANDS EXCEPT PER SHARE DATA)</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INCLUDING SPECIAL ITEMS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42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FIRST QUARTERS ENDED</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42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29,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1999(1)</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2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$2,957,227</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$1,654,323</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2,517,614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1,423,520</w:t>
            </w:r>
          </w:p>
        </w:tc>
        <w:tc>
          <w:tcPr>
            <w:tcW w:w="0" w:type="dxa"/>
            <w:vAlign w:val="bottom"/>
          </w:tcPr>
          <w:p>
            <w:pPr>
              <w:spacing w:after="0"/>
              <w:rPr>
                <w:sz w:val="1"/>
                <w:szCs w:val="1"/>
                <w:color w:val="auto"/>
              </w:rPr>
            </w:pPr>
          </w:p>
        </w:tc>
      </w:tr>
      <w:tr>
        <w:trPr>
          <w:trHeight w:val="203"/>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439,613</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230,803</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273,369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182,360</w:t>
            </w:r>
          </w:p>
        </w:tc>
        <w:tc>
          <w:tcPr>
            <w:tcW w:w="0" w:type="dxa"/>
            <w:vAlign w:val="bottom"/>
          </w:tcPr>
          <w:p>
            <w:pPr>
              <w:spacing w:after="0"/>
              <w:rPr>
                <w:sz w:val="1"/>
                <w:szCs w:val="1"/>
                <w:color w:val="auto"/>
              </w:rPr>
            </w:pPr>
          </w:p>
        </w:tc>
      </w:tr>
      <w:tr>
        <w:trPr>
          <w:trHeight w:val="203"/>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166,244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48,443</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2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(979)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813</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(35,126)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(9,866)</w:t>
            </w:r>
          </w:p>
        </w:tc>
        <w:tc>
          <w:tcPr>
            <w:tcW w:w="0" w:type="dxa"/>
            <w:vAlign w:val="bottom"/>
          </w:tcPr>
          <w:p>
            <w:pPr>
              <w:spacing w:after="0"/>
              <w:rPr>
                <w:sz w:val="1"/>
                <w:szCs w:val="1"/>
                <w:color w:val="auto"/>
              </w:rPr>
            </w:pPr>
          </w:p>
        </w:tc>
      </w:tr>
      <w:tr>
        <w:trPr>
          <w:trHeight w:val="203"/>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130,139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39,390</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54,568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17,244</w:t>
            </w:r>
          </w:p>
        </w:tc>
        <w:tc>
          <w:tcPr>
            <w:tcW w:w="0" w:type="dxa"/>
            <w:vAlign w:val="bottom"/>
          </w:tcPr>
          <w:p>
            <w:pPr>
              <w:spacing w:after="0"/>
              <w:rPr>
                <w:sz w:val="1"/>
                <w:szCs w:val="1"/>
                <w:color w:val="auto"/>
              </w:rPr>
            </w:pPr>
          </w:p>
        </w:tc>
      </w:tr>
      <w:tr>
        <w:trPr>
          <w:trHeight w:val="203"/>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$75,571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$22,146</w:t>
            </w:r>
          </w:p>
        </w:tc>
        <w:tc>
          <w:tcPr>
            <w:tcW w:w="0" w:type="dxa"/>
            <w:vAlign w:val="bottom"/>
          </w:tcPr>
          <w:p>
            <w:pPr>
              <w:spacing w:after="0"/>
              <w:rPr>
                <w:sz w:val="1"/>
                <w:szCs w:val="1"/>
                <w:color w:val="auto"/>
              </w:rPr>
            </w:pPr>
          </w:p>
        </w:tc>
      </w:tr>
      <w:tr>
        <w:trPr>
          <w:trHeight w:val="296"/>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SHARE:</w:t>
            </w:r>
          </w:p>
        </w:tc>
        <w:tc>
          <w:tcPr>
            <w:tcW w:w="2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27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$0.82</w:t>
            </w:r>
          </w:p>
        </w:tc>
        <w:tc>
          <w:tcPr>
            <w:tcW w:w="1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$0.31</w:t>
            </w:r>
          </w:p>
        </w:tc>
        <w:tc>
          <w:tcPr>
            <w:tcW w:w="0" w:type="dxa"/>
            <w:vAlign w:val="bottom"/>
          </w:tcPr>
          <w:p>
            <w:pPr>
              <w:spacing w:after="0"/>
              <w:rPr>
                <w:sz w:val="1"/>
                <w:szCs w:val="1"/>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7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DILUTED</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$0.81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$0.31</w:t>
            </w:r>
          </w:p>
        </w:tc>
        <w:tc>
          <w:tcPr>
            <w:tcW w:w="0" w:type="dxa"/>
            <w:vAlign w:val="bottom"/>
          </w:tcPr>
          <w:p>
            <w:pPr>
              <w:spacing w:after="0"/>
              <w:rPr>
                <w:sz w:val="1"/>
                <w:szCs w:val="1"/>
                <w:color w:val="auto"/>
              </w:rPr>
            </w:pPr>
          </w:p>
        </w:tc>
      </w:tr>
      <w:tr>
        <w:trPr>
          <w:trHeight w:val="296"/>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SHARES USED TO COMPUTE EARNINGS</w:t>
            </w:r>
          </w:p>
        </w:tc>
        <w:tc>
          <w:tcPr>
            <w:tcW w:w="2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27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92,174</w:t>
            </w:r>
          </w:p>
        </w:tc>
        <w:tc>
          <w:tcPr>
            <w:tcW w:w="1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70,400</w:t>
            </w:r>
          </w:p>
        </w:tc>
        <w:tc>
          <w:tcPr>
            <w:tcW w:w="0" w:type="dxa"/>
            <w:vAlign w:val="bottom"/>
          </w:tcPr>
          <w:p>
            <w:pPr>
              <w:spacing w:after="0"/>
              <w:rPr>
                <w:sz w:val="1"/>
                <w:szCs w:val="1"/>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7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DILUTED</w:t>
            </w: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93,556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70,809</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2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right="1779" w:hanging="532"/>
        <w:spacing w:after="0" w:line="274"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2000 first quarter results include the impact of incremental special charges associated with the reorganization of the Company's Electronics Marketing European operations amounting to $6.1 million pre-tax, $4.0 million after-tax and $0.06 per share on a diluted basis.</w:t>
      </w:r>
    </w:p>
    <w:p>
      <w:pPr>
        <w:spacing w:after="0" w:line="82"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All share and per share data for fiscal 2000 have been restated to reflect a two-for-one split of the Company's common stock approved by the Board of Directors on August 31, 2000 and distributed on September 28, 2000 to shareholders of record on September 18, 2000.</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AVNET,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(THOUSANDS EXCEPT PER SHARE DATA)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EXCLUDING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432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FIRST QUARTERS ENDED</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432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____________________</w:t>
            </w:r>
          </w:p>
        </w:tc>
        <w:tc>
          <w:tcPr>
            <w:tcW w:w="0" w:type="dxa"/>
            <w:vAlign w:val="bottom"/>
          </w:tcPr>
          <w:p>
            <w:pPr>
              <w:spacing w:after="0"/>
              <w:rPr>
                <w:sz w:val="1"/>
                <w:szCs w:val="1"/>
                <w:color w:val="auto"/>
              </w:rPr>
            </w:pPr>
          </w:p>
        </w:tc>
      </w:tr>
      <w:tr>
        <w:trPr>
          <w:trHeight w:val="514"/>
        </w:trPr>
        <w:tc>
          <w:tcPr>
            <w:tcW w:w="3480" w:type="dxa"/>
            <w:vAlign w:val="bottom"/>
          </w:tcPr>
          <w:p>
            <w:pPr>
              <w:spacing w:after="0"/>
              <w:rPr>
                <w:sz w:val="24"/>
                <w:szCs w:val="24"/>
                <w:color w:val="auto"/>
              </w:rPr>
            </w:pPr>
          </w:p>
        </w:tc>
        <w:tc>
          <w:tcPr>
            <w:tcW w:w="2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SEPTEMBER 29,</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OCTOBER,1</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32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2000</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1999(1)</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_____________</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__________</w:t>
            </w:r>
          </w:p>
        </w:tc>
        <w:tc>
          <w:tcPr>
            <w:tcW w:w="0" w:type="dxa"/>
            <w:vAlign w:val="bottom"/>
          </w:tcPr>
          <w:p>
            <w:pPr>
              <w:spacing w:after="0"/>
              <w:rPr>
                <w:sz w:val="1"/>
                <w:szCs w:val="1"/>
                <w:color w:val="auto"/>
              </w:rPr>
            </w:pPr>
          </w:p>
        </w:tc>
      </w:tr>
      <w:tr>
        <w:trPr>
          <w:trHeight w:val="717"/>
        </w:trPr>
        <w:tc>
          <w:tcPr>
            <w:tcW w:w="348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$2,957,227</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$1,654,323</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3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2,517,614</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1,423,520</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__________</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_________</w:t>
            </w:r>
          </w:p>
        </w:tc>
        <w:tc>
          <w:tcPr>
            <w:tcW w:w="0" w:type="dxa"/>
            <w:vAlign w:val="bottom"/>
          </w:tcPr>
          <w:p>
            <w:pPr>
              <w:spacing w:after="0"/>
              <w:rPr>
                <w:sz w:val="1"/>
                <w:szCs w:val="1"/>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439,613</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230,803</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273,369</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176,249</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__________</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_________</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166,244</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54,554</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2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(979)</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813</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(35,126)</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(9,866)</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__________</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__________</w:t>
            </w:r>
          </w:p>
        </w:tc>
        <w:tc>
          <w:tcPr>
            <w:tcW w:w="0" w:type="dxa"/>
            <w:vAlign w:val="bottom"/>
          </w:tcPr>
          <w:p>
            <w:pPr>
              <w:spacing w:after="0"/>
              <w:rPr>
                <w:sz w:val="1"/>
                <w:szCs w:val="1"/>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130,139</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45,501</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54,568</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19,379</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__________</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__________</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$75,571</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$26,122</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232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$0.82</w:t>
            </w:r>
          </w:p>
        </w:tc>
        <w:tc>
          <w:tcPr>
            <w:tcW w:w="2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$0.37</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23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480" w:type="dxa"/>
            <w:vAlign w:val="bottom"/>
          </w:tcPr>
          <w:p>
            <w:pPr>
              <w:ind w:left="220"/>
              <w:spacing w:after="0"/>
              <w:rPr>
                <w:sz w:val="20"/>
                <w:szCs w:val="20"/>
                <w:color w:val="auto"/>
              </w:rPr>
            </w:pPr>
            <w:r>
              <w:rPr>
                <w:rFonts w:ascii="Courier New" w:cs="Courier New" w:eastAsia="Courier New" w:hAnsi="Courier New"/>
                <w:sz w:val="18"/>
                <w:szCs w:val="18"/>
                <w:color w:val="auto"/>
              </w:rPr>
              <w:t>Diluted</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$0.81</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$0.37</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w:t>
            </w: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232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92,174</w:t>
            </w:r>
          </w:p>
        </w:tc>
        <w:tc>
          <w:tcPr>
            <w:tcW w:w="2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70,400</w:t>
            </w:r>
          </w:p>
        </w:tc>
        <w:tc>
          <w:tcPr>
            <w:tcW w:w="0" w:type="dxa"/>
            <w:vAlign w:val="bottom"/>
          </w:tcPr>
          <w:p>
            <w:pPr>
              <w:spacing w:after="0"/>
              <w:rPr>
                <w:sz w:val="1"/>
                <w:szCs w:val="1"/>
                <w:color w:val="auto"/>
              </w:rPr>
            </w:pP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3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Diluted</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93,556</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70,809</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540" w:right="2199" w:hanging="532"/>
        <w:spacing w:after="0" w:line="318"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2000 first quarter results exclude the impact of incremental special charges associated with the reorganization of the Company's Electronics Marketing European operations amounting to $6.1 million pre-tax, $4.0 million after-tax and $0.06 per share on a diluted basis.</w:t>
      </w:r>
    </w:p>
    <w:p>
      <w:pPr>
        <w:spacing w:after="0" w:line="52"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All share and per share data for fiscal 2000 have been restated to reflect a two-for-one split of the Company's common stock approved by the Board of Directors on August 31, 2000 and distributed on September 28, 2000 to shareholders of record on September 18, 2000.</w:t>
      </w:r>
    </w:p>
    <w:p>
      <w:pPr>
        <w:sectPr>
          <w:pgSz w:w="11900" w:h="16838" w:orient="portrait"/>
          <w:cols w:equalWidth="0" w:num="1">
            <w:col w:w="10219"/>
          </w:cols>
          <w:pgMar w:left="240" w:top="285"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AVNET,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SEPTEMBER 29,</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2000</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assets:</w:t>
            </w:r>
          </w:p>
        </w:tc>
        <w:tc>
          <w:tcPr>
            <w:tcW w:w="19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$63,542</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$167,192</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Receivables</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2,024,892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1,750,827</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Inventories</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2,062,628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1,887,280</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75,500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67,956</w:t>
            </w:r>
          </w:p>
        </w:tc>
        <w:tc>
          <w:tcPr>
            <w:tcW w:w="0" w:type="dxa"/>
            <w:vAlign w:val="bottom"/>
          </w:tcPr>
          <w:p>
            <w:pPr>
              <w:spacing w:after="0"/>
              <w:rPr>
                <w:sz w:val="1"/>
                <w:szCs w:val="1"/>
                <w:color w:val="auto"/>
              </w:rPr>
            </w:pPr>
          </w:p>
        </w:tc>
      </w:tr>
      <w:tr>
        <w:trPr>
          <w:trHeight w:val="203"/>
        </w:trPr>
        <w:tc>
          <w:tcPr>
            <w:tcW w:w="5480" w:type="dxa"/>
            <w:vAlign w:val="bottom"/>
            <w:vMerge w:val="restart"/>
          </w:tcPr>
          <w:p>
            <w:pPr>
              <w:ind w:left="1580"/>
              <w:spacing w:after="0"/>
              <w:rPr>
                <w:sz w:val="20"/>
                <w:szCs w:val="20"/>
                <w:color w:val="auto"/>
              </w:rPr>
            </w:pPr>
            <w:r>
              <w:rPr>
                <w:rFonts w:ascii="Courier New" w:cs="Courier New" w:eastAsia="Courier New" w:hAnsi="Courier New"/>
                <w:sz w:val="18"/>
                <w:szCs w:val="18"/>
                <w:color w:val="auto"/>
              </w:rPr>
              <w:t>Total current assets</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4,226,562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3,873,255</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Property, plant &amp; equipment</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302,011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289,902</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Goodwill</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953,882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856,831</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 assets</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266,277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224,367</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ind w:left="1580"/>
              <w:spacing w:after="0"/>
              <w:rPr>
                <w:sz w:val="20"/>
                <w:szCs w:val="20"/>
                <w:color w:val="auto"/>
              </w:rPr>
            </w:pPr>
            <w:r>
              <w:rPr>
                <w:rFonts w:ascii="Courier New" w:cs="Courier New" w:eastAsia="Courier New" w:hAnsi="Courier New"/>
                <w:sz w:val="18"/>
                <w:szCs w:val="18"/>
                <w:color w:val="auto"/>
              </w:rPr>
              <w:t>Total assets</w:t>
            </w: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5,748,732</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5,244,355</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5480" w:type="dxa"/>
            <w:vAlign w:val="bottom"/>
          </w:tcPr>
          <w:p>
            <w:pPr>
              <w:spacing w:after="0"/>
              <w:rPr>
                <w:sz w:val="20"/>
                <w:szCs w:val="20"/>
                <w:color w:val="auto"/>
              </w:rPr>
            </w:pPr>
            <w:r>
              <w:rPr>
                <w:rFonts w:ascii="Courier New" w:cs="Courier New" w:eastAsia="Courier New" w:hAnsi="Courier New"/>
                <w:sz w:val="18"/>
                <w:szCs w:val="18"/>
                <w:color w:val="auto"/>
              </w:rPr>
              <w:t>Less liabilities:</w:t>
            </w: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9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804,687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499,287</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Borrowings due within one year</w:t>
            </w:r>
          </w:p>
        </w:tc>
        <w:tc>
          <w:tcPr>
            <w:tcW w:w="19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1,125,230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1,102,510</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364,823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301,977</w:t>
            </w:r>
          </w:p>
        </w:tc>
        <w:tc>
          <w:tcPr>
            <w:tcW w:w="0" w:type="dxa"/>
            <w:vAlign w:val="bottom"/>
          </w:tcPr>
          <w:p>
            <w:pPr>
              <w:spacing w:after="0"/>
              <w:rPr>
                <w:sz w:val="1"/>
                <w:szCs w:val="1"/>
                <w:color w:val="auto"/>
              </w:rPr>
            </w:pPr>
          </w:p>
        </w:tc>
      </w:tr>
      <w:tr>
        <w:trPr>
          <w:trHeight w:val="203"/>
        </w:trPr>
        <w:tc>
          <w:tcPr>
            <w:tcW w:w="5480" w:type="dxa"/>
            <w:vAlign w:val="bottom"/>
            <w:vMerge w:val="restart"/>
          </w:tcPr>
          <w:p>
            <w:pPr>
              <w:ind w:left="1580"/>
              <w:spacing w:after="0"/>
              <w:rPr>
                <w:sz w:val="20"/>
                <w:szCs w:val="20"/>
                <w:color w:val="auto"/>
              </w:rPr>
            </w:pPr>
            <w:r>
              <w:rPr>
                <w:rFonts w:ascii="Courier New" w:cs="Courier New" w:eastAsia="Courier New" w:hAnsi="Courier New"/>
                <w:sz w:val="18"/>
                <w:szCs w:val="18"/>
                <w:color w:val="auto"/>
              </w:rPr>
              <w:t>Total current liabilities</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2,294,740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1,903,774</w:t>
            </w:r>
          </w:p>
        </w:tc>
        <w:tc>
          <w:tcPr>
            <w:tcW w:w="0" w:type="dxa"/>
            <w:vAlign w:val="bottom"/>
          </w:tcPr>
          <w:p>
            <w:pPr>
              <w:spacing w:after="0"/>
              <w:rPr>
                <w:sz w:val="1"/>
                <w:szCs w:val="1"/>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Long-term debt, less due within one year</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1,378,094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1,438,610</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ind w:left="1580"/>
              <w:spacing w:after="0"/>
              <w:rPr>
                <w:sz w:val="20"/>
                <w:szCs w:val="20"/>
                <w:color w:val="auto"/>
              </w:rPr>
            </w:pPr>
            <w:r>
              <w:rPr>
                <w:rFonts w:ascii="Courier New" w:cs="Courier New" w:eastAsia="Courier New" w:hAnsi="Courier New"/>
                <w:sz w:val="18"/>
                <w:szCs w:val="18"/>
                <w:color w:val="auto"/>
              </w:rPr>
              <w:t>Total liabilities</w:t>
            </w: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3,672,834</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3,342,384</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Shareholders' equity</w:t>
            </w: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$2,075,898</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$1,901,971</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AVNET, INC.</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SEGMENT INFORMATION</w:t>
      </w:r>
    </w:p>
    <w:tbl>
      <w:tblPr>
        <w:tblLayout w:type="fixed"/>
        <w:tblInd w:w="0" w:type="dxa"/>
        <w:tblCellMar>
          <w:top w:w="0" w:type="dxa"/>
          <w:left w:w="0" w:type="dxa"/>
          <w:bottom w:w="0" w:type="dxa"/>
          <w:right w:w="0" w:type="dxa"/>
        </w:tblCellMar>
      </w:tblPr>
      <w:tr>
        <w:trPr>
          <w:trHeight w:val="296"/>
        </w:trPr>
        <w:tc>
          <w:tcPr>
            <w:tcW w:w="5700" w:type="dxa"/>
            <w:vAlign w:val="bottom"/>
            <w:gridSpan w:val="3"/>
          </w:tcPr>
          <w:p>
            <w:pPr>
              <w:jc w:val="right"/>
              <w:ind w:right="872"/>
              <w:spacing w:after="0"/>
              <w:rPr>
                <w:sz w:val="20"/>
                <w:szCs w:val="20"/>
                <w:color w:val="auto"/>
              </w:rPr>
            </w:pPr>
            <w:r>
              <w:rPr>
                <w:rFonts w:ascii="Courier New" w:cs="Courier New" w:eastAsia="Courier New" w:hAnsi="Courier New"/>
                <w:sz w:val="18"/>
                <w:szCs w:val="18"/>
                <w:color w:val="auto"/>
              </w:rPr>
              <w:t>(MILLIONS)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FIRST QUARTERS</w:t>
            </w:r>
          </w:p>
        </w:tc>
        <w:tc>
          <w:tcPr>
            <w:tcW w:w="12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ENDED</w:t>
            </w:r>
          </w:p>
        </w:tc>
        <w:tc>
          <w:tcPr>
            <w:tcW w:w="0" w:type="dxa"/>
            <w:vAlign w:val="bottom"/>
          </w:tcPr>
          <w:p>
            <w:pPr>
              <w:spacing w:after="0"/>
              <w:rPr>
                <w:sz w:val="1"/>
                <w:szCs w:val="1"/>
                <w:color w:val="auto"/>
              </w:rPr>
            </w:pPr>
          </w:p>
        </w:tc>
      </w:tr>
      <w:tr>
        <w:trPr>
          <w:trHeight w:val="203"/>
        </w:trPr>
        <w:tc>
          <w:tcPr>
            <w:tcW w:w="3860" w:type="dxa"/>
            <w:vAlign w:val="bottom"/>
            <w:vMerge w:val="restart"/>
          </w:tcPr>
          <w:p>
            <w:pPr>
              <w:ind w:left="1380"/>
              <w:spacing w:after="0"/>
              <w:rPr>
                <w:sz w:val="20"/>
                <w:szCs w:val="20"/>
                <w:color w:val="auto"/>
              </w:rPr>
            </w:pPr>
            <w:r>
              <w:rPr>
                <w:rFonts w:ascii="Courier New" w:cs="Courier New" w:eastAsia="Courier New" w:hAnsi="Courier New"/>
                <w:sz w:val="18"/>
                <w:szCs w:val="18"/>
                <w:color w:val="auto"/>
              </w:rPr>
              <w:t>SALES</w:t>
            </w: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SEPTEMBER 29,</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OCTOBER 1,</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 ----------------------------------</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ELECTRONICS MARKETING</w:t>
            </w:r>
          </w:p>
        </w:tc>
        <w:tc>
          <w:tcPr>
            <w:tcW w:w="18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$2,093.1</w:t>
            </w: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$1,226.0</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COMPUTER MARKETING</w:t>
            </w: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590.6</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428.3</w:t>
            </w: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AVNET APPLIED COMPUTING (1)</w:t>
            </w: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273.5</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CONSOLIDATED</w:t>
            </w: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$2,957.2</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$1,654.3</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4"/>
                <w:szCs w:val="24"/>
                <w:color w:val="auto"/>
              </w:rPr>
            </w:pPr>
          </w:p>
        </w:tc>
        <w:tc>
          <w:tcPr>
            <w:tcW w:w="18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860" w:type="dxa"/>
            <w:vAlign w:val="bottom"/>
          </w:tcPr>
          <w:p>
            <w:pPr>
              <w:ind w:left="740"/>
              <w:spacing w:after="0"/>
              <w:rPr>
                <w:sz w:val="20"/>
                <w:szCs w:val="20"/>
                <w:color w:val="auto"/>
              </w:rPr>
            </w:pPr>
            <w:r>
              <w:rPr>
                <w:rFonts w:ascii="Courier New" w:cs="Courier New" w:eastAsia="Courier New" w:hAnsi="Courier New"/>
                <w:sz w:val="18"/>
                <w:szCs w:val="18"/>
                <w:color w:val="auto"/>
              </w:rPr>
              <w:t>OPERATING INCOME</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 ----------------------------------</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ELECTRONICS MARKETING</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158.7</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59.3</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COMPUTER MARKETING</w:t>
            </w: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15.9</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8.6</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AVNET APPLIED COMPUTING (1)</w:t>
            </w: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11.1</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HEADQUARTERS</w:t>
            </w:r>
          </w:p>
        </w:tc>
        <w:tc>
          <w:tcPr>
            <w:tcW w:w="36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(19.5)</w:t>
            </w:r>
          </w:p>
        </w:tc>
        <w:tc>
          <w:tcPr>
            <w:tcW w:w="2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(13.4)</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CONSOLIDATED BEFORE SPECIAL ITEMS</w:t>
            </w: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166.2</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54.5</w:t>
            </w: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SPECIAL ITEMS</w:t>
            </w: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CONSOLIDATED</w:t>
            </w: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166.2</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4"/>
                <w:szCs w:val="24"/>
                <w:color w:val="auto"/>
              </w:rPr>
            </w:pPr>
          </w:p>
        </w:tc>
        <w:tc>
          <w:tcPr>
            <w:tcW w:w="18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8"/>
        <w:spacing w:after="0" w:line="26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Avnet Applied Computing, which was created by combining certain business segments from Electronics Marketing ("EM") and Computer Marketing ("CM"), started operating in North America as of the beginning of the second quarter of fiscal 2000, in Europe in the third quarter of fiscal 2000 and in Asia in the first quarter of fiscal 2001. The results for the prior periods have not been restated and are included in EM and CM.</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lvl w:ilvl="1">
      <w:lvlJc w:val="left"/>
      <w:lvlText w:val="%2."/>
      <w:numFmt w:val="decimal"/>
      <w:start w:val="27"/>
    </w:lvl>
  </w:abstractNum>
  <w:abstractNum w:abstractNumId="1">
    <w:nsid w:val="238E1F29"/>
    <w:multiLevelType w:val="hybridMultilevel"/>
    <w:lvl w:ilvl="0">
      <w:lvlJc w:val="left"/>
      <w:lvlText w:val="%1"/>
      <w:numFmt w:val="lowerLetter"/>
      <w:start w:val="1"/>
    </w:lvl>
    <w:lvl w:ilvl="1">
      <w:lvlJc w:val="left"/>
      <w:lvlText w:val="%2."/>
      <w:numFmt w:val="decimal"/>
      <w:start w:val="99"/>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2019-12-11T17:17:03Z</dcterms:created>
  <dcterms:modified xsi:type="dcterms:W3CDTF">2019-12-11T17:17:03Z</dcterms:modified>
</cp:coreProperties>
</file>