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2240" w:right="120" w:hanging="4119"/>
        <w:spacing w:after="0" w:line="253" w:lineRule="exact"/>
        <w:tabs>
          <w:tab w:leader="none" w:pos="2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reporting company)</w:t>
      </w:r>
    </w:p>
    <w:p>
      <w:pPr>
        <w:spacing w:after="0" w:line="2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January 21, 2016, the total number of shares outstanding of the registrant’s Common Stock was 131,265,883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January 2, 2016 and June 27, 2015</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second quarters and six months ended January 2, 2016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27, 2014</w:t>
              </w:r>
            </w:hyperlink>
          </w:p>
        </w:tc>
        <w:tc>
          <w:tcPr>
            <w:tcW w:w="16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for the second quarters and six months ended January</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 2016 and December 27, 2014</w:t>
              </w:r>
            </w:hyperlink>
          </w:p>
        </w:tc>
        <w:tc>
          <w:tcPr>
            <w:tcW w:w="524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six months ended January 2, 2016 and December 27, 2014</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480" w:type="dxa"/>
            <w:vAlign w:val="bottom"/>
            <w:tcBorders>
              <w:top w:val="single" w:sz="8" w:color="0000EE"/>
            </w:tcBorders>
            <w:gridSpan w:val="8"/>
          </w:tcPr>
          <w:p>
            <w:pPr>
              <w:spacing w:after="0"/>
              <w:rPr>
                <w:sz w:val="24"/>
                <w:szCs w:val="24"/>
                <w:color w:val="auto"/>
              </w:rPr>
            </w:pPr>
          </w:p>
        </w:tc>
        <w:tc>
          <w:tcPr>
            <w:tcW w:w="1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10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6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January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916,088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$69,247 and $80,721,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5,395,005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5,054,307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9,142,387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587,216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11,302,352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1,136,218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3,628,073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3,338,052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599,007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603,129</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5,363,298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4,272,296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192,864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6,628,350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6,114,932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89"/>
              </w:rPr>
              <w:t>Common stock $1.00 par; authorized 300,000,000 shares; issued 131,327,636 shares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135,496,472 shares,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3,643,248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29,852 shares and 31,901 shares,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6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4,674,002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11,302,352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ind w:left="60"/>
              <w:spacing w:after="0"/>
              <w:rPr>
                <w:sz w:val="20"/>
                <w:szCs w:val="20"/>
                <w:color w:val="auto"/>
              </w:rPr>
            </w:pPr>
            <w:r>
              <w:rPr>
                <w:rFonts w:ascii="Arial" w:cs="Arial" w:eastAsia="Arial" w:hAnsi="Arial"/>
                <w:sz w:val="18"/>
                <w:szCs w:val="18"/>
                <w:b w:val="1"/>
                <w:bCs w:val="1"/>
                <w:color w:val="auto"/>
              </w:rPr>
              <w:t>Second Quarters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January 2,</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8"/>
              </w:rPr>
              <w:t>January 2,</w:t>
            </w: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December 27,</w:t>
            </w:r>
          </w:p>
        </w:tc>
        <w:tc>
          <w:tcPr>
            <w:tcW w:w="240" w:type="dxa"/>
            <w:vAlign w:val="bottom"/>
          </w:tcPr>
          <w:p>
            <w:pPr>
              <w:spacing w:after="0"/>
              <w:rPr>
                <w:sz w:val="17"/>
                <w:szCs w:val="17"/>
                <w:color w:val="auto"/>
              </w:rPr>
            </w:pPr>
          </w:p>
        </w:tc>
      </w:tr>
      <w:tr>
        <w:trPr>
          <w:trHeight w:val="241"/>
        </w:trPr>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13"/>
          </w:tcPr>
          <w:p>
            <w:pPr>
              <w:jc w:val="right"/>
              <w:ind w:right="690"/>
              <w:spacing w:after="0"/>
              <w:rPr>
                <w:sz w:val="20"/>
                <w:szCs w:val="20"/>
                <w:color w:val="auto"/>
              </w:rPr>
            </w:pPr>
            <w:r>
              <w:rPr>
                <w:rFonts w:ascii="Arial" w:cs="Arial" w:eastAsia="Arial" w:hAnsi="Arial"/>
                <w:sz w:val="18"/>
                <w:szCs w:val="18"/>
                <w:b w:val="1"/>
                <w:bCs w:val="1"/>
                <w:color w:val="auto"/>
              </w:rPr>
              <w:t>(Thousands, except per share amounts)</w:t>
            </w:r>
          </w:p>
        </w:tc>
        <w:tc>
          <w:tcPr>
            <w:tcW w:w="2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6,848,057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7,551,880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13,817,751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14,391,466</w:t>
            </w: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6,069,889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6,714,374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12,248,107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12,758,497</w:t>
            </w:r>
          </w:p>
        </w:tc>
        <w:tc>
          <w:tcPr>
            <w:tcW w:w="240" w:type="dxa"/>
            <w:vAlign w:val="bottom"/>
            <w:tcBorders>
              <w:bottom w:val="single" w:sz="8" w:color="CCEEFF"/>
            </w:tcBorders>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1,569,644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1,632,969</w:t>
            </w:r>
          </w:p>
        </w:tc>
        <w:tc>
          <w:tcPr>
            <w:tcW w:w="2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1,089,387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1,157,908</w:t>
            </w:r>
          </w:p>
        </w:tc>
        <w:tc>
          <w:tcPr>
            <w:tcW w:w="240" w:type="dxa"/>
            <w:vAlign w:val="bottom"/>
          </w:tcPr>
          <w:p>
            <w:pPr>
              <w:spacing w:after="0"/>
              <w:rPr>
                <w:sz w:val="18"/>
                <w:szCs w:val="18"/>
                <w:color w:val="auto"/>
              </w:rPr>
            </w:pPr>
          </w:p>
        </w:tc>
      </w:tr>
      <w:tr>
        <w:trPr>
          <w:trHeight w:val="23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31,577</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226,115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250,287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433,077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443,484</w:t>
            </w:r>
          </w:p>
        </w:tc>
        <w:tc>
          <w:tcPr>
            <w:tcW w:w="24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(48,066)</w:t>
            </w:r>
          </w:p>
        </w:tc>
        <w:tc>
          <w:tcPr>
            <w:tcW w:w="240" w:type="dxa"/>
            <w:vAlign w:val="bottom"/>
          </w:tcPr>
          <w:p>
            <w:pPr>
              <w:spacing w:after="0"/>
              <w:rPr>
                <w:sz w:val="19"/>
                <w:szCs w:val="19"/>
                <w:color w:val="auto"/>
              </w:rPr>
            </w:pPr>
          </w:p>
        </w:tc>
      </w:tr>
      <w:tr>
        <w:trPr>
          <w:trHeight w:val="21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220,097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374,714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388,401</w:t>
            </w:r>
          </w:p>
        </w:tc>
        <w:tc>
          <w:tcPr>
            <w:tcW w:w="240" w:type="dxa"/>
            <w:vAlign w:val="bottom"/>
            <w:tcBorders>
              <w:top w:val="single" w:sz="8" w:color="CCEEFF"/>
            </w:tcBorders>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96,749</w:t>
            </w:r>
          </w:p>
        </w:tc>
        <w:tc>
          <w:tcPr>
            <w:tcW w:w="240" w:type="dxa"/>
            <w:vAlign w:val="bottom"/>
            <w:tcBorders>
              <w:bottom w:val="single" w:sz="8" w:color="CCEEFF"/>
            </w:tcBorders>
          </w:tcPr>
          <w:p>
            <w:pPr>
              <w:spacing w:after="0"/>
              <w:rPr>
                <w:sz w:val="19"/>
                <w:szCs w:val="19"/>
                <w:color w:val="auto"/>
              </w:rPr>
            </w:pPr>
          </w:p>
        </w:tc>
      </w:tr>
      <w:tr>
        <w:trPr>
          <w:trHeight w:val="23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286,266</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291,652</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Earnings per share: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20"/>
                <w:szCs w:val="20"/>
                <w:color w:val="auto"/>
              </w:rPr>
            </w:pPr>
          </w:p>
        </w:tc>
      </w:tr>
      <w:tr>
        <w:trPr>
          <w:trHeight w:val="210"/>
        </w:trPr>
        <w:tc>
          <w:tcPr>
            <w:tcW w:w="376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Diluted</w:t>
            </w:r>
          </w:p>
        </w:tc>
        <w:tc>
          <w:tcPr>
            <w:tcW w:w="4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w:t>
            </w:r>
          </w:p>
        </w:tc>
        <w:tc>
          <w:tcPr>
            <w:tcW w:w="24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131,909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137,425</w:t>
            </w:r>
          </w:p>
        </w:tc>
        <w:tc>
          <w:tcPr>
            <w:tcW w:w="240" w:type="dxa"/>
            <w:vAlign w:val="bottom"/>
            <w:tcBorders>
              <w:bottom w:val="single" w:sz="8" w:color="CCEEFF"/>
            </w:tcBorders>
          </w:tcPr>
          <w:p>
            <w:pPr>
              <w:spacing w:after="0"/>
              <w:rPr>
                <w:sz w:val="19"/>
                <w:szCs w:val="19"/>
                <w:color w:val="auto"/>
              </w:rPr>
            </w:pPr>
          </w:p>
        </w:tc>
      </w:tr>
      <w:tr>
        <w:trPr>
          <w:trHeight w:val="236"/>
        </w:trPr>
        <w:tc>
          <w:tcPr>
            <w:tcW w:w="3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135,622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139,911</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10"/>
        </w:trPr>
        <w:tc>
          <w:tcPr>
            <w:tcW w:w="3760" w:type="dxa"/>
            <w:vAlign w:val="bottom"/>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w:t>
            </w:r>
          </w:p>
        </w:tc>
        <w:tc>
          <w:tcPr>
            <w:tcW w:w="2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Second Quarters 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28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January 2,</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240" w:type="dxa"/>
            <w:vAlign w:val="bottom"/>
          </w:tcPr>
          <w:p>
            <w:pPr>
              <w:spacing w:after="0"/>
              <w:rPr>
                <w:sz w:val="17"/>
                <w:szCs w:val="17"/>
                <w:color w:val="auto"/>
              </w:rPr>
            </w:pPr>
          </w:p>
        </w:tc>
      </w:tr>
      <w:tr>
        <w:trPr>
          <w:trHeight w:val="241"/>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r>
      <w:tr>
        <w:trPr>
          <w:trHeight w:val="216"/>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291,652</w:t>
            </w:r>
          </w:p>
        </w:tc>
        <w:tc>
          <w:tcPr>
            <w:tcW w:w="2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Foreign currency translation adjustments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(364,036)</w:t>
            </w:r>
          </w:p>
        </w:tc>
        <w:tc>
          <w:tcPr>
            <w:tcW w:w="240" w:type="dxa"/>
            <w:vAlign w:val="bottom"/>
            <w:shd w:val="clear" w:color="auto" w:fill="CCEEFF"/>
          </w:tcPr>
          <w:p>
            <w:pPr>
              <w:spacing w:after="0"/>
              <w:rPr>
                <w:sz w:val="18"/>
                <w:szCs w:val="18"/>
                <w:color w:val="auto"/>
              </w:rPr>
            </w:pPr>
          </w:p>
        </w:tc>
      </w:tr>
      <w:tr>
        <w:trPr>
          <w:trHeight w:val="223"/>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240" w:type="dxa"/>
            <w:vAlign w:val="bottom"/>
            <w:tcBorders>
              <w:bottom w:val="single" w:sz="8" w:color="CCEEFF"/>
            </w:tcBorders>
          </w:tcPr>
          <w:p>
            <w:pPr>
              <w:spacing w:after="0"/>
              <w:rPr>
                <w:sz w:val="19"/>
                <w:szCs w:val="19"/>
                <w:color w:val="auto"/>
              </w:rPr>
            </w:pPr>
          </w:p>
        </w:tc>
      </w:tr>
      <w:tr>
        <w:trPr>
          <w:trHeight w:val="223"/>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181,605</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(68,815)</w:t>
            </w:r>
          </w:p>
        </w:tc>
        <w:tc>
          <w:tcPr>
            <w:tcW w:w="2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January 2,</w:t>
            </w: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286,266</w:t>
            </w:r>
          </w:p>
        </w:tc>
        <w:tc>
          <w:tcPr>
            <w:tcW w:w="1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and other reconciling items: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(net of effects from businesses acquired):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Receivables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(413,149)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323,447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 and other, net</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flows provided by operating activities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84,242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224,424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notes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00"/>
              <w:spacing w:after="0"/>
              <w:rPr>
                <w:sz w:val="20"/>
                <w:szCs w:val="20"/>
                <w:color w:val="auto"/>
              </w:rPr>
            </w:pPr>
            <w:r>
              <w:rPr>
                <w:rFonts w:ascii="Arial" w:cs="Arial" w:eastAsia="Arial" w:hAnsi="Arial"/>
                <w:sz w:val="18"/>
                <w:szCs w:val="18"/>
                <w:color w:val="auto"/>
              </w:rPr>
              <w:t>Borrowings under accounts receivable securitization program,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Borrowings (repayments) of bank and revolving debt,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00"/>
              <w:spacing w:after="0"/>
              <w:rPr>
                <w:sz w:val="20"/>
                <w:szCs w:val="20"/>
                <w:color w:val="auto"/>
              </w:rPr>
            </w:pPr>
            <w:r>
              <w:rPr>
                <w:rFonts w:ascii="Arial" w:cs="Arial" w:eastAsia="Arial" w:hAnsi="Arial"/>
                <w:sz w:val="18"/>
                <w:szCs w:val="18"/>
                <w:color w:val="auto"/>
              </w:rPr>
              <w:t>Repurchases of common stock (Note 9)</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(184,704)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paid on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flows provided (used) for financing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of businesses, net of cash acquired (Note 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flows used for investing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 (decrease)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at beginning of period</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932,553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928,971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line="203" w:lineRule="exact"/>
              <w:rPr>
                <w:sz w:val="20"/>
                <w:szCs w:val="20"/>
                <w:color w:val="auto"/>
              </w:rPr>
            </w:pPr>
            <w:r>
              <w:rPr>
                <w:rFonts w:ascii="Arial" w:cs="Arial" w:eastAsia="Arial" w:hAnsi="Arial"/>
                <w:sz w:val="18"/>
                <w:szCs w:val="18"/>
                <w:color w:val="auto"/>
              </w:rPr>
              <w:t>— at end of period</w:t>
            </w:r>
          </w:p>
        </w:tc>
        <w:tc>
          <w:tcPr>
            <w:tcW w:w="9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916,088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903,331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2015.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operates on a “52/53 week” fiscal year and fiscal 2016 contains 53 weeks compared to 52 weeks in fiscal 2015. As a result, the first six months of fiscal 2016 contained 27 weeks compared to the first six months of fiscal 2015, which contained 26 weeks.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(“ASU 2014-09”), to supersede nearly all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GAAP. The core principles of ASU 2014-09 are to recognize revenues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16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 xml:space="preserve">In November 2015, the FASB issued Accounting Standards Update No. 2015-17, Income Taxes (Topic 740):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Sheet Classification of Deferred Taxes, </w:t>
      </w:r>
      <w:r>
        <w:rPr>
          <w:rFonts w:ascii="Arial" w:cs="Arial" w:eastAsia="Arial" w:hAnsi="Arial"/>
          <w:sz w:val="17"/>
          <w:szCs w:val="17"/>
          <w:color w:val="auto"/>
        </w:rPr>
        <w:t>to simplify the presentation of deferred income taxes by requiring that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assets be classified as noncurrent in a classified balance sheet. The planned early adoption of this update at the end of fiscal 2016 is not expected to have a material impact on the Company’s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September 2015, the FASB issued Accounting Standards Update 2015-16, Business Combinations (Topic 805):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The update requires that an acquiror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Company early adopted this update in the first quarter of fiscal 2016, with no impact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During the six months ended January 2, 2016, there have been no additional new accounting pronouncements that are expected to significantly impact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second quarter of fiscal 2016, the Company acquired two businesses with aggregated annualized sales of approximately $120.0 million for an aggregate purchase price $36.6 million. The Company paid cash of $19.2 million, net of cash acquired, for such acquisitions in the second quarter of fiscal 2016. The Company has not disclosed the pro-forma impact of the fiscal 2016 acquisitions, as such impact was not material to the Company’s consolidated financial position or results of operations.</w:t>
      </w:r>
    </w:p>
    <w:p>
      <w:pPr>
        <w:spacing w:after="0" w:line="238" w:lineRule="exact"/>
        <w:rPr>
          <w:sz w:val="20"/>
          <w:szCs w:val="20"/>
          <w:color w:val="auto"/>
        </w:rPr>
      </w:pPr>
    </w:p>
    <w:p>
      <w:pPr>
        <w:ind w:left="440" w:right="6540" w:hanging="437"/>
        <w:spacing w:after="0" w:line="503"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six months ended January 2,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Electronics</w:t>
            </w:r>
          </w:p>
        </w:tc>
        <w:tc>
          <w:tcPr>
            <w:tcW w:w="2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6"/>
              </w:rPr>
              <w:t>Marketing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974,274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2,658,490</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tcPr>
          <w:p>
            <w:pPr>
              <w:spacing w:after="0"/>
              <w:rPr>
                <w:sz w:val="19"/>
                <w:szCs w:val="19"/>
                <w:color w:val="auto"/>
              </w:rPr>
            </w:pPr>
          </w:p>
        </w:tc>
      </w:tr>
      <w:tr>
        <w:trPr>
          <w:trHeight w:val="23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June 27, 2015</w:t>
            </w:r>
          </w:p>
        </w:tc>
        <w:tc>
          <w:tcPr>
            <w:tcW w:w="1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639,106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639,650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060" w:type="dxa"/>
            <w:vAlign w:val="bottom"/>
          </w:tcPr>
          <w:p>
            <w:pPr>
              <w:ind w:left="120"/>
              <w:spacing w:after="0" w:line="203" w:lineRule="exact"/>
              <w:rPr>
                <w:sz w:val="20"/>
                <w:szCs w:val="20"/>
                <w:color w:val="auto"/>
              </w:rPr>
            </w:pPr>
            <w:r>
              <w:rPr>
                <w:rFonts w:ascii="Arial" w:cs="Arial" w:eastAsia="Arial" w:hAnsi="Arial"/>
                <w:sz w:val="18"/>
                <w:szCs w:val="18"/>
                <w:color w:val="auto"/>
              </w:rPr>
              <w:t>Additions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24,976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24,976</w:t>
            </w:r>
          </w:p>
        </w:tc>
        <w:tc>
          <w:tcPr>
            <w:tcW w:w="40" w:type="dxa"/>
            <w:vAlign w:val="bottom"/>
          </w:tcPr>
          <w:p>
            <w:pPr>
              <w:spacing w:after="0"/>
              <w:rPr>
                <w:sz w:val="17"/>
                <w:szCs w:val="17"/>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(20,324)</w:t>
            </w:r>
          </w:p>
        </w:tc>
      </w:tr>
      <w:tr>
        <w:trPr>
          <w:trHeight w:val="236"/>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January 2, 2016</w:t>
            </w: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656,080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1,283,408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060" w:type="dxa"/>
            <w:vAlign w:val="bottom"/>
          </w:tcPr>
          <w:p>
            <w:pPr>
              <w:ind w:left="120"/>
              <w:spacing w:after="0" w:line="203" w:lineRule="exact"/>
              <w:rPr>
                <w:sz w:val="20"/>
                <w:szCs w:val="20"/>
                <w:color w:val="auto"/>
              </w:rPr>
            </w:pPr>
            <w:r>
              <w:rPr>
                <w:rFonts w:ascii="Arial" w:cs="Arial" w:eastAsia="Arial" w:hAnsi="Arial"/>
                <w:sz w:val="18"/>
                <w:szCs w:val="18"/>
                <w:color w:val="auto"/>
              </w:rPr>
              <w:t>Gross goodwill</w:t>
            </w:r>
          </w:p>
        </w:tc>
        <w:tc>
          <w:tcPr>
            <w:tcW w:w="16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1,672,438</w:t>
            </w:r>
          </w:p>
        </w:tc>
        <w:tc>
          <w:tcPr>
            <w:tcW w:w="2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990,704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2,663,142</w:t>
            </w:r>
          </w:p>
        </w:tc>
        <w:tc>
          <w:tcPr>
            <w:tcW w:w="40" w:type="dxa"/>
            <w:vAlign w:val="bottom"/>
          </w:tcPr>
          <w:p>
            <w:pPr>
              <w:spacing w:after="0"/>
              <w:rPr>
                <w:sz w:val="17"/>
                <w:szCs w:val="17"/>
                <w:color w:val="auto"/>
              </w:rPr>
            </w:pPr>
          </w:p>
        </w:tc>
      </w:tr>
      <w:tr>
        <w:trPr>
          <w:trHeight w:val="236"/>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impairment</w:t>
            </w:r>
          </w:p>
        </w:tc>
        <w:tc>
          <w:tcPr>
            <w:tcW w:w="1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(334,624)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060" w:type="dxa"/>
            <w:vAlign w:val="bottom"/>
          </w:tcPr>
          <w:p>
            <w:pPr>
              <w:spacing w:after="0" w:line="203" w:lineRule="exact"/>
              <w:rPr>
                <w:sz w:val="20"/>
                <w:szCs w:val="20"/>
                <w:color w:val="auto"/>
              </w:rPr>
            </w:pPr>
            <w:r>
              <w:rPr>
                <w:rFonts w:ascii="Arial" w:cs="Arial" w:eastAsia="Arial" w:hAnsi="Arial"/>
                <w:sz w:val="18"/>
                <w:szCs w:val="18"/>
                <w:color w:val="auto"/>
              </w:rPr>
              <w:t>Carrying value at January 2, 2016</w:t>
            </w:r>
          </w:p>
        </w:tc>
        <w:tc>
          <w:tcPr>
            <w:tcW w:w="1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627,328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656,080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1,283,408</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additions are a result of businesses acquired in the second quarter of fiscal 2016.</w:t>
      </w:r>
    </w:p>
    <w:p>
      <w:pPr>
        <w:spacing w:after="0" w:line="22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In accordance with ASC 350, the Company does not amortize goodwill, but instead tests goodwill for impairment at least annually in the fourth fiscal quarter. The Company determined there was no goodwill impairment at any of its reporting units as a result of the fiscal 2015 goodwill impairment testing. As a result of the fiscal 2015 goodwill impairment testing, two reporting units (TS Asia and TS EMEA) had estimated fair values that were not substantially in excess of the carrying value of such reporting units. The Company evaluates each quarter if facts and circumstances indicate that it is more likely than not that the fair value of a reporting unit that has goodwill is less than its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(ii) changes in the macroeconomic or industry environments and (iii) the financial performance of its’ reporting units. During the second quarter of fiscal 2016, the Company concluded that an interim goodwill impairment test was not necessary.</w:t>
      </w:r>
    </w:p>
    <w:p>
      <w:pPr>
        <w:spacing w:after="0" w:line="183"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In assessing goodwill for impairment, the Company is required to make significant assumptions, judgments and estimates including evaluating whether facts and circumstances indicate that an interim goodwill impairment test is necessary. These assumptions, judgments and estimates may change in the future based upon market conditions or other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events and could result in a goodwill impairment. The Company continues to evaluate each quarter those indicators that may require an interim goodwill impairment test.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The following table presents the Company’s acquired intangible assets at January 2, 2016, and June 27, 2015, respectively. These intangible assets have a weighted average remaining useful life of approximately 4 years.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January 2, 2016</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June 27, 2015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2"/>
              </w:rPr>
              <w:t>Acquired</w:t>
            </w:r>
          </w:p>
        </w:tc>
        <w:tc>
          <w:tcPr>
            <w:tcW w:w="180" w:type="dxa"/>
            <w:vAlign w:val="bottom"/>
          </w:tcPr>
          <w:p>
            <w:pPr>
              <w:spacing w:after="0"/>
              <w:rPr>
                <w:sz w:val="17"/>
                <w:szCs w:val="17"/>
                <w:color w:val="auto"/>
              </w:rPr>
            </w:pPr>
          </w:p>
        </w:tc>
        <w:tc>
          <w:tcPr>
            <w:tcW w:w="120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7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17"/>
                <w:szCs w:val="17"/>
                <w:color w:val="auto"/>
              </w:rPr>
            </w:pP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$ 274,444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276,921</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4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2,448</w:t>
            </w:r>
          </w:p>
        </w:tc>
        <w:tc>
          <w:tcPr>
            <w:tcW w:w="40" w:type="dxa"/>
            <w:vAlign w:val="bottom"/>
          </w:tcPr>
          <w:p>
            <w:pPr>
              <w:spacing w:after="0"/>
              <w:rPr>
                <w:sz w:val="18"/>
                <w:szCs w:val="18"/>
                <w:color w:val="auto"/>
              </w:rPr>
            </w:pPr>
          </w:p>
        </w:tc>
      </w:tr>
      <w:tr>
        <w:trPr>
          <w:trHeight w:val="23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40" w:type="dxa"/>
            <w:vAlign w:val="bottom"/>
            <w:shd w:val="clear" w:color="auto" w:fill="CCEEFF"/>
          </w:tcPr>
          <w:p>
            <w:pPr>
              <w:spacing w:after="0"/>
              <w:rPr>
                <w:sz w:val="20"/>
                <w:szCs w:val="20"/>
                <w:color w:val="auto"/>
              </w:rPr>
            </w:pPr>
          </w:p>
        </w:tc>
      </w:tr>
      <w:tr>
        <w:trPr>
          <w:trHeight w:val="210"/>
        </w:trPr>
        <w:tc>
          <w:tcPr>
            <w:tcW w:w="19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$ 291,363</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(199,992)</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91,371</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295,470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(195,739)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99,731</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Intangible asset amortization expense was $7.4 million and $10.4 million for the second quarters of fiscal 2016 and 2015, respectively, and $14.3 million and $22.0 million for the first six months of fiscal 2016 and 2015, respectively. The following table presents the estimated future amortization expense for the remainder of fiscal 2016, the next five fiscal years and thereafter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tcPr>
          <w:p>
            <w:pPr>
              <w:ind w:left="10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   91,371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January 2, 2016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7"/>
              </w:rPr>
              <w:t>June 27, 2015</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January 2, 2016</w:t>
            </w:r>
          </w:p>
        </w:tc>
        <w:tc>
          <w:tcPr>
            <w:tcW w:w="1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June 27, 2015</w:t>
            </w:r>
          </w:p>
        </w:tc>
      </w:tr>
      <w:tr>
        <w:trPr>
          <w:trHeight w:val="223"/>
        </w:trPr>
        <w:tc>
          <w:tcPr>
            <w:tcW w:w="3780" w:type="dxa"/>
            <w:vAlign w:val="bottom"/>
            <w:tcBorders>
              <w:bottom w:val="single" w:sz="8" w:color="CCEEFF"/>
            </w:tcBorders>
          </w:tcPr>
          <w:p>
            <w:pPr>
              <w:spacing w:after="0"/>
              <w:rPr>
                <w:sz w:val="19"/>
                <w:szCs w:val="19"/>
                <w:color w:val="auto"/>
              </w:rPr>
            </w:pPr>
          </w:p>
        </w:tc>
        <w:tc>
          <w:tcPr>
            <w:tcW w:w="252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4.75 %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5.54 %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146,218</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81,115</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0.78 %</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1, 2015</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Notes due September 15, 2016</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6.63 %</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August 2014, the Company amended and extended its accounts receivable securitization program (the “Program”) with a group of financial institutions to allow the Company to transfer, on an ongoing revolving basis, an undivided interest in a designated pool of accounts receivable, to provide security or collateral for borrowings up to a maximum of $900.0 million. The Program does not qualify for off balance sheet accounting treatment and, as a result,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$1.59 billion and $1.41 billion at January 2, 2016, and June 27, 2015, respectively. The Program contains certain covenants relating to the quality of the receivables sold. The Program also requires the Company to maintain certain minimum interest coverage and leverage ratios, which the Company was in compliance with as of January 2, 2016, and June 27, 2015. The Program has a two-year term that expires in August 2016 and as a result is considered short-term debt as of January 2, 2016. Interest on borrowings is calculated using a base rate or a commercial paper rate plus a spread of 0.38%. The facility fee is 0.38%.</w:t>
      </w:r>
    </w:p>
    <w:p>
      <w:pPr>
        <w:spacing w:after="0" w:line="1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September 2015, the Company redeemed the $250.0 million of outstanding 6.00% Notes due September 1, 2015, upon their maturity.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January 2, 2016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7"/>
              </w:rPr>
              <w:t>June 27, 2015</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January 2, 2016</w:t>
            </w:r>
          </w:p>
        </w:tc>
        <w:tc>
          <w:tcPr>
            <w:tcW w:w="1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June 27, 2015</w:t>
            </w:r>
          </w:p>
        </w:tc>
      </w:tr>
      <w:tr>
        <w:trPr>
          <w:trHeight w:val="223"/>
        </w:trPr>
        <w:tc>
          <w:tcPr>
            <w:tcW w:w="3780" w:type="dxa"/>
            <w:vAlign w:val="bottom"/>
            <w:tcBorders>
              <w:bottom w:val="single" w:sz="8" w:color="CCEEFF"/>
            </w:tcBorders>
          </w:tcPr>
          <w:p>
            <w:pPr>
              <w:spacing w:after="0"/>
              <w:rPr>
                <w:sz w:val="19"/>
                <w:szCs w:val="19"/>
                <w:color w:val="auto"/>
              </w:rPr>
            </w:pPr>
          </w:p>
        </w:tc>
        <w:tc>
          <w:tcPr>
            <w:tcW w:w="252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0.59 %</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1.47 %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Notes due:</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15, 2016</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6.63 %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June 15, 2020</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5.88 %</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5.88 %</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 2022</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4.88 %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2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6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rPr>
              <w:t>2.99 %</w:t>
            </w:r>
          </w:p>
        </w:tc>
        <w:tc>
          <w:tcPr>
            <w:tcW w:w="11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2.06 %</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40" w:type="dxa"/>
            <w:vAlign w:val="bottom"/>
            <w:tcBorders>
              <w:bottom w:val="single" w:sz="8" w:color="CCEEFF"/>
            </w:tcBorders>
          </w:tcPr>
          <w:p>
            <w:pPr>
              <w:spacing w:after="0"/>
              <w:rPr>
                <w:sz w:val="19"/>
                <w:szCs w:val="19"/>
                <w:color w:val="auto"/>
              </w:rPr>
            </w:pPr>
          </w:p>
        </w:tc>
      </w:tr>
      <w:tr>
        <w:trPr>
          <w:trHeight w:val="188"/>
        </w:trPr>
        <w:tc>
          <w:tcPr>
            <w:tcW w:w="3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Long-term debt before discount and debt</w:t>
            </w: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0"/>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w:t>
            </w:r>
          </w:p>
        </w:tc>
        <w:tc>
          <w:tcPr>
            <w:tcW w:w="1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1,076,945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1,651,828</w:t>
            </w:r>
          </w:p>
        </w:tc>
        <w:tc>
          <w:tcPr>
            <w:tcW w:w="40" w:type="dxa"/>
            <w:vAlign w:val="bottom"/>
            <w:shd w:val="clear" w:color="auto" w:fill="CCEEFF"/>
          </w:tcPr>
          <w:p>
            <w:pPr>
              <w:spacing w:after="0"/>
              <w:rPr>
                <w:sz w:val="20"/>
                <w:szCs w:val="20"/>
                <w:color w:val="auto"/>
              </w:rPr>
            </w:pPr>
          </w:p>
        </w:tc>
      </w:tr>
      <w:tr>
        <w:trPr>
          <w:trHeight w:val="22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w:t>
            </w:r>
          </w:p>
        </w:tc>
        <w:tc>
          <w:tcPr>
            <w:tcW w:w="1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40" w:type="dxa"/>
            <w:vAlign w:val="bottom"/>
            <w:tcBorders>
              <w:bottom w:val="single" w:sz="8" w:color="CCEEFF"/>
            </w:tcBorders>
          </w:tcPr>
          <w:p>
            <w:pPr>
              <w:spacing w:after="0"/>
              <w:rPr>
                <w:sz w:val="19"/>
                <w:szCs w:val="19"/>
                <w:color w:val="auto"/>
              </w:rPr>
            </w:pPr>
          </w:p>
        </w:tc>
      </w:tr>
      <w:tr>
        <w:trPr>
          <w:trHeight w:val="223"/>
        </w:trPr>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1,072,188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1,646,501</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January 2, 2016 and June 27, 2015. As of January 2, 2016 and June 27, 2015, there were $4.9 million and $1.9 million, respectively, in letters of credit issued under the Credit Facility.</w:t>
      </w:r>
    </w:p>
    <w:p>
      <w:pPr>
        <w:spacing w:after="0" w:line="19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January 2, 2016, the carrying value and fair value of the Company’s total debt was $2.21 billion and $2.26 billion, respectively. At June 27, 2015, the carrying value and fair value of the Company's total debt was $1.98 billion and $2.04 billion, respectively. Fair value was estimated primarily based upon quoted market prices.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9" w:lineRule="exact"/>
        <w:rPr>
          <w:sz w:val="20"/>
          <w:szCs w:val="20"/>
          <w:color w:val="auto"/>
        </w:rPr>
      </w:pPr>
    </w:p>
    <w:p>
      <w:pPr>
        <w:jc w:val="both"/>
        <w:ind w:firstLine="428"/>
        <w:spacing w:after="0" w:line="285"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in the same foreign currency)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January 2, 2016, and June 27, 2015 and were not material. The Company’s master netting and other similar arrangements with various financial institutions related to derivative financial instruments allow for the right of offset. Avnet’s policy is to present derivative financial instruments with the same counterparty as either a net asset or liability when the right of offset exists. The Company did not have material net gains or losses related to forward foreign exchange contracts in the second quarters and first six months of fiscal 2016 and 2015, which are recorded as a component of “other expense, net” in the consolidated statements of operations.</w:t>
      </w:r>
    </w:p>
    <w:p>
      <w:pPr>
        <w:spacing w:after="0" w:line="17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also is currently subject to various pending and potential legal matters and investigations relating to compliance with governmental laws and regulations, including import/export, environmental, anticorruption and competition. For certain of these matters it is not possible to determine the ultimate outcome, and the Company cannot reasonably estimate the maximum potential exposure or the range of possible loss for such matters due primarily to being in the preliminary stages of the related proceedings and investigations. The Company currently believes that the resolution of such matters will not have a material adverse effect on the Company’s financial position or liquidity, but could possibly be material to our results of operations in any one reporting period.</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January 2, 2016, and June 27, 2015, the Company has aggregate estimated liabilities of $21.3 million and $17.2 million, respectively, classified within accrued expenses and other for such compliance-related matters that were reasonably estimable as of such dates. Of this amount, $10.0 million relates to a contingent liability for potential unpaid import duties associated with the acquisition of Bell Microproducts Inc. for estimated duties, interest and penalties that may be imposed from an ongoing compliance audit by Customs and Border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effective tax rate on its income before income taxes was 20.9% in the second quarter of fiscal 2016 as compared with 25.6% in the second quarter of fiscal 2015. During the second quarter of fiscal 2016, the Company’s effective tax rate was favorably impacted primarily by (i) the mix of income in lower tax jurisdictions, (ii) the release of valuation allowances against deferred tax assets that were determined to be realizable and (iii) the release of reserves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related to audit settlements and the expiration of statutes of limitation. During the second quarter of fiscal 2015, the Company’s effective tax rate was favorably impacted by the mix of income in lower tax jurisdictions and the release of reserves related to the settlement of an audit in a foreign jurisdiction.</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first six months of fiscal 2016 and 2015, the Company’s effective tax rate was 23.6% and 24.9%, respectively. The effective tax rate for the first six months of fiscal 2016 was favorably impacted primarily by (i) the mix of income in lower tax jurisdictions, (ii) the release of valuation allowances against deferred tax assets that were determined to be realizable and (iii) the release of reserves related to audit settlements and the expiration of statutes of limitation. The effective tax rate for the first six months of fiscal 2015 was favorably impacted by the mix of income in lower tax jurisdictions and the release of reserves, primarily related to the formal deregistration of a foreign branch and the settlement of an audit in a foreign jurisdiction.</w:t>
      </w:r>
    </w:p>
    <w:p>
      <w:pPr>
        <w:spacing w:after="0" w:line="18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applies the guidance in ASC 740, which requires management to use its judgment for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(iii) jurisdictional specific limitations on the utilization of deferred tax assets including when such assets expire; and (iv) prudent and feasible tax planning strategies.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need for the valuation allowances against its deferred tax assets and will adjust valuation allowances as appropriate, which, if adjusted, could result in a significant decrease or increase to the effective tax rate in the period of the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has a noncontributory defined benefit pension plan (the “Plan”) for which the components of net periodic pension costs during the second quarters ended January 2, 2016, and December 27, 2014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Second Quarters Ended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2"/>
              </w:rPr>
              <w:t>January 2,</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180" w:type="dxa"/>
            <w:vAlign w:val="bottom"/>
          </w:tcPr>
          <w:p>
            <w:pPr>
              <w:spacing w:after="0"/>
              <w:rPr>
                <w:sz w:val="17"/>
                <w:szCs w:val="17"/>
                <w:color w:val="auto"/>
              </w:rPr>
            </w:pPr>
          </w:p>
        </w:tc>
        <w:tc>
          <w:tcPr>
            <w:tcW w:w="10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January 2,</w:t>
            </w: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27,</w:t>
            </w:r>
          </w:p>
        </w:tc>
        <w:tc>
          <w:tcPr>
            <w:tcW w:w="4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8,898</w:t>
            </w: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Pr>
          <w:p>
            <w:pPr>
              <w:spacing w:after="0"/>
              <w:rPr>
                <w:sz w:val="18"/>
                <w:szCs w:val="18"/>
                <w:color w:val="auto"/>
              </w:rPr>
            </w:pPr>
          </w:p>
        </w:tc>
      </w:tr>
      <w:tr>
        <w:trPr>
          <w:trHeight w:val="23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r>
      <w:tr>
        <w:trPr>
          <w:trHeight w:val="210"/>
        </w:trPr>
        <w:tc>
          <w:tcPr>
            <w:tcW w:w="36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7,982</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8,125</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16,515</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16,250</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made contributions to the Plan of $20.0 million during the first six months of fiscal 2016. The Company expects to make an additional contribution to the Plan of $10.0 million in each of the remaining two quarters of fiscal 2016.</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benefit of applying any earnings on the Plan’s investments beyond the fixed return provided to participants, toward the Company’s future cash funding obligations.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(loss) income, net of tax, to operating expenses during the second quarters and first six months of fiscal 2016 and fiscal 2015 were not material and substantially all related to net periodic pension costs including recognition of actuarial losses and amortization of prior service credits.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August 2015, the Company’s Board of Directors amended the Company’s existing share repurchase program to authorize the repurchase of up to $1.25 billion of common stock in the open market or through privately negotiated transactions. The timing and actual number of shares purchased will depend on a variety of factors such as share price, corporate and regulatory requirements, and prevailing market conditions. During the second quarter of fiscal 2016, the Company repurchased 0.9 million shares under this program at an average market price of $44.42 per share for a total cost of $39.9 million. During the first six months of fiscal 2016, the Company repurchased 4.4 million shares under this program at an average price of $41.83 per share for a total cost of $185.0 million. Since the beginning of the repurchase program through the end of the second quarter of fiscal 2016, the Company has repurchased 26.5 million shares at an aggregate cost of $882.6 million, and $367.4 million remains available for future repurchases.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November 2015, the Company’s Board of Directors approved a dividend of $0.17 per common share and dividend payments of $22.4 million were made in December 2015. During the six months ended January 2, 2016, the Company has paid dividends of $0.34 per common share and $45.0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9"/>
              </w:rPr>
              <w:t>Second Quarters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January 2,</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3"/>
              </w:rPr>
              <w:t>December 27,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January 2,</w:t>
            </w:r>
          </w:p>
        </w:tc>
        <w:tc>
          <w:tcPr>
            <w:tcW w:w="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gridSpan w:val="7"/>
          </w:tcPr>
          <w:p>
            <w:pPr>
              <w:ind w:left="60"/>
              <w:spacing w:after="0"/>
              <w:rPr>
                <w:sz w:val="20"/>
                <w:szCs w:val="20"/>
                <w:color w:val="auto"/>
              </w:rPr>
            </w:pPr>
            <w:r>
              <w:rPr>
                <w:rFonts w:ascii="Arial" w:cs="Arial" w:eastAsia="Arial" w:hAnsi="Arial"/>
                <w:sz w:val="18"/>
                <w:szCs w:val="18"/>
                <w:b w:val="1"/>
                <w:bCs w:val="1"/>
                <w:color w:val="auto"/>
                <w:w w:val="89"/>
              </w:rPr>
              <w:t>(Thousands, except per share data)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156,012</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163,706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286,266</w:t>
            </w:r>
          </w:p>
        </w:tc>
        <w:tc>
          <w:tcPr>
            <w:tcW w:w="1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for basic</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131,909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136,541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132,846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effect of dilutive stock options, restricted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units and performance share units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line="176" w:lineRule="exact"/>
              <w:rPr>
                <w:sz w:val="20"/>
                <w:szCs w:val="20"/>
                <w:color w:val="auto"/>
              </w:rPr>
            </w:pPr>
            <w:r>
              <w:rPr>
                <w:rFonts w:ascii="Arial" w:cs="Arial" w:eastAsia="Arial" w:hAnsi="Arial"/>
                <w:sz w:val="18"/>
                <w:szCs w:val="18"/>
                <w:color w:val="auto"/>
                <w:w w:val="98"/>
              </w:rPr>
              <w:t>Weighted average common shares for diluted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134,918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138,972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135,622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139,911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Stock options excluded from earnings per share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calculation due to anti-dilutive effect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5"/>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Interest and income taxes paid in the six months ended January 2, 2016, and December 27, 2014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8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January 2,</w:t>
            </w:r>
          </w:p>
        </w:tc>
        <w:tc>
          <w:tcPr>
            <w:tcW w:w="12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December 27,</w:t>
            </w:r>
          </w:p>
        </w:tc>
        <w:tc>
          <w:tcPr>
            <w:tcW w:w="6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52,724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50,355</w:t>
            </w:r>
          </w:p>
        </w:tc>
        <w:tc>
          <w:tcPr>
            <w:tcW w:w="6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Income taxes</w:t>
            </w:r>
          </w:p>
        </w:tc>
        <w:tc>
          <w:tcPr>
            <w:tcW w:w="3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220"/>
              <w:spacing w:after="0"/>
              <w:rPr>
                <w:sz w:val="20"/>
                <w:szCs w:val="20"/>
                <w:color w:val="auto"/>
              </w:rPr>
            </w:pPr>
            <w:r>
              <w:rPr>
                <w:rFonts w:ascii="Arial" w:cs="Arial" w:eastAsia="Arial" w:hAnsi="Arial"/>
                <w:sz w:val="18"/>
                <w:szCs w:val="18"/>
                <w:color w:val="auto"/>
              </w:rPr>
              <w:t>48,942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86,486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Non-cash investing activities related to purchases of property, plant and equipment that have been accrued, but not paid for, were $12.7 million and $15.3 million as of January 2, 2016, and December 27, 2014,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January 2, 2016, was $8.0 million of cash equivalents, which was primarily comprised of overnight time deposits whose fair value was determined using Level 1 measurements under the ASC 820 fair value hierarchy.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TS also provides the latest hard disk drives, microprocessor, motherboard and DRAM module technologies to manufacturers of general-purpose computers and system builders.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Second Quarters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gridSpan w:val="3"/>
          </w:tcPr>
          <w:p>
            <w:pPr>
              <w:jc w:val="right"/>
              <w:ind w:right="180"/>
              <w:spacing w:after="0" w:line="198" w:lineRule="exact"/>
              <w:rPr>
                <w:sz w:val="20"/>
                <w:szCs w:val="20"/>
                <w:color w:val="auto"/>
              </w:rPr>
            </w:pPr>
            <w:r>
              <w:rPr>
                <w:rFonts w:ascii="Arial" w:cs="Arial" w:eastAsia="Arial" w:hAnsi="Arial"/>
                <w:sz w:val="18"/>
                <w:szCs w:val="18"/>
                <w:b w:val="1"/>
                <w:bCs w:val="1"/>
                <w:color w:val="auto"/>
                <w:w w:val="96"/>
              </w:rPr>
              <w:t>January 2,</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January 2,</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27,</w:t>
            </w:r>
          </w:p>
        </w:tc>
        <w:tc>
          <w:tcPr>
            <w:tcW w:w="40" w:type="dxa"/>
            <w:vAlign w:val="bottom"/>
          </w:tcPr>
          <w:p>
            <w:pPr>
              <w:spacing w:after="0"/>
              <w:rPr>
                <w:sz w:val="17"/>
                <w:szCs w:val="17"/>
                <w:color w:val="auto"/>
              </w:rPr>
            </w:pPr>
          </w:p>
        </w:tc>
      </w:tr>
      <w:tr>
        <w:trPr>
          <w:trHeight w:val="24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4,114,614</w:t>
            </w:r>
          </w:p>
        </w:tc>
        <w:tc>
          <w:tcPr>
            <w:tcW w:w="1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4,435,190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8,586,016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8,809,285</w:t>
            </w:r>
          </w:p>
        </w:tc>
        <w:tc>
          <w:tcPr>
            <w:tcW w:w="40" w:type="dxa"/>
            <w:vAlign w:val="bottom"/>
          </w:tcPr>
          <w:p>
            <w:pPr>
              <w:spacing w:after="0"/>
              <w:rPr>
                <w:sz w:val="18"/>
                <w:szCs w:val="18"/>
                <w:color w:val="auto"/>
              </w:rPr>
            </w:pPr>
          </w:p>
        </w:tc>
      </w:tr>
      <w:tr>
        <w:trPr>
          <w:trHeight w:val="236"/>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2,733,443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3,116,690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5,231,735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5,582,181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6,848,057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7,551,880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13,817,751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14,391,466</w:t>
            </w:r>
          </w:p>
        </w:tc>
        <w:tc>
          <w:tcPr>
            <w:tcW w:w="40" w:type="dxa"/>
            <w:vAlign w:val="bottom"/>
            <w:tcBorders>
              <w:bottom w:val="single" w:sz="8" w:color="CCEEFF"/>
            </w:tcBorders>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173,984</w:t>
            </w:r>
          </w:p>
        </w:tc>
        <w:tc>
          <w:tcPr>
            <w:tcW w:w="1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191,449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394,160</w:t>
            </w:r>
          </w:p>
        </w:tc>
        <w:tc>
          <w:tcPr>
            <w:tcW w:w="4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179,974</w:t>
            </w:r>
          </w:p>
        </w:tc>
        <w:tc>
          <w:tcPr>
            <w:tcW w:w="40" w:type="dxa"/>
            <w:vAlign w:val="bottom"/>
            <w:shd w:val="clear" w:color="auto" w:fill="CCEEFF"/>
          </w:tcPr>
          <w:p>
            <w:pPr>
              <w:spacing w:after="0"/>
              <w:rPr>
                <w:sz w:val="18"/>
                <w:szCs w:val="18"/>
                <w:color w:val="auto"/>
              </w:rPr>
            </w:pPr>
          </w:p>
        </w:tc>
      </w:tr>
      <w:tr>
        <w:trPr>
          <w:trHeight w:val="223"/>
        </w:trPr>
        <w:tc>
          <w:tcPr>
            <w:tcW w:w="41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(35,826)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(75,813)</w:t>
            </w: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495,669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2"/>
              </w:rPr>
              <w:t>Restructuring, integration and other expenses (Note 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(21,222)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(31,577)</w:t>
            </w:r>
          </w:p>
        </w:tc>
      </w:tr>
      <w:tr>
        <w:trPr>
          <w:trHeight w:val="23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8"/>
              </w:rPr>
              <w:t>Amortization of acquired intangible assets and other</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(23,260)</w:t>
            </w:r>
          </w:p>
        </w:tc>
      </w:tr>
      <w:tr>
        <w:trPr>
          <w:trHeight w:val="210"/>
        </w:trPr>
        <w:tc>
          <w:tcPr>
            <w:tcW w:w="4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226,115</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250,287</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433,077</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443,484</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2,750,560</w:t>
            </w:r>
          </w:p>
        </w:tc>
        <w:tc>
          <w:tcPr>
            <w:tcW w:w="1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3,051,888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5,524,503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5,699,010</w:t>
            </w:r>
          </w:p>
        </w:tc>
        <w:tc>
          <w:tcPr>
            <w:tcW w:w="4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2,062,052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3,950,668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4,037,431</w:t>
            </w:r>
          </w:p>
        </w:tc>
        <w:tc>
          <w:tcPr>
            <w:tcW w:w="40" w:type="dxa"/>
            <w:vAlign w:val="bottom"/>
            <w:shd w:val="clear" w:color="auto" w:fill="CCEEFF"/>
          </w:tcPr>
          <w:p>
            <w:pPr>
              <w:spacing w:after="0"/>
              <w:rPr>
                <w:sz w:val="18"/>
                <w:szCs w:val="18"/>
                <w:color w:val="auto"/>
              </w:rPr>
            </w:pPr>
          </w:p>
        </w:tc>
      </w:tr>
      <w:tr>
        <w:trPr>
          <w:trHeight w:val="223"/>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2,162,048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2,437,940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4,342,580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4,655,025</w:t>
            </w:r>
          </w:p>
        </w:tc>
        <w:tc>
          <w:tcPr>
            <w:tcW w:w="40" w:type="dxa"/>
            <w:vAlign w:val="bottom"/>
            <w:tcBorders>
              <w:bottom w:val="single" w:sz="8" w:color="CCEEFF"/>
            </w:tcBorders>
          </w:tcPr>
          <w:p>
            <w:pPr>
              <w:spacing w:after="0"/>
              <w:rPr>
                <w:sz w:val="19"/>
                <w:szCs w:val="19"/>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6,848,057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7,551,880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13,817,751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14,391,466</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20" w:hanging="317"/>
        <w:spacing w:after="0" w:line="264"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sales from the United States of $2.48 billion and $2.70 billion for the quarters ended January 2, 2016, and December 27, 2014, respectively. Includes sales from the United States of $4.99 billion and $5.06 billion for the first six months of fiscal 2016 and 2015, respectively.</w:t>
      </w:r>
    </w:p>
    <w:p>
      <w:pPr>
        <w:spacing w:after="0" w:line="181" w:lineRule="exact"/>
        <w:rPr>
          <w:rFonts w:ascii="Arial" w:cs="Arial" w:eastAsia="Arial" w:hAnsi="Arial"/>
          <w:sz w:val="9"/>
          <w:szCs w:val="9"/>
          <w:color w:val="auto"/>
        </w:rPr>
      </w:pPr>
    </w:p>
    <w:p>
      <w:pPr>
        <w:jc w:val="both"/>
        <w:ind w:left="320" w:hanging="317"/>
        <w:spacing w:after="0" w:line="302" w:lineRule="auto"/>
        <w:tabs>
          <w:tab w:leader="none" w:pos="263" w:val="left"/>
        </w:tabs>
        <w:numPr>
          <w:ilvl w:val="0"/>
          <w:numId w:val="3"/>
        </w:numPr>
        <w:rPr>
          <w:rFonts w:ascii="Arial" w:cs="Arial" w:eastAsia="Arial" w:hAnsi="Arial"/>
          <w:sz w:val="8"/>
          <w:szCs w:val="8"/>
          <w:color w:val="auto"/>
        </w:rPr>
      </w:pPr>
      <w:r>
        <w:rPr>
          <w:rFonts w:ascii="Arial" w:cs="Arial" w:eastAsia="Arial" w:hAnsi="Arial"/>
          <w:sz w:val="16"/>
          <w:szCs w:val="16"/>
          <w:color w:val="auto"/>
        </w:rPr>
        <w:t>Includes sales from Germany and the United Kingdom of $760.6 million and $340.5 million, respectively, for the quarter ended January 2, 2016, and $1.56 billion and $681.1 million, respectively, for the first six months of fiscal 2016. Includes sales from Germany and the United Kingdom of $787.8 million and $384.8 million, respectively, for the quarter ended December 27, 2014, and $1.53 billion and $745.2 million, respectively, for the first six months of fiscal 2015.</w:t>
      </w:r>
    </w:p>
    <w:p>
      <w:pPr>
        <w:spacing w:after="0" w:line="154" w:lineRule="exact"/>
        <w:rPr>
          <w:rFonts w:ascii="Arial" w:cs="Arial" w:eastAsia="Arial" w:hAnsi="Arial"/>
          <w:sz w:val="8"/>
          <w:szCs w:val="8"/>
          <w:color w:val="auto"/>
        </w:rPr>
      </w:pPr>
    </w:p>
    <w:p>
      <w:pPr>
        <w:jc w:val="both"/>
        <w:ind w:left="320" w:hanging="317"/>
        <w:spacing w:after="0" w:line="257"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sales from China (including Hong Kong) and Taiwan of $703.9 million and $864.0 million, respectively, for the quarter ended January 2, 2016, and $1.42 billion and $1.69 billion, respectively, for the first six months of fiscal 2016. Includes sales from China (including Hong Kong) and Taiwan of $727.1 million and $1.01 billion, respectively, for the quarter ended December 27, 2014, and $1.47 billion and $1.82 billion, respectively, for the first six months of fiscal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5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6,403,582</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6,497,714</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4,238,135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3,608,953</w:t>
            </w:r>
          </w:p>
        </w:tc>
        <w:tc>
          <w:tcPr>
            <w:tcW w:w="14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660,635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693,286</w:t>
            </w:r>
          </w:p>
        </w:tc>
        <w:tc>
          <w:tcPr>
            <w:tcW w:w="140" w:type="dxa"/>
            <w:vAlign w:val="bottom"/>
            <w:tcBorders>
              <w:bottom w:val="single" w:sz="8" w:color="CCEEFF"/>
            </w:tcBorders>
          </w:tcPr>
          <w:p>
            <w:pPr>
              <w:spacing w:after="0"/>
              <w:rPr>
                <w:sz w:val="19"/>
                <w:szCs w:val="19"/>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11,302,352</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10,799,953</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385,816</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358,063</w:t>
            </w: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182,311</w:t>
            </w:r>
          </w:p>
        </w:tc>
        <w:tc>
          <w:tcPr>
            <w:tcW w:w="140" w:type="dxa"/>
            <w:vAlign w:val="bottom"/>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587,216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568,779</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line="277"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property, plant and equipment, net, of $376.4 million and $352.2 million as of January 2, 2016, and June 27, 2015, respectively, in the United States.</w:t>
      </w:r>
    </w:p>
    <w:p>
      <w:pPr>
        <w:spacing w:after="0" w:line="170" w:lineRule="exact"/>
        <w:rPr>
          <w:rFonts w:ascii="Arial" w:cs="Arial" w:eastAsia="Arial" w:hAnsi="Arial"/>
          <w:sz w:val="9"/>
          <w:szCs w:val="9"/>
          <w:color w:val="auto"/>
        </w:rPr>
      </w:pPr>
    </w:p>
    <w:p>
      <w:pPr>
        <w:ind w:left="320" w:hanging="317"/>
        <w:spacing w:after="0" w:line="342" w:lineRule="auto"/>
        <w:tabs>
          <w:tab w:leader="none" w:pos="263" w:val="left"/>
        </w:tabs>
        <w:numPr>
          <w:ilvl w:val="0"/>
          <w:numId w:val="4"/>
        </w:numPr>
        <w:rPr>
          <w:rFonts w:ascii="Arial" w:cs="Arial" w:eastAsia="Arial" w:hAnsi="Arial"/>
          <w:sz w:val="8"/>
          <w:szCs w:val="8"/>
          <w:color w:val="auto"/>
        </w:rPr>
      </w:pPr>
      <w:r>
        <w:rPr>
          <w:rFonts w:ascii="Arial" w:cs="Arial" w:eastAsia="Arial" w:hAnsi="Arial"/>
          <w:sz w:val="16"/>
          <w:szCs w:val="16"/>
          <w:color w:val="auto"/>
        </w:rPr>
        <w:t>Includes property, plant and equipment, net, of $72.8 million and $70.5 million in Germany and Belgium, respectively, as of January 2, 2016, and $74.2 million and $74.7 million in Germany and Belgium, respectively, as of June 27, 2015.</w:t>
      </w:r>
    </w:p>
    <w:p>
      <w:pPr>
        <w:spacing w:after="0" w:line="120" w:lineRule="exact"/>
        <w:rPr>
          <w:sz w:val="20"/>
          <w:szCs w:val="20"/>
          <w:color w:val="auto"/>
        </w:rPr>
      </w:pPr>
    </w:p>
    <w:p>
      <w:pPr>
        <w:ind w:left="440" w:right="5260" w:hanging="437"/>
        <w:spacing w:after="0" w:line="503" w:lineRule="auto"/>
        <w:tabs>
          <w:tab w:leader="none" w:pos="28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integration and other expenses </w:t>
      </w:r>
      <w:r>
        <w:rPr>
          <w:rFonts w:ascii="Arial" w:cs="Arial" w:eastAsia="Arial" w:hAnsi="Arial"/>
          <w:sz w:val="18"/>
          <w:szCs w:val="18"/>
          <w:i w:val="1"/>
          <w:iCs w:val="1"/>
          <w:color w:val="auto"/>
        </w:rPr>
        <w:t>Fiscal 2016</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the second quarter and first six months of fiscal 2016, the Company took certain actions in an effort to reduce future operating expenses, including the continuation of the restructuring activities started in the fourth quarter of fiscal 2015 and the first quarter of fiscal 2016. These actions include activities related to the Avnet Advantage initiative, which is focused on creating operational efficiencies. In addition, the Company incurred integration and other costs primarily associated with the integration of acquired businesses, the integration of certain global and regional businesses and the closure or divestiture of certain businesses. The following table presents the restructuring, integration and other expenses recorded during the second quarter and first six months of fiscal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18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Six Months Ended</w:t>
            </w:r>
          </w:p>
        </w:tc>
      </w:tr>
      <w:tr>
        <w:trPr>
          <w:trHeight w:val="241"/>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January 2, 2016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January 2, 2016</w:t>
            </w:r>
          </w:p>
        </w:tc>
      </w:tr>
      <w:tr>
        <w:trPr>
          <w:trHeight w:val="216"/>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8"/>
              </w:rPr>
              <w:t>(Thousands, except per share data)</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Integration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4,493</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60" w:type="dxa"/>
            <w:vAlign w:val="bottom"/>
            <w:shd w:val="clear" w:color="auto" w:fill="CCEEFF"/>
          </w:tcPr>
          <w:p>
            <w:pPr>
              <w:spacing w:after="0"/>
              <w:rPr>
                <w:sz w:val="18"/>
                <w:szCs w:val="18"/>
                <w:color w:val="auto"/>
              </w:rPr>
            </w:pPr>
          </w:p>
        </w:tc>
      </w:tr>
      <w:tr>
        <w:trPr>
          <w:trHeight w:val="223"/>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estimates for prior year restructuring liabilities</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bottom w:val="single" w:sz="8" w:color="CCEEFF"/>
            </w:tcBorders>
          </w:tcPr>
          <w:p>
            <w:pPr>
              <w:spacing w:after="0"/>
              <w:rPr>
                <w:sz w:val="19"/>
                <w:szCs w:val="19"/>
                <w:color w:val="auto"/>
              </w:rPr>
            </w:pPr>
          </w:p>
        </w:tc>
      </w:tr>
      <w:tr>
        <w:trPr>
          <w:trHeight w:val="236"/>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integration and other expenses before tax</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57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after tax</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30,426</w:t>
            </w:r>
          </w:p>
        </w:tc>
        <w:tc>
          <w:tcPr>
            <w:tcW w:w="60" w:type="dxa"/>
            <w:vAlign w:val="bottom"/>
            <w:tcBorders>
              <w:bottom w:val="single" w:sz="8" w:color="CCEEFF"/>
            </w:tcBorders>
          </w:tcPr>
          <w:p>
            <w:pPr>
              <w:spacing w:after="0"/>
              <w:rPr>
                <w:sz w:val="18"/>
                <w:szCs w:val="18"/>
                <w:color w:val="auto"/>
              </w:rPr>
            </w:pPr>
          </w:p>
        </w:tc>
      </w:tr>
      <w:tr>
        <w:trPr>
          <w:trHeight w:val="236"/>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Restructuring, integration and other expenses per share on a diluted basis</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851"/>
        </w:trPr>
        <w:tc>
          <w:tcPr>
            <w:tcW w:w="5720" w:type="dxa"/>
            <w:vAlign w:val="bottom"/>
          </w:tcPr>
          <w:p>
            <w:pPr>
              <w:ind w:left="44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7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activity related to the restructuring liabilities established and other associated expenses incurred during fiscal 2016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Facility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Asset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Exit Costs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Impairments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4"/>
              </w:rPr>
              <w:t>(Thousands)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Fiscal 2016 restructuring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25,684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31,476</w:t>
            </w: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 2016</w:t>
            </w:r>
          </w:p>
        </w:tc>
        <w:tc>
          <w:tcPr>
            <w:tcW w:w="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20,059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23,521</w:t>
            </w: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Severance expense recorded in the first six months of fiscal 2016 related to the reduction of approximately 400 employees, primarily in operations, sales and business support functions, in connection with cost reduction actions taken in both operating groups including the impact of a voluntary retirement program in the United States. Facility exit costs primarily consist of liabilities for remaining lease obligations for exited facilities. Asset impairments relate to the impairment of property, plant and equipment as a result of the underlying restructuring actions taken in fiscal 2016. Other restructuring costs related primarily to other miscellaneous restructuring and exit costs. Of the $31.5 million in restructuring expenses recorded during the first six months of fiscal 2016, $16.3 million related to EM and $15.2 million related to TS. As of January 2, 2016, the Company expects the majority of the remaining severance and facility exit costs to be paid by the end of fiscal 2016.</w:t>
      </w:r>
    </w:p>
    <w:p>
      <w:pPr>
        <w:spacing w:after="0" w:line="19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Integration costs are primarily related to the integration of acquired businesses, integration of regional and global business units and incremental costs incurred as part of the consolidation, relocation and closure of warehouse and office facilities. Integration costs include consulting costs for information technology system and business operation integration assistance, facility moving costs,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consists primarily of professional fees incurred for acquisitions, costs incurred for businesses divested or closed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Included in other costs during the first six months of fiscal 2016 was $4.3 million of expense associated with Avnet’s estimated environmental remediation obligations related to certain legacy manufacturing operations that were divested several decades ago. The remaining integration and other costs in the first six months of fiscal 2016 were comprised of many different costs, none of which were individually material.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2015</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2015, the Company incurred restructuring expenses related to various restructuring actions intended to achieve planned synergies from acquired businesses and to reduce future operating expenses. The following table presents the activity during the first six months of fiscal 2016 related to the remaining restructuring liabilities established during fiscal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Facility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Exit Costs</w:t>
            </w:r>
          </w:p>
        </w:tc>
        <w:tc>
          <w:tcPr>
            <w:tcW w:w="1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0"/>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2015</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14,466</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(6,088)</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40" w:type="dxa"/>
            <w:vAlign w:val="bottom"/>
            <w:shd w:val="clear" w:color="auto" w:fill="CCEEFF"/>
          </w:tcPr>
          <w:p>
            <w:pPr>
              <w:spacing w:after="0"/>
              <w:rPr>
                <w:sz w:val="20"/>
                <w:szCs w:val="20"/>
                <w:color w:val="auto"/>
              </w:rPr>
            </w:pPr>
          </w:p>
        </w:tc>
      </w:tr>
      <w:tr>
        <w:trPr>
          <w:trHeight w:val="210"/>
        </w:trPr>
        <w:tc>
          <w:tcPr>
            <w:tcW w:w="4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January 2, 2016</w:t>
            </w: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7,123</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2,357</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9,480</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January 2, 2016, the Company expects the majority of the remaining severance and facility exit cost liabilities to be paid by the end of fiscal 2016.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2014 and prior</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June 27, 2015, there were $11.8 million of restructuring liabilities remaining related to restructuring actions taken in fiscal years 2014 and prior, the majority of which relates to facility exit costs. The remaining balance for such historical restructuring actions as of January 2, 2016, was $7.3 million, which is expected to be paid by the end of fiscal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January 2, 2016, this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(“MD&amp;A”) should be read in conjunction with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the related notes, appearing in Item 1 of this Report, as well as the Company’s Annual Report on Form 10-K for the fiscal year ended June 27, 2015. The Company operates on a “52/53 week” fiscal year, and as a result, the first six months of fiscal 2016 contained 27 weeks and the first six months of fiscal 2015 contained 26 weeks. This extra week, which occurred in the first quarter of fiscal 2016, impacts the year-over-year analysis for the first six months of fiscal 2016 in this MD&amp;A.</w:t>
      </w:r>
    </w:p>
    <w:p>
      <w:pPr>
        <w:spacing w:after="0" w:line="19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are referred to as “excluding the translation impact of changes in foreign currency exchange rates” or “constant currency.”</w:t>
      </w:r>
    </w:p>
    <w:p>
      <w:pPr>
        <w:spacing w:after="0" w:line="1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480" w:hanging="53"/>
        <w:spacing w:after="0" w:line="264" w:lineRule="auto"/>
        <w:rPr>
          <w:sz w:val="20"/>
          <w:szCs w:val="20"/>
          <w:color w:val="auto"/>
        </w:rPr>
      </w:pPr>
      <w:r>
        <w:rPr>
          <w:rFonts w:ascii="Arial" w:cs="Arial" w:eastAsia="Arial" w:hAnsi="Arial"/>
          <w:sz w:val="18"/>
          <w:szCs w:val="18"/>
          <w:color w:val="auto"/>
        </w:rPr>
        <w:t>·Sales, income or expense items excluding the translation impact of changes in foreign currency exchange rates by adjusting the exchange rates used in current periods to be consistent with the exchange rates in effect during prior comparable year-over-year periods, as discussed above.</w:t>
      </w:r>
    </w:p>
    <w:p>
      <w:pPr>
        <w:spacing w:after="0" w:line="181" w:lineRule="exact"/>
        <w:rPr>
          <w:sz w:val="20"/>
          <w:szCs w:val="20"/>
          <w:color w:val="auto"/>
        </w:rPr>
      </w:pPr>
    </w:p>
    <w:p>
      <w:pPr>
        <w:jc w:val="both"/>
        <w:ind w:left="480" w:hanging="53"/>
        <w:spacing w:after="0" w:line="255" w:lineRule="auto"/>
        <w:rPr>
          <w:sz w:val="20"/>
          <w:szCs w:val="20"/>
          <w:color w:val="auto"/>
        </w:rPr>
      </w:pPr>
      <w:r>
        <w:rPr>
          <w:rFonts w:ascii="Arial" w:cs="Arial" w:eastAsia="Arial" w:hAnsi="Arial"/>
          <w:sz w:val="18"/>
          <w:szCs w:val="18"/>
          <w:color w:val="auto"/>
        </w:rPr>
        <w:t>·Sales adjusted for certain items that impact the year-over-year analysis, which includes the impact of more than insignificant acquisitions or divestitures by adjusting Avnet’s prior periods to include the sales of acquired businesses or exclude the sales of divested businesses as if the acquisitions or divestitures had occurred at the beginning of the earliest period presented. In addition, fiscal 2016 sales are adjusted for the estimated impact of the extra week of sales in the first quarter of fiscal 2016 due to it being a 14-week quarter, as discussed above. Sales taking into account these adjustments are referred to as “organic sales.”</w:t>
      </w:r>
    </w:p>
    <w:p>
      <w:pPr>
        <w:spacing w:after="0" w:line="193" w:lineRule="exact"/>
        <w:rPr>
          <w:sz w:val="20"/>
          <w:szCs w:val="20"/>
          <w:color w:val="auto"/>
        </w:rPr>
      </w:pPr>
    </w:p>
    <w:p>
      <w:pPr>
        <w:jc w:val="both"/>
        <w:ind w:left="480" w:hanging="53"/>
        <w:spacing w:after="0" w:line="264" w:lineRule="auto"/>
        <w:rPr>
          <w:sz w:val="20"/>
          <w:szCs w:val="20"/>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this MD&amp;A) and (ii) amortization of acquired intangible assets and other. Operating income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Second Quarters Ended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January 2,</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27,</w:t>
            </w:r>
          </w:p>
        </w:tc>
        <w:tc>
          <w:tcPr>
            <w:tcW w:w="200" w:type="dxa"/>
            <w:vAlign w:val="bottom"/>
          </w:tcPr>
          <w:p>
            <w:pPr>
              <w:spacing w:after="0"/>
              <w:rPr>
                <w:sz w:val="17"/>
                <w:szCs w:val="17"/>
                <w:color w:val="auto"/>
              </w:rPr>
            </w:pPr>
          </w:p>
        </w:tc>
        <w:tc>
          <w:tcPr>
            <w:tcW w:w="106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January 2,</w:t>
            </w: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27,</w:t>
            </w:r>
          </w:p>
        </w:tc>
        <w:tc>
          <w:tcPr>
            <w:tcW w:w="40" w:type="dxa"/>
            <w:vAlign w:val="bottom"/>
          </w:tcPr>
          <w:p>
            <w:pPr>
              <w:spacing w:after="0"/>
              <w:rPr>
                <w:sz w:val="17"/>
                <w:szCs w:val="17"/>
                <w:color w:val="auto"/>
              </w:rPr>
            </w:pPr>
          </w:p>
        </w:tc>
      </w:tr>
      <w:tr>
        <w:trPr>
          <w:trHeight w:val="241"/>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226,115</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433,077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443,484</w:t>
            </w: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31,577</w:t>
            </w:r>
          </w:p>
        </w:tc>
        <w:tc>
          <w:tcPr>
            <w:tcW w:w="40" w:type="dxa"/>
            <w:vAlign w:val="bottom"/>
          </w:tcPr>
          <w:p>
            <w:pPr>
              <w:spacing w:after="0"/>
              <w:rPr>
                <w:sz w:val="18"/>
                <w:szCs w:val="18"/>
                <w:color w:val="auto"/>
              </w:rPr>
            </w:pPr>
          </w:p>
        </w:tc>
      </w:tr>
      <w:tr>
        <w:trPr>
          <w:trHeight w:val="236"/>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Amortization of acquired intangible assets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22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255,258</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274,596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495,669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498,321</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Management believes that providing this additional information is useful to financial statement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goals and, in many cases, for measuring performance for compensation purposes. However, any analysis of results on a non-GAAP basis should be used as a complement to, and in conjunction with, results presented in accordance with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electronic manufacturing services providers, original design manufacturers, systems integrators, independent software vendors and value-added resellers.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EM and TS, have operations in each of the three major economic regions of the world: the Americas; EMEA; and Asia/Pacific, consisting of Asia, Australia and New Zealand (“Asia”). A summary of each operating group is provided in Note 12,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for the second quarter of fiscal 2016 were $6.85 billion, as compared to the second quarter of fiscal 2015 sales of $7.55 billion. The decrease in year-over-year reported sales of $703.8 million was the result of a $320.6 million decrease at EM and a $383.2 million decrease at TS. Sales decreased 5.1% year over year in constant currency as the result of a 3.4% decrease at EM and a 7.6% decrease at TS.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11.4% increased 27 basis points compared to the second quarter of fiscal 2015 as a result of gross profit margin improvements at TS across all regions, partially offset by a decline at EM.</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Operating income margin was 3.3% in the second quarter of fiscal 2016 as compared with 3.3% in the second quarter of fiscal 2015. Adjusted operating income margin was 3.7% in the second quarter of fiscal 2016 as compared to 3.6% in the second quarter of fiscal 2015. EM operating income margin decreased 9 basis points year over year to 4.2%. The decrease in EM operating income margin was primarily due to a decrease in sales and the translation impact of the strengthening of the U.S. Dollar year over year, partially offset by the impact of prior restructuring actions. TS operating income margin increased 51 basis points year over year to 4.3% primarily due to an increase in gross profit margin from portfolio management and changes in product mix and from the impact of prior restructuring actions.</w:t>
      </w:r>
    </w:p>
    <w:p>
      <w:pPr>
        <w:spacing w:after="0" w:line="17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second quarter of fiscal 2016, the Company generated $118.0 million of cash from operating activities compared to a cash generation of $265.1 million from operating activities in the second quarter of fiscal 2015.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the reconciliation of reported sales to organic sales for the second quarters and first six months of fiscal 2016 and fiscal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4"/>
              </w:rPr>
              <w:t>Second Quarter Ended</w:t>
            </w: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8"/>
              </w:rPr>
              <w:t>Six Months Ended</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Acquisitions/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As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87"/>
              </w:rPr>
              <w:t>As</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 xml:space="preserve">Divestitures </w:t>
            </w:r>
            <w:r>
              <w:rPr>
                <w:rFonts w:ascii="Arial" w:cs="Arial" w:eastAsia="Arial" w:hAnsi="Arial"/>
                <w:sz w:val="17"/>
                <w:szCs w:val="17"/>
                <w:b w:val="1"/>
                <w:bCs w:val="1"/>
                <w:color w:val="auto"/>
                <w:vertAlign w:val="superscript"/>
              </w:rPr>
              <w:t>(1)</w:t>
            </w: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Reported -</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Acquisitions/</w:t>
            </w: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Organic Sales -</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Reported -</w:t>
            </w:r>
          </w:p>
        </w:tc>
        <w:tc>
          <w:tcPr>
            <w:tcW w:w="300" w:type="dxa"/>
            <w:vAlign w:val="bottom"/>
          </w:tcPr>
          <w:p>
            <w:pPr>
              <w:spacing w:after="0"/>
              <w:rPr>
                <w:sz w:val="17"/>
                <w:szCs w:val="17"/>
                <w:color w:val="auto"/>
              </w:rPr>
            </w:pPr>
          </w:p>
        </w:tc>
        <w:tc>
          <w:tcPr>
            <w:tcW w:w="120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Estimated</w:t>
            </w: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w w:val="97"/>
              </w:rPr>
              <w:t>Organic Sales -</w:t>
            </w:r>
          </w:p>
        </w:tc>
      </w:t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2016</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 xml:space="preserve">Divestitures </w:t>
            </w:r>
            <w:r>
              <w:rPr>
                <w:rFonts w:ascii="Arial" w:cs="Arial" w:eastAsia="Arial" w:hAnsi="Arial"/>
                <w:sz w:val="17"/>
                <w:szCs w:val="17"/>
                <w:b w:val="1"/>
                <w:bCs w:val="1"/>
                <w:color w:val="auto"/>
                <w:vertAlign w:val="superscript"/>
              </w:rPr>
              <w:t>(1)</w:t>
            </w:r>
          </w:p>
        </w:tc>
        <w:tc>
          <w:tcPr>
            <w:tcW w:w="3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Fiscal 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88"/>
              </w:rPr>
              <w:t>Fiscal 2016</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 xml:space="preserve">Extra Week </w:t>
            </w:r>
            <w:r>
              <w:rPr>
                <w:rFonts w:ascii="Arial" w:cs="Arial" w:eastAsia="Arial" w:hAnsi="Arial"/>
                <w:sz w:val="17"/>
                <w:szCs w:val="17"/>
                <w:b w:val="1"/>
                <w:bCs w:val="1"/>
                <w:color w:val="auto"/>
                <w:w w:val="91"/>
                <w:vertAlign w:val="superscript"/>
              </w:rPr>
              <w:t>(2)</w:t>
            </w:r>
          </w:p>
        </w:tc>
        <w:tc>
          <w:tcPr>
            <w:tcW w:w="22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2016</w:t>
            </w:r>
          </w:p>
        </w:tc>
      </w:tr>
      <w:tr>
        <w:trPr>
          <w:trHeight w:val="203"/>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6"/>
          </w:tcPr>
          <w:p>
            <w:pPr>
              <w:jc w:val="right"/>
              <w:ind w:right="359"/>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Avnet, Inc.</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6,848,057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7,184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6,855,241</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13,817,751</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(477,986)</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13,339,765</w:t>
            </w:r>
          </w:p>
        </w:tc>
        <w:tc>
          <w:tcPr>
            <w:tcW w:w="80" w:type="dxa"/>
            <w:vAlign w:val="bottom"/>
            <w:shd w:val="clear" w:color="auto" w:fill="CCEEFF"/>
          </w:tcPr>
          <w:p>
            <w:pPr>
              <w:spacing w:after="0"/>
              <w:rPr>
                <w:sz w:val="18"/>
                <w:szCs w:val="18"/>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4,114,614</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4,114,614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8,586,016</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8,286,016</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2,733,443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7,184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2,740,627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5,231,735</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(177,986)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5,053,749</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6"/>
                <w:szCs w:val="16"/>
                <w:b w:val="1"/>
                <w:bCs w:val="1"/>
                <w:color w:val="auto"/>
              </w:rPr>
              <w:t>EM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1,125,160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1,125,160</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2,390,368</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(82,000)</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2,308,368</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1,141,076</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1,141,076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2,467,512</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(92,000)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2,375,512</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1,848,378</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1,848,378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3,728,136</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(126,000)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3,602,136</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6"/>
                <w:szCs w:val="16"/>
                <w:b w:val="1"/>
                <w:bCs w:val="1"/>
                <w:color w:val="auto"/>
              </w:rPr>
              <w:t>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1,625,400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1,625,400</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3,134,135</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(137,000)</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2,997,135</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794,373</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7,184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801,557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1,483,156</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(17,986)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1,465,170</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313,670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313,670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614,444</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(23,000)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591,444</w:t>
            </w:r>
          </w:p>
        </w:tc>
        <w:tc>
          <w:tcPr>
            <w:tcW w:w="80" w:type="dxa"/>
            <w:vAlign w:val="bottom"/>
            <w:shd w:val="clear" w:color="auto" w:fill="CCEEFF"/>
          </w:tcPr>
          <w:p>
            <w:pPr>
              <w:spacing w:after="0"/>
              <w:rPr>
                <w:sz w:val="19"/>
                <w:szCs w:val="19"/>
                <w:color w:val="auto"/>
              </w:rPr>
            </w:pPr>
          </w:p>
        </w:tc>
      </w:tr>
      <w:tr>
        <w:trPr>
          <w:trHeight w:val="453"/>
        </w:trPr>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Second Quarter Ended</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2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b w:val="1"/>
                <w:bCs w:val="1"/>
                <w:color w:val="auto"/>
              </w:rPr>
              <w:t>As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As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Reported -</w:t>
            </w: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Acquisitions/</w:t>
            </w:r>
          </w:p>
        </w:tc>
        <w:tc>
          <w:tcPr>
            <w:tcW w:w="1300" w:type="dxa"/>
            <w:vAlign w:val="bottom"/>
            <w:gridSpan w:val="3"/>
          </w:tcPr>
          <w:p>
            <w:pPr>
              <w:jc w:val="center"/>
              <w:ind w:left="119"/>
              <w:spacing w:after="0"/>
              <w:rPr>
                <w:sz w:val="20"/>
                <w:szCs w:val="20"/>
                <w:color w:val="auto"/>
              </w:rPr>
            </w:pPr>
            <w:r>
              <w:rPr>
                <w:rFonts w:ascii="Arial" w:cs="Arial" w:eastAsia="Arial" w:hAnsi="Arial"/>
                <w:sz w:val="16"/>
                <w:szCs w:val="16"/>
                <w:b w:val="1"/>
                <w:bCs w:val="1"/>
                <w:color w:val="auto"/>
                <w:w w:val="90"/>
              </w:rPr>
              <w:t>Organic Sales -</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Reported -</w:t>
            </w:r>
          </w:p>
        </w:tc>
        <w:tc>
          <w:tcPr>
            <w:tcW w:w="3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Acquisitions/</w:t>
            </w: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Organic Sales -</w:t>
            </w:r>
          </w:p>
        </w:tc>
      </w:t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2015</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 xml:space="preserve">Divestitures </w:t>
            </w:r>
            <w:r>
              <w:rPr>
                <w:rFonts w:ascii="Arial" w:cs="Arial" w:eastAsia="Arial" w:hAnsi="Arial"/>
                <w:sz w:val="17"/>
                <w:szCs w:val="17"/>
                <w:b w:val="1"/>
                <w:bCs w:val="1"/>
                <w:color w:val="auto"/>
                <w:w w:val="87"/>
                <w:vertAlign w:val="superscript"/>
              </w:rPr>
              <w:t>(1)</w:t>
            </w:r>
          </w:p>
        </w:tc>
        <w:tc>
          <w:tcPr>
            <w:tcW w:w="3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Fiscal 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Fiscal 2015</w:t>
            </w:r>
          </w:p>
        </w:tc>
        <w:tc>
          <w:tcPr>
            <w:tcW w:w="30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 xml:space="preserve">Divestitures </w:t>
            </w:r>
            <w:r>
              <w:rPr>
                <w:rFonts w:ascii="Arial" w:cs="Arial" w:eastAsia="Arial" w:hAnsi="Arial"/>
                <w:sz w:val="17"/>
                <w:szCs w:val="17"/>
                <w:b w:val="1"/>
                <w:bCs w:val="1"/>
                <w:color w:val="auto"/>
                <w:w w:val="89"/>
                <w:vertAlign w:val="superscript"/>
              </w:rPr>
              <w:t>(1)</w:t>
            </w:r>
          </w:p>
        </w:tc>
        <w:tc>
          <w:tcPr>
            <w:tcW w:w="22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Fiscal 2015</w:t>
            </w:r>
          </w:p>
        </w:tc>
      </w:tr>
      <w:tr>
        <w:trPr>
          <w:trHeight w:val="203"/>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6"/>
          </w:tcPr>
          <w:p>
            <w:pPr>
              <w:jc w:val="right"/>
              <w:ind w:right="339"/>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Avnet, Inc.</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7,551,880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39,561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7,591,441</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14,391,467</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62,069</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14,453,536</w:t>
            </w:r>
          </w:p>
        </w:tc>
        <w:tc>
          <w:tcPr>
            <w:tcW w:w="80" w:type="dxa"/>
            <w:vAlign w:val="bottom"/>
            <w:shd w:val="clear" w:color="auto" w:fill="CCEEFF"/>
          </w:tcPr>
          <w:p>
            <w:pPr>
              <w:spacing w:after="0"/>
              <w:rPr>
                <w:sz w:val="18"/>
                <w:szCs w:val="18"/>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4,435,190</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4,435,190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8,809,285</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8,809,285</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3,116,690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39,561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3,156,251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5,582,182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62,069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5,644,251</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6"/>
                <w:szCs w:val="16"/>
                <w:b w:val="1"/>
                <w:bCs w:val="1"/>
                <w:color w:val="auto"/>
              </w:rPr>
              <w:t>EM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1,200,871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1,200,871</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2,414,902</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2,414,902</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1,205,310</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1,205,310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2,507,805</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2,507,805</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2,029,009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2,029,009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3,886,578</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3,886,578</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6"/>
                <w:szCs w:val="16"/>
                <w:b w:val="1"/>
                <w:bCs w:val="1"/>
                <w:color w:val="auto"/>
              </w:rPr>
              <w:t>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1,851,017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1,851,017</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3,284,108</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3,284,108</w:t>
            </w:r>
          </w:p>
        </w:tc>
        <w:tc>
          <w:tcPr>
            <w:tcW w:w="80" w:type="dxa"/>
            <w:vAlign w:val="bottom"/>
            <w:shd w:val="clear" w:color="auto" w:fill="CCEEFF"/>
          </w:tcPr>
          <w:p>
            <w:pPr>
              <w:spacing w:after="0"/>
              <w:rPr>
                <w:sz w:val="19"/>
                <w:szCs w:val="19"/>
                <w:color w:val="auto"/>
              </w:rPr>
            </w:pPr>
          </w:p>
        </w:tc>
      </w:tr>
      <w:tr>
        <w:trPr>
          <w:trHeight w:val="213"/>
        </w:trPr>
        <w:tc>
          <w:tcPr>
            <w:tcW w:w="98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856,742</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39,561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896,303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1,529,626</w:t>
            </w:r>
          </w:p>
        </w:tc>
        <w:tc>
          <w:tcPr>
            <w:tcW w:w="3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62,069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1,591,695</w:t>
            </w:r>
          </w:p>
        </w:tc>
        <w:tc>
          <w:tcPr>
            <w:tcW w:w="80" w:type="dxa"/>
            <w:vAlign w:val="bottom"/>
          </w:tcPr>
          <w:p>
            <w:pPr>
              <w:spacing w:after="0"/>
              <w:rPr>
                <w:sz w:val="18"/>
                <w:szCs w:val="18"/>
                <w:color w:val="auto"/>
              </w:rPr>
            </w:pPr>
          </w:p>
        </w:tc>
      </w:tr>
      <w:tr>
        <w:trPr>
          <w:trHeight w:val="219"/>
        </w:trPr>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408,931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408,931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768,448</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768,448</w:t>
            </w:r>
          </w:p>
        </w:tc>
        <w:tc>
          <w:tcPr>
            <w:tcW w:w="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780" w:hanging="777"/>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Includes the following acquisitions: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Orchestra Service Gmbh acquired November 2015 in the TS EMEA Region</w:t>
      </w:r>
    </w:p>
    <w:p>
      <w:pPr>
        <w:spacing w:after="0" w:line="23" w:lineRule="exact"/>
        <w:rPr>
          <w:sz w:val="20"/>
          <w:szCs w:val="20"/>
          <w:color w:val="auto"/>
        </w:rPr>
      </w:pPr>
    </w:p>
    <w:p>
      <w:pPr>
        <w:ind w:left="540" w:hanging="53"/>
        <w:spacing w:after="0" w:line="261" w:lineRule="auto"/>
        <w:rPr>
          <w:sz w:val="20"/>
          <w:szCs w:val="20"/>
          <w:color w:val="auto"/>
        </w:rPr>
      </w:pPr>
      <w:r>
        <w:rPr>
          <w:rFonts w:ascii="Arial" w:cs="Arial" w:eastAsia="Arial" w:hAnsi="Arial"/>
          <w:sz w:val="18"/>
          <w:szCs w:val="18"/>
          <w:color w:val="auto"/>
        </w:rPr>
        <w:t>·ExitCertified acquired January 2016 in the TS Americas Region (no impact on organic sales as it was acquired at the end of the second quarter of fiscal 2016)</w:t>
      </w:r>
    </w:p>
    <w:p>
      <w:pPr>
        <w:spacing w:after="0" w:line="184" w:lineRule="exact"/>
        <w:rPr>
          <w:sz w:val="20"/>
          <w:szCs w:val="20"/>
          <w:color w:val="auto"/>
        </w:rPr>
      </w:pPr>
    </w:p>
    <w:p>
      <w:pPr>
        <w:ind w:left="4440" w:right="2360" w:hanging="4437"/>
        <w:spacing w:after="0" w:line="794" w:lineRule="auto"/>
        <w:tabs>
          <w:tab w:leader="none" w:pos="377"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of the additional week of sales in the first quarter of fiscal 2016 is estimated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provides the year-over-year comparison of reported second quarter sales for Avnet and the EM and TS operating groups to organic sales to allow readers to better understand and assess the Company’s sales performance by operating group and region.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Organic</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Sales</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Sales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Year-Year %</w:t>
            </w: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Organic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Year-Year %</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As 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8"/>
                <w:szCs w:val="18"/>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87"/>
              </w:rPr>
              <w:t>Sales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Sales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in</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Q2-Fiscal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260" w:type="dxa"/>
            <w:vAlign w:val="bottom"/>
          </w:tcPr>
          <w:p>
            <w:pPr>
              <w:spacing w:after="0"/>
              <w:rPr>
                <w:sz w:val="18"/>
                <w:szCs w:val="18"/>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Q2-Fiscal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r>
      <w:tr>
        <w:trPr>
          <w:trHeight w:val="195"/>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6"/>
                <w:szCs w:val="16"/>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2016</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r>
      <w:tr>
        <w:trPr>
          <w:trHeight w:val="203"/>
        </w:trPr>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6,848,057</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6,855,241</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4,114,614</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(7.2)</w:t>
            </w:r>
          </w:p>
        </w:tc>
        <w:tc>
          <w:tcPr>
            <w:tcW w:w="1040" w:type="dxa"/>
            <w:vAlign w:val="bottom"/>
          </w:tcPr>
          <w:p>
            <w:pPr>
              <w:jc w:val="right"/>
              <w:ind w:right="218"/>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w w:val="92"/>
              </w:rPr>
              <w:t>4,114,614</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(7.2)</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2,733,443</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(12.3)</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2,740,627</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1,125,160</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(6.3)%</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1,125,160</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1,141,076</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(5.3)</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7.5 %</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w w:val="92"/>
              </w:rPr>
              <w:t>1,141,076</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(5.3)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1,848,378</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(8.9)</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1,848,378</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1,625,400</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(12.2)%</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1,625,400</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794,373</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(7.3)</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1.7 %</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801,557</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(10.6)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313,670</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(23.3)</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313,670</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Avnet sales for the second quarter of fiscal 2016 were $6.85 billion, a decrease of 9.3%, or $703.8 million, from the second quarter of fiscal 2015 sales of $7.55 billion with both EM and TS contributing toward this decline. The decrease was primarily due to the translation impact of the strengthening of the U.S. Dollar year over year, weaker demand in the Americas region in both operating groups, decreases in the computing components business in TS and a lower level of high-volume supply chain engagements in EM Asia. Avnet sales in constant currency decreased 5.1% and organic sales in constant currency decreased 5.5% year over year.</w:t>
      </w:r>
    </w:p>
    <w:p>
      <w:pPr>
        <w:spacing w:after="0" w:line="1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EM sales of $4.11 billion in the second quarter of fiscal 2016 decreased 7.2% from the second quarter of fiscal 2015 sales of $4.44 billion and EM sales in constant currency decreased 3.4% year over year. On a regional basis, sales decreased 6.3% in the Americas region primarily due to weaker demand in the industrial end markets EM Americas serves. Sales in constant currency increased 7.5% in EMEA primarily due to strong demand across the region. Sales decreased 8.9% in Asia primarily as a result of a lower level of high-volume supply chain engagements year over year.</w:t>
      </w:r>
    </w:p>
    <w:p>
      <w:pPr>
        <w:spacing w:after="0" w:line="15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TS sales of $2.73 billion in the second quarter of fiscal 2016 decreased 12.3% from the second quarter of fiscal 2015 sales of $3.12 billion. TS sales in constant currency decreased 7.6% and organic sales in constant currency declined 8.5% year over year. On a regional basis, the Americas region had a decrease of 12.2% year over year primarily due to lower demand for storage products, a decline in the computing components business and differences in product mix year over year. Organic sales in constant currency decreased 2.0% in EMEA primarily due to declines in the computing components business. Sales in Asia decreased 23.3% primarily due to the translation impact of the strengthening of the U.S. Dollar and sales declines in the computing components business. At a product level, year-over-year growth in networking, software, and services was offset by a decline in storage and computing components.</w:t>
      </w:r>
    </w:p>
    <w:p>
      <w:pPr>
        <w:spacing w:after="0" w:line="1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Avnet sales for the first six months of fiscal 2016 were $13.82 billion, a decrease of 4.0% as compared to with sales of $14.39 billion for the first six months of fiscal 2015. EM sales of $8.59 billion for the first six months of fiscal 2016 decreased 2.5% as compared with the first six months of fiscal 2015 sales of $8.81 billion. TS sales of $5.23 billion for the first six months of fiscal 2016 decreased 6.3% as compared with the first six months of fiscal 2015 sales of $5.58 billion.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Avnet gross profit for the second quarter of fiscal 2016 was $778.2 million, a decrease of $59.3 million, or 7.1%, from the second quarter of fiscal 2015 gross profit of $837.5 million, primarily due to decreased sales including the translation impact of the strengthening of the U.S. Dollar year over year partially offset by gross profit margin improvements at TS. Avnet gross profit margin of 11.4% increased 27 basis points from the second quarter of fiscal 2015. EM gross profit margin decreased primarily due to a decline in the EMEA region, partially offset by an increase in the Americas region. TS gross profit margin increased year over year primarily as a result of increases across all three regions primarily as a result of portfolio management and product mix difference between years.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gross profit and gross profit margins were $1.57 billion and 11.4%, respectively, for the first six months of fiscal 2016 as compared with $1.63 billion and 11.4%, respectively for the first six months of fiscal 2015. The decrease in gross profit was driven by a decrease in sales as discussed above. Gross profit margin was flat year over year as improvements in TS were offset by declines at 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Selling, general and administrative expenses (“SG&amp;A expenses”) were $530.8 million in the second quarter of fiscal 2016, a decrease of $43.1 million, or 7.5%, from the second quarter of fiscal 2015. The year-over-year decrease in SG&amp;A expenses was primarily due to changes in foreign currency exchange rates between years and the impact of prior restructuring actions partially offset by increase in SG&amp;A expenses to fund organic growth and other costs.</w:t>
      </w:r>
    </w:p>
    <w:p>
      <w:pPr>
        <w:spacing w:after="0" w:line="17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second quarter of fiscal 2016, SG&amp;A expenses as a percentage of sales were 7.8% and as a percentage of gross profit were 68.2% as compared with 7.6% and 68.5%, respectively, in the second quarter of fiscal 2015. SG&amp;A expenses, excluding amortization of acquired intangibles, as a percentage of gross profit was flat year over year. SG&amp;A expense as a percentage of gross profit at EM increased 38 basis points year over year primarily due to increases in SG&amp;A expenses to fund organic growth and other costs. SG&amp;A expense as a percentage of gross profit at TS decreased 212 basis points year over year, primarily as a result of an increase in gross profit margin and savings realized from prior restructuring actions partially offset by an increase in SG&amp;A expenses to fund organic growth and other costs.</w:t>
      </w:r>
    </w:p>
    <w:p>
      <w:pPr>
        <w:spacing w:after="0" w:line="16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SG&amp;A expenses for the first six months of fiscal 2016 were $1.09 billion, or 7.9% of Avnet sales, as compared with $1.16 billion, or 8.1% of Avnet sales, in the first six months of fiscal 2015. SG&amp;A expenses were 69.4% of gross profit in the first six months of 2016 as compared with 70.9% in the first six months of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second quarter of fiscal 2016, the Company incurred restructuring expenses related to certain actions intended to reduce future operating expenses. These actions include activities related to the Avnet Advantage initiative, which is focused on creating operational efficiencies. In addition, the Company incurred integration and other costs primarily associated with the integration of acquired businesses, the integration of certain global and regional businesses and the closure or divestiture of certain businesses. As a result, the Company recorded restructuring, integration and other expenses of $21.2 million during the second quarter of fiscal 2016. The Company recorded $17.0 million of restructuring costs and expects to realize approximately $10.0 million in incremental annualized operating cost savings once such restructuring actions are completed. The Company expects to realize approximately $28.0 million in incremental annualized cost savings as a result of restructuring actions taken in the first six months of fiscal 2016 once such restructuring actions are completed. The incremental annualized cost savings are expected to benefit EM by approximately $6.0 million and TS by approximately $4.0 million. The Company expects to incur additional restructuring expenses of approximately $5.0 million through the end of fiscal 2016 related to the restructuring actions initiated in the first six months of fiscal 2016 in order to achieve the annualized cost savings. The Company also incurred integration costs of $3.0 million, other costs of $1.0 million and an expense of $0.3 million for changes in estimates for costs associated with prior year restructuring actions. The after tax impact of restructuring, integration, and other expenses was $14.1 million and $0.10 per share on a diluted basis for the second quarter of fiscal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2016, the Company incurred restructuring, integration and other expenses of $47.2 million, including restructuring costs of $31.5 million, integration costs of $4.5 million, other costs of $12.1 million and a net reversal for changes in estimates for costs associated with previous restructuring actions of $0.9 million. The after tax impact of restructuring, integration and other expenses for the first six months of fiscal 2016 was $30.4 million and $0.22 per share on a diluted basis.</w:t>
      </w:r>
    </w:p>
    <w:p>
      <w:pPr>
        <w:spacing w:after="0" w:line="18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Comparatively, in the second quarter of fiscal 2015, restructuring, integration and other expenses were $13.3 million. The after tax impact of restructuring, integration, and other expenses was $10.2 million and $0.07 per share on a diluted basis.</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the first six months of fiscal 2015, restructuring, integration and other expenses were $31.6 million. The after tax impact of restructuring, integration and other expenses for the first six months of fiscal 2015 was $23.3 million and $0.16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restructuring, integration and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During the second quarter of fiscal 2016, the Company generated operating income of $226.1 million, representing a 9.7% decrease compared to the second quarter of fiscal 2015 operating income of $250.3 million. Adjusted operating income was $255.3 million, or 3.7% of sales, in the second quarter of fiscal 2016 as compared with $274.6 million, or 3.6% of sales, in the second quarter of fiscal 2015. EM operating income of $174.0 million decreased 9.1% year over year and operating income margin decreased to 4.2% from 4.3%. The decrease in operating income margin at EM was primarily due to the translation impact of the strengthening U.S. Dollar and declines in sales year over year, partially offset by a decline in SG&amp;A expenses. TS operating income of $117.1 million decreased $0.4 million year over year and operating income margin increased 51 basis points to 4.3% as a result of improvements in gross profit margin and a decline in SG&amp;A expenses, partially offset by a decline in sales.</w:t>
      </w:r>
    </w:p>
    <w:p>
      <w:pPr>
        <w:spacing w:after="0" w:line="18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Operating income for the first six months of fiscal 2016 was $433.1 million, or 3.1% of Avnet sales, as compared with $443.5 million, or 3.1% of Avnet sales for the first six months of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the second quarter of fiscal 2016 was $22.4 million, a decrease of $2.2 million or 9.1%, as compared with interest expense of $24.7 million in the second quarter of fiscal 2015. Interest expense in the first six months of fiscal 2016 was $46.0 million, a decrease of $2.0 million or 4.2%, as compared with interest expense of $48.1 million in the first six months of fiscal 2015. The decrease in interest expense in the second quarter and first six months of fiscal 2016 was primarily related to the repayment at maturity of the $250.0 million 6.00% Notes in September 2015 and a corresponding lower average borrowing rate.</w:t>
      </w:r>
    </w:p>
    <w:p>
      <w:pPr>
        <w:spacing w:after="0" w:line="1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second quarter of fiscal 2016, the Company incurred $6.5 million of other expense as compared with $5.5 million of other expense in the second quarter of fiscal 2015. During the first six months of fiscal 2016, the Company recognized $12.3 million of other expenses as compared with $7.0 million of other expenses in the first six months of fiscal 2015. The increase in other expense in the second quarter and first six months of fiscal 2016 is primarily attributable to the strengthening of the U.S. Dollar relative to foreign currencies year over year and the corresponding higher costs incurred to purchase forward foreign currency exchange contracts in order to economically hedge such foreign currency exposures.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Company’s effective tax rate on its income before income taxes was 20.9% in the second quarter of fiscal 2016 as compared with 25.6% in the second quarter of fiscal 2015. During the second quarter of fiscal 2016, the Company’s effective tax rate was favorably impacted primarily by (i) the mix of income in lower tax jurisdictions, (ii) the release of valuation allowances against deferred tax assets that were determined to be realizable and (iii) the release of reserves related to audit settlements and the expiration of statutes of limitation. During the second quarter of fiscal 2015, the Company’s effective tax rate was favorably impacted by the mix of income in lower tax jurisdictions and the release of reserves, primarily related to the formal deregistration of a foreign branch.</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the first six months of fiscal 2016 and 2015, the Company’s effective tax rate was 23.6% and 24.9%, respectively. The effective tax rate for the first six months of fiscal 2016 was favorably impacted primarily by (i) the mix of income in lower tax jurisdictions, (ii) the release of valuation allowances against deferred tax assets that were determined to be realizable and (iii) the release of reserves related to audit settlements and the expiration of statutes of limitation. The effective tax rate for the first six months of fiscal 2015 was favorably impacted by the mix of income in lower tax rate jurisdictions and the release of reserves, primarily related to the formal deregistration of a foreign branch and the settlement of an audit in a foreign jurisdiction.</w:t>
      </w:r>
    </w:p>
    <w:p>
      <w:pPr>
        <w:spacing w:after="0" w:line="18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2016 was $156.0 million, or $1.16 per share on a diluted basis, as compared with $163.7 million, or $1.18 per share on a diluted basis, in the second quarter of fiscal 2015.</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2016 was $286.3 million, or $2.11 per share on a diluted basis, as compared with $291.7 million, or $2.08 per share on a diluted basis, in the first six months of fiscal 2015.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first six months of fiscal 2016, the Company generated $84.2 million of cash from its operating activities compared to a cash generation of $224.4 million in the first six months of fiscal 2015. These operating cash flows are comprised of: (i) cash flow generated from net income, adjusted for the impact of non-cash and other items, which includes depreciation and amortization expenses, deferred income taxes, stock-based compensation expense and other non-cash items (including provisions for doubtful accounts and periodic pension costs) and (ii) cash flows used for, or generated from, working capital and other, excluding cash and cash equivalents. Cash used for working capital and other was $330.3 million during the first six months of fiscal 2016, including increases in inventories of $197.8 million and accounts receivable of $413.1 million and a decrease in accrued expenses and other of $42.8 million, partially offset by an increase in accounts payable of $323.4 million. Comparatively, cash used for working capital and other was $222.1 million during the first six months of fiscal 2015, including increases in inventories of $6.0 million and accounts receivable of $711.1 million and a decrease in accrued expenses and other of $88.4 million, partially offset by an increase in accounts payable of $583.3 million.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first six months of fiscal 2016, the Company repaid upon maturity the $250 million of 6.00% Notes due September 2015. Additionally, the Company received net proceeds of $40.0 million under the Company's accounts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receivable securitization program and received net proceeds of $444.3 million from borrowings of bank and other debt. During the first six months of fiscal 2016, the Company paid dividends on common stock of $45.0 million and repurchased $184.7 million of common stock.</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six months of fiscal 2015, the Company received net proceeds of $77.0 million under the Company's accounts receivable securitization program and made net repayments of $37.4 million for bank and other debt. During the first six months of fiscal 2015, the Company paid dividends on common stock of $43.9 million and repurchased $109.1 million of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2016, the Company used $19.2 million of cash for acquisitions, net of cash acquired, and used $74.8 million for capital expenditures primarily related to information system development costs, computer hardware and software purchases and facilities costs. Additionally, the Company received proceeds of $8.0 million from other investing activities. During the first six months of fiscal 2015, the Company used $83.6 million for capital expenditures and $8.8 million for other investing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27, 2015. With the exception of the Company’s debt transactions discussed herein, there are no material changes to this information outside of normal borrowings and repayments of long-term debt and operating lease payments. The Company does not currently have any material uncancellable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Program and the outstanding Notes as of January 2, 2016. The Company was in compliance with all covenants under the Credit Facility and the Program as of January 2, 2016.</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has several lines of credit and other forms of bank debt in the U.S. and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$916.1 million as of January 2, 2016, of which $798.5 million was held outside the United States. As of June 27, 2015, the Company held cash and cash equivalents of $932.6 million, of which $855.8 million was held outside of the United States.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of the end of the second quarter of fiscal 2016, the Company had a combined total borrowing capacity of $2.15 billion under the Credit Facility and the Program. There were $426.4 million in borrowings outstanding and $4.9 million in letters of credit issued under the Credit Facility and $690.0 million in borrowings outstanding under the Program, resulting in approximately $1.03 billion of total availability as of January 2, 2016. Availability under the Program is subject to the Company having sufficient eligible receivables to support desired borrowings. During the second quarter and first six months of fiscal 2016, the Company had an average daily balance outstanding of approximately $416.5 million and $307.6 million, respectively, under the Credit Facility and approximately $737.3 million and $733.1 million, respectively, under the Program. During the second quarter and first six months of fiscal 2015, the Company had an average daily balance outstanding of approximately $54.0 million and $30.0 million, respectively, under the Credit Facility and approximately $823.0 million and $770.0 million, respectively, under the Program. The Company expects to use cash on hand, available borrowing capacity or engage in a capital markets transaction in order to repay the $300.0 million of 6.63%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due September 2016. The Company expects to renew or replace the Program on similar terms, subject to market conditions, before its maturity in August 2016.</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industry, the Company typically generates cash from operating activities. Conversely, the Company is more likely to use operating cash flows for working capital requirements during periods of higher growth. During the second quarter of fiscal 2016, the Company generated $118.0 million from operating activities. The Company generated $443.7 million from operating activities over the trailing four fiscal quarters ended January 2, 2016.</w:t>
      </w:r>
    </w:p>
    <w:p>
      <w:pPr>
        <w:spacing w:after="0" w:line="18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8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first half of fiscal 2016, the Company utilized $19.2 million of cash, net of cash acquired, for acquisitions. The Company has made, and expects to continue to make, strategic investments through acquisition activity to the extent the investments strengthen Avnet’s competitive position and meet management’s return on capital thresholds.</w:t>
      </w:r>
    </w:p>
    <w:p>
      <w:pPr>
        <w:spacing w:after="0" w:line="14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addition to continuing to make investments in acquisitions, as of January 2, 2016, the Company may repurchase up to an aggregate of $367.4 million of shares of the Company’s common stock through a $1.25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second quarter of fiscal 2016, the Company has repurchased 26.5 million shares of stock at an aggregate cost of $882.6 million. Shares repurchased were retired. Subsequent to January 2, 2016, through January 27, 2016, the Company has repurchased 1.7 million shares at an aggregate cost of $64.8 million. Additionally, the Company currently expects to pay quarterly cash dividends on shares of its common stock, subject to approval of the Board of Directors. During the second quarter of fiscal 2016, the Board of Directors approved a dividend of $0.17 per share, which resulted in $22.4 million of dividend payments during the quarter.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year ended June 27, 2015, for further discussion of market risks associated with foreign currency exchange rates and interest rates. Avnet’s exposure to such risks has not changed materially since June 27, 2015, as the Company continues to economically hedge the majority of its foreign exchange exposures. Thus, any increase or decrease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January 2, 2016, 74% of the Company’s debt bears interest at a fixed rate and 26% of the Company’s debt bears interest at variable rates. Therefore, a hypothetical 1.0% (100 basis points) increase in interest rates would result in a $1.4 million decrease in income before income taxes in the Company’s consolidated statement of operations for the second quarter of fiscal 2016.</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2016,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27, 2015, could affect the Company’s future results of operations, and could cause those results or other outcomes to differ materially from those expressed or implied in the forward-looking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sz w:val="20"/>
          <w:szCs w:val="20"/>
          <w:color w:val="auto"/>
        </w:rPr>
      </w:pPr>
    </w:p>
    <w:p>
      <w:pPr>
        <w:ind w:left="400" w:hanging="7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225" w:lineRule="exact"/>
        <w:rPr>
          <w:rFonts w:ascii="Arial" w:cs="Arial" w:eastAsia="Arial" w:hAnsi="Arial"/>
          <w:sz w:val="18"/>
          <w:szCs w:val="18"/>
          <w:color w:val="auto"/>
        </w:rPr>
      </w:pPr>
    </w:p>
    <w:p>
      <w:pPr>
        <w:ind w:left="400" w:hanging="7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sz w:val="20"/>
          <w:szCs w:val="20"/>
          <w:color w:val="auto"/>
        </w:rPr>
      </w:pPr>
    </w:p>
    <w:p>
      <w:pPr>
        <w:ind w:left="380" w:hanging="53"/>
        <w:spacing w:after="0" w:line="308" w:lineRule="auto"/>
        <w:rPr>
          <w:sz w:val="20"/>
          <w:szCs w:val="20"/>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relating to acquisitions and investments;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related to cyber attacks and the Company's information systems;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legislative or regulatory changes affecting Avnet’s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27, 2015,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January 2, 2016, there have been no material changes to the risk factors set forth in the Company’s Annual Report on Form 10-K for the fiscal year ended June 27,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$1.25 billion of the Company’s common stock under the Company’s share repurchase program. The following table includes the Company’s monthly purchases of the Company’s common stock during the second quarter of fiscal 2016, under the share repurchase program, which is part of a publicly announced plan.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2"/>
              </w:rPr>
              <w:t>of 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4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247,474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396,265,000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820" w:type="dxa"/>
            <w:vAlign w:val="bottom"/>
          </w:tcPr>
          <w:p>
            <w:pPr>
              <w:jc w:val="right"/>
              <w:spacing w:after="0"/>
              <w:rPr>
                <w:sz w:val="20"/>
                <w:szCs w:val="20"/>
                <w:color w:val="auto"/>
              </w:rPr>
            </w:pPr>
            <w:r>
              <w:rPr>
                <w:rFonts w:ascii="Arial" w:cs="Arial" w:eastAsia="Arial" w:hAnsi="Arial"/>
                <w:sz w:val="18"/>
                <w:szCs w:val="18"/>
                <w:color w:val="auto"/>
              </w:rPr>
              <w:t>119,013</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390,932,000</w:t>
            </w:r>
          </w:p>
        </w:tc>
        <w:tc>
          <w:tcPr>
            <w:tcW w:w="6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532,300</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367,447,000</w:t>
            </w:r>
          </w:p>
        </w:tc>
        <w:tc>
          <w:tcPr>
            <w:tcW w:w="60" w:type="dxa"/>
            <w:vAlign w:val="bottom"/>
            <w:shd w:val="clear" w:color="auto" w:fill="CCEEFF"/>
          </w:tcPr>
          <w:p>
            <w:pPr>
              <w:spacing w:after="0"/>
              <w:rPr>
                <w:sz w:val="18"/>
                <w:szCs w:val="18"/>
                <w:color w:val="auto"/>
              </w:rPr>
            </w:pPr>
          </w:p>
        </w:tc>
      </w:tr>
      <w:tr>
        <w:trPr>
          <w:trHeight w:val="918"/>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9"/>
                <w:szCs w:val="19"/>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Manager’s Agreement between Avnet Europe Executive BVBA and Patrick Zammit</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0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jc w:val="right"/>
        <w:ind w:right="139"/>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Manager’s agreement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Between: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both"/>
        <w:ind w:right="259"/>
        <w:spacing w:after="0" w:line="253" w:lineRule="auto"/>
        <w:rPr>
          <w:sz w:val="20"/>
          <w:szCs w:val="20"/>
          <w:color w:val="auto"/>
        </w:rPr>
      </w:pPr>
      <w:r>
        <w:rPr>
          <w:rFonts w:ascii="Arial" w:cs="Arial" w:eastAsia="Arial" w:hAnsi="Arial"/>
          <w:sz w:val="18"/>
          <w:szCs w:val="18"/>
          <w:b w:val="1"/>
          <w:bCs w:val="1"/>
          <w:color w:val="auto"/>
        </w:rPr>
        <w:t>Avnet Europe Executive BVBA</w:t>
      </w:r>
      <w:r>
        <w:rPr>
          <w:rFonts w:ascii="Arial" w:cs="Arial" w:eastAsia="Arial" w:hAnsi="Arial"/>
          <w:sz w:val="18"/>
          <w:szCs w:val="18"/>
          <w:color w:val="auto"/>
        </w:rPr>
        <w:t>, a company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Belgium, registered at the Crossroads bank for enterprises under number 0632.679.431 and having its registered offices at 20 Kouterveldstraat 20, 1831 Machelen, duly represented by Mr. Jan Hermans and Mr. Dirk De Vos in their capacity as managers.</w:t>
      </w:r>
    </w:p>
    <w:p>
      <w:pPr>
        <w:spacing w:after="0" w:line="146" w:lineRule="exact"/>
        <w:rPr>
          <w:sz w:val="20"/>
          <w:szCs w:val="20"/>
          <w:color w:val="auto"/>
        </w:rPr>
      </w:pPr>
    </w:p>
    <w:p>
      <w:pPr>
        <w:sectPr>
          <w:pgSz w:w="11900" w:h="16838" w:orient="portrait"/>
          <w:cols w:equalWidth="0" w:num="2">
            <w:col w:w="1120" w:space="720"/>
            <w:col w:w="7179"/>
          </w:cols>
          <w:pgMar w:left="1440" w:top="104" w:right="1440"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Hereinafter referred to as “Avnet”.</w:t>
      </w:r>
    </w:p>
    <w:p>
      <w:pPr>
        <w:sectPr>
          <w:pgSz w:w="11900" w:h="16838" w:orient="portrait"/>
          <w:cols w:equalWidth="0" w:num="1">
            <w:col w:w="9019"/>
          </w:cols>
          <w:pgMar w:left="1440" w:top="104" w:right="1440" w:bottom="1440" w:gutter="0" w:footer="0" w:header="0"/>
          <w:type w:val="continuous"/>
        </w:sectPr>
      </w:pPr>
    </w:p>
    <w:p>
      <w:pPr>
        <w:spacing w:after="0" w:line="19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And: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Patrict Zammit</w:t>
      </w:r>
      <w:r>
        <w:rPr>
          <w:rFonts w:ascii="Arial" w:cs="Arial" w:eastAsia="Arial" w:hAnsi="Arial"/>
          <w:sz w:val="18"/>
          <w:szCs w:val="18"/>
          <w:color w:val="auto"/>
        </w:rPr>
        <w:t>, residing at __________ Brussels;</w:t>
      </w:r>
    </w:p>
    <w:p>
      <w:pPr>
        <w:spacing w:after="0" w:line="204" w:lineRule="exact"/>
        <w:rPr>
          <w:sz w:val="20"/>
          <w:szCs w:val="20"/>
          <w:color w:val="auto"/>
        </w:rPr>
      </w:pPr>
    </w:p>
    <w:p>
      <w:pPr>
        <w:sectPr>
          <w:pgSz w:w="11900" w:h="16838" w:orient="portrait"/>
          <w:cols w:equalWidth="0" w:num="2">
            <w:col w:w="1120" w:space="720"/>
            <w:col w:w="7179"/>
          </w:cols>
          <w:pgMar w:left="1440" w:top="104" w:right="1440" w:bottom="1440" w:gutter="0" w:footer="0" w:header="0"/>
          <w:type w:val="continuous"/>
        </w:sectPr>
      </w:pPr>
    </w:p>
    <w:p>
      <w:pPr>
        <w:ind w:left="1840"/>
        <w:spacing w:after="0"/>
        <w:rPr>
          <w:sz w:val="20"/>
          <w:szCs w:val="20"/>
          <w:color w:val="auto"/>
        </w:rPr>
      </w:pPr>
      <w:r>
        <w:rPr>
          <w:rFonts w:ascii="Arial" w:cs="Arial" w:eastAsia="Arial" w:hAnsi="Arial"/>
          <w:sz w:val="20"/>
          <w:szCs w:val="20"/>
          <w:color w:val="auto"/>
        </w:rPr>
        <w:t>Hereinafter referred to as “Mr. Zammit”.</w:t>
      </w:r>
    </w:p>
    <w:p>
      <w:pPr>
        <w:spacing w:after="0" w:line="17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Avnet and Mr. Zammit are collectively referred to as “the Parties”.</w:t>
      </w:r>
    </w:p>
    <w:p>
      <w:pPr>
        <w:sectPr>
          <w:pgSz w:w="11900" w:h="16838" w:orient="portrait"/>
          <w:cols w:equalWidth="0" w:num="1">
            <w:col w:w="9019"/>
          </w:cols>
          <w:pgMar w:left="1440" w:top="104" w:right="1440" w:bottom="1440" w:gutter="0" w:footer="0" w:header="0"/>
          <w:type w:val="continuous"/>
        </w:sectPr>
      </w:pPr>
    </w:p>
    <w:p>
      <w:pPr>
        <w:spacing w:after="0" w:line="327"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Avnet’s General Meeting of shareholders will appoint Mr. Zammit as a remunerated manager of</w:t>
      </w:r>
      <w:r>
        <w:rPr>
          <w:rFonts w:ascii="Arial" w:cs="Arial" w:eastAsia="Arial" w:hAnsi="Arial"/>
          <w:sz w:val="20"/>
          <w:szCs w:val="20"/>
          <w:b w:val="1"/>
          <w:bCs w:val="1"/>
          <w:color w:val="auto"/>
        </w:rPr>
        <w:t xml:space="preserve"> </w:t>
      </w:r>
      <w:r>
        <w:rPr>
          <w:rFonts w:ascii="Arial" w:cs="Arial" w:eastAsia="Arial" w:hAnsi="Arial"/>
          <w:sz w:val="20"/>
          <w:szCs w:val="20"/>
          <w:color w:val="auto"/>
        </w:rPr>
        <w:t>Avnet on 1 October 2015;</w:t>
      </w:r>
    </w:p>
    <w:p>
      <w:pPr>
        <w:spacing w:after="0" w:line="150"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by the conclusion of the present agreement, the Parties wish to determine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under which Mr. Zammit will perform his duties as a manager of Avnet, as from his appointment in such capacity by the General Meeting of shareholders scheduled on 1 October 2015;</w:t>
      </w:r>
    </w:p>
    <w:p>
      <w:pPr>
        <w:spacing w:after="0" w:line="147"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for the performance of his manager’s office, Mr. Zammit shall act as a self-employed person,</w:t>
      </w:r>
      <w:r>
        <w:rPr>
          <w:rFonts w:ascii="Arial" w:cs="Arial" w:eastAsia="Arial" w:hAnsi="Arial"/>
          <w:sz w:val="20"/>
          <w:szCs w:val="20"/>
          <w:b w:val="1"/>
          <w:bCs w:val="1"/>
          <w:color w:val="auto"/>
        </w:rPr>
        <w:t xml:space="preserve"> </w:t>
      </w:r>
      <w:r>
        <w:rPr>
          <w:rFonts w:ascii="Arial" w:cs="Arial" w:eastAsia="Arial" w:hAnsi="Arial"/>
          <w:sz w:val="20"/>
          <w:szCs w:val="20"/>
          <w:color w:val="auto"/>
        </w:rPr>
        <w:t>both Parties declaring to be fully aware of the implications hereof.</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THE PARTIES HAVE AGREED AS FOLLOWS: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 – Definitions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 the present agreement (the “Agreement”) the following terms have the following meanings:</w:t>
      </w:r>
    </w:p>
    <w:p>
      <w:pPr>
        <w:ind w:left="900" w:hanging="101"/>
        <w:spacing w:after="0"/>
        <w:tabs>
          <w:tab w:leader="none" w:pos="9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“Avnet Group” means Avnet and any and all subsidiaries, affiliates and related companies.</w:t>
      </w:r>
    </w:p>
    <w:p>
      <w:pPr>
        <w:spacing w:after="0" w:line="170" w:lineRule="exact"/>
        <w:rPr>
          <w:rFonts w:ascii="Arial" w:cs="Arial" w:eastAsia="Arial" w:hAnsi="Arial"/>
          <w:sz w:val="19"/>
          <w:szCs w:val="19"/>
          <w:color w:val="auto"/>
        </w:rPr>
      </w:pPr>
    </w:p>
    <w:p>
      <w:pPr>
        <w:ind w:left="900" w:right="199" w:hanging="101"/>
        <w:spacing w:after="0" w:line="25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“Confidential Information” means personal data or commercial, technical, strategic, operational or financial data concerning Avnet or the Avnet Group, or business partners or employees of either or both, which Mr. Zammit has obtained in the context of the Agreement or his employment within the Avnet Group, irrespective of the form of the data (electronic, hard copy, verbal, etc.).</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2 - Object of the Agreement</w:t>
      </w:r>
    </w:p>
    <w:p>
      <w:pPr>
        <w:spacing w:after="0" w:line="154" w:lineRule="exact"/>
        <w:rPr>
          <w:sz w:val="20"/>
          <w:szCs w:val="20"/>
          <w:color w:val="auto"/>
        </w:rPr>
      </w:pPr>
    </w:p>
    <w:p>
      <w:pPr>
        <w:ind w:left="160" w:right="139"/>
        <w:spacing w:after="0" w:line="229" w:lineRule="auto"/>
        <w:rPr>
          <w:sz w:val="20"/>
          <w:szCs w:val="20"/>
          <w:color w:val="auto"/>
        </w:rPr>
      </w:pPr>
      <w:r>
        <w:rPr>
          <w:rFonts w:ascii="Arial" w:cs="Arial" w:eastAsia="Arial" w:hAnsi="Arial"/>
          <w:sz w:val="20"/>
          <w:szCs w:val="20"/>
          <w:color w:val="auto"/>
        </w:rPr>
        <w:t>By the Agreement, the Parties wish to determine the terms and conditions under which Mr. Zammit will perform as manager bearing the title of President, Avnet Technology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238125</wp:posOffset>
            </wp:positionV>
            <wp:extent cx="554863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3" w:name="page34"/>
    <w:bookmarkEnd w:id="33"/>
    <w:p>
      <w:pPr>
        <w:ind w:left="160"/>
        <w:spacing w:after="0"/>
        <w:rPr>
          <w:sz w:val="20"/>
          <w:szCs w:val="20"/>
          <w:color w:val="auto"/>
        </w:rPr>
      </w:pPr>
      <w:r>
        <w:rPr>
          <w:rFonts w:ascii="Arial" w:cs="Arial" w:eastAsia="Arial" w:hAnsi="Arial"/>
          <w:sz w:val="20"/>
          <w:szCs w:val="20"/>
          <w:b w:val="1"/>
          <w:bCs w:val="1"/>
          <w:color w:val="auto"/>
        </w:rPr>
        <w:t>Article 3 – Obligations of Mr. Zammit</w:t>
      </w:r>
    </w:p>
    <w:p>
      <w:pPr>
        <w:spacing w:after="0" w:line="167"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3.1. Mr. Zammit commits to work towards achieving Avnet‘s objectives and to carry out his duties in a loyal and efficient manner and to promote the interest and reputation of the Avnet Group and to not intentionally undertake any action which could be harmful to its interests and/or reputation.</w:t>
      </w:r>
    </w:p>
    <w:p>
      <w:pPr>
        <w:spacing w:after="0" w:line="155"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3.2. In his capacity as manager of Avnet, Mr. Zammit undertakes to perform his duties on a self-employed basis and in full liberty. In particular, Mr. Zammit will freely dispose of his working time and shall never be given instructions regarding the organization of his work and/or the practical modalities of the performance of his duties.</w:t>
      </w:r>
    </w:p>
    <w:p>
      <w:pPr>
        <w:spacing w:after="0" w:line="158" w:lineRule="exact"/>
        <w:rPr>
          <w:sz w:val="20"/>
          <w:szCs w:val="20"/>
          <w:color w:val="auto"/>
        </w:rPr>
      </w:pPr>
    </w:p>
    <w:p>
      <w:pPr>
        <w:jc w:val="both"/>
        <w:ind w:left="160" w:right="159"/>
        <w:spacing w:after="0" w:line="285" w:lineRule="auto"/>
        <w:rPr>
          <w:sz w:val="20"/>
          <w:szCs w:val="20"/>
          <w:color w:val="auto"/>
        </w:rPr>
      </w:pPr>
      <w:r>
        <w:rPr>
          <w:rFonts w:ascii="Arial" w:cs="Arial" w:eastAsia="Arial" w:hAnsi="Arial"/>
          <w:sz w:val="18"/>
          <w:szCs w:val="18"/>
          <w:color w:val="auto"/>
        </w:rPr>
        <w:t>3.3. Mr. Zammit undertakes to be available for the performance of his duties during the time considered necessary to fulfill his obligations resulting from the Agreement with a minimum of 221 man-days per year.</w:t>
      </w:r>
    </w:p>
    <w:p>
      <w:pPr>
        <w:spacing w:after="0" w:line="116"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3.4. Mr. Zammit is allowed to use the Avnet Group’s infrastructure and documentation as far as it is necessary for the proper performance of the Agreement. Given the fact that he is authorized to use the Avnet Group’s infrastructure, he agrees to comply with all applicable instructions regarding safety and health in the Avnet Group’s buildings where employees work.</w:t>
      </w:r>
    </w:p>
    <w:p>
      <w:pPr>
        <w:spacing w:after="0" w:line="158" w:lineRule="exact"/>
        <w:rPr>
          <w:sz w:val="20"/>
          <w:szCs w:val="20"/>
          <w:color w:val="auto"/>
        </w:rPr>
      </w:pPr>
    </w:p>
    <w:p>
      <w:pPr>
        <w:jc w:val="both"/>
        <w:ind w:left="160" w:right="139"/>
        <w:spacing w:after="0" w:line="221" w:lineRule="auto"/>
        <w:rPr>
          <w:sz w:val="20"/>
          <w:szCs w:val="20"/>
          <w:color w:val="auto"/>
        </w:rPr>
      </w:pPr>
      <w:r>
        <w:rPr>
          <w:rFonts w:ascii="Arial" w:cs="Arial" w:eastAsia="Arial" w:hAnsi="Arial"/>
          <w:sz w:val="20"/>
          <w:szCs w:val="20"/>
          <w:color w:val="auto"/>
        </w:rPr>
        <w:t>3.5. Mr. Zammit undertakes to perform his functions with due diligence and in accordance with generally accepted and consistently applied business practices. Mr. Zammit shall, at all times, (a) take into consideration the objectives and best interest of Avnet and the Avnet Group, (b) comply with all applicable laws and regulations and (c) comply with all corporate policies and codes of business ethics established by the Avnet Group.</w:t>
      </w:r>
    </w:p>
    <w:p>
      <w:pPr>
        <w:spacing w:after="0" w:line="157"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3.6. Mr. Zammit also undertakes to communicate to the General Meeting of Avnet all information which is relevant for Avnet.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4 – Place of performance and mobility</w:t>
      </w:r>
    </w:p>
    <w:p>
      <w:pPr>
        <w:spacing w:after="0" w:line="181" w:lineRule="exact"/>
        <w:rPr>
          <w:sz w:val="20"/>
          <w:szCs w:val="20"/>
          <w:color w:val="auto"/>
        </w:rPr>
      </w:pPr>
    </w:p>
    <w:p>
      <w:pPr>
        <w:jc w:val="both"/>
        <w:ind w:left="160" w:right="139"/>
        <w:spacing w:after="0" w:line="221" w:lineRule="auto"/>
        <w:rPr>
          <w:sz w:val="20"/>
          <w:szCs w:val="20"/>
          <w:color w:val="auto"/>
        </w:rPr>
      </w:pPr>
      <w:r>
        <w:rPr>
          <w:rFonts w:ascii="Arial" w:cs="Arial" w:eastAsia="Arial" w:hAnsi="Arial"/>
          <w:sz w:val="20"/>
          <w:szCs w:val="20"/>
          <w:color w:val="auto"/>
        </w:rPr>
        <w:t>4.1. Mr. Zammit will perform his duties mainly from Diegem. Mr. Zammit acknowledges that Avnet may at its sole discretion assign him to another place of work within 80 kilometers from Avnet’s office at Diegem for a temporary or indefinite period. Avnet may also assign Mr. Zammit to another place of work outside 80 kilometers from Avnet’s office at Diegem for a temporary or indefinite period, however with Mr. Zammit’s consent.</w:t>
      </w:r>
    </w:p>
    <w:p>
      <w:pPr>
        <w:spacing w:after="0" w:line="157"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4.2. In view of the international scope of activities of Avnet, Mr. Zammit acknowledges and accepts that the proper performance of his duties entails that he will have to travel frequently to other locations abroad and perform temporary assignments abroad. He accepts that international mobility is inherent to the performance of his duties.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5 –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271780</wp:posOffset>
            </wp:positionV>
            <wp:extent cx="554863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160" w:right="159"/>
        <w:spacing w:after="0" w:line="237" w:lineRule="auto"/>
        <w:rPr>
          <w:sz w:val="20"/>
          <w:szCs w:val="20"/>
          <w:color w:val="auto"/>
        </w:rPr>
      </w:pPr>
      <w:r>
        <w:rPr>
          <w:rFonts w:ascii="Arial" w:cs="Arial" w:eastAsia="Arial" w:hAnsi="Arial"/>
          <w:sz w:val="20"/>
          <w:szCs w:val="20"/>
          <w:color w:val="auto"/>
        </w:rPr>
        <w:t>5.1. For the performance of his office of remunerated manager, Mr. Zammit will be entitled to a Total Compensation (OTE), split as follows:</w:t>
      </w:r>
    </w:p>
    <w:p>
      <w:pPr>
        <w:spacing w:after="0" w:line="155" w:lineRule="exact"/>
        <w:rPr>
          <w:sz w:val="20"/>
          <w:szCs w:val="20"/>
          <w:color w:val="auto"/>
        </w:rPr>
      </w:pPr>
    </w:p>
    <w:p>
      <w:pPr>
        <w:ind w:left="780" w:right="199" w:hanging="103"/>
        <w:spacing w:after="0" w:line="260" w:lineRule="auto"/>
        <w:tabs>
          <w:tab w:leader="none" w:pos="7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yearly fixed Compensation paid in 12 equal monthly installments, which includes the allowances as defined by and according to the Belgian Tax Circular of August 8, 1983 that will be reviewed on no less than an annual basis. For FY16, the fixed compensation is EUR 440.000 gross;</w:t>
      </w:r>
    </w:p>
    <w:p>
      <w:pPr>
        <w:spacing w:after="0" w:line="137" w:lineRule="exact"/>
        <w:rPr>
          <w:rFonts w:ascii="Arial" w:cs="Arial" w:eastAsia="Arial" w:hAnsi="Arial"/>
          <w:sz w:val="18"/>
          <w:szCs w:val="18"/>
          <w:color w:val="auto"/>
        </w:rPr>
      </w:pPr>
    </w:p>
    <w:p>
      <w:pPr>
        <w:ind w:left="760" w:right="459" w:hanging="96"/>
        <w:spacing w:after="0" w:line="223" w:lineRule="auto"/>
        <w:tabs>
          <w:tab w:leader="none" w:pos="7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yearly variable Compensation if the Avnet Group attains certain targets. The amount of variable compensation, the measurement criteria and the terms of payment will be defined in Mr. Zammit’s annual incentive pay plan at the beginning of each fiscal year. For FY16, the target variable compensation is EUR 440.000 gross.</w:t>
      </w:r>
    </w:p>
    <w:p>
      <w:pPr>
        <w:spacing w:after="0" w:line="158" w:lineRule="exact"/>
        <w:rPr>
          <w:sz w:val="20"/>
          <w:szCs w:val="20"/>
          <w:color w:val="auto"/>
        </w:rPr>
      </w:pPr>
    </w:p>
    <w:p>
      <w:pPr>
        <w:jc w:val="both"/>
        <w:ind w:left="160" w:right="139"/>
        <w:spacing w:after="0"/>
        <w:rPr>
          <w:sz w:val="20"/>
          <w:szCs w:val="20"/>
          <w:color w:val="auto"/>
        </w:rPr>
      </w:pPr>
      <w:r>
        <w:rPr>
          <w:rFonts w:ascii="Arial" w:cs="Arial" w:eastAsia="Arial" w:hAnsi="Arial"/>
          <w:sz w:val="19"/>
          <w:szCs w:val="19"/>
          <w:color w:val="auto"/>
        </w:rPr>
        <w:t>5.2. The Total Compensation will be paid on the individual bank account indicated by Mr. Zammit, after the deduction of applicable withholding taxes. In case of incomplete year, the Total Compensation will be prorated in accordance with periods during which Mr. Zammit has performed his duties.</w:t>
      </w:r>
    </w:p>
    <w:p>
      <w:pPr>
        <w:spacing w:after="0" w:line="155"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18"/>
          <w:szCs w:val="18"/>
          <w:color w:val="auto"/>
        </w:rPr>
        <w:t>5.3. In case of non-performance of the Agreement during an uninterrupted period of 6 months due to sickness and/or accident, Avnet will continue to pay the Total Compensation during the said period of 6 months. As from the 1st day of the second month, Mr. Zammit will fall under the disability insurance as provided in article 6 of the Agreement and in accordance with the terms and conditions of this insurance.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6 – Insurances</w:t>
      </w:r>
    </w:p>
    <w:p>
      <w:pPr>
        <w:spacing w:after="0" w:line="181"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6.1. Avnet will subscribe Mr. Zammit to the following benefits and will pay the premiums in accordance with the applicable policies within Avnet Group:</w:t>
      </w:r>
    </w:p>
    <w:p>
      <w:pPr>
        <w:spacing w:after="0" w:line="144" w:lineRule="exact"/>
        <w:rPr>
          <w:sz w:val="20"/>
          <w:szCs w:val="20"/>
          <w:color w:val="auto"/>
        </w:rPr>
      </w:pPr>
    </w:p>
    <w:p>
      <w:pPr>
        <w:ind w:left="280" w:hanging="129"/>
        <w:spacing w:after="0"/>
        <w:tabs>
          <w:tab w:leader="none" w:pos="2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Individual Pension Commitment (including death insurance and pension);</w:t>
      </w:r>
    </w:p>
    <w:p>
      <w:pPr>
        <w:ind w:left="340" w:hanging="189"/>
        <w:spacing w:after="0" w:line="211" w:lineRule="auto"/>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Collective Guaranteed Income Insurance;</w:t>
      </w:r>
    </w:p>
    <w:p>
      <w:pPr>
        <w:ind w:left="1240" w:hanging="1089"/>
        <w:spacing w:after="0" w:line="211" w:lineRule="auto"/>
        <w:tabs>
          <w:tab w:leader="none" w:pos="12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DKV;</w:t>
      </w:r>
    </w:p>
    <w:p>
      <w:pPr>
        <w:ind w:left="400" w:hanging="249"/>
        <w:spacing w:after="0" w:line="197" w:lineRule="auto"/>
        <w:tabs>
          <w:tab w:leader="none" w:pos="4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Travel assistance insurance; and</w:t>
      </w:r>
    </w:p>
    <w:p>
      <w:pPr>
        <w:ind w:left="520" w:hanging="369"/>
        <w:spacing w:after="0"/>
        <w:tabs>
          <w:tab w:leader="none" w:pos="5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D&amp;O insurance.</w:t>
      </w:r>
    </w:p>
    <w:p>
      <w:pPr>
        <w:spacing w:after="0" w:line="159"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6.2. Avnet shall reimburse Mr. Zammit the annual contribution to the French Management Pension insurance at Groupe Humanis (CRE + IRCAFEX). The quarterly premium is calculated on a reference salary, fixed at EUR 185,312 for 2015, and reevaluated annually. If a taxation is required by law, Mr. Zammit himself is responsible for this.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7 – Company Car</w:t>
      </w:r>
    </w:p>
    <w:p>
      <w:pPr>
        <w:spacing w:after="0" w:line="181"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7.1. Avnet will provide Mr. Zammit with a company car, type BMW 740 standard or similar, for carrying out his professional activities. Avnet will also provide Mr. Zammit with a fuel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both"/>
        <w:ind w:left="160" w:right="139"/>
        <w:spacing w:after="0" w:line="228" w:lineRule="auto"/>
        <w:rPr>
          <w:sz w:val="20"/>
          <w:szCs w:val="20"/>
          <w:color w:val="auto"/>
        </w:rPr>
      </w:pPr>
      <w:r>
        <w:rPr>
          <w:rFonts w:ascii="Arial" w:cs="Arial" w:eastAsia="Arial" w:hAnsi="Arial"/>
          <w:sz w:val="20"/>
          <w:szCs w:val="20"/>
          <w:color w:val="auto"/>
        </w:rPr>
        <w:t>7.2. Mr. Zammit must use the company car and the fuel card with due diligence, in accordance with Avnet’s car policy. Mr. Zammit acknowledges having received a copy of the car policy, having examined its content, and agrees to comply with it.</w:t>
      </w:r>
    </w:p>
    <w:p>
      <w:pPr>
        <w:spacing w:after="0" w:line="157" w:lineRule="exact"/>
        <w:rPr>
          <w:sz w:val="20"/>
          <w:szCs w:val="20"/>
          <w:color w:val="auto"/>
        </w:rPr>
      </w:pPr>
    </w:p>
    <w:p>
      <w:pPr>
        <w:jc w:val="both"/>
        <w:ind w:left="160" w:right="159"/>
        <w:spacing w:after="0" w:line="236" w:lineRule="auto"/>
        <w:rPr>
          <w:sz w:val="20"/>
          <w:szCs w:val="20"/>
          <w:color w:val="auto"/>
        </w:rPr>
      </w:pPr>
      <w:r>
        <w:rPr>
          <w:rFonts w:ascii="Arial" w:cs="Arial" w:eastAsia="Arial" w:hAnsi="Arial"/>
          <w:sz w:val="20"/>
          <w:szCs w:val="20"/>
          <w:color w:val="auto"/>
        </w:rPr>
        <w:t>7.3. Mr. Zammit may use the company car for private purposes, in accordance with the terms and conditions of the car policy.</w:t>
      </w:r>
    </w:p>
    <w:p>
      <w:pPr>
        <w:spacing w:after="0" w:line="155" w:lineRule="exact"/>
        <w:rPr>
          <w:sz w:val="20"/>
          <w:szCs w:val="20"/>
          <w:color w:val="auto"/>
        </w:rPr>
      </w:pPr>
    </w:p>
    <w:p>
      <w:pPr>
        <w:ind w:left="160" w:right="959"/>
        <w:spacing w:after="0" w:line="422" w:lineRule="auto"/>
        <w:rPr>
          <w:sz w:val="20"/>
          <w:szCs w:val="20"/>
          <w:color w:val="auto"/>
        </w:rPr>
      </w:pPr>
      <w:r>
        <w:rPr>
          <w:rFonts w:ascii="Arial" w:cs="Arial" w:eastAsia="Arial" w:hAnsi="Arial"/>
          <w:sz w:val="20"/>
          <w:szCs w:val="20"/>
          <w:color w:val="auto"/>
        </w:rPr>
        <w:t xml:space="preserve">7.4. A benefit in kind will be declared in line with the applicable tax and social security regulations. </w:t>
      </w:r>
      <w:r>
        <w:rPr>
          <w:rFonts w:ascii="Arial" w:cs="Arial" w:eastAsia="Arial" w:hAnsi="Arial"/>
          <w:sz w:val="20"/>
          <w:szCs w:val="20"/>
          <w:b w:val="1"/>
          <w:bCs w:val="1"/>
          <w:color w:val="auto"/>
        </w:rPr>
        <w:t>Article 8 – Tax regime</w:t>
      </w:r>
    </w:p>
    <w:p>
      <w:pPr>
        <w:spacing w:after="0" w:line="2"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8.1. The Avnet Group has filed a request on behalf of Mr. Zammit and has obtained the application of the special tax regime for foreign executives.</w:t>
      </w:r>
    </w:p>
    <w:p>
      <w:pPr>
        <w:spacing w:after="0" w:line="155"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8.2. Mr. Zammit will not undertake any action that could jeopardize the approval or continued application of the special tax regime for foreign executives or reduce the benefits for the Avnet Group.</w:t>
      </w:r>
    </w:p>
    <w:p>
      <w:pPr>
        <w:spacing w:after="0" w:line="140" w:lineRule="exact"/>
        <w:rPr>
          <w:sz w:val="20"/>
          <w:szCs w:val="20"/>
          <w:color w:val="auto"/>
        </w:rPr>
      </w:pPr>
    </w:p>
    <w:p>
      <w:pPr>
        <w:jc w:val="both"/>
        <w:ind w:left="160" w:right="159"/>
        <w:spacing w:after="0" w:line="228" w:lineRule="auto"/>
        <w:rPr>
          <w:sz w:val="20"/>
          <w:szCs w:val="20"/>
          <w:color w:val="auto"/>
        </w:rPr>
      </w:pPr>
      <w:r>
        <w:rPr>
          <w:rFonts w:ascii="Arial" w:cs="Arial" w:eastAsia="Arial" w:hAnsi="Arial"/>
          <w:sz w:val="20"/>
          <w:szCs w:val="20"/>
          <w:color w:val="auto"/>
        </w:rPr>
        <w:t>8.3. Mr. Zammit shall keep all documents related to his professional travel outside Belgium, such as boarding passes, train tickets, visa stubs, etc., and forward these upon simple request of Avnet or designated tax consultancy firm to the latter.</w:t>
      </w:r>
    </w:p>
    <w:p>
      <w:pPr>
        <w:spacing w:after="0" w:line="155" w:lineRule="exact"/>
        <w:rPr>
          <w:sz w:val="20"/>
          <w:szCs w:val="20"/>
          <w:color w:val="auto"/>
        </w:rPr>
      </w:pPr>
    </w:p>
    <w:p>
      <w:pPr>
        <w:jc w:val="both"/>
        <w:ind w:left="160" w:right="159"/>
        <w:spacing w:after="0" w:line="285" w:lineRule="auto"/>
        <w:rPr>
          <w:sz w:val="20"/>
          <w:szCs w:val="20"/>
          <w:color w:val="auto"/>
        </w:rPr>
      </w:pPr>
      <w:r>
        <w:rPr>
          <w:rFonts w:ascii="Arial" w:cs="Arial" w:eastAsia="Arial" w:hAnsi="Arial"/>
          <w:sz w:val="18"/>
          <w:szCs w:val="18"/>
          <w:color w:val="auto"/>
        </w:rPr>
        <w:t>8.4. If Mr. Zammit ever loses the benefits and the application of the special tax regime for foreign executives, for whatever reason, Avnet will not be liable and will not be held to compensate Mr. Zammit in any way.</w:t>
      </w:r>
    </w:p>
    <w:p>
      <w:pPr>
        <w:spacing w:after="0" w:line="116"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18"/>
          <w:szCs w:val="18"/>
          <w:color w:val="auto"/>
        </w:rPr>
        <w:t>8.5. If in the course of performance of the Agreement, the benefit of the expatriate tax regime which currently applies to Mr. Zammit would be withdrawn or lost, then Avnet shall use its best efforts to explore and agree with Mr. Zammit alternative terms and conditions which will aim at minimizing the adverse financial impact of such withdrawal or loss, without however resulting in an excess salary cost to Avnet.</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9 – Social security status</w:t>
      </w:r>
    </w:p>
    <w:p>
      <w:pPr>
        <w:spacing w:after="0" w:line="181" w:lineRule="exact"/>
        <w:rPr>
          <w:sz w:val="20"/>
          <w:szCs w:val="20"/>
          <w:color w:val="auto"/>
        </w:rPr>
      </w:pPr>
    </w:p>
    <w:p>
      <w:pPr>
        <w:jc w:val="both"/>
        <w:ind w:left="160" w:right="159"/>
        <w:spacing w:after="0" w:line="223" w:lineRule="auto"/>
        <w:rPr>
          <w:sz w:val="20"/>
          <w:szCs w:val="20"/>
          <w:color w:val="auto"/>
        </w:rPr>
      </w:pPr>
      <w:r>
        <w:rPr>
          <w:rFonts w:ascii="Arial" w:cs="Arial" w:eastAsia="Arial" w:hAnsi="Arial"/>
          <w:sz w:val="20"/>
          <w:szCs w:val="20"/>
          <w:color w:val="auto"/>
        </w:rPr>
        <w:t>9.1. Mr. Zammit will be subject to the Belgian social security scheme for self-employed workers. He undertakes to register to a Belgian social insurance fund for self-employed workers and to maintain his affiliation during the entire duration of the Agreement and to pay the necessary social security contributions to his social insurance fund.</w:t>
      </w:r>
    </w:p>
    <w:p>
      <w:pPr>
        <w:spacing w:after="0" w:line="158"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18"/>
          <w:szCs w:val="18"/>
          <w:color w:val="auto"/>
        </w:rPr>
        <w:t>9.2. Should Mr. Zammit’s social insurance fund claim any social security contribution due by Mr. Zammit from Avnet, Mr. Zammit agrees to reimburse Avnet immediately. Avnet also reserves the right to withhold from Mr. Zammit’s remuneration any social security contributions due by Mr. Zammit in his capacity as self-employed worker and claimed from Avnet by Mr. Zammit’s social insurance fund for self-employed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249555</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jc w:val="both"/>
        <w:ind w:left="160" w:right="139"/>
        <w:spacing w:after="0" w:line="237" w:lineRule="auto"/>
        <w:rPr>
          <w:sz w:val="20"/>
          <w:szCs w:val="20"/>
          <w:color w:val="auto"/>
        </w:rPr>
      </w:pPr>
      <w:r>
        <w:rPr>
          <w:rFonts w:ascii="Arial" w:cs="Arial" w:eastAsia="Arial" w:hAnsi="Arial"/>
          <w:sz w:val="20"/>
          <w:szCs w:val="20"/>
          <w:color w:val="auto"/>
        </w:rPr>
        <w:t>9.3. Avnet commits itself to facilitate the payment of the social security contributions due by Mr. Zammit to the social insurance fund.</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10 – Reimbursement of expenses</w:t>
      </w:r>
    </w:p>
    <w:p>
      <w:pPr>
        <w:spacing w:after="0" w:line="168"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Avnet will reimburse Mr. Zammit for his actual travel expenses and other expenses made in performance of the Agreement, to the extent that those costs are accompanied by the appropriate documentary evidence and are in line with Avnet’s policies. The expenses must be reasonable in amount and type and they must be made in the interest of Avnet.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11 – Duration and termination</w:t>
      </w:r>
    </w:p>
    <w:p>
      <w:pPr>
        <w:spacing w:after="0" w:line="168"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11.1. The Agreement is concluded for an indefinite duration and shall be effective as of Mr. Zammit’s appointment as manager by Avnet’s General Meeting.</w:t>
      </w:r>
    </w:p>
    <w:p>
      <w:pPr>
        <w:spacing w:after="0" w:line="155"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11.2. Each Party will have the right to terminate this Agreement at all times subject to giving the other party notice in writing and sent by registered mail.</w:t>
      </w:r>
    </w:p>
    <w:p>
      <w:pPr>
        <w:spacing w:after="0" w:line="155"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The notice period to be complied with or the period covered by the indemnity in lieu of notice by Avnet will be 23,5 months.</w:t>
      </w:r>
    </w:p>
    <w:p>
      <w:pPr>
        <w:spacing w:after="0" w:line="155"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In addition, Mr. Zammit will also be entitled to an additional notice period or indemnity in lieu of notice corresponding to 1 month per fully completed year beginning with the start of this Agreement.</w:t>
      </w:r>
    </w:p>
    <w:p>
      <w:pPr>
        <w:spacing w:after="0" w:line="140"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Avnet has the right to pay an indemnity in lieu of notice equal to the part of the Total Compensation as detailed in article 4 of the Agreement and the benefits provided in articles 6 and 7 which correspond to the number of months of the notice period that is not performed.</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The notice period to be complied with by Mr. Zammit will be 6 months.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12 – Serious cause</w:t>
      </w:r>
    </w:p>
    <w:p>
      <w:pPr>
        <w:spacing w:after="0" w:line="181"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12.1. Avnet may terminate the Agreement with immediate effect, without notice or payment in lieu, if serious misconduct or any other conduct of Mr. Zammit renders it immediately and definitively impossible to continue any further professional relations between the Parties.</w:t>
      </w:r>
    </w:p>
    <w:p>
      <w:pPr>
        <w:spacing w:after="0" w:line="155"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12.2. Examples of serious cause which would result in the immediate termination of the Agreement, include but are not limited to:</w:t>
      </w:r>
    </w:p>
    <w:p>
      <w:pPr>
        <w:spacing w:after="0" w:line="155" w:lineRule="exact"/>
        <w:rPr>
          <w:sz w:val="20"/>
          <w:szCs w:val="20"/>
          <w:color w:val="auto"/>
        </w:rPr>
      </w:pPr>
    </w:p>
    <w:p>
      <w:pPr>
        <w:ind w:left="780" w:hanging="305"/>
        <w:spacing w:after="0"/>
        <w:tabs>
          <w:tab w:leader="none" w:pos="7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serious breach by Mr. Zammit of his duties, as defined by the Agreement;</w:t>
      </w:r>
    </w:p>
    <w:p>
      <w:pPr>
        <w:spacing w:after="0" w:line="175" w:lineRule="exact"/>
        <w:rPr>
          <w:rFonts w:ascii="Arial" w:cs="Arial" w:eastAsia="Arial" w:hAnsi="Arial"/>
          <w:sz w:val="20"/>
          <w:szCs w:val="20"/>
          <w:color w:val="auto"/>
        </w:rPr>
      </w:pPr>
    </w:p>
    <w:p>
      <w:pPr>
        <w:ind w:left="1040" w:hanging="565"/>
        <w:spacing w:after="0"/>
        <w:tabs>
          <w:tab w:leader="none" w:pos="10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breach of the duty of confidentiality;</w:t>
      </w:r>
    </w:p>
    <w:p>
      <w:pPr>
        <w:spacing w:after="0" w:line="175" w:lineRule="exact"/>
        <w:rPr>
          <w:rFonts w:ascii="Arial" w:cs="Arial" w:eastAsia="Arial" w:hAnsi="Arial"/>
          <w:sz w:val="20"/>
          <w:szCs w:val="20"/>
          <w:color w:val="auto"/>
        </w:rPr>
      </w:pPr>
    </w:p>
    <w:p>
      <w:pPr>
        <w:ind w:left="1120" w:hanging="645"/>
        <w:spacing w:after="0"/>
        <w:tabs>
          <w:tab w:leader="none" w:pos="11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forgery of documents,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139065</wp:posOffset>
            </wp:positionV>
            <wp:extent cx="55486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800" w:hanging="325"/>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misuse of a credit card of the Avnet Group or the Avnet Group’s funds;</w:t>
      </w:r>
    </w:p>
    <w:p>
      <w:pPr>
        <w:spacing w:after="0" w:line="175" w:lineRule="exact"/>
        <w:rPr>
          <w:rFonts w:ascii="Arial" w:cs="Arial" w:eastAsia="Arial" w:hAnsi="Arial"/>
          <w:sz w:val="20"/>
          <w:szCs w:val="20"/>
          <w:color w:val="auto"/>
        </w:rPr>
      </w:pPr>
    </w:p>
    <w:p>
      <w:pPr>
        <w:jc w:val="both"/>
        <w:ind w:left="720" w:right="139" w:hanging="245"/>
        <w:spacing w:after="0" w:line="22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other criminal offense or any other act which is of such nature that it definitively breaks the trust between the Parties or which could damage the reputation or public image of the Avnet Group, provided, however, that any criminal offence charged to Mr. Zammit solely by virtue of his status as a director or officer of the Avnet Group and not by virtue of any act or willful omission by him shall not constitute serious cause;</w:t>
      </w:r>
    </w:p>
    <w:p>
      <w:pPr>
        <w:spacing w:after="0" w:line="156" w:lineRule="exact"/>
        <w:rPr>
          <w:rFonts w:ascii="Arial" w:cs="Arial" w:eastAsia="Arial" w:hAnsi="Arial"/>
          <w:sz w:val="20"/>
          <w:szCs w:val="20"/>
          <w:color w:val="auto"/>
        </w:rPr>
      </w:pPr>
    </w:p>
    <w:p>
      <w:pPr>
        <w:ind w:left="940" w:hanging="465"/>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unjustified absence of three consecutive days;</w:t>
      </w:r>
    </w:p>
    <w:p>
      <w:pPr>
        <w:spacing w:after="0" w:line="175" w:lineRule="exact"/>
        <w:rPr>
          <w:rFonts w:ascii="Arial" w:cs="Arial" w:eastAsia="Arial" w:hAnsi="Arial"/>
          <w:sz w:val="20"/>
          <w:szCs w:val="20"/>
          <w:color w:val="auto"/>
        </w:rPr>
      </w:pPr>
    </w:p>
    <w:p>
      <w:pPr>
        <w:ind w:left="720" w:hanging="24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public statement which would damage the reputation or the public image of the Avnet Group; and</w:t>
      </w:r>
    </w:p>
    <w:p>
      <w:pPr>
        <w:spacing w:after="0" w:line="198" w:lineRule="exact"/>
        <w:rPr>
          <w:rFonts w:ascii="Arial" w:cs="Arial" w:eastAsia="Arial" w:hAnsi="Arial"/>
          <w:sz w:val="18"/>
          <w:szCs w:val="18"/>
          <w:color w:val="auto"/>
        </w:rPr>
      </w:pPr>
    </w:p>
    <w:p>
      <w:pPr>
        <w:ind w:left="820" w:hanging="345"/>
        <w:spacing w:after="0"/>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breach by Mr. Zammit of a third party’s intellectual property rights.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13 – Conflict of interests</w:t>
      </w:r>
    </w:p>
    <w:p>
      <w:pPr>
        <w:spacing w:after="0" w:line="168"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Where Mr. Zammit has any direct or indirect patrimonial interest to a decision or operation submitted to the managers, Mr. Zammit undertakes to notify the managers and Avnet’s statutory auditor hereof in accordance with article 259 of the Belgian Company Code.</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14 – Unfair competition</w:t>
      </w:r>
    </w:p>
    <w:p>
      <w:pPr>
        <w:spacing w:after="0" w:line="181"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14.1. Mr. Zammit is prohibited from engaging in or co-operating in any unfair competition, both during the performance of and after the termination of the Agreement. Examples of unfair competition include, but are not limited to, the following:</w:t>
      </w:r>
    </w:p>
    <w:p>
      <w:pPr>
        <w:spacing w:after="0" w:line="155" w:lineRule="exact"/>
        <w:rPr>
          <w:sz w:val="20"/>
          <w:szCs w:val="20"/>
          <w:color w:val="auto"/>
        </w:rPr>
      </w:pPr>
    </w:p>
    <w:p>
      <w:pPr>
        <w:ind w:left="720" w:right="139" w:hanging="245"/>
        <w:spacing w:after="0" w:line="23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Use of Avnet’s or the Avnet Group’s names or logos for Mr. Zammit’s own benefit or for the benefit of any corporate person or individual other than Avnet or the Avnet Group;</w:t>
      </w:r>
    </w:p>
    <w:p>
      <w:pPr>
        <w:spacing w:after="0" w:line="155" w:lineRule="exact"/>
        <w:rPr>
          <w:sz w:val="20"/>
          <w:szCs w:val="20"/>
          <w:color w:val="auto"/>
        </w:rPr>
      </w:pPr>
    </w:p>
    <w:p>
      <w:pPr>
        <w:ind w:left="800" w:right="159"/>
        <w:spacing w:after="0" w:line="236" w:lineRule="auto"/>
        <w:rPr>
          <w:sz w:val="20"/>
          <w:szCs w:val="20"/>
          <w:color w:val="auto"/>
        </w:rPr>
      </w:pPr>
      <w:r>
        <w:rPr>
          <w:rFonts w:ascii="Arial" w:cs="Arial" w:eastAsia="Arial" w:hAnsi="Arial"/>
          <w:sz w:val="20"/>
          <w:szCs w:val="20"/>
          <w:color w:val="auto"/>
        </w:rPr>
        <w:t>Any act which could confuse Avnet’s or the Avnet Group’s clients or suppliers about the activities of Avnet or the Avnet Group;</w:t>
      </w:r>
    </w:p>
    <w:p>
      <w:pPr>
        <w:spacing w:after="0" w:line="155" w:lineRule="exact"/>
        <w:rPr>
          <w:sz w:val="20"/>
          <w:szCs w:val="20"/>
          <w:color w:val="auto"/>
        </w:rPr>
      </w:pPr>
    </w:p>
    <w:p>
      <w:pPr>
        <w:ind w:left="720" w:right="139" w:hanging="245"/>
        <w:spacing w:after="0" w:line="236"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Mr. Zammit representing himself as being in any way connected with or interested in the business of Avnet or the Avnet Group after the termination of the Agreement; or</w:t>
      </w:r>
    </w:p>
    <w:p>
      <w:pPr>
        <w:spacing w:after="0" w:line="155" w:lineRule="exact"/>
        <w:rPr>
          <w:rFonts w:ascii="Arial" w:cs="Arial" w:eastAsia="Arial" w:hAnsi="Arial"/>
          <w:sz w:val="20"/>
          <w:szCs w:val="20"/>
          <w:color w:val="auto"/>
        </w:rPr>
      </w:pPr>
    </w:p>
    <w:p>
      <w:pPr>
        <w:jc w:val="both"/>
        <w:ind w:left="720" w:right="139" w:hanging="245"/>
        <w:spacing w:after="0" w:line="223"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attempt to induce or encourage any agent, any other intermediary, supplier or service provider of Avnet or the Avnet Group to cease providing services or the delivery of goods to Avnet or the Avnet Group or to change the conditions under which these goods or services are delivered in a manner that is disadvantageous to Avnet or the Avnet Group.</w:t>
      </w:r>
    </w:p>
    <w:p>
      <w:pPr>
        <w:spacing w:after="0" w:line="158" w:lineRule="exact"/>
        <w:rPr>
          <w:sz w:val="20"/>
          <w:szCs w:val="20"/>
          <w:color w:val="auto"/>
        </w:rPr>
      </w:pPr>
    </w:p>
    <w:p>
      <w:pPr>
        <w:ind w:left="160" w:right="139"/>
        <w:spacing w:after="0" w:line="257" w:lineRule="auto"/>
        <w:rPr>
          <w:sz w:val="20"/>
          <w:szCs w:val="20"/>
          <w:color w:val="auto"/>
        </w:rPr>
      </w:pPr>
      <w:r>
        <w:rPr>
          <w:rFonts w:ascii="Arial" w:cs="Arial" w:eastAsia="Arial" w:hAnsi="Arial"/>
          <w:sz w:val="19"/>
          <w:szCs w:val="19"/>
          <w:color w:val="auto"/>
        </w:rPr>
        <w:t>14.2. The following practices will also be considered unfair competition, to the extent that they are associated with one of the practices referred to under Articles 14.1(1) – 14.1(4) or have the intention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116840</wp:posOffset>
            </wp:positionV>
            <wp:extent cx="55486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38" w:name="page39"/>
    <w:bookmarkEnd w:id="38"/>
    <w:p>
      <w:pPr>
        <w:jc w:val="both"/>
        <w:ind w:left="160" w:right="139"/>
        <w:spacing w:after="0" w:line="236" w:lineRule="auto"/>
        <w:rPr>
          <w:sz w:val="20"/>
          <w:szCs w:val="20"/>
          <w:color w:val="auto"/>
        </w:rPr>
      </w:pPr>
      <w:r>
        <w:rPr>
          <w:rFonts w:ascii="Arial" w:cs="Arial" w:eastAsia="Arial" w:hAnsi="Arial"/>
          <w:sz w:val="19"/>
          <w:szCs w:val="19"/>
          <w:color w:val="auto"/>
        </w:rPr>
        <w:t>effect or is accompanied by the destabilizing of the undertakings of Avnet or the Avnet Group, causing confusion, being misleading, portraying Avnet or the Avnet Group in a bad light, making deceptive statements, using Confidential Information, obtaining disproportionate advantages, engaging in parasitic competition, abusing rights or being an accomplice as a third party to a breach of contract:</w:t>
      </w:r>
    </w:p>
    <w:p>
      <w:pPr>
        <w:spacing w:after="0" w:line="155" w:lineRule="exact"/>
        <w:rPr>
          <w:sz w:val="20"/>
          <w:szCs w:val="20"/>
          <w:color w:val="auto"/>
        </w:rPr>
      </w:pPr>
    </w:p>
    <w:p>
      <w:pPr>
        <w:ind w:left="720" w:right="139" w:hanging="245"/>
        <w:spacing w:after="0" w:line="236"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(Directly or indirectly) soliciting collaborators of Avnet or the Avnet Group (irrespective of whether these collaborators would breach their own employment agreement or contract).</w:t>
      </w:r>
    </w:p>
    <w:p>
      <w:pPr>
        <w:spacing w:after="0" w:line="155" w:lineRule="exact"/>
        <w:rPr>
          <w:rFonts w:ascii="Arial" w:cs="Arial" w:eastAsia="Arial" w:hAnsi="Arial"/>
          <w:sz w:val="20"/>
          <w:szCs w:val="20"/>
          <w:color w:val="auto"/>
        </w:rPr>
      </w:pPr>
    </w:p>
    <w:p>
      <w:pPr>
        <w:jc w:val="both"/>
        <w:ind w:left="720" w:right="139" w:hanging="245"/>
        <w:spacing w:after="0" w:line="219"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Enticing away clients or prospective clients of Avnet or the Avnet Group. For the purpose of this article “prospective clients” means undertakings with whom Avnet or the Avnet Group is or has been in negotiation with at any given time in the three-year period preceding the termination of the Agreement with a view to providing services and/or goods to that undertaking, unless Avnet or the Avnet Group respectively has decided that it will not provide services or goods to the undertaking concerned.</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14.3. Article 14 in no way affects article 15 (non-competition).</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15 – Non-competition clause</w:t>
      </w:r>
    </w:p>
    <w:p>
      <w:pPr>
        <w:spacing w:after="0" w:line="181" w:lineRule="exact"/>
        <w:rPr>
          <w:sz w:val="20"/>
          <w:szCs w:val="20"/>
          <w:color w:val="auto"/>
        </w:rPr>
      </w:pPr>
    </w:p>
    <w:p>
      <w:pPr>
        <w:jc w:val="both"/>
        <w:ind w:left="160" w:right="139"/>
        <w:spacing w:after="0" w:line="221" w:lineRule="auto"/>
        <w:rPr>
          <w:sz w:val="20"/>
          <w:szCs w:val="20"/>
          <w:color w:val="auto"/>
        </w:rPr>
      </w:pPr>
      <w:r>
        <w:rPr>
          <w:rFonts w:ascii="Arial" w:cs="Arial" w:eastAsia="Arial" w:hAnsi="Arial"/>
          <w:sz w:val="20"/>
          <w:szCs w:val="20"/>
          <w:color w:val="auto"/>
        </w:rPr>
        <w:t>15.1. If the Agreement ends for whatever reason, Mr. Zammit is prohibited from undertaking any activity that competes with Avnet or the Avnet Group either directly, by exploiting an undertaking himself, or indirectly by accepting a position as a collaborator in an undertaking with competing activities. Hereby, it is irrelevant whether or not the competing activity is fair or unfair, and whether or not it is performed for Mr. Zammit’s own account or for the account of a third party.</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15.2. The non-compete obligation set out in this article 15:</w:t>
      </w:r>
    </w:p>
    <w:p>
      <w:pPr>
        <w:spacing w:after="0" w:line="175" w:lineRule="exact"/>
        <w:rPr>
          <w:sz w:val="20"/>
          <w:szCs w:val="20"/>
          <w:color w:val="auto"/>
        </w:rPr>
      </w:pPr>
    </w:p>
    <w:p>
      <w:pPr>
        <w:jc w:val="both"/>
        <w:ind w:left="560" w:right="139" w:hanging="85"/>
        <w:spacing w:after="0" w:line="228" w:lineRule="auto"/>
        <w:tabs>
          <w:tab w:leader="none" w:pos="5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only applies if the undertaking referred to in article 15.1 competes with or is contemplating competing with Avnet or the Avnet Group and is limited to identical or similar activities to those performed by Mr. Zammit for Avnet or the Avnet Group;</w:t>
      </w:r>
    </w:p>
    <w:p>
      <w:pPr>
        <w:spacing w:after="0" w:line="154" w:lineRule="exact"/>
        <w:rPr>
          <w:rFonts w:ascii="Arial" w:cs="Arial" w:eastAsia="Arial" w:hAnsi="Arial"/>
          <w:sz w:val="20"/>
          <w:szCs w:val="20"/>
          <w:color w:val="auto"/>
        </w:rPr>
      </w:pPr>
    </w:p>
    <w:p>
      <w:pPr>
        <w:ind w:left="580" w:hanging="105"/>
        <w:spacing w:after="0"/>
        <w:tabs>
          <w:tab w:leader="none" w:pos="5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applies in the Americas, Europe, Middle East and Africa, and Asia-Pacific; and</w:t>
      </w:r>
    </w:p>
    <w:p>
      <w:pPr>
        <w:spacing w:after="0" w:line="175" w:lineRule="exact"/>
        <w:rPr>
          <w:rFonts w:ascii="Arial" w:cs="Arial" w:eastAsia="Arial" w:hAnsi="Arial"/>
          <w:sz w:val="20"/>
          <w:szCs w:val="20"/>
          <w:color w:val="auto"/>
        </w:rPr>
      </w:pPr>
    </w:p>
    <w:p>
      <w:pPr>
        <w:ind w:left="580" w:hanging="105"/>
        <w:spacing w:after="0"/>
        <w:tabs>
          <w:tab w:leader="none" w:pos="5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applies for 12 months from and including the day on which the Agreement ends.</w:t>
      </w:r>
    </w:p>
    <w:p>
      <w:pPr>
        <w:spacing w:after="0" w:line="175" w:lineRule="exact"/>
        <w:rPr>
          <w:sz w:val="20"/>
          <w:szCs w:val="20"/>
          <w:color w:val="auto"/>
        </w:rPr>
      </w:pPr>
    </w:p>
    <w:p>
      <w:pPr>
        <w:jc w:val="both"/>
        <w:ind w:left="160" w:right="139"/>
        <w:spacing w:after="0" w:line="260" w:lineRule="auto"/>
        <w:rPr>
          <w:sz w:val="20"/>
          <w:szCs w:val="20"/>
          <w:color w:val="auto"/>
        </w:rPr>
      </w:pPr>
      <w:r>
        <w:rPr>
          <w:rFonts w:ascii="Arial" w:cs="Arial" w:eastAsia="Arial" w:hAnsi="Arial"/>
          <w:sz w:val="18"/>
          <w:szCs w:val="18"/>
          <w:color w:val="auto"/>
        </w:rPr>
        <w:t>15.3. In the event any competent court holds that the territorial scope of article 15.2. is deemed to be too wide and hence puts an undue burden on Mr. Zammit, the Parties agree to nevertheless observe the key provisions of the covenant but to limit the territorial scope of article 15.2. to the countries listed in Annex A.</w:t>
      </w:r>
    </w:p>
    <w:p>
      <w:pPr>
        <w:spacing w:after="0" w:line="138"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20"/>
          <w:szCs w:val="20"/>
          <w:color w:val="auto"/>
        </w:rPr>
        <w:t>15.4. Within 15 days of the Agreement ending, Avnet may waive its rights under this article 15 for any reason at its discretion. Any such waiver must be given in writing.</w:t>
      </w:r>
    </w:p>
    <w:p>
      <w:pPr>
        <w:spacing w:after="0" w:line="155"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If Avnet does not waive the application of this article 15, Avnet must pay Mr. Zammit a one-off lump-sum payment equal to 100% of Mr. Zammit’s gross fixed salary for a period equivalent to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116840</wp:posOffset>
            </wp:positionV>
            <wp:extent cx="55486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both"/>
        <w:ind w:left="160" w:right="139"/>
        <w:spacing w:after="0" w:line="228" w:lineRule="auto"/>
        <w:rPr>
          <w:sz w:val="20"/>
          <w:szCs w:val="20"/>
          <w:color w:val="auto"/>
        </w:rPr>
      </w:pPr>
      <w:r>
        <w:rPr>
          <w:rFonts w:ascii="Arial" w:cs="Arial" w:eastAsia="Arial" w:hAnsi="Arial"/>
          <w:sz w:val="20"/>
          <w:szCs w:val="20"/>
          <w:color w:val="auto"/>
        </w:rPr>
        <w:t>months during which this article 15 applies. The reference salary to be taken into account is the gross salary that Mr. Zammit received during the month preceding the day on which his duties as manager were terminated.</w:t>
      </w:r>
    </w:p>
    <w:p>
      <w:pPr>
        <w:spacing w:after="0" w:line="157" w:lineRule="exact"/>
        <w:rPr>
          <w:sz w:val="20"/>
          <w:szCs w:val="20"/>
          <w:color w:val="auto"/>
        </w:rPr>
      </w:pPr>
    </w:p>
    <w:p>
      <w:pPr>
        <w:jc w:val="both"/>
        <w:ind w:left="160" w:right="139"/>
        <w:spacing w:after="0"/>
        <w:rPr>
          <w:sz w:val="20"/>
          <w:szCs w:val="20"/>
          <w:color w:val="auto"/>
        </w:rPr>
      </w:pPr>
      <w:r>
        <w:rPr>
          <w:rFonts w:ascii="Arial" w:cs="Arial" w:eastAsia="Arial" w:hAnsi="Arial"/>
          <w:sz w:val="19"/>
          <w:szCs w:val="19"/>
          <w:color w:val="auto"/>
        </w:rPr>
        <w:t>If Mr. Zammit breaches this article 15, Mr. Zammit must reimburse Avnet for the amount paid by Avnet under the previous paragraph, and in addition pay Avnet an equivalent amount as a penalty. Avnet may claim additional compensation based on the actual injury suffered and proven by Avnet.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16 – Exclusivity</w:t>
      </w:r>
    </w:p>
    <w:p>
      <w:pPr>
        <w:spacing w:after="0" w:line="181"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16.1. Mr. Zammit acknowledges and accepts that his duties and responsibilities demand, and his remuneration was fixed in such a way, so that Mr. Zammit is required to devote his full working time and ability to Avnet’s business.</w:t>
      </w:r>
    </w:p>
    <w:p>
      <w:pPr>
        <w:spacing w:after="0" w:line="155"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16.2. Avnet must consent in advance if Mr. Zammit wishes to undertake any other professional activity. Avnet may refuse its consent without giving reasons, or may subject its consent to certain conditions.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This consent is required for any professional activity, whether or not remunerated, that:</w:t>
      </w:r>
    </w:p>
    <w:p>
      <w:pPr>
        <w:spacing w:after="0" w:line="175" w:lineRule="exact"/>
        <w:rPr>
          <w:sz w:val="20"/>
          <w:szCs w:val="20"/>
          <w:color w:val="auto"/>
        </w:rPr>
      </w:pPr>
    </w:p>
    <w:p>
      <w:pPr>
        <w:ind w:left="720" w:right="159" w:hanging="245"/>
        <w:spacing w:after="0" w:line="236"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Mr. Zammit carries out directly as a self-employed person or as an employee, officer or representative of a company or unincorporated association; or</w:t>
      </w:r>
    </w:p>
    <w:p>
      <w:pPr>
        <w:spacing w:after="0" w:line="155" w:lineRule="exact"/>
        <w:rPr>
          <w:rFonts w:ascii="Arial" w:cs="Arial" w:eastAsia="Arial" w:hAnsi="Arial"/>
          <w:sz w:val="20"/>
          <w:szCs w:val="20"/>
          <w:color w:val="auto"/>
        </w:rPr>
      </w:pPr>
    </w:p>
    <w:p>
      <w:pPr>
        <w:ind w:left="740" w:hanging="265"/>
        <w:spacing w:after="0"/>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company or unincorporated association that is under Mr. Zammit’s control carries out.</w:t>
      </w:r>
    </w:p>
    <w:p>
      <w:pPr>
        <w:spacing w:after="0" w:line="175" w:lineRule="exact"/>
        <w:rPr>
          <w:sz w:val="20"/>
          <w:szCs w:val="20"/>
          <w:color w:val="auto"/>
        </w:rPr>
      </w:pPr>
    </w:p>
    <w:p>
      <w:pPr>
        <w:ind w:left="160" w:right="139"/>
        <w:spacing w:after="0" w:line="236" w:lineRule="auto"/>
        <w:rPr>
          <w:sz w:val="20"/>
          <w:szCs w:val="20"/>
          <w:color w:val="auto"/>
        </w:rPr>
      </w:pPr>
      <w:r>
        <w:rPr>
          <w:rFonts w:ascii="Arial" w:cs="Arial" w:eastAsia="Arial" w:hAnsi="Arial"/>
          <w:sz w:val="20"/>
          <w:szCs w:val="20"/>
          <w:color w:val="auto"/>
        </w:rPr>
        <w:t>16.3. Mr. Zammit is prohibited from performing any other activity (whether or not remunerated, for his own account or for a third party) other than in performance of the Agreement, that:</w:t>
      </w:r>
    </w:p>
    <w:p>
      <w:pPr>
        <w:spacing w:after="0" w:line="155" w:lineRule="exact"/>
        <w:rPr>
          <w:sz w:val="20"/>
          <w:szCs w:val="20"/>
          <w:color w:val="auto"/>
        </w:rPr>
      </w:pPr>
    </w:p>
    <w:p>
      <w:pPr>
        <w:ind w:left="820" w:hanging="345"/>
        <w:spacing w:after="0"/>
        <w:tabs>
          <w:tab w:leader="none" w:pos="8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Is competitive in any way with Avnet’s or the Avnet Group’s activities;</w:t>
      </w:r>
    </w:p>
    <w:p>
      <w:pPr>
        <w:spacing w:after="0" w:line="175" w:lineRule="exact"/>
        <w:rPr>
          <w:rFonts w:ascii="Arial" w:cs="Arial" w:eastAsia="Arial" w:hAnsi="Arial"/>
          <w:sz w:val="20"/>
          <w:szCs w:val="20"/>
          <w:color w:val="auto"/>
        </w:rPr>
      </w:pPr>
    </w:p>
    <w:p>
      <w:pPr>
        <w:ind w:left="720" w:right="139" w:hanging="245"/>
        <w:spacing w:after="0" w:line="236"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Is harmful in any way to the interests or reputation of Avnet, the Avnet Group or of the clients of Avnet or the Avnet Group; or</w:t>
      </w:r>
    </w:p>
    <w:p>
      <w:pPr>
        <w:spacing w:after="0" w:line="155" w:lineRule="exact"/>
        <w:rPr>
          <w:rFonts w:ascii="Arial" w:cs="Arial" w:eastAsia="Arial" w:hAnsi="Arial"/>
          <w:sz w:val="20"/>
          <w:szCs w:val="20"/>
          <w:color w:val="auto"/>
        </w:rPr>
      </w:pPr>
    </w:p>
    <w:p>
      <w:pPr>
        <w:ind w:left="860" w:hanging="385"/>
        <w:spacing w:after="0"/>
        <w:tabs>
          <w:tab w:leader="none" w:pos="8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Obstructs or prevents the proper performance of the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17 – Confidentiality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17.1. Both during the term of the Agreement and after it ends, Mr. Zammit must not:</w:t>
      </w:r>
    </w:p>
    <w:p>
      <w:pPr>
        <w:spacing w:after="0" w:line="164" w:lineRule="exact"/>
        <w:rPr>
          <w:sz w:val="20"/>
          <w:szCs w:val="20"/>
          <w:color w:val="auto"/>
        </w:rPr>
      </w:pPr>
    </w:p>
    <w:p>
      <w:pPr>
        <w:ind w:left="960" w:hanging="161"/>
        <w:spacing w:after="0"/>
        <w:tabs>
          <w:tab w:leader="none" w:pos="9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disclose any Confidential Information to any third party;</w:t>
      </w:r>
    </w:p>
    <w:p>
      <w:pPr>
        <w:ind w:left="160" w:right="139" w:firstLine="639"/>
        <w:spacing w:after="0" w:line="211" w:lineRule="auto"/>
        <w:tabs>
          <w:tab w:leader="none" w:pos="978" w:val="left"/>
        </w:tabs>
        <w:numPr>
          <w:ilvl w:val="0"/>
          <w:numId w:val="22"/>
        </w:numPr>
        <w:rPr>
          <w:rFonts w:ascii="Arial" w:cs="Arial" w:eastAsia="Arial" w:hAnsi="Arial"/>
          <w:sz w:val="20"/>
          <w:szCs w:val="20"/>
          <w:color w:val="auto"/>
        </w:rPr>
      </w:pPr>
      <w:r>
        <w:rPr>
          <w:rFonts w:ascii="Arial" w:cs="Arial" w:eastAsia="Arial" w:hAnsi="Arial"/>
          <w:sz w:val="20"/>
          <w:szCs w:val="20"/>
          <w:color w:val="auto"/>
        </w:rPr>
        <w:t>use any Confidential Information for his own purposes (whether or not for financial gain) or for the purposes of any other third party (whether or not for financial gain); or</w:t>
      </w:r>
    </w:p>
    <w:p>
      <w:pPr>
        <w:ind w:left="160" w:right="139" w:firstLine="639"/>
        <w:spacing w:after="0" w:line="228" w:lineRule="auto"/>
        <w:tabs>
          <w:tab w:leader="none" w:pos="983"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permit or cause any unauthorized disclosure of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254635</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color w:val="auto"/>
        </w:rPr>
        <w:t>17.2. Both during the term of the Agreement and after it ends, Mr. Zammit must spontaneously, or at the</w:t>
      </w:r>
    </w:p>
    <w:p>
      <w:pPr>
        <w:spacing w:after="0" w:line="13" w:lineRule="exact"/>
        <w:rPr>
          <w:sz w:val="20"/>
          <w:szCs w:val="20"/>
          <w:color w:val="auto"/>
        </w:rPr>
      </w:pPr>
    </w:p>
    <w:p>
      <w:pPr>
        <w:ind w:left="160" w:right="139"/>
        <w:spacing w:after="0" w:line="228" w:lineRule="auto"/>
        <w:rPr>
          <w:sz w:val="20"/>
          <w:szCs w:val="20"/>
          <w:color w:val="auto"/>
        </w:rPr>
      </w:pPr>
      <w:r>
        <w:rPr>
          <w:rFonts w:ascii="Arial" w:cs="Arial" w:eastAsia="Arial" w:hAnsi="Arial"/>
          <w:sz w:val="20"/>
          <w:szCs w:val="20"/>
          <w:color w:val="auto"/>
        </w:rPr>
        <w:t>latest on the first request of Avnet, return all Confidential Information to Avnet, irrespective of how the Confidential Information is stored.</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17.3. Article 17.1. will not apply to:</w:t>
      </w:r>
    </w:p>
    <w:p>
      <w:pPr>
        <w:spacing w:after="0" w:line="175" w:lineRule="exact"/>
        <w:rPr>
          <w:sz w:val="20"/>
          <w:szCs w:val="20"/>
          <w:color w:val="auto"/>
        </w:rPr>
      </w:pPr>
    </w:p>
    <w:p>
      <w:pPr>
        <w:ind w:left="560" w:right="159" w:hanging="85"/>
        <w:spacing w:after="0" w:line="219" w:lineRule="auto"/>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use or disclosure which is necessary in the context of and for the purpose of the proper performance of the Agreement;</w:t>
      </w:r>
    </w:p>
    <w:p>
      <w:pPr>
        <w:spacing w:after="0" w:line="1" w:lineRule="exact"/>
        <w:rPr>
          <w:rFonts w:ascii="Arial" w:cs="Arial" w:eastAsia="Arial" w:hAnsi="Arial"/>
          <w:sz w:val="20"/>
          <w:szCs w:val="20"/>
          <w:color w:val="auto"/>
        </w:rPr>
      </w:pPr>
    </w:p>
    <w:p>
      <w:pPr>
        <w:ind w:left="600" w:hanging="125"/>
        <w:spacing w:after="0" w:line="211"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use or disclosure with the prior written consent of Avnet; or</w:t>
      </w:r>
    </w:p>
    <w:p>
      <w:pPr>
        <w:ind w:left="600" w:hanging="125"/>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disclosure ordered by a court or other competent authority.</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18 – Non-solicitation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18.1 Mr. Zammit must with regards to any person who is at any time during the term of the Agreement:</w:t>
      </w:r>
    </w:p>
    <w:p>
      <w:pPr>
        <w:spacing w:after="0" w:line="187" w:lineRule="exact"/>
        <w:rPr>
          <w:sz w:val="20"/>
          <w:szCs w:val="20"/>
          <w:color w:val="auto"/>
        </w:rPr>
      </w:pPr>
    </w:p>
    <w:p>
      <w:pPr>
        <w:ind w:left="1060" w:hanging="545"/>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collaborator of Avnet or the Avnet Group:</w:t>
      </w:r>
    </w:p>
    <w:p>
      <w:pPr>
        <w:spacing w:after="0" w:line="175" w:lineRule="exact"/>
        <w:rPr>
          <w:rFonts w:ascii="Arial" w:cs="Arial" w:eastAsia="Arial" w:hAnsi="Arial"/>
          <w:sz w:val="20"/>
          <w:szCs w:val="20"/>
          <w:color w:val="auto"/>
        </w:rPr>
      </w:pPr>
    </w:p>
    <w:p>
      <w:pPr>
        <w:ind w:left="1340" w:hanging="177"/>
        <w:spacing w:after="0"/>
        <w:tabs>
          <w:tab w:leader="none" w:pos="13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 attempt or participate in an attempt to</w:t>
      </w:r>
    </w:p>
    <w:p>
      <w:pPr>
        <w:spacing w:after="0" w:line="175" w:lineRule="exact"/>
        <w:rPr>
          <w:rFonts w:ascii="Arial" w:cs="Arial" w:eastAsia="Arial" w:hAnsi="Arial"/>
          <w:sz w:val="20"/>
          <w:szCs w:val="20"/>
          <w:color w:val="auto"/>
        </w:rPr>
      </w:pPr>
    </w:p>
    <w:p>
      <w:pPr>
        <w:ind w:left="1260" w:right="159" w:hanging="97"/>
        <w:spacing w:after="0" w:line="236" w:lineRule="auto"/>
        <w:tabs>
          <w:tab w:leader="none" w:pos="12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recruit that person (or otherwise employ them as a self-employed service provider, or in any other capacity); or</w:t>
      </w:r>
    </w:p>
    <w:p>
      <w:pPr>
        <w:spacing w:after="0" w:line="155" w:lineRule="exact"/>
        <w:rPr>
          <w:rFonts w:ascii="Arial" w:cs="Arial" w:eastAsia="Arial" w:hAnsi="Arial"/>
          <w:sz w:val="20"/>
          <w:szCs w:val="20"/>
          <w:color w:val="auto"/>
        </w:rPr>
      </w:pPr>
    </w:p>
    <w:p>
      <w:pPr>
        <w:ind w:left="1260" w:hanging="97"/>
        <w:spacing w:after="0"/>
        <w:tabs>
          <w:tab w:leader="none" w:pos="12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incite that person to end his or her professional relationship with Avnet or the Avnet Group;</w:t>
      </w:r>
    </w:p>
    <w:p>
      <w:pPr>
        <w:spacing w:after="0" w:line="186" w:lineRule="exact"/>
        <w:rPr>
          <w:rFonts w:ascii="Arial" w:cs="Arial" w:eastAsia="Arial" w:hAnsi="Arial"/>
          <w:sz w:val="19"/>
          <w:szCs w:val="19"/>
          <w:color w:val="auto"/>
        </w:rPr>
      </w:pPr>
    </w:p>
    <w:p>
      <w:pPr>
        <w:ind w:left="760" w:right="139" w:hanging="245"/>
        <w:spacing w:after="0" w:line="236"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client, prospective client, supplier or any other party to a contract with Avnet or the Avnet Group entice that entity;</w:t>
      </w:r>
    </w:p>
    <w:p>
      <w:pPr>
        <w:spacing w:after="0" w:line="155" w:lineRule="exact"/>
        <w:rPr>
          <w:rFonts w:ascii="Arial" w:cs="Arial" w:eastAsia="Arial" w:hAnsi="Arial"/>
          <w:sz w:val="20"/>
          <w:szCs w:val="20"/>
          <w:color w:val="auto"/>
        </w:rPr>
      </w:pPr>
    </w:p>
    <w:p>
      <w:pPr>
        <w:ind w:left="1280" w:hanging="117"/>
        <w:spacing w:after="0"/>
        <w:tabs>
          <w:tab w:leader="none" w:pos="12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to terminate its relationship with Avnet or the Avnet Group; or</w:t>
      </w:r>
    </w:p>
    <w:p>
      <w:pPr>
        <w:spacing w:after="0" w:line="175" w:lineRule="exact"/>
        <w:rPr>
          <w:rFonts w:ascii="Arial" w:cs="Arial" w:eastAsia="Arial" w:hAnsi="Arial"/>
          <w:sz w:val="20"/>
          <w:szCs w:val="20"/>
          <w:color w:val="auto"/>
        </w:rPr>
      </w:pPr>
    </w:p>
    <w:p>
      <w:pPr>
        <w:ind w:left="1260" w:right="139" w:hanging="97"/>
        <w:spacing w:after="0" w:line="236" w:lineRule="auto"/>
        <w:tabs>
          <w:tab w:leader="none" w:pos="12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substantially reduce its business with Avnet or the Avnet Group, or change the terms and conditions of the business with Avnet or the Avnet Group in any unfavorable way.</w:t>
      </w:r>
    </w:p>
    <w:p>
      <w:pPr>
        <w:spacing w:after="0" w:line="155"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18"/>
          <w:szCs w:val="18"/>
          <w:color w:val="auto"/>
        </w:rPr>
        <w:t>18.2. For the application of this article 18 “prospective client” means: persons, companies, or any other entities that Avnet or the Avnet Group is negotiating with, or has negotiated with a view to the supply of services or goods to that person, company or other entity, except where Avnet or the Avnet Group has decided that it does not wish to supply goods, or services to the person, company or other entity in question.</w:t>
      </w:r>
    </w:p>
    <w:p>
      <w:pPr>
        <w:spacing w:after="0" w:line="128" w:lineRule="exact"/>
        <w:rPr>
          <w:sz w:val="20"/>
          <w:szCs w:val="20"/>
          <w:color w:val="auto"/>
        </w:rPr>
      </w:pPr>
    </w:p>
    <w:p>
      <w:pPr>
        <w:ind w:left="160" w:right="499"/>
        <w:spacing w:after="0" w:line="236" w:lineRule="auto"/>
        <w:rPr>
          <w:sz w:val="20"/>
          <w:szCs w:val="20"/>
          <w:color w:val="auto"/>
        </w:rPr>
      </w:pPr>
      <w:r>
        <w:rPr>
          <w:rFonts w:ascii="Arial" w:cs="Arial" w:eastAsia="Arial" w:hAnsi="Arial"/>
          <w:sz w:val="20"/>
          <w:szCs w:val="20"/>
          <w:color w:val="auto"/>
        </w:rPr>
        <w:t>18.3. The limitation imposed in this article 18 applies both during the term of the Agreement and during a period of 12 months after the termination thereof.</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19 – Duties of Mr. Zammit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262890</wp:posOffset>
            </wp:positionV>
            <wp:extent cx="55486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160" w:right="139"/>
        <w:spacing w:after="0" w:line="237" w:lineRule="auto"/>
        <w:rPr>
          <w:sz w:val="20"/>
          <w:szCs w:val="20"/>
          <w:color w:val="auto"/>
        </w:rPr>
      </w:pPr>
      <w:r>
        <w:rPr>
          <w:rFonts w:ascii="Arial" w:cs="Arial" w:eastAsia="Arial" w:hAnsi="Arial"/>
          <w:sz w:val="20"/>
          <w:szCs w:val="20"/>
          <w:color w:val="auto"/>
        </w:rPr>
        <w:t>On termination of the Agreement, for whatever reason, Mr. Zammit must return to Avnet immediately the following:</w:t>
      </w:r>
    </w:p>
    <w:p>
      <w:pPr>
        <w:spacing w:after="0" w:line="144" w:lineRule="exact"/>
        <w:rPr>
          <w:sz w:val="20"/>
          <w:szCs w:val="20"/>
          <w:color w:val="auto"/>
        </w:rPr>
      </w:pPr>
    </w:p>
    <w:p>
      <w:pPr>
        <w:ind w:left="1280" w:hanging="117"/>
        <w:spacing w:after="0"/>
        <w:tabs>
          <w:tab w:leader="none" w:pos="1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business cards and credit cards issued to him by Avnet or the Avnet Group;</w:t>
      </w:r>
    </w:p>
    <w:p>
      <w:pPr>
        <w:ind w:left="1260" w:right="139" w:hanging="97"/>
        <w:spacing w:after="0" w:line="211"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documents containing Confidential Information (without making any copies) that are in his possession;</w:t>
      </w:r>
    </w:p>
    <w:p>
      <w:pPr>
        <w:ind w:left="1400" w:hanging="237"/>
        <w:spacing w:after="0" w:line="211" w:lineRule="auto"/>
        <w:tabs>
          <w:tab w:leader="none" w:pos="1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keys to Avnet premises;</w:t>
      </w:r>
    </w:p>
    <w:p>
      <w:pPr>
        <w:ind w:left="1380" w:hanging="217"/>
        <w:spacing w:after="0" w:line="211" w:lineRule="auto"/>
        <w:tabs>
          <w:tab w:leader="none" w:pos="1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company car and fuel card;</w:t>
      </w:r>
    </w:p>
    <w:p>
      <w:pPr>
        <w:ind w:left="1260" w:hanging="97"/>
        <w:spacing w:after="0" w:line="211"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materials pertaining to any intellectual property rights transferred to Avnet; and</w:t>
      </w:r>
    </w:p>
    <w:p>
      <w:pPr>
        <w:ind w:left="1260" w:right="159" w:hanging="97"/>
        <w:spacing w:after="0" w:line="228"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other property, materials and equipment in his possession belonging to Avnet or the Avnet Group.</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20 – Intellectual property rights</w:t>
      </w:r>
    </w:p>
    <w:p>
      <w:pPr>
        <w:spacing w:after="0" w:line="181"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8"/>
          <w:szCs w:val="18"/>
          <w:color w:val="auto"/>
        </w:rPr>
        <w:t>20.1. All systems, programs, software (object codes as well as source codes), documents, databases, manuals, reports, trade secrets, inventions, improvements, know-how and all other work created, designed, developed or produced by Mr. Zammit, whether or not by using the facilities of Avnet, in the course of or in relation with the performance of this Agreement, or that relate to the activities of Avnet or the Avnet Group (the “Works”) shall remain or become the exclusive property of Avnet. This exclusivity implies but is not limited to the transfer and assignment of all intellectual and other proprietary rights in the Works to Avnet.</w:t>
      </w:r>
    </w:p>
    <w:p>
      <w:pPr>
        <w:spacing w:after="0" w:line="155" w:lineRule="exact"/>
        <w:rPr>
          <w:sz w:val="20"/>
          <w:szCs w:val="20"/>
          <w:color w:val="auto"/>
        </w:rPr>
      </w:pPr>
    </w:p>
    <w:p>
      <w:pPr>
        <w:jc w:val="both"/>
        <w:ind w:left="160" w:right="139"/>
        <w:spacing w:after="0" w:line="233" w:lineRule="auto"/>
        <w:rPr>
          <w:sz w:val="20"/>
          <w:szCs w:val="20"/>
          <w:color w:val="auto"/>
        </w:rPr>
      </w:pPr>
      <w:r>
        <w:rPr>
          <w:rFonts w:ascii="Arial" w:cs="Arial" w:eastAsia="Arial" w:hAnsi="Arial"/>
          <w:sz w:val="19"/>
          <w:szCs w:val="19"/>
          <w:color w:val="auto"/>
        </w:rPr>
        <w:t>20.2. All intellectual and other proprietary rights in the Works (including but not limited to copyrights, trademark rights, rights on databases, rights on computer programs as well as patent rights) that have come into existence or will come into existence in the course of or in relation with the performance of this Agreement are immediately transferred and assigned to Avnet as from their coming into existence or, as from the execution of this Agreement for rights already in existence at the time of contracting.</w:t>
      </w:r>
    </w:p>
    <w:p>
      <w:pPr>
        <w:spacing w:after="0" w:line="155"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8"/>
          <w:szCs w:val="18"/>
          <w:color w:val="auto"/>
        </w:rPr>
        <w:t>20.3. The transfer and assignment of these intellectual and other proprietary rights in the Works includes, but is not limited to the transfer and assignment of the right to reproduce, modify, translate, adapt, use to make derivative works, distribute, rent, lend and/or communicate the Works to the public, partially or completely, in each and any way, for internal (including but not limited to research and development) and external use. The transfer and assignment is valid for all countries, in the most extensive way possible as permitted by law, without limitation in time other than the legal duration of validity of these rights and without further payment than the Total Compensation as provided for performing this Agreement.</w:t>
      </w:r>
    </w:p>
    <w:p>
      <w:pPr>
        <w:spacing w:after="0" w:line="154"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20"/>
          <w:szCs w:val="20"/>
          <w:color w:val="auto"/>
        </w:rPr>
        <w:t>20.4. Mr. Zammit undertakes to fully inform Avnet, upon first demand of Avnet, that he has created, designed, developed or produced certain Works. Mr. Zammit undertakes to fully communicate all information and know-how in relation to the Works to Avnet, and this immediately upon the creation, design, development or production of the Works.</w:t>
      </w:r>
    </w:p>
    <w:p>
      <w:pPr>
        <w:spacing w:after="0" w:line="158"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20.5. Should Avnet decide, without having any obligations whatsoever, to file for any registered intellectual property rights in relation to a Work, Mr. Zammit undertakes, upon first demand of Avnet,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116840</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jc w:val="both"/>
        <w:ind w:left="160" w:right="139"/>
        <w:spacing w:after="0" w:line="221" w:lineRule="auto"/>
        <w:rPr>
          <w:sz w:val="20"/>
          <w:szCs w:val="20"/>
          <w:color w:val="auto"/>
        </w:rPr>
      </w:pPr>
      <w:r>
        <w:rPr>
          <w:rFonts w:ascii="Arial" w:cs="Arial" w:eastAsia="Arial" w:hAnsi="Arial"/>
          <w:sz w:val="20"/>
          <w:szCs w:val="20"/>
          <w:color w:val="auto"/>
        </w:rPr>
        <w:t>upon expenses borne by Avnet, to provide all necessary or useful cooperation and to provide and sign all documents in order to permit, facilitate or accelerate any application for any registered intellectual property right. Mr. Zammit undertakes not to apply for any registered intellectual property right nor to ask a third party to apply for a registered intellectual property right related to the Works without the written express authorization of Avnet.</w:t>
      </w:r>
    </w:p>
    <w:p>
      <w:pPr>
        <w:spacing w:after="0" w:line="158"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18"/>
          <w:szCs w:val="18"/>
          <w:color w:val="auto"/>
        </w:rPr>
        <w:t>20.6. Avnet has the exclusive right to decide, when and how, to exploit the Works. Works that have not been exploited remain the exclusive property of Avnet. Avnet can adapt and modify the Works as it deems appropriate in order to exploit the Works. Mr. Zammit agrees not to oppose the adaptation or the modification of the Works. Mr. Zammit agrees that Avnet may exploit the Works without mentioning Mr. Zammit’s name.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21 – Nullity</w:t>
      </w:r>
    </w:p>
    <w:p>
      <w:pPr>
        <w:spacing w:after="0" w:line="168" w:lineRule="exact"/>
        <w:rPr>
          <w:sz w:val="20"/>
          <w:szCs w:val="20"/>
          <w:color w:val="auto"/>
        </w:rPr>
      </w:pPr>
    </w:p>
    <w:p>
      <w:pPr>
        <w:jc w:val="both"/>
        <w:ind w:left="160" w:right="159"/>
        <w:spacing w:after="0" w:line="236" w:lineRule="auto"/>
        <w:rPr>
          <w:sz w:val="20"/>
          <w:szCs w:val="20"/>
          <w:color w:val="auto"/>
        </w:rPr>
      </w:pPr>
      <w:r>
        <w:rPr>
          <w:rFonts w:ascii="Arial" w:cs="Arial" w:eastAsia="Arial" w:hAnsi="Arial"/>
          <w:sz w:val="20"/>
          <w:szCs w:val="20"/>
          <w:color w:val="auto"/>
        </w:rPr>
        <w:t>If one or several provisions of the Agreement are held to be void in whole or in part, the remaining provisions will not be affected by the nullity and will consequently continue to be valid.</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22 – Previous agreements</w:t>
      </w:r>
    </w:p>
    <w:p>
      <w:pPr>
        <w:spacing w:after="0" w:line="181"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The present agreement cancels and replaces all previous contracts, agreements, arrangements that might have been previously concluded, verbally or by written, between Mr. Zammit and the Avnet Group with the same subject.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23 – Miscellaneous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23.1. Any amendment to this agreement has to be agreed upon in writing by the Parties.</w:t>
      </w:r>
    </w:p>
    <w:p>
      <w:pPr>
        <w:spacing w:after="0" w:line="175"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20"/>
          <w:szCs w:val="20"/>
          <w:color w:val="auto"/>
        </w:rPr>
        <w:t>23.2. Any notification shall be made at the residence or at the registered offices of the Parties as above-mentioned unless the modification of the residence or the registered offices has been previously communicated in writing to the other Party in accordance with this provision.</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24 – Applicable law and arbitration</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24.1. The present agreement is governed by Belgian law.</w:t>
      </w:r>
    </w:p>
    <w:p>
      <w:pPr>
        <w:spacing w:after="0" w:line="175"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20"/>
          <w:szCs w:val="20"/>
          <w:color w:val="auto"/>
        </w:rPr>
        <w:t>24.2. In case of any dispute in connection with the conclusion, the existence, the validity, the interpretation, the execution and/or the termination of the Agreement, the Parties will endeavor to settle the dispute by amicable agreement. Failing that, the dispute shall be exclusively and finally settled under the Belgian Center for Arbitration and Mediation Rules of Arbitration (CEPANI) by three arbitrators appointed in accordance with those rules. The language of the procedure shall be [French/Dutch] and the place of arbitration shall be Brussels.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25 – Elimination of Avnet Europe Executive BVBA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262890</wp:posOffset>
            </wp:positionV>
            <wp:extent cx="55486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jc w:val="both"/>
        <w:ind w:left="160" w:right="139"/>
        <w:spacing w:after="0" w:line="206" w:lineRule="auto"/>
        <w:rPr>
          <w:sz w:val="20"/>
          <w:szCs w:val="20"/>
          <w:color w:val="auto"/>
        </w:rPr>
      </w:pPr>
      <w:r>
        <w:rPr>
          <w:rFonts w:ascii="Arial" w:cs="Arial" w:eastAsia="Arial" w:hAnsi="Arial"/>
          <w:sz w:val="20"/>
          <w:szCs w:val="20"/>
          <w:color w:val="auto"/>
        </w:rPr>
        <w:t>In the event the management structure of the Avnet Group is modified without elimination of Mr. Zammit’s position, but with the effect that Avnet Europe Executive BVBA ceases to exist or operate, Mr. Zammit shall have the right to be re-employed by another Avnet Group company in the same or a similar position, provided Mr. Zammit consents, without additional claims, to the transfer of his employment agreement to another Avnet Group company, providing for a remuneration package globally equivalent to Mr. Zammit’s remuneration package before such transfer, and providing for the taking-over of his accrued length of service within the Avnet Group.</w:t>
      </w:r>
    </w:p>
    <w:p>
      <w:pPr>
        <w:spacing w:after="0" w:line="126" w:lineRule="exact"/>
        <w:rPr>
          <w:sz w:val="20"/>
          <w:szCs w:val="20"/>
          <w:color w:val="auto"/>
        </w:rPr>
      </w:pPr>
    </w:p>
    <w:p>
      <w:pPr>
        <w:jc w:val="both"/>
        <w:ind w:left="160" w:right="139"/>
        <w:spacing w:after="0" w:line="220" w:lineRule="auto"/>
        <w:rPr>
          <w:sz w:val="20"/>
          <w:szCs w:val="20"/>
          <w:color w:val="auto"/>
        </w:rPr>
      </w:pPr>
      <w:r>
        <w:rPr>
          <w:rFonts w:ascii="Arial" w:cs="Arial" w:eastAsia="Arial" w:hAnsi="Arial"/>
          <w:sz w:val="20"/>
          <w:szCs w:val="20"/>
          <w:b w:val="1"/>
          <w:bCs w:val="1"/>
          <w:color w:val="auto"/>
        </w:rPr>
        <w:t>The present agreement, including the annex, contains 13 pages. It was made in two original copies in Diegem, on October 1, 2015, both Parties acknowledging receipt of one original copy duly signed by the other party.</w:t>
      </w: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/s/ Dirk De Vos</w:t>
      </w:r>
      <w:r>
        <w:rPr>
          <w:rFonts w:ascii="Arial" w:cs="Arial" w:eastAsia="Arial" w:hAnsi="Arial"/>
          <w:sz w:val="20"/>
          <w:szCs w:val="20"/>
          <w:color w:val="auto"/>
        </w:rPr>
        <w:t xml:space="preserve"> “Read and approved”</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Dirk De Vos</w:t>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/s/ Jan Hermans</w:t>
      </w:r>
      <w:r>
        <w:rPr>
          <w:rFonts w:ascii="Arial" w:cs="Arial" w:eastAsia="Arial" w:hAnsi="Arial"/>
          <w:sz w:val="20"/>
          <w:szCs w:val="20"/>
          <w:color w:val="auto"/>
        </w:rPr>
        <w:t xml:space="preserve"> “Read and approved”</w:t>
      </w:r>
    </w:p>
    <w:p>
      <w:pPr>
        <w:ind w:left="160"/>
        <w:spacing w:after="0" w:line="211" w:lineRule="auto"/>
        <w:rPr>
          <w:sz w:val="20"/>
          <w:szCs w:val="20"/>
          <w:color w:val="auto"/>
        </w:rPr>
      </w:pPr>
      <w:r>
        <w:rPr>
          <w:rFonts w:ascii="Arial" w:cs="Arial" w:eastAsia="Arial" w:hAnsi="Arial"/>
          <w:sz w:val="20"/>
          <w:szCs w:val="20"/>
          <w:color w:val="auto"/>
        </w:rPr>
        <w:t>For Avnet,</w:t>
      </w:r>
    </w:p>
    <w:p>
      <w:pPr>
        <w:ind w:left="160"/>
        <w:spacing w:after="0"/>
        <w:rPr>
          <w:sz w:val="20"/>
          <w:szCs w:val="20"/>
          <w:color w:val="auto"/>
        </w:rPr>
      </w:pPr>
      <w:r>
        <w:rPr>
          <w:rFonts w:ascii="Arial" w:cs="Arial" w:eastAsia="Arial" w:hAnsi="Arial"/>
          <w:sz w:val="20"/>
          <w:szCs w:val="20"/>
          <w:color w:val="auto"/>
        </w:rPr>
        <w:t>Jan Hermans</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/s/ Patrick Zammit</w:t>
      </w:r>
      <w:r>
        <w:rPr>
          <w:rFonts w:ascii="Arial" w:cs="Arial" w:eastAsia="Arial" w:hAnsi="Arial"/>
          <w:sz w:val="20"/>
          <w:szCs w:val="20"/>
          <w:color w:val="auto"/>
        </w:rPr>
        <w:t xml:space="preserve"> “Read and approved”</w:t>
      </w:r>
    </w:p>
    <w:p>
      <w:pPr>
        <w:ind w:left="160"/>
        <w:spacing w:after="0"/>
        <w:rPr>
          <w:sz w:val="20"/>
          <w:szCs w:val="20"/>
          <w:color w:val="auto"/>
        </w:rPr>
      </w:pPr>
      <w:r>
        <w:rPr>
          <w:rFonts w:ascii="Arial" w:cs="Arial" w:eastAsia="Arial" w:hAnsi="Arial"/>
          <w:sz w:val="20"/>
          <w:szCs w:val="20"/>
          <w:color w:val="auto"/>
        </w:rPr>
        <w:t>Mr. Zammit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128905</wp:posOffset>
            </wp:positionV>
            <wp:extent cx="554863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tbl>
      <w:tblPr>
        <w:tblLayout w:type="fixed"/>
        <w:tblInd w:w="150" w:type="dxa"/>
        <w:tblCellMar>
          <w:top w:w="0" w:type="dxa"/>
          <w:left w:w="0" w:type="dxa"/>
          <w:bottom w:w="0" w:type="dxa"/>
          <w:right w:w="0" w:type="dxa"/>
        </w:tblCellMar>
      </w:tblPr>
      <w:tr>
        <w:trPr>
          <w:trHeight w:val="252"/>
        </w:trPr>
        <w:tc>
          <w:tcPr>
            <w:tcW w:w="2960" w:type="dxa"/>
            <w:vAlign w:val="bottom"/>
          </w:tcPr>
          <w:p>
            <w:pPr>
              <w:spacing w:after="0"/>
              <w:rPr>
                <w:sz w:val="21"/>
                <w:szCs w:val="21"/>
                <w:color w:val="auto"/>
              </w:rPr>
            </w:pPr>
          </w:p>
        </w:tc>
        <w:tc>
          <w:tcPr>
            <w:tcW w:w="5780" w:type="dxa"/>
            <w:vAlign w:val="bottom"/>
            <w:gridSpan w:val="2"/>
          </w:tcPr>
          <w:p>
            <w:pPr>
              <w:ind w:left="400"/>
              <w:spacing w:after="0"/>
              <w:rPr>
                <w:sz w:val="20"/>
                <w:szCs w:val="20"/>
                <w:color w:val="auto"/>
              </w:rPr>
            </w:pPr>
            <w:r>
              <w:rPr>
                <w:rFonts w:ascii="Arial" w:cs="Arial" w:eastAsia="Arial" w:hAnsi="Arial"/>
                <w:sz w:val="20"/>
                <w:szCs w:val="20"/>
                <w:color w:val="auto"/>
              </w:rPr>
              <w:t>BIJLAGE A / ANNEX A</w:t>
            </w:r>
          </w:p>
        </w:tc>
      </w:tr>
      <w:tr>
        <w:trPr>
          <w:trHeight w:val="469"/>
        </w:trPr>
        <w:tc>
          <w:tcPr>
            <w:tcW w:w="2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244"/>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Australië</w:t>
            </w:r>
          </w:p>
        </w:tc>
        <w:tc>
          <w:tcPr>
            <w:tcW w:w="142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Australia</w:t>
            </w:r>
          </w:p>
        </w:tc>
      </w:tr>
      <w:tr>
        <w:trPr>
          <w:trHeight w:val="32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Oostenrijk</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Austria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België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Belgium</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Brazilië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Brazil</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Canada</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Canada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China</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China</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Tsjechië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Czech Republic</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Denemarken</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Denmark</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Frankrijk</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France</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Duitsland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Germany</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Hong Kong</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Hong Kong</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Hongarije</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Hungary</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Indië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India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Indonesië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Indonesia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Ierland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Ireland</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Israël</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Israel</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Italië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Italy</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Maleisië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Malaysia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Mexico</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Mexico</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Nederland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Netherlands</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Polen</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Poland</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Roemenië</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Romania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Rusland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Russian Federation</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Singapore</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Singapore</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Zuid-Afrika</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South Africa</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Zuid-Korea</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South Korea</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Spanje</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Spain</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Zweden</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Sweden</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Zwitserland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Switzerland</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Taiwan</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Taiwan</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Thailand</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Thailand</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Turkije</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Turkey</w:t>
            </w:r>
          </w:p>
        </w:tc>
      </w:tr>
      <w:tr>
        <w:trPr>
          <w:trHeight w:val="338"/>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Verenigde Arabische Emiraten</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United Arab Emirates</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Verenigd Koninkrijk</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United Kingdom</w:t>
            </w:r>
          </w:p>
        </w:tc>
      </w:tr>
      <w:tr>
        <w:trPr>
          <w:trHeight w:val="351"/>
        </w:trPr>
        <w:tc>
          <w:tcPr>
            <w:tcW w:w="296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Verenigde Staten van Amerika</w:t>
            </w:r>
          </w:p>
        </w:tc>
        <w:tc>
          <w:tcPr>
            <w:tcW w:w="142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United States</w:t>
            </w:r>
          </w:p>
        </w:tc>
      </w:tr>
      <w:tr>
        <w:trPr>
          <w:trHeight w:val="118"/>
        </w:trPr>
        <w:tc>
          <w:tcPr>
            <w:tcW w:w="2960" w:type="dxa"/>
            <w:vAlign w:val="bottom"/>
            <w:tcBorders>
              <w:left w:val="single" w:sz="8" w:color="auto"/>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r>
      <w:tr>
        <w:trPr>
          <w:trHeight w:val="784"/>
        </w:trPr>
        <w:tc>
          <w:tcPr>
            <w:tcW w:w="2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2016</w:t>
      </w: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66122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2016</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2, 2016 (the “Report”), I, Richard Hamada, Chief Executive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2016</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Richard Hamada</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2, 2016 (the “Report”), I, Kevin Moriarty, Chief Financial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2016</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3"/>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4"/>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2019-12-29T15:27:30Z</dcterms:created>
  <dcterms:modified xsi:type="dcterms:W3CDTF">2019-12-29T15:27:30Z</dcterms:modified>
</cp:coreProperties>
</file>