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1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5"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8"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29, 2014</w:t>
      </w:r>
    </w:p>
    <w:p>
      <w:pPr>
        <w:spacing w:after="0" w:line="2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AVNET,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Incorporated in New York</w:t>
      </w:r>
    </w:p>
    <w:p>
      <w:pPr>
        <w:spacing w:after="0" w:line="7" w:lineRule="exact"/>
        <w:rPr>
          <w:sz w:val="24"/>
          <w:szCs w:val="24"/>
          <w:color w:val="auto"/>
        </w:rPr>
      </w:pPr>
    </w:p>
    <w:p>
      <w:pPr>
        <w:ind w:left="4520"/>
        <w:spacing w:after="0"/>
        <w:rPr>
          <w:sz w:val="20"/>
          <w:szCs w:val="20"/>
          <w:color w:val="auto"/>
        </w:rPr>
      </w:pPr>
      <w:r>
        <w:rPr>
          <w:rFonts w:ascii="Arial" w:cs="Arial" w:eastAsia="Arial" w:hAnsi="Arial"/>
          <w:sz w:val="22"/>
          <w:szCs w:val="22"/>
          <w:b w:val="1"/>
          <w:bCs w:val="1"/>
          <w:color w:val="auto"/>
        </w:rPr>
        <w:t>______________________</w:t>
      </w:r>
    </w:p>
    <w:p>
      <w:pPr>
        <w:spacing w:after="0" w:line="165"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IRS Employer Identification No. 11-1890605</w:t>
      </w:r>
    </w:p>
    <w:p>
      <w:pPr>
        <w:spacing w:after="0" w:line="129" w:lineRule="exact"/>
        <w:rPr>
          <w:sz w:val="24"/>
          <w:szCs w:val="24"/>
          <w:color w:val="auto"/>
        </w:rPr>
      </w:pPr>
    </w:p>
    <w:p>
      <w:pPr>
        <w:ind w:left="3980"/>
        <w:spacing w:after="0"/>
        <w:rPr>
          <w:sz w:val="20"/>
          <w:szCs w:val="20"/>
          <w:color w:val="auto"/>
        </w:rPr>
      </w:pPr>
      <w:r>
        <w:rPr>
          <w:rFonts w:ascii="Arial" w:cs="Arial" w:eastAsia="Arial" w:hAnsi="Arial"/>
          <w:sz w:val="18"/>
          <w:szCs w:val="18"/>
          <w:color w:val="auto"/>
        </w:rPr>
        <w:t>2211 South 47</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Phoenix, Arizona 85034</w:t>
      </w:r>
    </w:p>
    <w:p>
      <w:pPr>
        <w:jc w:val="center"/>
        <w:spacing w:after="0"/>
        <w:rPr>
          <w:sz w:val="20"/>
          <w:szCs w:val="20"/>
          <w:color w:val="auto"/>
        </w:rPr>
      </w:pPr>
      <w:r>
        <w:rPr>
          <w:rFonts w:ascii="Arial" w:cs="Arial" w:eastAsia="Arial" w:hAnsi="Arial"/>
          <w:sz w:val="18"/>
          <w:szCs w:val="18"/>
          <w:color w:val="auto"/>
        </w:rPr>
        <w:t>(480) 643-2000</w:t>
      </w:r>
    </w:p>
    <w:p>
      <w:pPr>
        <w:spacing w:after="0" w:line="169"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43" w:lineRule="exact"/>
        <w:rPr>
          <w:sz w:val="24"/>
          <w:szCs w:val="24"/>
          <w:color w:val="auto"/>
        </w:rPr>
      </w:pPr>
    </w:p>
    <w:p>
      <w:pPr>
        <w:jc w:val="both"/>
        <w:ind w:firstLine="43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pacing w:after="0" w:line="37" w:lineRule="exact"/>
        <w:rPr>
          <w:sz w:val="24"/>
          <w:szCs w:val="24"/>
          <w:color w:val="auto"/>
        </w:rPr>
      </w:pPr>
    </w:p>
    <w:p>
      <w:pPr>
        <w:ind w:left="2960" w:right="380" w:hanging="4620"/>
        <w:spacing w:after="0" w:line="251" w:lineRule="exact"/>
        <w:tabs>
          <w:tab w:leader="none" w:pos="29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 Non-accelerated filer o Smaller Reporting Company o (Do not check if a smaller reporting company)</w:t>
      </w:r>
    </w:p>
    <w:p>
      <w:pPr>
        <w:spacing w:after="0" w:line="189" w:lineRule="exact"/>
        <w:rPr>
          <w:sz w:val="24"/>
          <w:szCs w:val="24"/>
          <w:color w:val="auto"/>
        </w:rPr>
      </w:pPr>
    </w:p>
    <w:p>
      <w:pPr>
        <w:ind w:left="4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217" w:lineRule="exact"/>
        <w:rPr>
          <w:sz w:val="24"/>
          <w:szCs w:val="24"/>
          <w:color w:val="auto"/>
        </w:rPr>
      </w:pPr>
    </w:p>
    <w:p>
      <w:pPr>
        <w:ind w:left="440"/>
        <w:spacing w:after="0"/>
        <w:rPr>
          <w:sz w:val="20"/>
          <w:szCs w:val="20"/>
          <w:color w:val="auto"/>
        </w:rPr>
      </w:pPr>
      <w:r>
        <w:rPr>
          <w:rFonts w:ascii="Arial" w:cs="Arial" w:eastAsia="Arial" w:hAnsi="Arial"/>
          <w:sz w:val="17"/>
          <w:szCs w:val="17"/>
          <w:color w:val="auto"/>
        </w:rPr>
        <w:t>As of April 18, 2014, the total number of shares outstanding of the registrant’s Common Stock was 138,399,637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107950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21" w:right="2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000" w:type="dxa"/>
            <w:vAlign w:val="bottom"/>
            <w:gridSpan w:val="4"/>
          </w:tcPr>
          <w:p>
            <w:pPr>
              <w:ind w:left="16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140" w:type="dxa"/>
            <w:vAlign w:val="bottom"/>
            <w:gridSpan w:val="9"/>
            <w:vMerge w:val="restart"/>
          </w:tcPr>
          <w:p>
            <w:pPr>
              <w:jc w:val="center"/>
              <w:ind w:right="3080"/>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140" w:type="dxa"/>
            <w:vAlign w:val="bottom"/>
            <w:gridSpan w:val="9"/>
            <w:vMerge w:val="continue"/>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0"/>
        </w:trPr>
        <w:tc>
          <w:tcPr>
            <w:tcW w:w="2060" w:type="dxa"/>
            <w:vAlign w:val="bottom"/>
            <w:tcBorders>
              <w:bottom w:val="single" w:sz="8" w:color="0000FF"/>
            </w:tcBorders>
            <w:gridSpan w:val="8"/>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Item 1. Financial Statements</w:t>
              </w:r>
            </w:hyperlink>
          </w:p>
        </w:tc>
        <w:tc>
          <w:tcPr>
            <w:tcW w:w="1980" w:type="dxa"/>
            <w:vAlign w:val="bottom"/>
            <w:gridSpan w:val="4"/>
          </w:tcPr>
          <w:p>
            <w:pPr>
              <w:spacing w:after="0"/>
              <w:rPr>
                <w:sz w:val="24"/>
                <w:szCs w:val="24"/>
                <w:color w:val="auto"/>
              </w:rPr>
            </w:pPr>
          </w:p>
        </w:tc>
        <w:tc>
          <w:tcPr>
            <w:tcW w:w="3060" w:type="dxa"/>
            <w:vAlign w:val="bottom"/>
            <w:tcBorders>
              <w:top w:val="single" w:sz="8" w:color="0000FF"/>
            </w:tcBorders>
            <w:gridSpan w:val="6"/>
          </w:tcPr>
          <w:p>
            <w:pPr>
              <w:spacing w:after="0"/>
              <w:rPr>
                <w:sz w:val="24"/>
                <w:szCs w:val="24"/>
                <w:color w:val="auto"/>
              </w:rPr>
            </w:pPr>
          </w:p>
        </w:tc>
        <w:tc>
          <w:tcPr>
            <w:tcW w:w="308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4820" w:type="dxa"/>
            <w:vAlign w:val="bottom"/>
            <w:tcBorders>
              <w:bottom w:val="single" w:sz="8" w:color="0000FF"/>
            </w:tcBorders>
            <w:gridSpan w:val="14"/>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 at March 29, 2014 and June 29, 2013</w:t>
              </w:r>
            </w:hyperlink>
          </w:p>
        </w:tc>
        <w:tc>
          <w:tcPr>
            <w:tcW w:w="5020" w:type="dxa"/>
            <w:vAlign w:val="bottom"/>
            <w:gridSpan w:val="6"/>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Statements of Operations for the third quarters and nine months ended</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6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r>
              <w:rPr>
                <w:rFonts w:ascii="Arial" w:cs="Arial" w:eastAsia="Arial" w:hAnsi="Arial"/>
                <w:sz w:val="18"/>
                <w:szCs w:val="18"/>
                <w:color w:val="0000FF"/>
                <w:w w:val="90"/>
              </w:rPr>
              <w:t xml:space="preserve">March 29, 2014 </w:t>
            </w:r>
            <w:hyperlink w:anchor="page3">
              <w:r>
                <w:rPr>
                  <w:rFonts w:ascii="Arial" w:cs="Arial" w:eastAsia="Arial" w:hAnsi="Arial"/>
                  <w:sz w:val="18"/>
                  <w:szCs w:val="18"/>
                  <w:color w:val="0000FF"/>
                  <w:w w:val="90"/>
                </w:rPr>
                <w:t xml:space="preserve">and </w:t>
              </w:r>
            </w:hyperlink>
            <w:r>
              <w:rPr>
                <w:rFonts w:ascii="Arial" w:cs="Arial" w:eastAsia="Arial" w:hAnsi="Arial"/>
                <w:sz w:val="18"/>
                <w:szCs w:val="18"/>
                <w:color w:val="0000FF"/>
                <w:w w:val="90"/>
              </w:rPr>
              <w:t>March 30, 2013</w:t>
            </w:r>
          </w:p>
        </w:tc>
        <w:tc>
          <w:tcPr>
            <w:tcW w:w="3080" w:type="dxa"/>
            <w:vAlign w:val="bottom"/>
            <w:tcBorders>
              <w:top w:val="single" w:sz="8" w:color="0000FF"/>
            </w:tcBorders>
            <w:gridSpan w:val="6"/>
          </w:tcPr>
          <w:p>
            <w:pPr>
              <w:spacing w:after="0"/>
              <w:rPr>
                <w:sz w:val="17"/>
                <w:szCs w:val="17"/>
                <w:color w:val="auto"/>
              </w:rPr>
            </w:pPr>
          </w:p>
        </w:tc>
        <w:tc>
          <w:tcPr>
            <w:tcW w:w="3780" w:type="dxa"/>
            <w:vAlign w:val="bottom"/>
            <w:gridSpan w:val="5"/>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34"/>
        </w:trPr>
        <w:tc>
          <w:tcPr>
            <w:tcW w:w="3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Statements of Comprehensive Income for the third quarters and nine months ended</w:t>
              </w:r>
            </w:hyperlink>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64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90"/>
              </w:rPr>
            </w:pPr>
            <w:r>
              <w:rPr>
                <w:rFonts w:ascii="Arial" w:cs="Arial" w:eastAsia="Arial" w:hAnsi="Arial"/>
                <w:sz w:val="18"/>
                <w:szCs w:val="18"/>
                <w:color w:val="0000FF"/>
                <w:w w:val="90"/>
              </w:rPr>
              <w:t xml:space="preserve">March 29, 2014 </w:t>
            </w:r>
            <w:hyperlink w:anchor="page4">
              <w:r>
                <w:rPr>
                  <w:rFonts w:ascii="Arial" w:cs="Arial" w:eastAsia="Arial" w:hAnsi="Arial"/>
                  <w:sz w:val="18"/>
                  <w:szCs w:val="18"/>
                  <w:color w:val="0000FF"/>
                  <w:w w:val="90"/>
                </w:rPr>
                <w:t xml:space="preserve">and </w:t>
              </w:r>
            </w:hyperlink>
            <w:r>
              <w:rPr>
                <w:rFonts w:ascii="Arial" w:cs="Arial" w:eastAsia="Arial" w:hAnsi="Arial"/>
                <w:sz w:val="18"/>
                <w:szCs w:val="18"/>
                <w:color w:val="0000FF"/>
                <w:w w:val="90"/>
              </w:rPr>
              <w:t>March 30, 2013</w:t>
            </w:r>
          </w:p>
        </w:tc>
        <w:tc>
          <w:tcPr>
            <w:tcW w:w="4000" w:type="dxa"/>
            <w:vAlign w:val="bottom"/>
            <w:tcBorders>
              <w:top w:val="single" w:sz="8" w:color="0000FF"/>
            </w:tcBorders>
            <w:gridSpan w:val="9"/>
          </w:tcPr>
          <w:p>
            <w:pPr>
              <w:spacing w:after="0"/>
              <w:rPr>
                <w:sz w:val="17"/>
                <w:szCs w:val="17"/>
                <w:color w:val="auto"/>
              </w:rPr>
            </w:pPr>
          </w:p>
        </w:tc>
        <w:tc>
          <w:tcPr>
            <w:tcW w:w="2860" w:type="dxa"/>
            <w:vAlign w:val="bottom"/>
            <w:gridSpan w:val="2"/>
          </w:tcPr>
          <w:p>
            <w:pPr>
              <w:spacing w:after="0"/>
              <w:rPr>
                <w:sz w:val="17"/>
                <w:szCs w:val="17"/>
                <w:color w:val="auto"/>
              </w:rPr>
            </w:pPr>
          </w:p>
        </w:tc>
        <w:tc>
          <w:tcPr>
            <w:tcW w:w="880" w:type="dxa"/>
            <w:vAlign w:val="bottom"/>
            <w:gridSpan w:val="2"/>
          </w:tcPr>
          <w:p>
            <w:pPr>
              <w:spacing w:after="0"/>
              <w:rPr>
                <w:sz w:val="17"/>
                <w:szCs w:val="17"/>
                <w:color w:val="auto"/>
              </w:rPr>
            </w:pPr>
          </w:p>
        </w:tc>
        <w:tc>
          <w:tcPr>
            <w:tcW w:w="100" w:type="dxa"/>
            <w:vAlign w:val="bottom"/>
            <w:tcBorders>
              <w:bottom w:val="single" w:sz="8" w:color="0000FF"/>
            </w:tcBorders>
          </w:tcPr>
          <w:p>
            <w:pPr>
              <w:jc w:val="right"/>
              <w:spacing w:after="0" w:line="19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5</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9840" w:type="dxa"/>
            <w:vAlign w:val="bottom"/>
            <w:gridSpan w:val="20"/>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Consolidated Statements of Cash Flows for the nine months ended March 29, 2014 and </w:t>
              </w:r>
            </w:hyperlink>
            <w:r>
              <w:rPr>
                <w:rFonts w:ascii="Arial" w:cs="Arial" w:eastAsia="Arial" w:hAnsi="Arial"/>
                <w:sz w:val="18"/>
                <w:szCs w:val="18"/>
                <w:color w:val="0000FF"/>
              </w:rPr>
              <w:t>March 30, 2013</w:t>
            </w:r>
          </w:p>
        </w:tc>
        <w:tc>
          <w:tcPr>
            <w:tcW w:w="100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520"/>
        </w:trPr>
        <w:tc>
          <w:tcPr>
            <w:tcW w:w="340" w:type="dxa"/>
            <w:vAlign w:val="bottom"/>
          </w:tcPr>
          <w:p>
            <w:pPr>
              <w:spacing w:after="0"/>
              <w:rPr>
                <w:sz w:val="24"/>
                <w:szCs w:val="24"/>
                <w:color w:val="auto"/>
              </w:rPr>
            </w:pPr>
          </w:p>
        </w:tc>
        <w:tc>
          <w:tcPr>
            <w:tcW w:w="7480" w:type="dxa"/>
            <w:vAlign w:val="bottom"/>
            <w:tcBorders>
              <w:top w:val="single" w:sz="8" w:color="0000FF"/>
            </w:tcBorders>
            <w:gridSpan w:val="19"/>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2360" w:type="dxa"/>
            <w:vAlign w:val="bottom"/>
          </w:tcPr>
          <w:p>
            <w:pPr>
              <w:spacing w:after="0"/>
              <w:rPr>
                <w:sz w:val="24"/>
                <w:szCs w:val="24"/>
                <w:color w:val="auto"/>
              </w:rPr>
            </w:pPr>
          </w:p>
        </w:tc>
        <w:tc>
          <w:tcPr>
            <w:tcW w:w="88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7</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7000" w:type="dxa"/>
            <w:vAlign w:val="bottom"/>
            <w:gridSpan w:val="17"/>
          </w:tcPr>
          <w:p>
            <w:pPr>
              <w:spacing w:after="0"/>
              <w:rPr>
                <w:rFonts w:ascii="Arial" w:cs="Arial" w:eastAsia="Arial" w:hAnsi="Arial"/>
                <w:sz w:val="18"/>
                <w:szCs w:val="18"/>
                <w:color w:val="0000FF"/>
                <w:w w:val="90"/>
              </w:rPr>
            </w:pPr>
            <w:hyperlink w:anchor="page18">
              <w:r>
                <w:rPr>
                  <w:rFonts w:ascii="Arial" w:cs="Arial" w:eastAsia="Arial" w:hAnsi="Arial"/>
                  <w:sz w:val="18"/>
                  <w:szCs w:val="18"/>
                  <w:color w:val="0000FF"/>
                  <w:w w:val="90"/>
                </w:rPr>
                <w:t>Item 2. Management's Discussion and Analysis of Financial Condition and Results of Operations</w:t>
              </w:r>
            </w:hyperlink>
          </w:p>
        </w:tc>
        <w:tc>
          <w:tcPr>
            <w:tcW w:w="3180" w:type="dxa"/>
            <w:vAlign w:val="bottom"/>
            <w:gridSpan w:val="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18">
              <w:r>
                <w:rPr>
                  <w:rFonts w:ascii="Arial" w:cs="Arial" w:eastAsia="Arial" w:hAnsi="Arial"/>
                  <w:sz w:val="18"/>
                  <w:szCs w:val="18"/>
                  <w:color w:val="0000FF"/>
                </w:rPr>
                <w:t>19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4"/>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Item 3. Quantitative and Qualitative Disclosures About Market Risk</w:t>
              </w:r>
            </w:hyperlink>
          </w:p>
        </w:tc>
        <w:tc>
          <w:tcPr>
            <w:tcW w:w="2100" w:type="dxa"/>
            <w:vAlign w:val="bottom"/>
            <w:gridSpan w:val="3"/>
          </w:tcPr>
          <w:p>
            <w:pPr>
              <w:spacing w:after="0"/>
              <w:rPr>
                <w:sz w:val="24"/>
                <w:szCs w:val="24"/>
                <w:color w:val="auto"/>
              </w:rPr>
            </w:pPr>
          </w:p>
        </w:tc>
        <w:tc>
          <w:tcPr>
            <w:tcW w:w="3180" w:type="dxa"/>
            <w:vAlign w:val="bottom"/>
            <w:gridSpan w:val="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Borders>
              <w:left w:val="single" w:sz="8" w:color="0000FF"/>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Item 4. Controls and Procedures</w:t>
              </w:r>
            </w:hyperlink>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3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0" w:type="dxa"/>
            <w:vAlign w:val="bottom"/>
            <w:tcBorders>
              <w:bottom w:val="single" w:sz="8" w:color="0000FF"/>
            </w:tcBorders>
            <w:gridSpan w:val="4"/>
          </w:tcPr>
          <w:p>
            <w:pPr>
              <w:jc w:val="center"/>
              <w:ind w:right="40"/>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PART II. OTHER INFORMATION</w:t>
              </w:r>
            </w:hyperlink>
          </w:p>
        </w:tc>
        <w:tc>
          <w:tcPr>
            <w:tcW w:w="3180" w:type="dxa"/>
            <w:vAlign w:val="bottom"/>
            <w:gridSpan w:val="4"/>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0"/>
        </w:trPr>
        <w:tc>
          <w:tcPr>
            <w:tcW w:w="10180" w:type="dxa"/>
            <w:vAlign w:val="bottom"/>
            <w:gridSpan w:val="2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1. Legal Proceedings</w:t>
              </w:r>
            </w:hyperlink>
          </w:p>
        </w:tc>
        <w:tc>
          <w:tcPr>
            <w:tcW w:w="98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880" w:type="dxa"/>
            <w:vAlign w:val="bottom"/>
            <w:gridSpan w:val="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Item 1A. Risk Factors</w:t>
              </w:r>
            </w:hyperlink>
          </w:p>
        </w:tc>
        <w:tc>
          <w:tcPr>
            <w:tcW w:w="8300" w:type="dxa"/>
            <w:vAlign w:val="bottom"/>
            <w:gridSpan w:val="14"/>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30</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320" w:type="dxa"/>
            <w:vAlign w:val="bottom"/>
            <w:gridSpan w:val="8"/>
          </w:tcPr>
          <w:p>
            <w:pPr>
              <w:spacing w:after="0" w:line="20" w:lineRule="exact"/>
              <w:rPr>
                <w:sz w:val="1"/>
                <w:szCs w:val="1"/>
                <w:color w:val="auto"/>
              </w:rPr>
            </w:pPr>
          </w:p>
        </w:tc>
        <w:tc>
          <w:tcPr>
            <w:tcW w:w="5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4900" w:type="dxa"/>
            <w:vAlign w:val="bottom"/>
            <w:gridSpan w:val="14"/>
          </w:tcPr>
          <w:p>
            <w:pPr>
              <w:spacing w:after="0"/>
              <w:rPr>
                <w:rFonts w:ascii="Arial" w:cs="Arial" w:eastAsia="Arial" w:hAnsi="Arial"/>
                <w:sz w:val="18"/>
                <w:szCs w:val="18"/>
                <w:color w:val="0000FF"/>
                <w:w w:val="89"/>
              </w:rPr>
            </w:pPr>
            <w:hyperlink w:anchor="page31">
              <w:r>
                <w:rPr>
                  <w:rFonts w:ascii="Arial" w:cs="Arial" w:eastAsia="Arial" w:hAnsi="Arial"/>
                  <w:sz w:val="18"/>
                  <w:szCs w:val="18"/>
                  <w:color w:val="0000FF"/>
                  <w:w w:val="89"/>
                </w:rPr>
                <w:t>Item 2. Unregistered Sales of Equity Securities and Use of Proceeds</w:t>
              </w:r>
            </w:hyperlink>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5"/>
          </w:tcPr>
          <w:p>
            <w:pPr>
              <w:spacing w:after="0"/>
              <w:rPr>
                <w:rFonts w:ascii="Arial" w:cs="Arial" w:eastAsia="Arial" w:hAnsi="Arial"/>
                <w:sz w:val="18"/>
                <w:szCs w:val="18"/>
                <w:color w:val="0000FF"/>
                <w:w w:val="92"/>
              </w:rPr>
            </w:pPr>
            <w:hyperlink w:anchor="page31">
              <w:r>
                <w:rPr>
                  <w:rFonts w:ascii="Arial" w:cs="Arial" w:eastAsia="Arial" w:hAnsi="Arial"/>
                  <w:sz w:val="18"/>
                  <w:szCs w:val="18"/>
                  <w:color w:val="0000FF"/>
                  <w:w w:val="92"/>
                </w:rPr>
                <w:t>Item 6. Exhibits</w:t>
              </w:r>
            </w:hyperlink>
          </w:p>
        </w:tc>
        <w:tc>
          <w:tcPr>
            <w:tcW w:w="3740" w:type="dxa"/>
            <w:vAlign w:val="bottom"/>
            <w:gridSpan w:val="9"/>
          </w:tcPr>
          <w:p>
            <w:pPr>
              <w:spacing w:after="0"/>
              <w:rPr>
                <w:sz w:val="24"/>
                <w:szCs w:val="24"/>
                <w:color w:val="auto"/>
              </w:rPr>
            </w:pPr>
          </w:p>
        </w:tc>
        <w:tc>
          <w:tcPr>
            <w:tcW w:w="5280" w:type="dxa"/>
            <w:vAlign w:val="bottom"/>
            <w:gridSpan w:val="7"/>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31">
              <w:r>
                <w:rPr>
                  <w:rFonts w:ascii="Arial" w:cs="Arial" w:eastAsia="Arial" w:hAnsi="Arial"/>
                  <w:sz w:val="18"/>
                  <w:szCs w:val="18"/>
                  <w:color w:val="0000FF"/>
                </w:rPr>
                <w:t>32</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8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9020" w:type="dxa"/>
            <w:vAlign w:val="bottom"/>
            <w:gridSpan w:val="1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160" w:type="dxa"/>
            <w:vAlign w:val="bottom"/>
            <w:gridSpan w:val="5"/>
          </w:tcPr>
          <w:p>
            <w:pPr>
              <w:spacing w:after="0"/>
              <w:rPr>
                <w:rFonts w:ascii="Arial" w:cs="Arial" w:eastAsia="Arial" w:hAnsi="Arial"/>
                <w:sz w:val="18"/>
                <w:szCs w:val="18"/>
                <w:color w:val="0000FF"/>
                <w:w w:val="91"/>
              </w:rPr>
            </w:pPr>
            <w:hyperlink w:anchor="page32">
              <w:r>
                <w:rPr>
                  <w:rFonts w:ascii="Arial" w:cs="Arial" w:eastAsia="Arial" w:hAnsi="Arial"/>
                  <w:sz w:val="18"/>
                  <w:szCs w:val="18"/>
                  <w:color w:val="0000FF"/>
                  <w:w w:val="91"/>
                </w:rPr>
                <w:t>Signature Page</w:t>
              </w:r>
            </w:hyperlink>
          </w:p>
        </w:tc>
        <w:tc>
          <w:tcPr>
            <w:tcW w:w="9020" w:type="dxa"/>
            <w:vAlign w:val="bottom"/>
            <w:gridSpan w:val="16"/>
          </w:tcPr>
          <w:p>
            <w:pPr>
              <w:spacing w:after="0"/>
              <w:rPr>
                <w:sz w:val="24"/>
                <w:szCs w:val="24"/>
                <w:color w:val="auto"/>
              </w:rPr>
            </w:pPr>
          </w:p>
        </w:tc>
        <w:tc>
          <w:tcPr>
            <w:tcW w:w="980" w:type="dxa"/>
            <w:vAlign w:val="bottom"/>
            <w:gridSpan w:val="3"/>
          </w:tcPr>
          <w:p>
            <w:pPr>
              <w:jc w:val="right"/>
              <w:spacing w:after="0"/>
              <w:rPr>
                <w:rFonts w:ascii="Arial" w:cs="Arial" w:eastAsia="Arial" w:hAnsi="Arial"/>
                <w:sz w:val="18"/>
                <w:szCs w:val="18"/>
                <w:color w:val="0000FF"/>
              </w:rPr>
            </w:pPr>
            <w:hyperlink w:anchor="page32">
              <w:r>
                <w:rPr>
                  <w:rFonts w:ascii="Arial" w:cs="Arial" w:eastAsia="Arial" w:hAnsi="Arial"/>
                  <w:sz w:val="18"/>
                  <w:szCs w:val="18"/>
                  <w:color w:val="0000FF"/>
                </w:rPr>
                <w:t>33</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1080" w:type="dxa"/>
            <w:vAlign w:val="bottom"/>
            <w:tcBorders>
              <w:top w:val="single" w:sz="8" w:color="0000FF"/>
            </w:tcBorders>
            <w:gridSpan w:val="4"/>
          </w:tcPr>
          <w:p>
            <w:pPr>
              <w:spacing w:after="0"/>
              <w:rPr>
                <w:sz w:val="24"/>
                <w:szCs w:val="24"/>
                <w:color w:val="auto"/>
              </w:rPr>
            </w:pPr>
          </w:p>
        </w:tc>
        <w:tc>
          <w:tcPr>
            <w:tcW w:w="5320" w:type="dxa"/>
            <w:vAlign w:val="bottom"/>
            <w:gridSpan w:val="12"/>
          </w:tcPr>
          <w:p>
            <w:pPr>
              <w:jc w:val="center"/>
              <w:ind w:left="3570"/>
              <w:spacing w:after="0"/>
              <w:rPr>
                <w:sz w:val="20"/>
                <w:szCs w:val="20"/>
                <w:color w:val="auto"/>
              </w:rPr>
            </w:pPr>
            <w:r>
              <w:rPr>
                <w:rFonts w:ascii="Arial" w:cs="Arial" w:eastAsia="Arial" w:hAnsi="Arial"/>
                <w:sz w:val="18"/>
                <w:szCs w:val="18"/>
                <w:color w:val="auto"/>
                <w:w w:val="99"/>
              </w:rPr>
              <w:t>2</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80" w:top="540"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8"/>
              </w:rPr>
              <w:t>PART I</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98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rPr>
              <w:t>FINANCIAL INFORMATION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98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i w:val="1"/>
                <w:iCs w:val="1"/>
                <w:color w:val="auto"/>
              </w:rPr>
              <w:t>Financial Statements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9"/>
              </w:rPr>
              <w:t>AVNET, INC. AND SUBSIDIARIES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7360" w:type="dxa"/>
            <w:vAlign w:val="bottom"/>
          </w:tcPr>
          <w:p>
            <w:pPr>
              <w:jc w:val="center"/>
              <w:ind w:left="2030"/>
              <w:spacing w:after="0"/>
              <w:rPr>
                <w:sz w:val="20"/>
                <w:szCs w:val="20"/>
                <w:color w:val="auto"/>
              </w:rPr>
            </w:pPr>
            <w:r>
              <w:rPr>
                <w:rFonts w:ascii="Arial" w:cs="Arial" w:eastAsia="Arial" w:hAnsi="Arial"/>
                <w:sz w:val="18"/>
                <w:szCs w:val="18"/>
                <w:b w:val="1"/>
                <w:bCs w:val="1"/>
                <w:color w:val="auto"/>
                <w:w w:val="99"/>
              </w:rPr>
              <w:t>CONSOLIDATED BALANCE SHEETS</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jc w:val="center"/>
              <w:ind w:left="201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98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360" w:type="dxa"/>
            <w:vAlign w:val="bottom"/>
          </w:tcPr>
          <w:p>
            <w:pPr>
              <w:spacing w:after="0"/>
              <w:rPr>
                <w:sz w:val="24"/>
                <w:szCs w:val="24"/>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w w:val="91"/>
              </w:rPr>
              <w:t>June 29,</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98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(Thousands, except share</w:t>
            </w:r>
          </w:p>
        </w:tc>
        <w:tc>
          <w:tcPr>
            <w:tcW w:w="0" w:type="dxa"/>
            <w:vAlign w:val="bottom"/>
          </w:tcPr>
          <w:p>
            <w:pPr>
              <w:spacing w:after="0"/>
              <w:rPr>
                <w:sz w:val="1"/>
                <w:szCs w:val="1"/>
                <w:color w:val="auto"/>
              </w:rPr>
            </w:pPr>
          </w:p>
        </w:tc>
      </w:tr>
      <w:tr>
        <w:trPr>
          <w:trHeight w:val="234"/>
        </w:trPr>
        <w:tc>
          <w:tcPr>
            <w:tcW w:w="98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amounts)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736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w w:val="91"/>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1,009,343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Receivables, less allowances of $92,605 and $95,656, respectively</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4,983,890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4,868,973</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88"/>
              </w:rPr>
              <w:t>Inventories</w:t>
            </w:r>
          </w:p>
        </w:tc>
        <w:tc>
          <w:tcPr>
            <w:tcW w:w="7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2,510,352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2,264,341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199,054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214,221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8,653,445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8,356,878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522,321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492,606</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w:t>
            </w:r>
          </w:p>
        </w:tc>
        <w:tc>
          <w:tcPr>
            <w:tcW w:w="7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1,344,389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1,261,288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197,829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172,212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182,796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191,696</w:t>
            </w:r>
          </w:p>
        </w:tc>
        <w:tc>
          <w:tcPr>
            <w:tcW w:w="0" w:type="dxa"/>
            <w:vAlign w:val="bottom"/>
          </w:tcPr>
          <w:p>
            <w:pPr>
              <w:spacing w:after="0"/>
              <w:rPr>
                <w:sz w:val="1"/>
                <w:szCs w:val="1"/>
                <w:color w:val="auto"/>
              </w:rPr>
            </w:pPr>
          </w:p>
        </w:tc>
      </w:tr>
      <w:tr>
        <w:trPr>
          <w:trHeight w:val="297"/>
        </w:trPr>
        <w:tc>
          <w:tcPr>
            <w:tcW w:w="8340" w:type="dxa"/>
            <w:vAlign w:val="bottom"/>
            <w:tcBorders>
              <w:bottom w:val="single" w:sz="8" w:color="CCEEFF"/>
            </w:tcBorders>
            <w:gridSpan w:val="2"/>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10,900,780</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10,474,680</w:t>
            </w:r>
          </w:p>
        </w:tc>
        <w:tc>
          <w:tcPr>
            <w:tcW w:w="0" w:type="dxa"/>
            <w:vAlign w:val="bottom"/>
          </w:tcPr>
          <w:p>
            <w:pPr>
              <w:spacing w:after="0"/>
              <w:rPr>
                <w:sz w:val="1"/>
                <w:szCs w:val="1"/>
                <w:color w:val="auto"/>
              </w:rPr>
            </w:pPr>
          </w:p>
        </w:tc>
      </w:tr>
      <w:tr>
        <w:trPr>
          <w:trHeight w:val="237"/>
        </w:trPr>
        <w:tc>
          <w:tcPr>
            <w:tcW w:w="980" w:type="dxa"/>
            <w:vAlign w:val="bottom"/>
            <w:tcBorders>
              <w:bottom w:val="single" w:sz="8" w:color="CCEEFF"/>
            </w:tcBorders>
            <w:shd w:val="clear" w:color="auto" w:fill="CCEEFF"/>
          </w:tcPr>
          <w:p>
            <w:pPr>
              <w:spacing w:after="0"/>
              <w:rPr>
                <w:sz w:val="20"/>
                <w:szCs w:val="20"/>
                <w:color w:val="auto"/>
              </w:rPr>
            </w:pPr>
          </w:p>
        </w:tc>
        <w:tc>
          <w:tcPr>
            <w:tcW w:w="7360" w:type="dxa"/>
            <w:vAlign w:val="bottom"/>
            <w:tcBorders>
              <w:bottom w:val="single" w:sz="8" w:color="CCEEFF"/>
            </w:tcBorders>
            <w:shd w:val="clear" w:color="auto" w:fill="CCEEFF"/>
          </w:tcPr>
          <w:p>
            <w:pPr>
              <w:jc w:val="center"/>
              <w:ind w:right="890"/>
              <w:spacing w:after="0"/>
              <w:rPr>
                <w:sz w:val="20"/>
                <w:szCs w:val="20"/>
                <w:color w:val="auto"/>
              </w:rPr>
            </w:pPr>
            <w:r>
              <w:rPr>
                <w:rFonts w:ascii="Arial" w:cs="Arial" w:eastAsia="Arial" w:hAnsi="Arial"/>
                <w:sz w:val="18"/>
                <w:szCs w:val="18"/>
                <w:b w:val="1"/>
                <w:bCs w:val="1"/>
                <w:color w:val="auto"/>
              </w:rPr>
              <w:t>LIABILITIES AND SHAREHOLDERS’ EQUITY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848,388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838,190</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3,207,036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3,278,152</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Accrued expenses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709,130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705,102</w:t>
            </w:r>
          </w:p>
        </w:tc>
        <w:tc>
          <w:tcPr>
            <w:tcW w:w="0" w:type="dxa"/>
            <w:vAlign w:val="bottom"/>
          </w:tcPr>
          <w:p>
            <w:pPr>
              <w:spacing w:after="0"/>
              <w:rPr>
                <w:sz w:val="1"/>
                <w:szCs w:val="1"/>
                <w:color w:val="auto"/>
              </w:rPr>
            </w:pPr>
          </w:p>
        </w:tc>
      </w:tr>
      <w:tr>
        <w:trPr>
          <w:trHeight w:val="23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4,764,554</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4,821,444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1,221,977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1,206,993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178,382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157,118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6,164,913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6,185,555</w:t>
            </w:r>
          </w:p>
        </w:tc>
        <w:tc>
          <w:tcPr>
            <w:tcW w:w="0" w:type="dxa"/>
            <w:vAlign w:val="bottom"/>
          </w:tcPr>
          <w:p>
            <w:pPr>
              <w:spacing w:after="0"/>
              <w:rPr>
                <w:sz w:val="1"/>
                <w:szCs w:val="1"/>
                <w:color w:val="auto"/>
              </w:rPr>
            </w:pPr>
          </w:p>
        </w:tc>
      </w:tr>
      <w:tr>
        <w:trPr>
          <w:trHeight w:val="237"/>
        </w:trPr>
        <w:tc>
          <w:tcPr>
            <w:tcW w:w="8340" w:type="dxa"/>
            <w:vAlign w:val="bottom"/>
            <w:gridSpan w:val="2"/>
          </w:tcPr>
          <w:p>
            <w:pPr>
              <w:ind w:left="180"/>
              <w:spacing w:after="0"/>
              <w:rPr>
                <w:sz w:val="20"/>
                <w:szCs w:val="20"/>
                <w:color w:val="auto"/>
              </w:rPr>
            </w:pPr>
            <w:r>
              <w:rPr>
                <w:rFonts w:ascii="Arial" w:cs="Arial" w:eastAsia="Arial" w:hAnsi="Arial"/>
                <w:sz w:val="18"/>
                <w:szCs w:val="18"/>
                <w:color w:val="auto"/>
              </w:rPr>
              <w:t>Commitments and contingencies (Note 6)</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Shareholders’ equity: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Common stock $1.00 par; authorized 300,000,000 shares; issued 138,410,597 shares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gridSpan w:val="2"/>
          </w:tcPr>
          <w:p>
            <w:pPr>
              <w:ind w:left="420"/>
              <w:spacing w:after="0"/>
              <w:rPr>
                <w:sz w:val="20"/>
                <w:szCs w:val="20"/>
                <w:color w:val="auto"/>
              </w:rPr>
            </w:pPr>
            <w:r>
              <w:rPr>
                <w:rFonts w:ascii="Arial" w:cs="Arial" w:eastAsia="Arial" w:hAnsi="Arial"/>
                <w:sz w:val="18"/>
                <w:szCs w:val="18"/>
                <w:color w:val="auto"/>
              </w:rPr>
              <w:t>and 137,126,784 shares, respectively</w:t>
            </w:r>
          </w:p>
        </w:tc>
        <w:tc>
          <w:tcPr>
            <w:tcW w:w="220" w:type="dxa"/>
            <w:vAlign w:val="bottom"/>
          </w:tcPr>
          <w:p>
            <w:pPr>
              <w:spacing w:after="0"/>
              <w:rPr>
                <w:sz w:val="20"/>
                <w:szCs w:val="20"/>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138,411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137,127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1,343,292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1,320,901</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3,099,075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2,802,966</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155,900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28,895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Treasury stock at cost, 42,078 shares and 38,238 shares, respectively</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4,735,867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4,289,125</w:t>
            </w:r>
          </w:p>
        </w:tc>
        <w:tc>
          <w:tcPr>
            <w:tcW w:w="0" w:type="dxa"/>
            <w:vAlign w:val="bottom"/>
          </w:tcPr>
          <w:p>
            <w:pPr>
              <w:spacing w:after="0"/>
              <w:rPr>
                <w:sz w:val="1"/>
                <w:szCs w:val="1"/>
                <w:color w:val="auto"/>
              </w:rPr>
            </w:pPr>
          </w:p>
        </w:tc>
      </w:tr>
      <w:tr>
        <w:trPr>
          <w:trHeight w:val="257"/>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Total liabilities and shareholders’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10,900,780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10,474,680</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480"/>
              <w:spacing w:after="0"/>
              <w:rPr>
                <w:sz w:val="20"/>
                <w:szCs w:val="20"/>
                <w:color w:val="auto"/>
              </w:rPr>
            </w:pPr>
            <w:r>
              <w:rPr>
                <w:rFonts w:ascii="Arial" w:cs="Arial" w:eastAsia="Arial" w:hAnsi="Arial"/>
                <w:sz w:val="18"/>
                <w:szCs w:val="18"/>
                <w:b w:val="1"/>
                <w:bCs w:val="1"/>
                <w:color w:val="auto"/>
              </w:rPr>
              <w:t>Third Quarters Ended</w:t>
            </w:r>
          </w:p>
        </w:tc>
        <w:tc>
          <w:tcPr>
            <w:tcW w:w="220" w:type="dxa"/>
            <w:vAlign w:val="bottom"/>
          </w:tcPr>
          <w:p>
            <w:pPr>
              <w:spacing w:after="0"/>
              <w:rPr>
                <w:sz w:val="20"/>
                <w:szCs w:val="20"/>
                <w:color w:val="auto"/>
              </w:rPr>
            </w:pPr>
          </w:p>
        </w:tc>
        <w:tc>
          <w:tcPr>
            <w:tcW w:w="28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14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30,</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30,</w:t>
            </w:r>
          </w:p>
        </w:tc>
        <w:tc>
          <w:tcPr>
            <w:tcW w:w="0" w:type="dxa"/>
            <w:vAlign w:val="bottom"/>
          </w:tcPr>
          <w:p>
            <w:pPr>
              <w:spacing w:after="0"/>
              <w:rPr>
                <w:sz w:val="1"/>
                <w:szCs w:val="1"/>
                <w:color w:val="auto"/>
              </w:rPr>
            </w:pP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(Thousands, except per share data)</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6,683,616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6,298,699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20,450,945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18,868,221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5,878,704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5,542,676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18,062,230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16,659,358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804,912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756,023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2,388,715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2,208,863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593,986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561,072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1,736,689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1,656,052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integration and other expenses (Note 13)</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26,083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66,624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89,655</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184,843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167,610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585,402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463,156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(80,529)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(79,029)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Gain on legal settlement, bargain purchase and other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(Notes 2 and 6)</w:t>
            </w:r>
          </w:p>
        </w:tc>
        <w:tc>
          <w:tcPr>
            <w:tcW w:w="2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31,350</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164,993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144,375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525,487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422,126</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51,142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58,179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166,148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98,144</w:t>
            </w: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113,851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86,196</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359,339</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323,982</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51"/>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160" w:type="dxa"/>
            <w:vAlign w:val="bottom"/>
            <w:vMerge w:val="restart"/>
          </w:tcPr>
          <w:p>
            <w:pPr>
              <w:ind w:left="40"/>
              <w:spacing w:after="0"/>
              <w:rPr>
                <w:sz w:val="20"/>
                <w:szCs w:val="20"/>
                <w:color w:val="auto"/>
              </w:rPr>
            </w:pPr>
            <w:r>
              <w:rPr>
                <w:rFonts w:ascii="Arial" w:cs="Arial" w:eastAsia="Arial" w:hAnsi="Arial"/>
                <w:sz w:val="18"/>
                <w:szCs w:val="18"/>
                <w:color w:val="auto"/>
              </w:rPr>
              <w:t>Shares used to compute earnings per share:</w:t>
            </w: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138,418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137,102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137,845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138,215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140,179</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139,015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140,015</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140,316</w:t>
            </w:r>
          </w:p>
        </w:tc>
        <w:tc>
          <w:tcPr>
            <w:tcW w:w="0" w:type="dxa"/>
            <w:vAlign w:val="bottom"/>
          </w:tcPr>
          <w:p>
            <w:pPr>
              <w:spacing w:after="0"/>
              <w:rPr>
                <w:sz w:val="1"/>
                <w:szCs w:val="1"/>
                <w:color w:val="auto"/>
              </w:rPr>
            </w:pPr>
          </w:p>
        </w:tc>
      </w:tr>
      <w:tr>
        <w:trPr>
          <w:trHeight w:val="25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paid per common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0.15</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9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480"/>
              <w:spacing w:after="0"/>
              <w:rPr>
                <w:sz w:val="20"/>
                <w:szCs w:val="20"/>
                <w:color w:val="auto"/>
              </w:rPr>
            </w:pPr>
            <w:r>
              <w:rPr>
                <w:rFonts w:ascii="Arial" w:cs="Arial" w:eastAsia="Arial" w:hAnsi="Arial"/>
                <w:sz w:val="18"/>
                <w:szCs w:val="18"/>
                <w:b w:val="1"/>
                <w:bCs w:val="1"/>
                <w:color w:val="auto"/>
              </w:rPr>
              <w:t>Third Quarters Ended</w:t>
            </w:r>
          </w:p>
        </w:tc>
        <w:tc>
          <w:tcPr>
            <w:tcW w:w="220" w:type="dxa"/>
            <w:vAlign w:val="bottom"/>
          </w:tcPr>
          <w:p>
            <w:pPr>
              <w:spacing w:after="0"/>
              <w:rPr>
                <w:sz w:val="20"/>
                <w:szCs w:val="20"/>
                <w:color w:val="auto"/>
              </w:rPr>
            </w:pPr>
          </w:p>
        </w:tc>
        <w:tc>
          <w:tcPr>
            <w:tcW w:w="28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30,</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30,</w:t>
            </w: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82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359,339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323,982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currency translation adjustments and other</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14,069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27,047</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Pension adjustments, net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1,644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4,939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208</w:t>
            </w:r>
          </w:p>
        </w:tc>
      </w:tr>
      <w:tr>
        <w:trPr>
          <w:trHeight w:val="27"/>
        </w:trPr>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129,564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(24,209)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486,344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351,237</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8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29,</w:t>
            </w:r>
          </w:p>
        </w:tc>
        <w:tc>
          <w:tcPr>
            <w:tcW w:w="240" w:type="dxa"/>
            <w:vAlign w:val="bottom"/>
          </w:tcPr>
          <w:p>
            <w:pPr>
              <w:spacing w:after="0"/>
              <w:rPr>
                <w:sz w:val="18"/>
                <w:szCs w:val="18"/>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30,</w:t>
            </w:r>
          </w:p>
        </w:tc>
      </w:tr>
      <w:tr>
        <w:trPr>
          <w:trHeight w:val="234"/>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2013</w:t>
            </w:r>
          </w:p>
        </w:tc>
      </w:tr>
      <w:tr>
        <w:trPr>
          <w:trHeight w:val="27"/>
        </w:trPr>
        <w:tc>
          <w:tcPr>
            <w:tcW w:w="8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37"/>
        </w:trPr>
        <w:tc>
          <w:tcPr>
            <w:tcW w:w="8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60" w:type="dxa"/>
            <w:vAlign w:val="bottom"/>
            <w:gridSpan w:val="4"/>
          </w:tcPr>
          <w:p>
            <w:pPr>
              <w:jc w:val="right"/>
              <w:ind w:right="107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359,339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323,982</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and other reconciling items: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67,392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65,284</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33,081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23,844</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20,850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9,037</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35,923</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Gain on bargain purchase and other (Note 2)</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(31,350)</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57,800</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Changes in (net of effects from businesses acquired):</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Receivables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(2,897)</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(114,258)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192,244</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(148,825)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(175,909)</w:t>
            </w:r>
          </w:p>
        </w:tc>
      </w:tr>
      <w:tr>
        <w:trPr>
          <w:trHeight w:val="243"/>
        </w:trPr>
        <w:tc>
          <w:tcPr>
            <w:tcW w:w="8100" w:type="dxa"/>
            <w:vAlign w:val="bottom"/>
          </w:tcPr>
          <w:p>
            <w:pPr>
              <w:ind w:left="380"/>
              <w:spacing w:after="0"/>
              <w:rPr>
                <w:sz w:val="20"/>
                <w:szCs w:val="20"/>
                <w:color w:val="auto"/>
              </w:rPr>
            </w:pPr>
            <w:r>
              <w:rPr>
                <w:rFonts w:ascii="Arial" w:cs="Arial" w:eastAsia="Arial" w:hAnsi="Arial"/>
                <w:sz w:val="18"/>
                <w:szCs w:val="18"/>
                <w:color w:val="auto"/>
              </w:rPr>
              <w:t>Accrued expenses and other, net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(46,541)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(68,544)</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flows provided by operating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203,905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429,414</w:t>
            </w:r>
          </w:p>
        </w:tc>
      </w:tr>
      <w:tr>
        <w:trPr>
          <w:trHeight w:val="210"/>
        </w:trPr>
        <w:tc>
          <w:tcPr>
            <w:tcW w:w="8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Issuance of notes in public offering, net of issuance cost</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349,258</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 of notes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Borrowings (repayments) under accounts receivable securitization program, net</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230,000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(259,000)</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Borrowings (repayments) of bank and other debt, net</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56,658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(191,775)</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Repurchases of common stock</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(207,192)</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on common stock</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10,390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4,499</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1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Net cash flows used by financing activities</w:t>
            </w: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(66,213)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(304,210)</w:t>
            </w:r>
          </w:p>
        </w:tc>
      </w:tr>
      <w:tr>
        <w:trPr>
          <w:trHeight w:val="210"/>
        </w:trPr>
        <w:tc>
          <w:tcPr>
            <w:tcW w:w="8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r>
      <w:tr>
        <w:trPr>
          <w:trHeight w:val="250"/>
        </w:trPr>
        <w:tc>
          <w:tcPr>
            <w:tcW w:w="81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(81,232)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(75,415)</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Acquisitions of businesses, net of cash acquired (Note 2)</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(116,882)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(244,062)</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Cash proceeds from divestitures, net of cash divested</w:t>
            </w:r>
          </w:p>
        </w:tc>
        <w:tc>
          <w:tcPr>
            <w:tcW w:w="2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3,613</w:t>
            </w: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r>
      <w:tr>
        <w:trPr>
          <w:trHeight w:val="237"/>
        </w:trPr>
        <w:tc>
          <w:tcPr>
            <w:tcW w:w="8100" w:type="dxa"/>
            <w:vAlign w:val="bottom"/>
          </w:tcPr>
          <w:p>
            <w:pPr>
              <w:ind w:left="600"/>
              <w:spacing w:after="0"/>
              <w:rPr>
                <w:sz w:val="20"/>
                <w:szCs w:val="20"/>
                <w:color w:val="auto"/>
              </w:rPr>
            </w:pPr>
            <w:r>
              <w:rPr>
                <w:rFonts w:ascii="Arial" w:cs="Arial" w:eastAsia="Arial" w:hAnsi="Arial"/>
                <w:sz w:val="18"/>
                <w:szCs w:val="18"/>
                <w:color w:val="auto"/>
              </w:rPr>
              <w:t>Net cash flows used by investing activities</w:t>
            </w: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(194,056)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(315,575)</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7,170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4,431</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0"/>
        </w:trPr>
        <w:tc>
          <w:tcPr>
            <w:tcW w:w="8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43"/>
        </w:trPr>
        <w:tc>
          <w:tcPr>
            <w:tcW w:w="810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8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(decrease)</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(185,940)</w:t>
            </w:r>
          </w:p>
        </w:tc>
      </w:tr>
      <w:tr>
        <w:trPr>
          <w:trHeight w:val="243"/>
        </w:trPr>
        <w:tc>
          <w:tcPr>
            <w:tcW w:w="8100" w:type="dxa"/>
            <w:vAlign w:val="bottom"/>
          </w:tcPr>
          <w:p>
            <w:pPr>
              <w:ind w:left="180"/>
              <w:spacing w:after="0"/>
              <w:rPr>
                <w:sz w:val="20"/>
                <w:szCs w:val="20"/>
                <w:color w:val="auto"/>
              </w:rPr>
            </w:pPr>
            <w:r>
              <w:rPr>
                <w:rFonts w:ascii="Arial" w:cs="Arial" w:eastAsia="Arial" w:hAnsi="Arial"/>
                <w:sz w:val="18"/>
                <w:szCs w:val="18"/>
                <w:color w:val="auto"/>
              </w:rPr>
              <w:t>— at beginning of period</w:t>
            </w: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1,009,343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1,006,864</w:t>
            </w:r>
          </w:p>
        </w:tc>
      </w:tr>
      <w:tr>
        <w:trPr>
          <w:trHeight w:val="27"/>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81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at end of period</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960,149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820,924</w:t>
            </w:r>
          </w:p>
        </w:tc>
      </w:tr>
      <w:tr>
        <w:trPr>
          <w:trHeight w:val="20"/>
        </w:trPr>
        <w:tc>
          <w:tcPr>
            <w:tcW w:w="8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cash flow information (Note 11)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00"/>
          </w:cols>
          <w:pgMar w:left="240" w:top="580"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580" w:right="25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 and its consolidated subsidiaries (the "Company" or "Avnet") financial position, results of operations, comprehensive income and cash flows. All such adjustments are of a normal recurring nature.</w:t>
      </w:r>
    </w:p>
    <w:p>
      <w:pPr>
        <w:spacing w:after="0" w:line="141"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The preparation of financial statements in accordance with generally accepted accounting principles requires management to make estimates and assumptions that affect the amounts reported in the consolidated financial statements. Actual results may differ from these estimates.</w:t>
      </w:r>
    </w:p>
    <w:p>
      <w:pPr>
        <w:spacing w:after="0" w:line="10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29, 2013.</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prior-period amounts have been reclassified to conform to the current-period presentation.</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New accounting pronouncements</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July 2013, the Financial Accounting Standards Board issued Accounting Standards Update No. 2013-11, Presentation of an Unrecognized Tax Benefit When a Net Operating Loss Carryforward, a Similar Tax Loss, or a Tax Credit Carryforward Exists ("ASU 2013-11"). ASU 2013-11 requires the netting of unrecognized tax benefits ("UTBs") against a deferred tax asset for a loss or other carryforward that would apply in settlement of the uncertain tax positions. UTBs are required to be netted against all available same-jurisdiction loss or other tax carryforwards, rather than only against carryforwards that are created by the UTBs. ASU 2013-11 is effective for years, including interim periods within those years, beginning after December 15, 2013. The adoption of ASU 2013-11 in the first quarter of fiscal 2015 is not expected to have a material impact on the Company's consolidated financial statements.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Acquisitions and divestitures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nine months of fiscal 2014, the Company completed three acquisitions with historical annualized sales of approximately $490 million. Cash paid for acquisitions during the first nine months of fiscal 2014 was $116.9 million, net of cash acquired and contingent consideration. The Company has not disclosed the pro-forma impact of the fiscal 2014 acquisitions as such impact was not material.</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20" w:type="dxa"/>
            <w:vAlign w:val="bottom"/>
          </w:tcPr>
          <w:p>
            <w:pPr>
              <w:ind w:left="440"/>
              <w:spacing w:after="0"/>
              <w:rPr>
                <w:sz w:val="20"/>
                <w:szCs w:val="20"/>
                <w:color w:val="auto"/>
              </w:rPr>
            </w:pPr>
            <w:r>
              <w:rPr>
                <w:rFonts w:ascii="Arial" w:cs="Arial" w:eastAsia="Arial" w:hAnsi="Arial"/>
                <w:sz w:val="18"/>
                <w:szCs w:val="18"/>
                <w:color w:val="auto"/>
              </w:rPr>
              <w:t>The aggregate consideration for the acquisitions was $219.7 million, which consisted of the following (in thousands):</w:t>
            </w:r>
          </w:p>
        </w:tc>
        <w:tc>
          <w:tcPr>
            <w:tcW w:w="5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135"/>
        </w:trPr>
        <w:tc>
          <w:tcPr>
            <w:tcW w:w="9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181,645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Contingent consideration</w:t>
            </w:r>
          </w:p>
        </w:tc>
        <w:tc>
          <w:tcPr>
            <w:tcW w:w="52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38,081</w:t>
            </w:r>
          </w:p>
        </w:tc>
      </w:tr>
      <w:tr>
        <w:trPr>
          <w:trHeight w:val="27"/>
        </w:trPr>
        <w:tc>
          <w:tcPr>
            <w:tcW w:w="98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219,726</w:t>
            </w:r>
          </w:p>
        </w:tc>
      </w:tr>
      <w:tr>
        <w:trPr>
          <w:trHeight w:val="20"/>
        </w:trPr>
        <w:tc>
          <w:tcPr>
            <w:tcW w:w="98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The contingent consideration arrangements stipulate that the Company pay up to a maximum of approximately $50 million of additional consideration to the former shareholders of the acquired businesses based upon the achievement of certain future operating results. The Company estimated the fair value of the contingent consideration using an income approach, which is based on significant inputs, primarily forecasted future operating results of the acquired businesses, not observable in the market and thus represents a Level 3 measurement as defined in ASC 820. The Company adjusts the fair value of contingent consideration as a result of the passage of time and if there are changes to the inputs used in the income approach.</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756"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has not yet completed its evaluation and determination of the fair value of certain assets and liabilities acquired, primarily the final valuation and assessment of (i) amortizable intangible assets acquired, (ii) contingent consideration due to the sellers, (iii) working capital acquired and liabilities assumed, and (iv) certain income tax accounts. The Company expects these final valuations and assessments will be completed by the end of fiscal 2014, which may result in additional adjustments to the values presented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Preliminary</w:t>
            </w:r>
          </w:p>
        </w:tc>
      </w:tr>
      <w:tr>
        <w:trPr>
          <w:trHeight w:val="216"/>
        </w:trPr>
        <w:tc>
          <w:tcPr>
            <w:tcW w:w="9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Acquisition</w:t>
            </w:r>
          </w:p>
        </w:tc>
      </w:tr>
      <w:tr>
        <w:trPr>
          <w:trHeight w:val="234"/>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Method Values</w:t>
            </w:r>
          </w:p>
        </w:tc>
      </w:tr>
      <w:tr>
        <w:trPr>
          <w:trHeight w:val="27"/>
        </w:trPr>
        <w:tc>
          <w:tcPr>
            <w:tcW w:w="98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9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(Thousands)</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64,763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36,216</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95,202</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6,599</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and other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28,155</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55,543</w:t>
            </w: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64"/>
        </w:trPr>
        <w:tc>
          <w:tcPr>
            <w:tcW w:w="9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identifiable assets acquired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286,478</w:t>
            </w:r>
          </w:p>
        </w:tc>
      </w:tr>
      <w:tr>
        <w:trPr>
          <w:trHeight w:val="223"/>
        </w:trPr>
        <w:tc>
          <w:tcPr>
            <w:tcW w:w="98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66,848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45,942</w:t>
            </w: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15,149</w:t>
            </w:r>
          </w:p>
        </w:tc>
      </w:tr>
      <w:tr>
        <w:trPr>
          <w:trHeight w:val="237"/>
        </w:trPr>
        <w:tc>
          <w:tcPr>
            <w:tcW w:w="9820" w:type="dxa"/>
            <w:vAlign w:val="bottom"/>
          </w:tcPr>
          <w:p>
            <w:pPr>
              <w:ind w:left="180"/>
              <w:spacing w:after="0"/>
              <w:rPr>
                <w:sz w:val="20"/>
                <w:szCs w:val="20"/>
                <w:color w:val="auto"/>
              </w:rPr>
            </w:pPr>
            <w:r>
              <w:rPr>
                <w:rFonts w:ascii="Arial" w:cs="Arial" w:eastAsia="Arial" w:hAnsi="Arial"/>
                <w:sz w:val="18"/>
                <w:szCs w:val="18"/>
                <w:color w:val="auto"/>
              </w:rPr>
              <w:t>Total identifiable liabilities assumed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127,939</w:t>
            </w: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identifiable assets acquired</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158,539</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61,187</w:t>
            </w:r>
          </w:p>
        </w:tc>
      </w:tr>
      <w:tr>
        <w:trPr>
          <w:trHeight w:val="27"/>
        </w:trPr>
        <w:tc>
          <w:tcPr>
            <w:tcW w:w="98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219,726</w:t>
            </w: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Goodwill of $50.6 million was assigned to the Electronics Marketing ("EM") reportable segment and goodwill of $10.6 million was assigned to the Technology Solutions ("TS") reportable segment. The goodwill recognized is attributable primarily to expected synergies of the acquired businesses. The amount of goodwill that is expected to be deductible for income tax purposes is not material. The Company periodically adjusts the value of goodwill to reflect changes that occur as a result of adjustments to the preliminary purchase price allocation during the measurement periods following the dates of acquisition.</w:t>
      </w:r>
    </w:p>
    <w:p>
      <w:pPr>
        <w:spacing w:after="0" w:line="14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has recognized restructuring, integration, and other expenses associated with fiscal 2014 and other recent acquisitions, which are described further in Note 13.</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Gain on bargain purchase and other</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quarter of fiscal 2013, the Company acquired Internix, Inc., a company publicly traded on the Tokyo Stock Exchange, through a tender offer. After assessing the assets acquired and liabilities assumed, the consideration paid was below book value even though the price paid per share represented a premium to the trading levels at that time. During the first half of fiscal 2013, the Company recognized a total gain on bargain purchase related to Internix of $33.0 million before and after tax and $0.23 per share on a diluted basis (inclusive of adjustments occurring subsequent to the first quarter of fiscal 2013).</w:t>
      </w:r>
    </w:p>
    <w:p>
      <w:pPr>
        <w:spacing w:after="0" w:line="14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addition, during the second quarter of fiscal 2013, the Company divested a small business in TS Asia for which it recognized a loss of $1.7 million before and after tax and $0.01 per share on a diluted basis. The combination of this loss on divestiture and the gain on bargain purchase noted above resulted in a gain of $31.4 million for the first half of fiscal 2013.</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half of fiscal 2013, the Company received proceeds of $3.6 million, net of cash divested, related to the divestiture described above and the receipt of contingent consideration associated with a divestiture completed in the prior fiscal year, for which there was no gain or loss as the proceeds were applied against the contingent consideration receivable that was established at the time of sale.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37"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09" w:lineRule="exact"/>
        <w:rPr>
          <w:sz w:val="20"/>
          <w:szCs w:val="20"/>
          <w:color w:val="auto"/>
        </w:rPr>
      </w:pPr>
    </w:p>
    <w:p>
      <w:pPr>
        <w:ind w:left="440" w:right="8900" w:hanging="432"/>
        <w:spacing w:after="0" w:line="479" w:lineRule="auto"/>
        <w:tabs>
          <w:tab w:leader="none" w:pos="188"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spacing w:after="0" w:line="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following table presents the change in the goodwill balances by reportable segment for the nine months ended March 29, 2014. Substantially all of the accumulated impairment was recognized in fiscal 2009.</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Electronics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Technology</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Marketing</w:t>
            </w: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Solutions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1,646,940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2,641,022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June 29, 2013</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601,830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659,458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1,261,288</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Additions</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50,565</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10,622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61,187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1,360</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Foreign currency translation</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10,567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9,987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20,554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March 29,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663,770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680,619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1,344,389</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goodwill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1,708,880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1,015,243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2,724,123</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Accumulated impairment</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(1,045,110)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(334,624)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(1,379,734)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Carrying value at March 29, 2014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663,770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680,619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1,344,389</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goodwill additions are a result of businesses acquired during the first nine months of fiscal 2014 (see Note 2) and goodwill adjustments represent the net purchase accounting adjustments for acquisitions during the related measurement periods.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following table presents the Company’s acquired intangible assets at March 29, 2014 and June 29, 2013, respectively. These intangible assets have a weighted average life of approximately 8 years.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29, 2014</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29, 2013</w:t>
            </w: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8"/>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40" w:type="dxa"/>
            <w:vAlign w:val="bottom"/>
          </w:tcPr>
          <w:p>
            <w:pPr>
              <w:spacing w:after="0"/>
              <w:rPr>
                <w:sz w:val="18"/>
                <w:szCs w:val="18"/>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Net Book</w:t>
            </w: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7"/>
              </w:rPr>
              <w:t>Carrying</w:t>
            </w: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Accumulated</w:t>
            </w:r>
          </w:p>
        </w:tc>
        <w:tc>
          <w:tcPr>
            <w:tcW w:w="160" w:type="dxa"/>
            <w:vAlign w:val="bottom"/>
          </w:tcPr>
          <w:p>
            <w:pPr>
              <w:spacing w:after="0"/>
              <w:rPr>
                <w:sz w:val="18"/>
                <w:szCs w:val="18"/>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w w:val="93"/>
              </w:rPr>
              <w:t>Net Book</w:t>
            </w:r>
          </w:p>
        </w:tc>
      </w:tr>
      <w:tr>
        <w:trPr>
          <w:trHeight w:val="234"/>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20"/>
                <w:szCs w:val="20"/>
                <w:color w:val="auto"/>
              </w:rPr>
            </w:pPr>
          </w:p>
        </w:tc>
        <w:tc>
          <w:tcPr>
            <w:tcW w:w="1540" w:type="dxa"/>
            <w:vAlign w:val="bottom"/>
            <w:gridSpan w:val="2"/>
          </w:tcPr>
          <w:p>
            <w:pPr>
              <w:ind w:left="14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Value</w:t>
            </w:r>
          </w:p>
        </w:tc>
        <w:tc>
          <w:tcPr>
            <w:tcW w:w="16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Amount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Amortization</w:t>
            </w:r>
          </w:p>
        </w:tc>
        <w:tc>
          <w:tcPr>
            <w:tcW w:w="160" w:type="dxa"/>
            <w:vAlign w:val="bottom"/>
          </w:tcPr>
          <w:p>
            <w:pPr>
              <w:spacing w:after="0"/>
              <w:rPr>
                <w:sz w:val="20"/>
                <w:szCs w:val="20"/>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gridSpan w:val="5"/>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40" w:type="dxa"/>
            <w:vAlign w:val="bottom"/>
            <w:gridSpan w:val="5"/>
          </w:tcPr>
          <w:p>
            <w:pPr>
              <w:ind w:left="540"/>
              <w:spacing w:after="0"/>
              <w:rPr>
                <w:sz w:val="20"/>
                <w:szCs w:val="20"/>
                <w:color w:val="auto"/>
              </w:rPr>
            </w:pPr>
            <w:r>
              <w:rPr>
                <w:rFonts w:ascii="Arial" w:cs="Arial" w:eastAsia="Arial" w:hAnsi="Arial"/>
                <w:sz w:val="18"/>
                <w:szCs w:val="18"/>
                <w:b w:val="1"/>
                <w:bCs w:val="1"/>
                <w:color w:val="auto"/>
              </w:rPr>
              <w:t>(Thousands)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related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338,506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(145,469)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193,037</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(109,946)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166,161</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Trade name</w:t>
            </w:r>
          </w:p>
        </w:tc>
        <w:tc>
          <w:tcPr>
            <w:tcW w:w="16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3,147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3,320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2,840</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2,729</w:t>
            </w: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3,211</w:t>
            </w:r>
          </w:p>
        </w:tc>
      </w:tr>
      <w:tr>
        <w:trPr>
          <w:trHeight w:val="237"/>
        </w:trPr>
        <w:tc>
          <w:tcPr>
            <w:tcW w:w="3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345,529</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(147,700)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197,829</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283,604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(111,392)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172,212</w:t>
            </w: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440"/>
        </w:trPr>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firstLine="405"/>
        <w:spacing w:after="0" w:line="264" w:lineRule="auto"/>
        <w:rPr>
          <w:sz w:val="20"/>
          <w:szCs w:val="20"/>
          <w:color w:val="auto"/>
        </w:rPr>
      </w:pPr>
      <w:r>
        <w:rPr>
          <w:rFonts w:ascii="Arial" w:cs="Arial" w:eastAsia="Arial" w:hAnsi="Arial"/>
          <w:sz w:val="18"/>
          <w:szCs w:val="18"/>
          <w:color w:val="auto"/>
        </w:rPr>
        <w:t>Intangible asset amortization expense was $12.2 million and $8.7 million for the third quarters of fiscal 2014 and 2013, respectively, and $33.1 million and $23.8 million for the first nine months of fiscal 2014 and 2013, respectively. The following table presents the estimated future amortization expense for the remainder of fiscal 2014, the next five fiscal years and thereafter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20" w:type="dxa"/>
            <w:vAlign w:val="bottom"/>
            <w:gridSpan w:val="3"/>
          </w:tcPr>
          <w:p>
            <w:pPr>
              <w:ind w:left="40"/>
              <w:spacing w:after="0"/>
              <w:rPr>
                <w:sz w:val="20"/>
                <w:szCs w:val="20"/>
                <w:color w:val="auto"/>
              </w:rPr>
            </w:pPr>
            <w:r>
              <w:rPr>
                <w:rFonts w:ascii="Arial" w:cs="Arial" w:eastAsia="Arial" w:hAnsi="Arial"/>
                <w:sz w:val="18"/>
                <w:szCs w:val="18"/>
                <w:b w:val="1"/>
                <w:bCs w:val="1"/>
                <w:color w:val="auto"/>
              </w:rPr>
              <w:t>Fiscal Year</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840" w:type="dxa"/>
            <w:vAlign w:val="bottom"/>
            <w:tcBorders>
              <w:top w:val="single" w:sz="8" w:color="auto"/>
            </w:tcBorders>
          </w:tcPr>
          <w:p>
            <w:pPr>
              <w:spacing w:after="0"/>
              <w:rPr>
                <w:sz w:val="4"/>
                <w:szCs w:val="4"/>
                <w:color w:val="auto"/>
              </w:rPr>
            </w:pPr>
          </w:p>
        </w:tc>
        <w:tc>
          <w:tcPr>
            <w:tcW w:w="7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Remainder of fiscal 2014</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2015</w:t>
            </w:r>
          </w:p>
        </w:tc>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47,762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2016</w:t>
            </w:r>
          </w:p>
        </w:tc>
        <w:tc>
          <w:tcPr>
            <w:tcW w:w="7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35,882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2017</w:t>
            </w:r>
          </w:p>
        </w:tc>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31,828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74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gridSpan w:val="2"/>
          </w:tcPr>
          <w:p>
            <w:pPr>
              <w:ind w:left="40"/>
              <w:spacing w:after="0"/>
              <w:rPr>
                <w:sz w:val="20"/>
                <w:szCs w:val="20"/>
                <w:color w:val="auto"/>
              </w:rPr>
            </w:pPr>
            <w:r>
              <w:rPr>
                <w:rFonts w:ascii="Arial" w:cs="Arial" w:eastAsia="Arial" w:hAnsi="Arial"/>
                <w:sz w:val="18"/>
                <w:szCs w:val="18"/>
                <w:color w:val="auto"/>
              </w:rPr>
              <w:t>2019</w:t>
            </w:r>
          </w:p>
        </w:tc>
        <w:tc>
          <w:tcPr>
            <w:tcW w:w="7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17,473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29,499</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28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197,829</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External financing</w:t>
            </w: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832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0" w:type="dxa"/>
            <w:vAlign w:val="bottom"/>
          </w:tcPr>
          <w:p>
            <w:pPr>
              <w:spacing w:after="0"/>
              <w:rPr>
                <w:sz w:val="24"/>
                <w:szCs w:val="24"/>
                <w:color w:val="auto"/>
              </w:rPr>
            </w:pPr>
          </w:p>
        </w:tc>
        <w:tc>
          <w:tcPr>
            <w:tcW w:w="8280" w:type="dxa"/>
            <w:vAlign w:val="bottom"/>
            <w:gridSpan w:val="2"/>
          </w:tcPr>
          <w:p>
            <w:pPr>
              <w:ind w:left="400"/>
              <w:spacing w:after="0"/>
              <w:rPr>
                <w:sz w:val="20"/>
                <w:szCs w:val="20"/>
                <w:color w:val="auto"/>
              </w:rPr>
            </w:pPr>
            <w:r>
              <w:rPr>
                <w:rFonts w:ascii="Arial" w:cs="Arial" w:eastAsia="Arial" w:hAnsi="Arial"/>
                <w:sz w:val="18"/>
                <w:szCs w:val="18"/>
                <w:color w:val="auto"/>
              </w:rPr>
              <w:t>Short-term debt consists of the following:</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360" w:type="dxa"/>
            <w:vAlign w:val="bottom"/>
          </w:tcPr>
          <w:p>
            <w:pPr>
              <w:spacing w:after="0"/>
              <w:rPr>
                <w:sz w:val="24"/>
                <w:szCs w:val="24"/>
                <w:color w:val="auto"/>
              </w:rPr>
            </w:pPr>
          </w:p>
        </w:tc>
        <w:tc>
          <w:tcPr>
            <w:tcW w:w="114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Arial" w:cs="Arial" w:eastAsia="Arial" w:hAnsi="Arial"/>
                <w:sz w:val="18"/>
                <w:szCs w:val="18"/>
                <w:b w:val="1"/>
                <w:bCs w:val="1"/>
                <w:color w:val="auto"/>
                <w:w w:val="94"/>
              </w:rPr>
              <w:t>2013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gridSpan w:val="4"/>
          </w:tcPr>
          <w:p>
            <w:pPr>
              <w:ind w:left="860"/>
              <w:spacing w:after="0"/>
              <w:rPr>
                <w:sz w:val="20"/>
                <w:szCs w:val="20"/>
                <w:color w:val="auto"/>
              </w:rPr>
            </w:pPr>
            <w:r>
              <w:rPr>
                <w:rFonts w:ascii="Arial" w:cs="Arial" w:eastAsia="Arial" w:hAnsi="Arial"/>
                <w:sz w:val="18"/>
                <w:szCs w:val="18"/>
                <w:b w:val="1"/>
                <w:bCs w:val="1"/>
                <w:color w:val="auto"/>
                <w:w w:val="94"/>
              </w:rPr>
              <w:t>(Thousands)</w:t>
            </w: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Bank credit facilities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257,237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177,118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Accounts receivable securitization program</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590,000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360,000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5.875% Notes due March 15, 2014</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299,950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gridSpan w:val="3"/>
          </w:tcPr>
          <w:p>
            <w:pPr>
              <w:ind w:left="40"/>
              <w:spacing w:after="0"/>
              <w:rPr>
                <w:sz w:val="20"/>
                <w:szCs w:val="20"/>
                <w:color w:val="auto"/>
              </w:rPr>
            </w:pPr>
            <w:r>
              <w:rPr>
                <w:rFonts w:ascii="Arial" w:cs="Arial" w:eastAsia="Arial" w:hAnsi="Arial"/>
                <w:sz w:val="18"/>
                <w:szCs w:val="18"/>
                <w:color w:val="auto"/>
              </w:rPr>
              <w:t>Other debt due within one year</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828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848,388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838,190</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Bank credit facilities consist of various committed and uncommitted lines of credit and other forms of bank debt with financial institutions utilized primarily to support the working capital requirements of foreign operations. The weighted average interest rate on the bank credit facilities was 3.6% and 4.3% at March 29, 2014 and June 29, 2013, respectively.</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2013, the Company amended and extended its accounts receivable securitization program (the “Program”) with a group of financial institutions to allow the Company to sell, on a revolving basis, an undivided interest of up to $800.0 million in eligible receivables while retaining a subordinated interest in a portion of the receivables. The Program does not qualify for sale accounting treatment and, as a result, any borrowings under the Program are recorded as debt on the consolidated balance sheets. The Program contains certain covenants, all of which the Company was in compliance with as of March 29, 2014. The Program has a one-year term that expires in August 2014. Interest on borrowings is calculated using a base rate or a commercial paper rate plus a spread of 0.35%. The facility fee is 0.35%.</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March 2014, the Company redeemed the $300.0 million of outstanding 5.875% Notes due March 15, 2014 upon their maturity.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33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29,</w:t>
            </w:r>
          </w:p>
        </w:tc>
      </w:tr>
      <w:tr>
        <w:trPr>
          <w:trHeight w:val="234"/>
        </w:trPr>
        <w:tc>
          <w:tcPr>
            <w:tcW w:w="6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6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4"/>
          </w:tcPr>
          <w:p>
            <w:pPr>
              <w:spacing w:after="0"/>
              <w:rPr>
                <w:sz w:val="2"/>
                <w:szCs w:val="2"/>
                <w:color w:val="auto"/>
              </w:rPr>
            </w:pPr>
          </w:p>
        </w:tc>
      </w:tr>
      <w:tr>
        <w:trPr>
          <w:trHeight w:val="237"/>
        </w:trPr>
        <w:tc>
          <w:tcPr>
            <w:tcW w:w="62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6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6.000%</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September 1, 2015</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6.625%</w:t>
            </w:r>
          </w:p>
        </w:tc>
        <w:tc>
          <w:tcPr>
            <w:tcW w:w="7700" w:type="dxa"/>
            <w:vAlign w:val="bottom"/>
          </w:tcPr>
          <w:p>
            <w:pPr>
              <w:ind w:left="20"/>
              <w:spacing w:after="0"/>
              <w:rPr>
                <w:sz w:val="20"/>
                <w:szCs w:val="20"/>
                <w:color w:val="auto"/>
              </w:rPr>
            </w:pPr>
            <w:r>
              <w:rPr>
                <w:rFonts w:ascii="Arial" w:cs="Arial" w:eastAsia="Arial" w:hAnsi="Arial"/>
                <w:sz w:val="18"/>
                <w:szCs w:val="18"/>
                <w:color w:val="auto"/>
              </w:rPr>
              <w:t>Notes due September 15, 2016</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300,000</w:t>
            </w:r>
          </w:p>
        </w:tc>
      </w:tr>
      <w:tr>
        <w:trPr>
          <w:trHeight w:val="27"/>
        </w:trPr>
        <w:tc>
          <w:tcPr>
            <w:tcW w:w="620" w:type="dxa"/>
            <w:vAlign w:val="bottom"/>
          </w:tcPr>
          <w:p>
            <w:pPr>
              <w:spacing w:after="0"/>
              <w:rPr>
                <w:sz w:val="2"/>
                <w:szCs w:val="2"/>
                <w:color w:val="auto"/>
              </w:rPr>
            </w:pPr>
          </w:p>
        </w:tc>
        <w:tc>
          <w:tcPr>
            <w:tcW w:w="7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5.875%</w:t>
            </w:r>
          </w:p>
        </w:tc>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Notes due June 15, 2020</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300,000</w:t>
            </w:r>
          </w:p>
        </w:tc>
      </w:tr>
      <w:tr>
        <w:trPr>
          <w:trHeight w:val="243"/>
        </w:trPr>
        <w:tc>
          <w:tcPr>
            <w:tcW w:w="620" w:type="dxa"/>
            <w:vAlign w:val="bottom"/>
          </w:tcPr>
          <w:p>
            <w:pPr>
              <w:ind w:left="40"/>
              <w:spacing w:after="0"/>
              <w:rPr>
                <w:sz w:val="20"/>
                <w:szCs w:val="20"/>
                <w:color w:val="auto"/>
              </w:rPr>
            </w:pPr>
            <w:r>
              <w:rPr>
                <w:rFonts w:ascii="Arial" w:cs="Arial" w:eastAsia="Arial" w:hAnsi="Arial"/>
                <w:sz w:val="18"/>
                <w:szCs w:val="18"/>
                <w:color w:val="auto"/>
                <w:w w:val="91"/>
              </w:rPr>
              <w:t>4.875%</w:t>
            </w:r>
          </w:p>
        </w:tc>
        <w:tc>
          <w:tcPr>
            <w:tcW w:w="7700" w:type="dxa"/>
            <w:vAlign w:val="bottom"/>
          </w:tcPr>
          <w:p>
            <w:pPr>
              <w:ind w:left="20"/>
              <w:spacing w:after="0"/>
              <w:rPr>
                <w:sz w:val="20"/>
                <w:szCs w:val="20"/>
                <w:color w:val="auto"/>
              </w:rPr>
            </w:pPr>
            <w:r>
              <w:rPr>
                <w:rFonts w:ascii="Arial" w:cs="Arial" w:eastAsia="Arial" w:hAnsi="Arial"/>
                <w:sz w:val="18"/>
                <w:szCs w:val="18"/>
                <w:color w:val="auto"/>
              </w:rPr>
              <w:t>Notes due December 1, 2022</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350,000</w:t>
            </w:r>
          </w:p>
        </w:tc>
      </w:tr>
      <w:tr>
        <w:trPr>
          <w:trHeight w:val="27"/>
        </w:trPr>
        <w:tc>
          <w:tcPr>
            <w:tcW w:w="83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2012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6,700</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Other long-term debt</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4,163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2,879</w:t>
            </w:r>
          </w:p>
        </w:tc>
      </w:tr>
      <w:tr>
        <w:trPr>
          <w:trHeight w:val="27"/>
        </w:trPr>
        <w:tc>
          <w:tcPr>
            <w:tcW w:w="83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Long-term debt before discount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1,224,163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1,209,579</w:t>
            </w:r>
          </w:p>
        </w:tc>
      </w:tr>
      <w:tr>
        <w:trPr>
          <w:trHeight w:val="243"/>
        </w:trPr>
        <w:tc>
          <w:tcPr>
            <w:tcW w:w="8320" w:type="dxa"/>
            <w:vAlign w:val="bottom"/>
            <w:gridSpan w:val="2"/>
          </w:tcPr>
          <w:p>
            <w:pPr>
              <w:ind w:left="40"/>
              <w:spacing w:after="0"/>
              <w:rPr>
                <w:sz w:val="20"/>
                <w:szCs w:val="20"/>
                <w:color w:val="auto"/>
              </w:rPr>
            </w:pPr>
            <w:r>
              <w:rPr>
                <w:rFonts w:ascii="Arial" w:cs="Arial" w:eastAsia="Arial" w:hAnsi="Arial"/>
                <w:sz w:val="18"/>
                <w:szCs w:val="18"/>
                <w:color w:val="auto"/>
              </w:rPr>
              <w:t>Discount on notes</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(2,586)</w:t>
            </w:r>
          </w:p>
        </w:tc>
      </w:tr>
      <w:tr>
        <w:trPr>
          <w:trHeight w:val="27"/>
        </w:trPr>
        <w:tc>
          <w:tcPr>
            <w:tcW w:w="83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Long-term debt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1,221,977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1,206,993</w:t>
            </w:r>
          </w:p>
        </w:tc>
      </w:tr>
      <w:tr>
        <w:trPr>
          <w:trHeight w:val="20"/>
        </w:trPr>
        <w:tc>
          <w:tcPr>
            <w:tcW w:w="6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Company has a five-year $1.0 billion senior unsecured revolving credit facility (the "2012 Credit Facility") with a syndicate of banks that expires in November 2016. Under the 2012 Credit Facility, the Company may select from various interest rate options, currencies and maturities. The 2012 Credit Facility contains certain covenants, all of which the Company was in compliance with as of March 29, 2014. At March 29, 2014, there were $20.0 million in borrowings outstanding under the 2012 Credit Facility and $2.0 million in letters of credit issued, which represent a utilization of borrowing capacity but are not recorded in the consolidated balance sheets as the letters of credit are not debt. At June 29, 2013, there were $6.7 million in borrowings outstanding and $2.3 million in letters of credit issued under the 2012 Credit Facility.</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At March 29, 2014, the carrying value and fair value of the Company’s total debt was $2.07 billion and $2.18 billion, respectively. At June 29, 2013, the carrying value and fair value of the Company's total debt was $2.05 billion and $2.13 billion, respectively. Fair value was estimated primarily based upon quoted market prices.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financial instruments</w:t>
      </w:r>
    </w:p>
    <w:p>
      <w:pPr>
        <w:spacing w:after="0" w:line="18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(i.e., offsetting receivables and payables) as well as by creating offsetting positions through the use of derivative financial instruments, primarily forward foreign exchange contracts typically with maturities of less than sixty days ("economic hedges"). The Company continues to have exposure to foreign currency risks to the extent they are not hedged. The Company adjusts any economic hedges to fair value through the consolidated statements of operations primarily within "other income (expense), net." Therefore, the changes in valuation of the underlying items being economically hedged are offset by the changes in fair value of the forward foreign exchange contracts. The amounts representing the fair value of foreign exchange contracts, based upon level 2 criteria under the fair value hierarchy, are classified in the captions “other current assets” or “accrued expenses and other,” as applicable, in the accompanying consolidated balance sheets and were not material as of March 29, 2014 and June 29, 2013. The Company did not have material gains or losses related to the forward foreign exchange contracts during the first nine months and third quarters of fiscal 2014 and fiscal 2013.</w:t>
      </w:r>
    </w:p>
    <w:p>
      <w:pPr>
        <w:spacing w:after="0" w:line="13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126" w:lineRule="exact"/>
        <w:rPr>
          <w:sz w:val="20"/>
          <w:szCs w:val="20"/>
          <w:color w:val="auto"/>
        </w:rPr>
      </w:pPr>
    </w:p>
    <w:p>
      <w:pPr>
        <w:ind w:left="260" w:right="8740" w:hanging="252"/>
        <w:spacing w:after="0" w:line="456" w:lineRule="auto"/>
        <w:tabs>
          <w:tab w:leader="none" w:pos="197"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Bell</w:t>
      </w:r>
    </w:p>
    <w:p>
      <w:pPr>
        <w:spacing w:after="0" w:line="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fiscal 2011, the Company recognized a contingent liability for potential unpaid import duties associated with the acquisition of Bell Microproducts Inc. (“Bell”). Prior to the acquisition of Bell by Avnet, Customs and Border Protection (“CBP”) initiated a review of the importing process at one of Bell’s subsidiaries and identified compliance deficiencies. Subsequent to the acquisition of Bell by Avnet, CBP began a compliance audit. The Company evaluated projected duties, interest and penalties that potentially may be imposed as a result of the audit and recognized a contingent liability of $10.0 million. Depending on the ultimate resolution of the matter with CBP, the Company estimates that the range of the potential exposure associated with the liability may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337"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1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 up to $73.0 million; however, the Company believes the contingent liability recorded is a reasonable estimate of the liability based upon the facts available at this time.</w:t>
      </w:r>
    </w:p>
    <w:p>
      <w:pPr>
        <w:spacing w:after="0" w:line="13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LCD Class Action Settlement</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Company filed a proof of claim in the settlement of a class action proceeding that sought damages from certain manufacturers of LCD flat panel displays. A settlement was reached in the proceedings and in the first quarter of fiscal 2014 the federal district judge overseeing the proceeding issued an order approving the distribution of settlement funds to the class claimants and the Company received an award payment of $19.1 million. In the third quarter of fiscal 2014, the federal district judge overseeing the proceedings issued an order approving a final distribution of funds and the Company received a final award payment of $3.0 million. The total award of $22.1 million is classified within "gain on legal settlement, bargain purchase and other" in the consolidated statements of operations.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ongoing matters will have a material adverse effect on the Company’s financial condition, liquidity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Company’s effective tax rate on its income before income taxes was 31.0% in the third quarter of fiscal 2014 as compared with 40.3% in the third quarter of fiscal 2013. During the third quarter of fiscal 2014, the Company's effective tax rate was favorably impacted by the mix of income in lower tax rate jurisdictions and a lower level of increases to valuation allowances and reserves.</w:t>
      </w:r>
    </w:p>
    <w:p>
      <w:pPr>
        <w:spacing w:after="0" w:line="14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first nine months of fiscal 2014 and 2013, the Company's effective tax rate was 31.6% and 23.2%, respectively. This increase in the effective tax rate was due primarily to the fiscal 2013 effective tax rate including the favorable settlement of two IRS audits for the Company and an acquired company, and a non-taxable gain on a bargain purchase, partially offset by increases to valuation allowances and reserves. Due to the reduced level of income before income taxes in the first nine months of fiscal 2013, the net favorable impact of these items on the effective tax rate was significant. The effective tax rate for the first nine months of fiscal 2013 was also favorably impacted, to a lesser extent, by the mix of income earned in lower tax rate jurisdictions.</w:t>
      </w:r>
    </w:p>
    <w:p>
      <w:pPr>
        <w:spacing w:after="0" w:line="11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Prior to fiscal 2011, the Company had established a full valuation allowance against significant net operating loss carry-forward deferred tax assets related to a legal entity in EMEA due to, among several other factors, a history of losses in that entity. Since fiscal 2011, the Company determined that a full valuation allowance related to this entity was no longer required due to the expected continuation of improved earnings in the foreseeable future and, as a result, the Company's effective tax rate was positively impacted (decreased) from the release of portions of the valuation allowance. The Company will continue to evaluate the need for a valuation allowance against these deferred tax assets and will adjust the valuation allowance as deemed appropriate which, if reduced, could result in a significant decrease to the effective tax rate. The carrying value of the Company’s deferred tax assets is dependent upon the Company’s ability to generate sufficient future taxable income in certain tax jurisdictions and factors that are considered in such an evaluation include historic levels of income, expectations and risk associated with estimates of future taxable income and ongoing prudent and feasible tax planning strategies.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Pension plan</w:t>
      </w:r>
    </w:p>
    <w:p>
      <w:pPr>
        <w:spacing w:after="0" w:line="18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has a noncontributory defined benefit pension plan (the “Plan”) for which the components of net periodic pension costs during the third quarters and nine months ended March 29, 2014 and March 30, 2013 were as follows: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337"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460"/>
              <w:spacing w:after="0"/>
              <w:rPr>
                <w:sz w:val="20"/>
                <w:szCs w:val="20"/>
                <w:color w:val="auto"/>
              </w:rPr>
            </w:pPr>
            <w:r>
              <w:rPr>
                <w:rFonts w:ascii="Arial" w:cs="Arial" w:eastAsia="Arial" w:hAnsi="Arial"/>
                <w:sz w:val="18"/>
                <w:szCs w:val="18"/>
                <w:b w:val="1"/>
                <w:bCs w:val="1"/>
                <w:color w:val="auto"/>
              </w:rPr>
              <w:t>Third Quarters Ended</w:t>
            </w:r>
          </w:p>
        </w:tc>
        <w:tc>
          <w:tcPr>
            <w:tcW w:w="220" w:type="dxa"/>
            <w:vAlign w:val="bottom"/>
          </w:tcPr>
          <w:p>
            <w:pPr>
              <w:spacing w:after="0"/>
              <w:rPr>
                <w:sz w:val="20"/>
                <w:szCs w:val="20"/>
                <w:color w:val="auto"/>
              </w:rPr>
            </w:pPr>
          </w:p>
        </w:tc>
        <w:tc>
          <w:tcPr>
            <w:tcW w:w="28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30,</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30,</w:t>
            </w:r>
          </w:p>
        </w:tc>
      </w:t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82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9,183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9,230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27,549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27,690</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4,289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12,867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10,989</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(23,181)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(20,928)</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Recognized net actuarial loss</w:t>
            </w:r>
          </w:p>
        </w:tc>
        <w:tc>
          <w:tcPr>
            <w:tcW w:w="22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9,513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11,172</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credit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r>
      <w:tr>
        <w:trPr>
          <w:trHeight w:val="257"/>
        </w:trPr>
        <w:tc>
          <w:tcPr>
            <w:tcW w:w="5140" w:type="dxa"/>
            <w:vAlign w:val="bottom"/>
          </w:tcPr>
          <w:p>
            <w:pPr>
              <w:ind w:left="180"/>
              <w:spacing w:after="0"/>
              <w:rPr>
                <w:sz w:val="20"/>
                <w:szCs w:val="20"/>
                <w:color w:val="auto"/>
              </w:rPr>
            </w:pPr>
            <w:r>
              <w:rPr>
                <w:rFonts w:ascii="Arial" w:cs="Arial" w:eastAsia="Arial" w:hAnsi="Arial"/>
                <w:sz w:val="18"/>
                <w:szCs w:val="18"/>
                <w:color w:val="auto"/>
              </w:rPr>
              <w:t>Net periodic pension cost</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8,523</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9,248</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25,569</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27,744</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made contributions to the Plan of $30.0 million during the first nine months of fiscal 2014. The Company expects to make an additional contribution to the Plan of $10.0 million in the fourth quarter of fiscal 2014.</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Shareholders' equity</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Share repurchase program</w:t>
      </w:r>
    </w:p>
    <w:p>
      <w:pPr>
        <w:spacing w:after="0" w:line="185"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In August 2012, the Company’s Board of Directors amended the Company's existing share repurchase program to authorize the repurchase of up to $750.0 million of common stock in the open market or through privately negotiated transactions. The timing and actual number of shares purchased will depend on a variety of factors such as price, corporate and regulatory requirements, and prevailing market conditions. During the third quarter and first nine months of fiscal 2014, the Company repurchased 31,700 shares under this program at an average market price of $39.50 per share for a total cost of $1.3 million. Since the beginning of the repurchase program through the end of the first nine months of fiscal 2014, the Company has repurchased 17,921,700 shares at an aggregate cost of $526.8 million, and $223.2 million remains available for future repurchases under the share repurchase program.</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February 2014, the Company's Board of Directors approved a dividend of $0.15 per common share to the shareholders of record on March 4,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Dividend payments of $20.7 million were made in March 2014.</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During the first nine months of fiscal 2014, the Company has paid dividends of $0.45 per common share and $62.0 million in total.</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r>
              <w:rPr>
                <w:rFonts w:ascii="Arial" w:cs="Arial" w:eastAsia="Arial" w:hAnsi="Arial"/>
                <w:sz w:val="18"/>
                <w:szCs w:val="18"/>
                <w:b w:val="1"/>
                <w:bCs w:val="1"/>
                <w:color w:val="auto"/>
              </w:rPr>
              <w:t>10. Earnings per share</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980" w:type="dxa"/>
            <w:vAlign w:val="bottom"/>
            <w:gridSpan w:val="5"/>
          </w:tcPr>
          <w:p>
            <w:pPr>
              <w:ind w:left="460"/>
              <w:spacing w:after="0"/>
              <w:rPr>
                <w:sz w:val="20"/>
                <w:szCs w:val="20"/>
                <w:color w:val="auto"/>
              </w:rPr>
            </w:pPr>
            <w:r>
              <w:rPr>
                <w:rFonts w:ascii="Arial" w:cs="Arial" w:eastAsia="Arial" w:hAnsi="Arial"/>
                <w:sz w:val="18"/>
                <w:szCs w:val="18"/>
                <w:b w:val="1"/>
                <w:bCs w:val="1"/>
                <w:color w:val="auto"/>
              </w:rPr>
              <w:t>Third Quarters Ended</w:t>
            </w:r>
          </w:p>
        </w:tc>
        <w:tc>
          <w:tcPr>
            <w:tcW w:w="220" w:type="dxa"/>
            <w:vAlign w:val="bottom"/>
          </w:tcPr>
          <w:p>
            <w:pPr>
              <w:spacing w:after="0"/>
              <w:rPr>
                <w:sz w:val="24"/>
                <w:szCs w:val="24"/>
                <w:color w:val="auto"/>
              </w:rPr>
            </w:pPr>
          </w:p>
        </w:tc>
        <w:tc>
          <w:tcPr>
            <w:tcW w:w="28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14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30,</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30,</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gridSpan w:val="5"/>
          </w:tcPr>
          <w:p>
            <w:pPr>
              <w:ind w:left="40"/>
              <w:spacing w:after="0"/>
              <w:rPr>
                <w:sz w:val="20"/>
                <w:szCs w:val="20"/>
                <w:color w:val="auto"/>
              </w:rPr>
            </w:pPr>
            <w:r>
              <w:rPr>
                <w:rFonts w:ascii="Arial" w:cs="Arial" w:eastAsia="Arial" w:hAnsi="Arial"/>
                <w:sz w:val="18"/>
                <w:szCs w:val="18"/>
                <w:b w:val="1"/>
                <w:bCs w:val="1"/>
                <w:color w:val="auto"/>
                <w:w w:val="97"/>
              </w:rPr>
              <w:t>(Thousands, except per share data)</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514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113,851</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86,196</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359,339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323,982</w:t>
            </w:r>
          </w:p>
        </w:tc>
        <w:tc>
          <w:tcPr>
            <w:tcW w:w="0" w:type="dxa"/>
            <w:vAlign w:val="bottom"/>
          </w:tcPr>
          <w:p>
            <w:pPr>
              <w:spacing w:after="0"/>
              <w:rPr>
                <w:sz w:val="1"/>
                <w:szCs w:val="1"/>
                <w:color w:val="auto"/>
              </w:rPr>
            </w:pPr>
          </w:p>
        </w:tc>
      </w:tr>
      <w:tr>
        <w:trPr>
          <w:trHeight w:val="23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40" w:type="dxa"/>
            <w:vAlign w:val="bottom"/>
          </w:tcPr>
          <w:p>
            <w:pPr>
              <w:ind w:left="180"/>
              <w:spacing w:after="0"/>
              <w:rPr>
                <w:sz w:val="20"/>
                <w:szCs w:val="20"/>
                <w:color w:val="auto"/>
              </w:rPr>
            </w:pPr>
            <w:r>
              <w:rPr>
                <w:rFonts w:ascii="Arial" w:cs="Arial" w:eastAsia="Arial" w:hAnsi="Arial"/>
                <w:sz w:val="18"/>
                <w:szCs w:val="18"/>
                <w:color w:val="auto"/>
              </w:rPr>
              <w:t>Weighted average common shares for basic earnings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300"/>
              <w:spacing w:after="0"/>
              <w:rPr>
                <w:sz w:val="20"/>
                <w:szCs w:val="20"/>
                <w:color w:val="auto"/>
              </w:rPr>
            </w:pPr>
            <w:r>
              <w:rPr>
                <w:rFonts w:ascii="Arial" w:cs="Arial" w:eastAsia="Arial" w:hAnsi="Arial"/>
                <w:sz w:val="18"/>
                <w:szCs w:val="18"/>
                <w:color w:val="auto"/>
              </w:rPr>
              <w:t>per share</w:t>
            </w:r>
          </w:p>
        </w:tc>
        <w:tc>
          <w:tcPr>
            <w:tcW w:w="220" w:type="dxa"/>
            <w:vAlign w:val="bottom"/>
          </w:tcPr>
          <w:p>
            <w:pPr>
              <w:spacing w:after="0"/>
              <w:rPr>
                <w:sz w:val="20"/>
                <w:szCs w:val="20"/>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138,418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137,102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137,845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138,215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effect of dilutive stock option, restricted stock and</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performance share awards</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1,913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2,101</w:t>
            </w:r>
          </w:p>
        </w:tc>
        <w:tc>
          <w:tcPr>
            <w:tcW w:w="0" w:type="dxa"/>
            <w:vAlign w:val="bottom"/>
          </w:tcPr>
          <w:p>
            <w:pPr>
              <w:spacing w:after="0"/>
              <w:rPr>
                <w:sz w:val="1"/>
                <w:szCs w:val="1"/>
                <w:color w:val="auto"/>
              </w:rPr>
            </w:pPr>
          </w:p>
        </w:tc>
      </w:tr>
      <w:tr>
        <w:trPr>
          <w:trHeight w:val="209"/>
        </w:trPr>
        <w:tc>
          <w:tcPr>
            <w:tcW w:w="5140" w:type="dxa"/>
            <w:vAlign w:val="bottom"/>
          </w:tcPr>
          <w:p>
            <w:pPr>
              <w:ind w:left="180"/>
              <w:spacing w:after="0"/>
              <w:rPr>
                <w:sz w:val="20"/>
                <w:szCs w:val="20"/>
                <w:color w:val="auto"/>
              </w:rPr>
            </w:pPr>
            <w:r>
              <w:rPr>
                <w:rFonts w:ascii="Arial" w:cs="Arial" w:eastAsia="Arial" w:hAnsi="Arial"/>
                <w:sz w:val="18"/>
                <w:szCs w:val="18"/>
                <w:color w:val="auto"/>
              </w:rPr>
              <w:t>Weighted average common shares for diluted earnings</w:t>
            </w: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140,179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139,015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140,015</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140,316</w:t>
            </w:r>
          </w:p>
        </w:tc>
        <w:tc>
          <w:tcPr>
            <w:tcW w:w="0" w:type="dxa"/>
            <w:vAlign w:val="bottom"/>
          </w:tcPr>
          <w:p>
            <w:pPr>
              <w:spacing w:after="0"/>
              <w:rPr>
                <w:sz w:val="1"/>
                <w:szCs w:val="1"/>
                <w:color w:val="auto"/>
              </w:rPr>
            </w:pPr>
          </w:p>
        </w:tc>
      </w:tr>
      <w:tr>
        <w:trPr>
          <w:trHeight w:val="277"/>
        </w:trPr>
        <w:tc>
          <w:tcPr>
            <w:tcW w:w="51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per share</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0.82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14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0.62</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337" w:right="239"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For the three and nine months ended March 29, 2014 and for the three months ended March 30, 2013, none of the outstanding options were excluded from the calculation of diluted earnings per share because all of the outstanding options were dilutive. For the nine months ended March 30, 2013, 565,840 options were excluded from this calculation, because the exercise price for those options was above the average market price of the Company’s shares for those periods and inclusion of these options in the diluted earnings per share calculation would have had an anti-dilutive effect.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Interest and income taxes paid in the nine months ended March 29, 2014 and March 30, 2013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3"/>
          </w:tcPr>
          <w:p>
            <w:pPr>
              <w:jc w:val="right"/>
              <w:ind w:right="67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8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29,</w:t>
            </w:r>
          </w:p>
        </w:tc>
        <w:tc>
          <w:tcPr>
            <w:tcW w:w="32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30,</w:t>
            </w:r>
          </w:p>
        </w:tc>
      </w:tr>
      <w:tr>
        <w:trPr>
          <w:trHeight w:val="234"/>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3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8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gridSpan w:val="3"/>
          </w:tcPr>
          <w:p>
            <w:pPr>
              <w:spacing w:after="0"/>
              <w:rPr>
                <w:sz w:val="2"/>
                <w:szCs w:val="2"/>
                <w:color w:val="auto"/>
              </w:rPr>
            </w:pPr>
          </w:p>
        </w:tc>
      </w:tr>
      <w:tr>
        <w:trPr>
          <w:trHeight w:val="237"/>
        </w:trPr>
        <w:tc>
          <w:tcPr>
            <w:tcW w:w="8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6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(Thousands)</w:t>
            </w:r>
          </w:p>
        </w:tc>
      </w:tr>
      <w:tr>
        <w:trPr>
          <w:trHeight w:val="27"/>
        </w:trPr>
        <w:tc>
          <w:tcPr>
            <w:tcW w:w="8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86,844</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82,114</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Income taxes paid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165,885</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131,218</w:t>
            </w:r>
          </w:p>
        </w:tc>
      </w:tr>
    </w:tbl>
    <w:p>
      <w:pPr>
        <w:spacing w:after="0" w:line="18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includes book overdrafts as part of accounts payable on its consolidated balance sheets and reflects changes in such balances as part of cash flows from operating activities in its consolidated statements of cash flows.</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nine months ended March 29, 2014, the Company had non-cash financing activities of $38.1 million related to contingent consideration in connection with acquisition activity in fiscal 2014.</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information</w:t>
      </w:r>
    </w:p>
    <w:p>
      <w:pPr>
        <w:spacing w:after="0" w:line="18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At the beginning of fiscal 2014, the Company began excluding amortization expense associated with acquired intangible assets from the operating income of the Electronics Marketing (“EM”) and Technology Solutions (“TS”) reportable operating segments (“operating groups”) in order to measure such operating results consistent with how many technology companies measure operating performance and given that such amortization expense is non-cash in nature. As a result of this change, prior period segment information has been recast to conform to the new measure of profitability used during fiscal 2014. The change in the measure of operating group profitability did not impact the determination of the Company’s operating groups or the previously reported consolidated financial results.</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At the beginning of fiscal 2014, a portion of the Company's reverse logistics operations, which was previously included in the EM operating group, was combined within the TS operating group. The Company also combined its regional computing components operations within EM and TS into a single global organization within TS. As a result of these changes, sales, operating income and assets previously reported in the EM operating group in fiscal 2013 have been included within the TS operating group in fiscal 2014. The Company does not view the amount of sales, operating income, or assets of such transferred operations to be a material change to the composition of its operating groups for financial reporting purposes. Sales related to such transferred operations reported in the EM operating group in the third quarter and first nine months of fiscal 2013 were $110.9 million and $344.6 million, respectively. The transfer of such operations between operating groups did not impact the determination of the Company’s operating groups or the previously reported consolidated financial results.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337" w:right="23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460"/>
              <w:spacing w:after="0"/>
              <w:rPr>
                <w:sz w:val="20"/>
                <w:szCs w:val="20"/>
                <w:color w:val="auto"/>
              </w:rPr>
            </w:pPr>
            <w:r>
              <w:rPr>
                <w:rFonts w:ascii="Arial" w:cs="Arial" w:eastAsia="Arial" w:hAnsi="Arial"/>
                <w:sz w:val="18"/>
                <w:szCs w:val="18"/>
                <w:b w:val="1"/>
                <w:bCs w:val="1"/>
                <w:color w:val="auto"/>
              </w:rPr>
              <w:t>Third Quarters Ended</w:t>
            </w:r>
          </w:p>
        </w:tc>
        <w:tc>
          <w:tcPr>
            <w:tcW w:w="220" w:type="dxa"/>
            <w:vAlign w:val="bottom"/>
          </w:tcPr>
          <w:p>
            <w:pPr>
              <w:spacing w:after="0"/>
              <w:rPr>
                <w:sz w:val="20"/>
                <w:szCs w:val="20"/>
                <w:color w:val="auto"/>
              </w:rPr>
            </w:pPr>
          </w:p>
        </w:tc>
        <w:tc>
          <w:tcPr>
            <w:tcW w:w="28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30,</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March 30,</w:t>
            </w: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82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4,133,004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3,797,206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12,225,911</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11,123,851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2,550,612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2,501,493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8,225,034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7,744,370</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6,683,616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6,298,699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20,450,945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18,868,221</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(expense):</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Electronics Marketing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193,437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165,023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540,905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457,117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Technology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60,887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243,703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220,400</w:t>
            </w:r>
          </w:p>
        </w:tc>
        <w:tc>
          <w:tcPr>
            <w:tcW w:w="0" w:type="dxa"/>
            <w:vAlign w:val="bottom"/>
          </w:tcPr>
          <w:p>
            <w:pPr>
              <w:spacing w:after="0"/>
              <w:rPr>
                <w:sz w:val="1"/>
                <w:szCs w:val="1"/>
                <w:color w:val="auto"/>
              </w:rPr>
            </w:pP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(30,530)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(29,942)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(98,126)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(100,862)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223,794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203,697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686,482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576,655</w:t>
            </w:r>
          </w:p>
        </w:tc>
        <w:tc>
          <w:tcPr>
            <w:tcW w:w="0" w:type="dxa"/>
            <w:vAlign w:val="bottom"/>
          </w:tcPr>
          <w:p>
            <w:pPr>
              <w:spacing w:after="0"/>
              <w:rPr>
                <w:sz w:val="1"/>
                <w:szCs w:val="1"/>
                <w:color w:val="auto"/>
              </w:rPr>
            </w:pPr>
          </w:p>
        </w:tc>
      </w:tr>
      <w:tr>
        <w:trPr>
          <w:trHeight w:val="229"/>
        </w:trPr>
        <w:tc>
          <w:tcPr>
            <w:tcW w:w="5140" w:type="dxa"/>
            <w:vAlign w:val="bottom"/>
          </w:tcPr>
          <w:p>
            <w:pPr>
              <w:ind w:left="40"/>
              <w:spacing w:after="0"/>
              <w:rPr>
                <w:sz w:val="20"/>
                <w:szCs w:val="20"/>
                <w:color w:val="auto"/>
              </w:rPr>
            </w:pPr>
            <w:r>
              <w:rPr>
                <w:rFonts w:ascii="Arial" w:cs="Arial" w:eastAsia="Arial" w:hAnsi="Arial"/>
                <w:sz w:val="18"/>
                <w:szCs w:val="18"/>
                <w:color w:val="auto"/>
              </w:rPr>
              <w:t>Restructuring, integration and other expenses</w:t>
            </w: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40" w:type="dxa"/>
            <w:vAlign w:val="bottom"/>
          </w:tcPr>
          <w:p>
            <w:pPr>
              <w:ind w:left="220"/>
              <w:spacing w:after="0"/>
              <w:rPr>
                <w:sz w:val="20"/>
                <w:szCs w:val="20"/>
                <w:color w:val="auto"/>
              </w:rPr>
            </w:pPr>
            <w:r>
              <w:rPr>
                <w:rFonts w:ascii="Arial" w:cs="Arial" w:eastAsia="Arial" w:hAnsi="Arial"/>
                <w:sz w:val="18"/>
                <w:szCs w:val="18"/>
                <w:color w:val="auto"/>
              </w:rPr>
              <w:t>(Note 13)</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(26,083)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(66,624)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(89,655)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acquired intangible assets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(23,844)</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184,843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167,610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585,402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463,156</w:t>
            </w:r>
          </w:p>
        </w:tc>
        <w:tc>
          <w:tcPr>
            <w:tcW w:w="0" w:type="dxa"/>
            <w:vAlign w:val="bottom"/>
          </w:tcPr>
          <w:p>
            <w:pPr>
              <w:spacing w:after="0"/>
              <w:rPr>
                <w:sz w:val="1"/>
                <w:szCs w:val="1"/>
                <w:color w:val="auto"/>
              </w:rPr>
            </w:pPr>
          </w:p>
        </w:tc>
      </w:tr>
      <w:tr>
        <w:trPr>
          <w:trHeight w:val="67"/>
        </w:trPr>
        <w:tc>
          <w:tcPr>
            <w:tcW w:w="51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by geographic area:</w:t>
            </w:r>
          </w:p>
        </w:tc>
        <w:tc>
          <w:tcPr>
            <w:tcW w:w="2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14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2,567,139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2,620,295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8,119,450</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7,935,867</w:t>
            </w:r>
          </w:p>
        </w:tc>
        <w:tc>
          <w:tcPr>
            <w:tcW w:w="0" w:type="dxa"/>
            <w:vAlign w:val="bottom"/>
          </w:tcPr>
          <w:p>
            <w:pPr>
              <w:spacing w:after="0"/>
              <w:rPr>
                <w:sz w:val="1"/>
                <w:szCs w:val="1"/>
                <w:color w:val="auto"/>
              </w:rPr>
            </w:pPr>
          </w:p>
        </w:tc>
      </w:tr>
      <w:tr>
        <w:trPr>
          <w:trHeight w:val="270"/>
        </w:trPr>
        <w:tc>
          <w:tcPr>
            <w:tcW w:w="51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2,160,383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1,883,007</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6,105,393</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5,355,124</w:t>
            </w: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 xml:space="preserve">Asia/Pacific </w:t>
            </w:r>
            <w:r>
              <w:rPr>
                <w:rFonts w:ascii="Arial" w:cs="Arial" w:eastAsia="Arial" w:hAnsi="Arial"/>
                <w:sz w:val="25"/>
                <w:szCs w:val="25"/>
                <w:color w:val="auto"/>
                <w:vertAlign w:val="superscript"/>
              </w:rPr>
              <w:t>(3)</w:t>
            </w:r>
          </w:p>
        </w:tc>
        <w:tc>
          <w:tcPr>
            <w:tcW w:w="2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1,956,094</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1,795,397</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6,226,102</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5,577,230</w:t>
            </w:r>
          </w:p>
        </w:tc>
        <w:tc>
          <w:tcPr>
            <w:tcW w:w="0" w:type="dxa"/>
            <w:vAlign w:val="bottom"/>
          </w:tcPr>
          <w:p>
            <w:pPr>
              <w:spacing w:after="0"/>
              <w:rPr>
                <w:sz w:val="1"/>
                <w:szCs w:val="1"/>
                <w:color w:val="auto"/>
              </w:rPr>
            </w:pPr>
          </w:p>
        </w:tc>
      </w:tr>
      <w:tr>
        <w:trPr>
          <w:trHeight w:val="269"/>
        </w:trPr>
        <w:tc>
          <w:tcPr>
            <w:tcW w:w="5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6,683,616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6,298,699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20,450,945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18,868,221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52" w:lineRule="auto"/>
        <w:tabs>
          <w:tab w:leader="none" w:pos="660"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Includes sales from the United States of $2.30 billion and $2.30 billion for the third quarters ended March 29, 2014, and March 30, 2013, respectively. Includes sales from the United States of $7.20 billion and $6.90 billion for the first nine months of fiscal 2014 and 2013, respectively.</w:t>
      </w:r>
    </w:p>
    <w:p>
      <w:pPr>
        <w:spacing w:after="0" w:line="54" w:lineRule="exact"/>
        <w:rPr>
          <w:rFonts w:ascii="Arial" w:cs="Arial" w:eastAsia="Arial" w:hAnsi="Arial"/>
          <w:sz w:val="22"/>
          <w:szCs w:val="22"/>
          <w:color w:val="auto"/>
          <w:vertAlign w:val="superscript"/>
        </w:rPr>
      </w:pPr>
    </w:p>
    <w:p>
      <w:pPr>
        <w:jc w:val="both"/>
        <w:ind w:left="660" w:hanging="652"/>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Includes sales from Germany of $861.4 million for the third quarter ended March 29, 2014, and $2.50 billion for the first nine months of fiscal 2014. Includes sales from Germany and the United Kingdom of $736.4 million and $317.3 million, respectively, for the third quarter ended March 30, 2013, and $2.02 billion and $903.7 million, respectively, for the first nine months of fiscal 2013.</w:t>
      </w:r>
    </w:p>
    <w:p>
      <w:pPr>
        <w:spacing w:after="0" w:line="68" w:lineRule="exact"/>
        <w:rPr>
          <w:rFonts w:ascii="Arial" w:cs="Arial" w:eastAsia="Arial" w:hAnsi="Arial"/>
          <w:sz w:val="25"/>
          <w:szCs w:val="25"/>
          <w:color w:val="auto"/>
          <w:vertAlign w:val="superscript"/>
        </w:rPr>
      </w:pPr>
    </w:p>
    <w:p>
      <w:pPr>
        <w:jc w:val="both"/>
        <w:ind w:left="660" w:hanging="652"/>
        <w:spacing w:after="0" w:line="245" w:lineRule="auto"/>
        <w:tabs>
          <w:tab w:leader="none" w:pos="660" w:val="left"/>
        </w:tabs>
        <w:numPr>
          <w:ilvl w:val="0"/>
          <w:numId w:val="3"/>
        </w:numPr>
        <w:rPr>
          <w:rFonts w:ascii="Arial" w:cs="Arial" w:eastAsia="Arial" w:hAnsi="Arial"/>
          <w:sz w:val="24"/>
          <w:szCs w:val="24"/>
          <w:color w:val="auto"/>
          <w:vertAlign w:val="superscript"/>
        </w:rPr>
      </w:pPr>
      <w:r>
        <w:rPr>
          <w:rFonts w:ascii="Arial" w:cs="Arial" w:eastAsia="Arial" w:hAnsi="Arial"/>
          <w:sz w:val="17"/>
          <w:szCs w:val="17"/>
          <w:color w:val="auto"/>
        </w:rPr>
        <w:t>Includes sales from China (including Hong Kong) and Taiwan of $700.3 million and $605.7 million, respectively, for the third quarter ended March 29, 2014, and sales of $2.20 billion and $2.00 billion for the first nine months of fiscal 2014, respectively. Includes sales from China (including Hong Kong), Taiwan, and Singapore of $561.6 million, $563.2 million and $282.7 million, respectively, for the third quarter ended March 30, 2013, and $1.80 billion, $1.73 billion and $858.6 million, respectively, for the first nine months of fiscal 2013.</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337"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29,</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29,</w:t>
            </w: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4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(Thousands)</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Electronics Marketing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6,596,057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6,316,326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Technology Solutions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4,108,383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3,838,421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8300" w:type="dxa"/>
            <w:vAlign w:val="bottom"/>
          </w:tcPr>
          <w:p>
            <w:pPr>
              <w:ind w:left="160"/>
              <w:spacing w:after="0"/>
              <w:rPr>
                <w:sz w:val="20"/>
                <w:szCs w:val="20"/>
                <w:color w:val="auto"/>
              </w:rPr>
            </w:pPr>
            <w:r>
              <w:rPr>
                <w:rFonts w:ascii="Arial" w:cs="Arial" w:eastAsia="Arial" w:hAnsi="Arial"/>
                <w:sz w:val="18"/>
                <w:szCs w:val="18"/>
                <w:color w:val="auto"/>
              </w:rPr>
              <w:t>Corporate</w:t>
            </w: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196,340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319,933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83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10,900,780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10,474,680</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3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Property, plant, and equipment, net, by geographic area:</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83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8300" w:type="dxa"/>
            <w:vAlign w:val="bottom"/>
            <w:shd w:val="clear" w:color="auto" w:fill="CCEEFF"/>
          </w:tcPr>
          <w:p>
            <w:pPr>
              <w:ind w:left="160"/>
              <w:spacing w:after="0" w:line="270" w:lineRule="exact"/>
              <w:rPr>
                <w:sz w:val="20"/>
                <w:szCs w:val="20"/>
                <w:color w:val="auto"/>
              </w:rPr>
            </w:pPr>
            <w:r>
              <w:rPr>
                <w:rFonts w:ascii="Arial" w:cs="Arial" w:eastAsia="Arial" w:hAnsi="Arial"/>
                <w:sz w:val="18"/>
                <w:szCs w:val="18"/>
                <w:color w:val="auto"/>
              </w:rPr>
              <w:t xml:space="preserve">Americas </w:t>
            </w:r>
            <w:r>
              <w:rPr>
                <w:rFonts w:ascii="Arial" w:cs="Arial" w:eastAsia="Arial" w:hAnsi="Arial"/>
                <w:sz w:val="25"/>
                <w:szCs w:val="25"/>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289,306</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282,986</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30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EMEA </w:t>
            </w:r>
            <w:r>
              <w:rPr>
                <w:rFonts w:ascii="Arial" w:cs="Arial" w:eastAsia="Arial" w:hAnsi="Arial"/>
                <w:sz w:val="25"/>
                <w:szCs w:val="25"/>
                <w:color w:val="auto"/>
                <w:vertAlign w:val="superscript"/>
              </w:rPr>
              <w:t>(2)</w:t>
            </w: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203,125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177,908</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Asia/Pacific</w:t>
            </w: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29,890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31,712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3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522,321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492,606</w:t>
            </w:r>
          </w:p>
        </w:tc>
        <w:tc>
          <w:tcPr>
            <w:tcW w:w="0" w:type="dxa"/>
            <w:vAlign w:val="bottom"/>
          </w:tcPr>
          <w:p>
            <w:pPr>
              <w:spacing w:after="0"/>
              <w:rPr>
                <w:sz w:val="1"/>
                <w:szCs w:val="1"/>
                <w:color w:val="auto"/>
              </w:rPr>
            </w:pPr>
          </w:p>
        </w:tc>
      </w:tr>
      <w:tr>
        <w:trPr>
          <w:trHeight w:val="27"/>
        </w:trPr>
        <w:tc>
          <w:tcPr>
            <w:tcW w:w="8360" w:type="dxa"/>
            <w:vAlign w:val="bottom"/>
            <w:gridSpan w:val="2"/>
            <w:vMerge w:val="restart"/>
          </w:tcPr>
          <w:p>
            <w:pPr>
              <w:jc w:val="right"/>
              <w:ind w:right="6370"/>
              <w:spacing w:after="0"/>
              <w:rPr>
                <w:sz w:val="20"/>
                <w:szCs w:val="20"/>
                <w:color w:val="auto"/>
              </w:rPr>
            </w:pPr>
            <w:r>
              <w:rPr>
                <w:rFonts w:ascii="Arial" w:cs="Arial" w:eastAsia="Arial" w:hAnsi="Arial"/>
                <w:sz w:val="18"/>
                <w:szCs w:val="18"/>
                <w:color w:val="auto"/>
                <w:w w:val="89"/>
              </w:rPr>
              <w:t>_____________________</w:t>
            </w: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6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$281.0 million and $273.4 million as of March 29, 2014 and June 29, 2013, respectively, in the United States.</w:t>
      </w:r>
    </w:p>
    <w:p>
      <w:pPr>
        <w:spacing w:after="0" w:line="68" w:lineRule="exact"/>
        <w:rPr>
          <w:rFonts w:ascii="Arial" w:cs="Arial" w:eastAsia="Arial" w:hAnsi="Arial"/>
          <w:sz w:val="25"/>
          <w:szCs w:val="25"/>
          <w:color w:val="auto"/>
          <w:vertAlign w:val="superscript"/>
        </w:rPr>
      </w:pPr>
    </w:p>
    <w:p>
      <w:pPr>
        <w:ind w:left="660" w:hanging="652"/>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Includes property, plant and equipment, net, of $98.7 million and $62.8 million in Germany and Belgium, respectively, as of March 29, 2014 and $92.7 million and $45.1 million in Germany and Belgium, respectively, as of June 29, 2013.</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Restructuring, integration and other expenses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2014</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third quarter and first nine months of fiscal 2014, the Company took certain actions in an effort to reduce future operating costs including activities necessary to achieve planned synergies from recently acquired businesses. In addition, the Company incurred integration and other costs primarily associated with acquired or divested businesses and for the consolidation of facilities. The following table presents the restructuring, integration and other expenses incurred during the third quarter and first nine months of fiscal 2014:</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7"/>
              </w:rPr>
              <w:t>Third Quarter</w:t>
            </w:r>
          </w:p>
        </w:tc>
        <w:tc>
          <w:tcPr>
            <w:tcW w:w="300" w:type="dxa"/>
            <w:vAlign w:val="bottom"/>
          </w:tcPr>
          <w:p>
            <w:pPr>
              <w:spacing w:after="0"/>
              <w:rPr>
                <w:sz w:val="18"/>
                <w:szCs w:val="18"/>
                <w:color w:val="auto"/>
              </w:rPr>
            </w:pPr>
          </w:p>
        </w:tc>
        <w:tc>
          <w:tcPr>
            <w:tcW w:w="1860" w:type="dxa"/>
            <w:vAlign w:val="bottom"/>
          </w:tcPr>
          <w:p>
            <w:pPr>
              <w:jc w:val="center"/>
              <w:ind w:right="210"/>
              <w:spacing w:after="0"/>
              <w:rPr>
                <w:sz w:val="20"/>
                <w:szCs w:val="20"/>
                <w:color w:val="auto"/>
              </w:rPr>
            </w:pPr>
            <w:r>
              <w:rPr>
                <w:rFonts w:ascii="Arial" w:cs="Arial" w:eastAsia="Arial" w:hAnsi="Arial"/>
                <w:sz w:val="18"/>
                <w:szCs w:val="18"/>
                <w:b w:val="1"/>
                <w:bCs w:val="1"/>
                <w:color w:val="auto"/>
                <w:w w:val="92"/>
              </w:rPr>
              <w:t>Nine Months</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Ended</w:t>
            </w:r>
          </w:p>
        </w:tc>
        <w:tc>
          <w:tcPr>
            <w:tcW w:w="300" w:type="dxa"/>
            <w:vAlign w:val="bottom"/>
          </w:tcPr>
          <w:p>
            <w:pPr>
              <w:spacing w:after="0"/>
              <w:rPr>
                <w:sz w:val="18"/>
                <w:szCs w:val="18"/>
                <w:color w:val="auto"/>
              </w:rPr>
            </w:pPr>
          </w:p>
        </w:tc>
        <w:tc>
          <w:tcPr>
            <w:tcW w:w="1860" w:type="dxa"/>
            <w:vAlign w:val="bottom"/>
          </w:tcPr>
          <w:p>
            <w:pPr>
              <w:jc w:val="center"/>
              <w:ind w:right="23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March 29, 2014</w:t>
            </w:r>
          </w:p>
        </w:tc>
        <w:tc>
          <w:tcPr>
            <w:tcW w:w="300" w:type="dxa"/>
            <w:vAlign w:val="bottom"/>
          </w:tcPr>
          <w:p>
            <w:pPr>
              <w:spacing w:after="0"/>
              <w:rPr>
                <w:sz w:val="20"/>
                <w:szCs w:val="20"/>
                <w:color w:val="auto"/>
              </w:rPr>
            </w:pPr>
          </w:p>
        </w:tc>
        <w:tc>
          <w:tcPr>
            <w:tcW w:w="1860" w:type="dxa"/>
            <w:vAlign w:val="bottom"/>
          </w:tcPr>
          <w:p>
            <w:pPr>
              <w:jc w:val="center"/>
              <w:ind w:right="210"/>
              <w:spacing w:after="0"/>
              <w:rPr>
                <w:sz w:val="20"/>
                <w:szCs w:val="20"/>
                <w:color w:val="auto"/>
              </w:rPr>
            </w:pPr>
            <w:r>
              <w:rPr>
                <w:rFonts w:ascii="Arial" w:cs="Arial" w:eastAsia="Arial" w:hAnsi="Arial"/>
                <w:sz w:val="18"/>
                <w:szCs w:val="18"/>
                <w:b w:val="1"/>
                <w:bCs w:val="1"/>
                <w:color w:val="auto"/>
                <w:w w:val="93"/>
              </w:rPr>
              <w:t>March 29, 2014</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140" w:type="dxa"/>
            <w:vAlign w:val="bottom"/>
            <w:gridSpan w:val="4"/>
          </w:tcPr>
          <w:p>
            <w:pPr>
              <w:jc w:val="right"/>
              <w:ind w:right="770"/>
              <w:spacing w:after="0"/>
              <w:rPr>
                <w:sz w:val="20"/>
                <w:szCs w:val="20"/>
                <w:color w:val="auto"/>
              </w:rPr>
            </w:pPr>
            <w:r>
              <w:rPr>
                <w:rFonts w:ascii="Arial" w:cs="Arial" w:eastAsia="Arial" w:hAnsi="Arial"/>
                <w:sz w:val="18"/>
                <w:szCs w:val="18"/>
                <w:b w:val="1"/>
                <w:bCs w:val="1"/>
                <w:color w:val="auto"/>
              </w:rPr>
              <w:t>(Thousands, except per share data)</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7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19,276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46,180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Integration costs</w:t>
            </w: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12,332</w:t>
            </w:r>
          </w:p>
        </w:tc>
        <w:tc>
          <w:tcPr>
            <w:tcW w:w="0" w:type="dxa"/>
            <w:vAlign w:val="bottom"/>
          </w:tcPr>
          <w:p>
            <w:pPr>
              <w:spacing w:after="0"/>
              <w:rPr>
                <w:sz w:val="1"/>
                <w:szCs w:val="1"/>
                <w:color w:val="auto"/>
              </w:rPr>
            </w:pPr>
          </w:p>
        </w:tc>
      </w:tr>
      <w:tr>
        <w:trPr>
          <w:trHeight w:val="27"/>
        </w:trPr>
        <w:tc>
          <w:tcPr>
            <w:tcW w:w="55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costs including acquisition costs</w:t>
            </w:r>
          </w:p>
        </w:tc>
        <w:tc>
          <w:tcPr>
            <w:tcW w:w="1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2,329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6,870</w:t>
            </w:r>
          </w:p>
        </w:tc>
        <w:tc>
          <w:tcPr>
            <w:tcW w:w="0" w:type="dxa"/>
            <w:vAlign w:val="bottom"/>
          </w:tcPr>
          <w:p>
            <w:pPr>
              <w:spacing w:after="0"/>
              <w:rPr>
                <w:sz w:val="1"/>
                <w:szCs w:val="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Changes in estimates for prior restructuring liabilities</w:t>
            </w:r>
          </w:p>
        </w:tc>
        <w:tc>
          <w:tcPr>
            <w:tcW w:w="1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60" w:type="dxa"/>
            <w:vAlign w:val="bottom"/>
          </w:tcPr>
          <w:p>
            <w:pPr>
              <w:jc w:val="right"/>
              <w:ind w:right="10"/>
              <w:spacing w:after="0"/>
              <w:rPr>
                <w:sz w:val="20"/>
                <w:szCs w:val="20"/>
                <w:color w:val="auto"/>
              </w:rPr>
            </w:pPr>
            <w:r>
              <w:rPr>
                <w:rFonts w:ascii="Arial" w:cs="Arial" w:eastAsia="Arial" w:hAnsi="Arial"/>
                <w:sz w:val="18"/>
                <w:szCs w:val="18"/>
                <w:color w:val="auto"/>
              </w:rPr>
              <w:t>1,242</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integration and other expenses before tax</w:t>
            </w:r>
          </w:p>
        </w:tc>
        <w:tc>
          <w:tcPr>
            <w:tcW w:w="1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26,083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66,624</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Restructuring, integration and other expenses after tax</w:t>
            </w:r>
          </w:p>
        </w:tc>
        <w:tc>
          <w:tcPr>
            <w:tcW w:w="146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19,275</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49,872</w:t>
            </w:r>
          </w:p>
        </w:tc>
        <w:tc>
          <w:tcPr>
            <w:tcW w:w="0" w:type="dxa"/>
            <w:vAlign w:val="bottom"/>
          </w:tcPr>
          <w:p>
            <w:pPr>
              <w:spacing w:after="0"/>
              <w:rPr>
                <w:sz w:val="1"/>
                <w:szCs w:val="1"/>
                <w:color w:val="auto"/>
              </w:rPr>
            </w:pPr>
          </w:p>
        </w:tc>
      </w:tr>
      <w:tr>
        <w:trPr>
          <w:trHeight w:val="251"/>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Restructuring, integration and other expenses per share on a diluted basis</w:t>
            </w:r>
          </w:p>
        </w:tc>
        <w:tc>
          <w:tcPr>
            <w:tcW w:w="17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CCEEFF"/>
            </w:tcBorders>
            <w:vMerge w:val="restart"/>
          </w:tcPr>
          <w:p>
            <w:pPr>
              <w:jc w:val="right"/>
              <w:ind w:right="1090"/>
              <w:spacing w:after="0"/>
              <w:rPr>
                <w:sz w:val="20"/>
                <w:szCs w:val="20"/>
                <w:color w:val="auto"/>
              </w:rPr>
            </w:pPr>
            <w:r>
              <w:rPr>
                <w:rFonts w:ascii="Arial" w:cs="Arial" w:eastAsia="Arial" w:hAnsi="Arial"/>
                <w:sz w:val="18"/>
                <w:szCs w:val="18"/>
                <w:color w:val="auto"/>
              </w:rPr>
              <w:t>16</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52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7" w:right="2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00" w:type="dxa"/>
            <w:vAlign w:val="bottom"/>
            <w:gridSpan w:val="8"/>
          </w:tcPr>
          <w:p>
            <w:pPr>
              <w:ind w:left="440"/>
              <w:spacing w:after="0"/>
              <w:rPr>
                <w:sz w:val="20"/>
                <w:szCs w:val="20"/>
                <w:color w:val="auto"/>
              </w:rPr>
            </w:pPr>
            <w:r>
              <w:rPr>
                <w:rFonts w:ascii="Arial" w:cs="Arial" w:eastAsia="Arial" w:hAnsi="Arial"/>
                <w:sz w:val="18"/>
                <w:szCs w:val="18"/>
                <w:color w:val="auto"/>
                <w:w w:val="92"/>
              </w:rPr>
              <w:t>The activity related to the restructuring liabilities established during fiscal 2014 is presented in the following table:</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60"/>
        </w:trPr>
        <w:tc>
          <w:tcPr>
            <w:tcW w:w="5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Exit Costs and</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1"/>
              </w:rPr>
              <w:t>Asset</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Severance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Impairments</w:t>
            </w:r>
          </w:p>
        </w:tc>
        <w:tc>
          <w:tcPr>
            <w:tcW w:w="4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2014 restructuring expenses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6,442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46,180</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(13,839)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(15,478)</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Non-cash amounts</w:t>
            </w:r>
          </w:p>
        </w:tc>
        <w:tc>
          <w:tcPr>
            <w:tcW w:w="2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r>
      <w:tr>
        <w:trPr>
          <w:trHeight w:val="243"/>
        </w:trPr>
        <w:tc>
          <w:tcPr>
            <w:tcW w:w="5140" w:type="dxa"/>
            <w:vAlign w:val="bottom"/>
          </w:tcPr>
          <w:p>
            <w:pPr>
              <w:ind w:left="18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23</w:t>
            </w:r>
          </w:p>
        </w:tc>
      </w:tr>
      <w:tr>
        <w:trPr>
          <w:trHeight w:val="27"/>
        </w:trPr>
        <w:tc>
          <w:tcPr>
            <w:tcW w:w="5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March 29, 2014</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2,215</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27,336</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Severance expense recorded in the first nine months of fiscal 2014 related to the reduction, or planned reduction, of over 750 employees, primarily in operations, sales and business support functions, in connection with cost reduction actions taken in both operating groups, including reductions in recently acquired businesses. Facility exit costs primarily consists of liabilities for remaining lease obligations and the impairment of long-lived assets for locations and information systems the Company has ceased using. Other restructuring costs related primarily to other miscellaneous restructuring and exit costs. Of the $46.2 million in restructuring expenses recorded during the first nine months of fiscal 2014, $32.0 million related to EM, $13.7 million related to TS and $0.5 million related to corporate business support functions. As of March 29, 2014, management expects the majority of the remaining severance, facility exit costs and other liabilities to be paid by the first quarter of fiscal 2015. During the third quarter of fiscal 2014, the Company incurred $10.3 million of severance and facility exit costs, related to the restructuring activities initiated, during the second and third quarters of fiscal 2014, but not yet completed, and expects to incur up to approximately $10.0 million to $15.0 million of additional restructuring costs through the first quarter of fiscal 2015 for such activities that are not yet completed.</w:t>
      </w:r>
    </w:p>
    <w:p>
      <w:pPr>
        <w:spacing w:after="0" w:line="178"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Integration costs are primarily related to the integration of acquired businesses and incremental costs incurred as part of the consolidation, relocation and closure of warehouse and office facilities. Integration costs include consulting costs for IT system and business operation integration assistance, facility moving costs, legal fees, travel, meeting, marketing and communication costs that are incrementally incurred as a result of such integration activities. Also included in integration costs are incremental salary costs specific to integration, consolidation and closure activities. Other costs consists primarily of professional fees incurred for acquisitions, additional costs incurred related businesses divested or exited in prior periods, any ongoing facilities operating costs associated with the consolidation, relocation and closure of facilities once such facilities have been vacated or substantially vacated, and other miscellaneous costs that relate to restructuring, integration and other expenses. Integration and other costs in the first nine months of fiscal 2014 were comprised of many different costs, none of which were individually material.</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2013</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fiscal 2013, the Company incurred restructuring expenses related to various restructuring actions intended to reduce costs in response to the then current market conditions. The following table presents the activity during the first nine months of fiscal 2014 related to the remaining restructuring liabilities established during fiscal 2013:</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Facility</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Exit Costs and</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Asset</w:t>
            </w: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Severance</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Impairments</w:t>
            </w:r>
          </w:p>
        </w:tc>
        <w:tc>
          <w:tcPr>
            <w:tcW w:w="460" w:type="dxa"/>
            <w:vAlign w:val="bottom"/>
          </w:tcPr>
          <w:p>
            <w:pPr>
              <w:spacing w:after="0"/>
              <w:rPr>
                <w:sz w:val="20"/>
                <w:szCs w:val="20"/>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(Thousands)</w:t>
            </w: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29, 2013</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25,254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16,211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41,835</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Cash payments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(19,501)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(5,844)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(26,575)</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Changes in estimates,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(1,893)</w:t>
            </w:r>
          </w:p>
        </w:tc>
      </w:tr>
      <w:tr>
        <w:trPr>
          <w:trHeight w:val="243"/>
        </w:trPr>
        <w:tc>
          <w:tcPr>
            <w:tcW w:w="5140" w:type="dxa"/>
            <w:vAlign w:val="bottom"/>
          </w:tcPr>
          <w:p>
            <w:pPr>
              <w:ind w:left="160"/>
              <w:spacing w:after="0"/>
              <w:rPr>
                <w:sz w:val="20"/>
                <w:szCs w:val="20"/>
                <w:color w:val="auto"/>
              </w:rPr>
            </w:pPr>
            <w:r>
              <w:rPr>
                <w:rFonts w:ascii="Arial" w:cs="Arial" w:eastAsia="Arial" w:hAnsi="Arial"/>
                <w:sz w:val="18"/>
                <w:szCs w:val="18"/>
                <w:color w:val="auto"/>
              </w:rPr>
              <w:t>Non-cash amounts</w:t>
            </w:r>
          </w:p>
        </w:tc>
        <w:tc>
          <w:tcPr>
            <w:tcW w:w="240" w:type="dxa"/>
            <w:vAlign w:val="bottom"/>
          </w:tcPr>
          <w:p>
            <w:pPr>
              <w:spacing w:after="0"/>
              <w:rPr>
                <w:sz w:val="21"/>
                <w:szCs w:val="21"/>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
        </w:trPr>
        <w:tc>
          <w:tcPr>
            <w:tcW w:w="5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principally foreign currency translation</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w:t>
            </w:r>
          </w:p>
        </w:tc>
      </w:tr>
      <w:tr>
        <w:trPr>
          <w:trHeight w:val="257"/>
        </w:trPr>
        <w:tc>
          <w:tcPr>
            <w:tcW w:w="5140" w:type="dxa"/>
            <w:vAlign w:val="bottom"/>
          </w:tcPr>
          <w:p>
            <w:pPr>
              <w:ind w:left="20"/>
              <w:spacing w:after="0"/>
              <w:rPr>
                <w:sz w:val="20"/>
                <w:szCs w:val="20"/>
                <w:color w:val="auto"/>
              </w:rPr>
            </w:pPr>
            <w:r>
              <w:rPr>
                <w:rFonts w:ascii="Arial" w:cs="Arial" w:eastAsia="Arial" w:hAnsi="Arial"/>
                <w:sz w:val="18"/>
                <w:szCs w:val="18"/>
                <w:color w:val="auto"/>
              </w:rPr>
              <w:t>Balance at March 29, 2014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3,752</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9,930</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13,807</w:t>
            </w: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As of March 29, 2014, management expects the majority of the remaining severance and other liabilities to be paid by the end of fiscal 2014 and the remaining facility exit cost liabilities to be paid by the end of fiscal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2012 and prior</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of June 29, 2013, there was $4.7 million of restructuring liabilities remaining related to restructuring actions taken in fiscal years 2012 and prior, the majority of which relates to facility exit costs. The remaining balance for such historical restructuring actions as of March 29, 2014 was $1.8 million, which is expected to be paid by the end of fiscal 2016.</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37" w:right="239" w:bottom="1440" w:gutter="0" w:footer="0" w:header="0"/>
        </w:sectPr>
      </w:pPr>
    </w:p>
    <w:bookmarkStart w:id="18" w:name="page19"/>
    <w:bookmarkEnd w:id="18"/>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8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For a description of the Company’s critical accounting policies and an understanding of the significant factors that influenced the Company’s performance during the quarter ended March 29, 2014, this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xml:space="preserve"> (“MD&amp;A”) should be read in conjunction with the consolidated financial statements, including the related notes, appearing in Item 1 of this Report, as well as the Company’s Annual Report on Form 10-K for the year ended June 29, 2013.</w:t>
      </w:r>
    </w:p>
    <w:p>
      <w:pPr>
        <w:spacing w:after="0" w:line="146"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Europe, the Middle East and Africa, are referred to as “excluding the translation impact of changes in foreign currency exchange rates” or “constant currency.”</w:t>
      </w:r>
    </w:p>
    <w:p>
      <w:pPr>
        <w:spacing w:after="0" w:line="13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disclosing financial results that are determined in accordance with U.S. generally accepted accounting principles (“GAAP”),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also discloses certain non-GAAP financial information, including:</w:t>
      </w:r>
    </w:p>
    <w:p>
      <w:pPr>
        <w:spacing w:after="0" w:line="7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Sales, income or expense items excluding the translation impact of changes in foreign currency exchange rates, as discussed above.</w:t>
      </w:r>
    </w:p>
    <w:p>
      <w:pPr>
        <w:spacing w:after="0" w:line="101" w:lineRule="exact"/>
        <w:rPr>
          <w:rFonts w:ascii="Arial" w:cs="Arial" w:eastAsia="Arial" w:hAnsi="Arial"/>
          <w:sz w:val="17"/>
          <w:szCs w:val="17"/>
          <w:color w:val="auto"/>
        </w:rPr>
      </w:pPr>
    </w:p>
    <w:p>
      <w:pPr>
        <w:jc w:val="both"/>
        <w:ind w:left="980" w:hanging="324"/>
        <w:spacing w:after="0" w:line="25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acquisitions by adjusting Avnet’s prior periods to include the sales of acquired businesses as if the acquisitions had occurred at the beginning of the earliest period presented. In addition, the prior year sales are adjusted for (i) divestitures by adjusting Avnet’s prior periods to exclude the sales of divested businesses as if the divestitures had occurred at the beginning of the earliest period presented, and (ii) the transfer of a portion of Avnet’s reverse logistics operations and a regional computing components operation at the beginning of fiscal 2014 from the Electronics Marketing (“EM”) operating group to the Technology Solutions (“TS”) operating group. Sales taking into account the combination of these adjustments are referred to as “organic sales.”</w:t>
      </w:r>
    </w:p>
    <w:p>
      <w:pPr>
        <w:spacing w:after="0" w:line="54"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Operating income excluding (i) restructuring, integration and other expenses (see </w:t>
      </w:r>
      <w:r>
        <w:rPr>
          <w:rFonts w:ascii="Arial" w:cs="Arial" w:eastAsia="Arial" w:hAnsi="Arial"/>
          <w:sz w:val="18"/>
          <w:szCs w:val="18"/>
          <w:i w:val="1"/>
          <w:iCs w:val="1"/>
          <w:color w:val="auto"/>
        </w:rPr>
        <w:t>Restructuring, Integration and Other Expenses</w:t>
      </w:r>
      <w:r>
        <w:rPr>
          <w:rFonts w:ascii="Arial" w:cs="Arial" w:eastAsia="Arial" w:hAnsi="Arial"/>
          <w:sz w:val="18"/>
          <w:szCs w:val="18"/>
          <w:color w:val="auto"/>
        </w:rPr>
        <w:t xml:space="preserve"> in this MD&amp;A) and (ii) amortization of acquired intangible assets and other. Operating income excluding such amounts is referred to as adjusted operating income.</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80" w:type="dxa"/>
            <w:vAlign w:val="bottom"/>
            <w:gridSpan w:val="5"/>
          </w:tcPr>
          <w:p>
            <w:pPr>
              <w:ind w:left="480"/>
              <w:spacing w:after="0"/>
              <w:rPr>
                <w:sz w:val="20"/>
                <w:szCs w:val="20"/>
                <w:color w:val="auto"/>
              </w:rPr>
            </w:pPr>
            <w:r>
              <w:rPr>
                <w:rFonts w:ascii="Arial" w:cs="Arial" w:eastAsia="Arial" w:hAnsi="Arial"/>
                <w:sz w:val="18"/>
                <w:szCs w:val="18"/>
                <w:b w:val="1"/>
                <w:bCs w:val="1"/>
                <w:color w:val="auto"/>
              </w:rPr>
              <w:t>Third Quarters Ended</w:t>
            </w:r>
          </w:p>
        </w:tc>
        <w:tc>
          <w:tcPr>
            <w:tcW w:w="220" w:type="dxa"/>
            <w:vAlign w:val="bottom"/>
          </w:tcPr>
          <w:p>
            <w:pPr>
              <w:spacing w:after="0"/>
              <w:rPr>
                <w:sz w:val="20"/>
                <w:szCs w:val="20"/>
                <w:color w:val="auto"/>
              </w:rPr>
            </w:pPr>
          </w:p>
        </w:tc>
        <w:tc>
          <w:tcPr>
            <w:tcW w:w="284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Nine Months Ended</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5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30,</w:t>
            </w:r>
          </w:p>
        </w:tc>
        <w:tc>
          <w:tcPr>
            <w:tcW w:w="220" w:type="dxa"/>
            <w:vAlign w:val="bottom"/>
          </w:tcPr>
          <w:p>
            <w:pPr>
              <w:spacing w:after="0"/>
              <w:rPr>
                <w:sz w:val="18"/>
                <w:szCs w:val="18"/>
                <w:color w:val="auto"/>
              </w:rPr>
            </w:pPr>
          </w:p>
        </w:tc>
        <w:tc>
          <w:tcPr>
            <w:tcW w:w="136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29,</w:t>
            </w:r>
          </w:p>
        </w:tc>
        <w:tc>
          <w:tcPr>
            <w:tcW w:w="22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30,</w:t>
            </w:r>
          </w:p>
        </w:tc>
      </w:tr>
      <w:tr>
        <w:trPr>
          <w:trHeight w:val="234"/>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r>
      <w:tr>
        <w:trPr>
          <w:trHeight w:val="27"/>
        </w:trPr>
        <w:tc>
          <w:tcPr>
            <w:tcW w:w="5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940" w:type="dxa"/>
            <w:vAlign w:val="bottom"/>
            <w:gridSpan w:val="5"/>
          </w:tcPr>
          <w:p>
            <w:pPr>
              <w:ind w:left="82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GAAP operating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184,843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167,610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585,402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463,156</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Restructuring, integration and other expenses</w:t>
            </w:r>
          </w:p>
        </w:tc>
        <w:tc>
          <w:tcPr>
            <w:tcW w:w="2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26,083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27,341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66,624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89,655</w:t>
            </w:r>
          </w:p>
        </w:tc>
      </w:tr>
      <w:tr>
        <w:trPr>
          <w:trHeight w:val="27"/>
        </w:trPr>
        <w:tc>
          <w:tcPr>
            <w:tcW w:w="5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acquired intangible assets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12,868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8,746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34,456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23,844</w:t>
            </w: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Adjusted 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223,794</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203,697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686,482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576,655</w:t>
            </w:r>
          </w:p>
        </w:tc>
      </w:tr>
      <w:tr>
        <w:trPr>
          <w:trHeight w:val="20"/>
        </w:trPr>
        <w:tc>
          <w:tcPr>
            <w:tcW w:w="5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Management believes that providing this additional information is useful to the reader to better assess and understand operating performance, especially when comparing results with previous periods or forecasting performance for future periods, primarily because management typically monitors the business both including and excluding these adjustments to GAAP results. Management also uses these non-GAAP measures to establish operational goals and, in some cases, for measuring performance for compensation purposes. However, analysis of results on a non-GAAP basis should be used as a complement to, and in conjunction with, results presented in accordance with GAAP.</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0"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185"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Avnet, Inc., incorporated in New York in 1955, together with its consolidated subsidiaries (the “Company” or “Avnet”), is one of the world’s largest value-added distributors, based on sales, of electronic components, enterprise computer and storage products, IT services and embedded subsystems. Avnet creates a vital link in the technology supply chain that connects the world’s leading electronic component and computer product manufacturers and software developers with a global customer base of original equipment manufacturers (“OEMs”), electronic manufacturing services (“EMS”) providers, original design manufacturers (“ODMs”), and value-added resellers (“VARs”). Avnet distributes electronic components, computer products and software, as received from its suppliers or through a customized solution, and offers assembly and other value-added services. In addition, Avnet provides engineering design, materials management and logistics services, system integration and configuration, and supply chain services customized to meet specific requirements of both customers and suppliers.</w:t>
      </w:r>
    </w:p>
    <w:p>
      <w:pPr>
        <w:spacing w:after="0" w:line="152"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Avnet has two primary operating groups — EM and TS. Both operating groups have operations in each of the three major economic regions of the world: the Americas; Europe, the Middle East and Africa (“EMEA”); and Asia/Pacific, consisting of Asia, Australia and New Zealand (“Asia” or “Asia/Pac”). A brief summary of each operating group is provided below:</w:t>
      </w:r>
    </w:p>
    <w:p>
      <w:pPr>
        <w:spacing w:after="0" w:line="46" w:lineRule="exact"/>
        <w:rPr>
          <w:sz w:val="20"/>
          <w:szCs w:val="20"/>
          <w:color w:val="auto"/>
        </w:rPr>
      </w:pPr>
    </w:p>
    <w:p>
      <w:pPr>
        <w:jc w:val="both"/>
        <w:ind w:left="820" w:hanging="326"/>
        <w:spacing w:after="0" w:line="273"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EM markets and sells semiconductors and interconnect, passive and electromechanical devices (“IP&amp;E”) and embedded products for the world’s leading electronic component manufacturers. EM markets and sells its products and services to a diverse customer base serving many end-markets including automotive, communications, computer hardware and peripherals, industrial and manufacturing, medical equipment, and defense and aerospace. EM also offers an array of value-added services that help customers evaluate, design-in and procure electronic components throughout the lifecycle of their technology products and systems. By working with EM, customers and suppliers can accelerate their time to market and realize cost efficiencies in both the design and manufacturing process.</w:t>
      </w:r>
    </w:p>
    <w:p>
      <w:pPr>
        <w:spacing w:after="0" w:line="43" w:lineRule="exact"/>
        <w:rPr>
          <w:rFonts w:ascii="Arial" w:cs="Arial" w:eastAsia="Arial" w:hAnsi="Arial"/>
          <w:sz w:val="17"/>
          <w:szCs w:val="17"/>
          <w:color w:val="auto"/>
        </w:rPr>
      </w:pPr>
    </w:p>
    <w:p>
      <w:pPr>
        <w:jc w:val="both"/>
        <w:ind w:left="820" w:hanging="326"/>
        <w:spacing w:after="0" w:line="272"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 a leading global IT solutions distributor, TS focuses on the value-added distribution of enterprise computing servers and systems, software, storage, services and complex solutions from the world’s foremost technology manufacturers. TS partners with its customers and suppliers to create and deliver effective data center and IT lifecycle solutions that solve the business challenges of end-user customers locally and around the world. TS serves a number of customer segments, from VARs, system integrators and independent software vendors to the worldwide OEM market for computing technology and non-PC OEMs requiring embedded systems and solutions including engineering, product prototyping, integration and other value-added services. TS also provides the latest hard disk drives, microprocessor, motherboard and DRAM module technologies to manufacturers of general-purpose computers and system builders.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85"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Sales for the third quarter of fiscal 2014 were $6.68 billion, as compared to the third quarter of fiscal 2013 sales of $6.30 billion. The increase in year-over-year sales of $384.9 million was primarily the result of a $335.8 million increase at EM, primarily due to the EMEA and Asia regions, and a $49.1 million increase at TS, primarily in the Americas region.</w:t>
      </w:r>
    </w:p>
    <w:p>
      <w:pPr>
        <w:spacing w:after="0" w:line="1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Gross profit margin of 12.0% remained relatively consistent between the year-over-year quarters. EM gross profit margin increased 12 basis points and TS gross profit margin decreased 24 basis points year over year.</w:t>
      </w:r>
    </w:p>
    <w:p>
      <w:pPr>
        <w:spacing w:after="0" w:line="13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operating income margin was 2.8% in the third quarter of fiscal 2014 as compared to 2.7% in the third quarter of fiscal 2013. Excluding restructuring, integration and other expenses, as well as amortization expense from acquired intangibles from both periods, adjusted operating income margin was 3.3% of sales in the third quarter of fiscal 2014 as compared to 3.2% of sales in the third quarter of fiscal 2013. EM operating income margin, excluding such expenses, increased 33 basis points year over year to 4.7%. The increase in EM operating income margin was primarily due to the increase in gross profit margin noted above and a reduction in operating expenses primarily from the impact of restructuring actions taken over recent quarters, partially offset by increases in operating expenses due to recent acquisitions from which expected cost synergies have not yet been fully realized. TS operating income margin, excluding such expenses, decreased by 35 basis points year over year to 2.4% primarily due to a decline in gross profit margin and a net increase in operating expenses.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taken expense reduction actions primarily related to achieving planned synergies from recent acquisitions and to increase operating profitability. The Company incurred $19.3 million of restructuring expenses in the third quarter of fiscal 2014, which were partially related to the restructuring actions initiated in the second quarter of fiscal 2014 associated with certain recent acquisitions and from other expense reduction actions. When all such restructuring actions are substantially complete, which is expected to occur by the first quarter of fiscal 2015, the Company expects to realize approximately $35.0 million to $40.0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56"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in annualized operating cost benefits, which includes approximately $25.0 million to $30.0 million of the expected annualized savings disclosed in the second quarter of fiscal 2014.</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Sales</w:t>
      </w:r>
    </w:p>
    <w:p>
      <w:pPr>
        <w:spacing w:after="0" w:line="18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The table below provides the comparison of reported third quarter fiscal 2014 and 2013 sales for Avnet and the EM and TS operating groups to organic sales (as defined above) to allow readers to better understand and assess the Company's sales performance by operating group and region.</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As Reported</w:t>
            </w:r>
          </w:p>
        </w:tc>
        <w:tc>
          <w:tcPr>
            <w:tcW w:w="320" w:type="dxa"/>
            <w:vAlign w:val="bottom"/>
          </w:tcPr>
          <w:p>
            <w:pPr>
              <w:spacing w:after="0"/>
              <w:rPr>
                <w:sz w:val="18"/>
                <w:szCs w:val="18"/>
                <w:color w:val="auto"/>
              </w:rPr>
            </w:pPr>
          </w:p>
        </w:tc>
        <w:tc>
          <w:tcPr>
            <w:tcW w:w="1300" w:type="dxa"/>
            <w:vAlign w:val="bottom"/>
          </w:tcPr>
          <w:p>
            <w:pPr>
              <w:jc w:val="center"/>
              <w:ind w:right="290"/>
              <w:spacing w:after="0"/>
              <w:rPr>
                <w:sz w:val="20"/>
                <w:szCs w:val="20"/>
                <w:color w:val="auto"/>
              </w:rPr>
            </w:pPr>
            <w:r>
              <w:rPr>
                <w:rFonts w:ascii="Arial" w:cs="Arial" w:eastAsia="Arial" w:hAnsi="Arial"/>
                <w:sz w:val="18"/>
                <w:szCs w:val="18"/>
                <w:b w:val="1"/>
                <w:bCs w:val="1"/>
                <w:color w:val="auto"/>
                <w:w w:val="86"/>
              </w:rPr>
              <w:t>As</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6"/>
              </w:rPr>
              <w:t>As</w:t>
            </w:r>
          </w:p>
        </w:tc>
        <w:tc>
          <w:tcPr>
            <w:tcW w:w="400" w:type="dxa"/>
            <w:vAlign w:val="bottom"/>
          </w:tcPr>
          <w:p>
            <w:pPr>
              <w:spacing w:after="0"/>
              <w:rPr>
                <w:sz w:val="18"/>
                <w:szCs w:val="18"/>
                <w:color w:val="auto"/>
              </w:rPr>
            </w:pPr>
          </w:p>
        </w:tc>
        <w:tc>
          <w:tcPr>
            <w:tcW w:w="1440" w:type="dxa"/>
            <w:vAlign w:val="bottom"/>
          </w:tcPr>
          <w:p>
            <w:pPr>
              <w:jc w:val="center"/>
              <w:ind w:right="430"/>
              <w:spacing w:after="0"/>
              <w:rPr>
                <w:sz w:val="20"/>
                <w:szCs w:val="20"/>
                <w:color w:val="auto"/>
              </w:rPr>
            </w:pPr>
            <w:r>
              <w:rPr>
                <w:rFonts w:ascii="Arial" w:cs="Arial" w:eastAsia="Arial" w:hAnsi="Arial"/>
                <w:sz w:val="18"/>
                <w:szCs w:val="18"/>
                <w:b w:val="1"/>
                <w:bCs w:val="1"/>
                <w:color w:val="auto"/>
                <w:w w:val="94"/>
              </w:rPr>
              <w:t>Organic</w:t>
            </w:r>
          </w:p>
        </w:tc>
        <w:tc>
          <w:tcPr>
            <w:tcW w:w="162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30"/>
              <w:spacing w:after="0"/>
              <w:rPr>
                <w:sz w:val="20"/>
                <w:szCs w:val="20"/>
                <w:color w:val="auto"/>
              </w:rPr>
            </w:pPr>
            <w:r>
              <w:rPr>
                <w:rFonts w:ascii="Arial" w:cs="Arial" w:eastAsia="Arial" w:hAnsi="Arial"/>
                <w:sz w:val="18"/>
                <w:szCs w:val="18"/>
                <w:b w:val="1"/>
                <w:bCs w:val="1"/>
                <w:color w:val="auto"/>
                <w:w w:val="91"/>
              </w:rPr>
              <w:t>and Organic</w:t>
            </w:r>
          </w:p>
        </w:tc>
        <w:tc>
          <w:tcPr>
            <w:tcW w:w="320" w:type="dxa"/>
            <w:vAlign w:val="bottom"/>
          </w:tcPr>
          <w:p>
            <w:pPr>
              <w:spacing w:after="0"/>
              <w:rPr>
                <w:sz w:val="18"/>
                <w:szCs w:val="18"/>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Reported</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Reported</w:t>
            </w:r>
          </w:p>
        </w:tc>
        <w:tc>
          <w:tcPr>
            <w:tcW w:w="400" w:type="dxa"/>
            <w:vAlign w:val="bottom"/>
          </w:tcPr>
          <w:p>
            <w:pPr>
              <w:spacing w:after="0"/>
              <w:rPr>
                <w:sz w:val="18"/>
                <w:szCs w:val="18"/>
                <w:color w:val="auto"/>
              </w:rPr>
            </w:pPr>
          </w:p>
        </w:tc>
        <w:tc>
          <w:tcPr>
            <w:tcW w:w="1440" w:type="dxa"/>
            <w:vAlign w:val="bottom"/>
          </w:tcPr>
          <w:p>
            <w:pPr>
              <w:jc w:val="center"/>
              <w:ind w:right="370"/>
              <w:spacing w:after="0"/>
              <w:rPr>
                <w:sz w:val="20"/>
                <w:szCs w:val="20"/>
                <w:color w:val="auto"/>
              </w:rPr>
            </w:pPr>
            <w:r>
              <w:rPr>
                <w:rFonts w:ascii="Arial" w:cs="Arial" w:eastAsia="Arial" w:hAnsi="Arial"/>
                <w:sz w:val="18"/>
                <w:szCs w:val="18"/>
                <w:b w:val="1"/>
                <w:bCs w:val="1"/>
                <w:color w:val="auto"/>
                <w:w w:val="80"/>
              </w:rPr>
              <w:t>Sales</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Organic</w:t>
            </w:r>
          </w:p>
        </w:tc>
      </w:tr>
      <w:tr>
        <w:trPr>
          <w:trHeight w:val="216"/>
        </w:trPr>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Q3-Fiscal</w:t>
            </w:r>
          </w:p>
        </w:tc>
        <w:tc>
          <w:tcPr>
            <w:tcW w:w="320" w:type="dxa"/>
            <w:vAlign w:val="bottom"/>
          </w:tcPr>
          <w:p>
            <w:pPr>
              <w:spacing w:after="0"/>
              <w:rPr>
                <w:sz w:val="18"/>
                <w:szCs w:val="18"/>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b w:val="1"/>
                <w:bCs w:val="1"/>
                <w:color w:val="auto"/>
                <w:w w:val="91"/>
              </w:rPr>
              <w:t>Q3-Fiscal</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0"/>
              </w:rPr>
              <w:t>Year-Year</w:t>
            </w:r>
          </w:p>
        </w:tc>
        <w:tc>
          <w:tcPr>
            <w:tcW w:w="400" w:type="dxa"/>
            <w:vAlign w:val="bottom"/>
          </w:tcPr>
          <w:p>
            <w:pPr>
              <w:spacing w:after="0"/>
              <w:rPr>
                <w:sz w:val="18"/>
                <w:szCs w:val="18"/>
                <w:color w:val="auto"/>
              </w:rPr>
            </w:pPr>
          </w:p>
        </w:tc>
        <w:tc>
          <w:tcPr>
            <w:tcW w:w="1440" w:type="dxa"/>
            <w:vAlign w:val="bottom"/>
          </w:tcPr>
          <w:p>
            <w:pPr>
              <w:jc w:val="center"/>
              <w:ind w:right="410"/>
              <w:spacing w:after="0"/>
              <w:rPr>
                <w:sz w:val="20"/>
                <w:szCs w:val="20"/>
                <w:color w:val="auto"/>
              </w:rPr>
            </w:pPr>
            <w:r>
              <w:rPr>
                <w:rFonts w:ascii="Arial" w:cs="Arial" w:eastAsia="Arial" w:hAnsi="Arial"/>
                <w:sz w:val="18"/>
                <w:szCs w:val="18"/>
                <w:b w:val="1"/>
                <w:bCs w:val="1"/>
                <w:color w:val="auto"/>
                <w:w w:val="91"/>
              </w:rPr>
              <w:t>Q3-Fiscal</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Year-Year</w:t>
            </w:r>
          </w:p>
        </w:tc>
      </w:tr>
      <w:tr>
        <w:trPr>
          <w:trHeight w:val="234"/>
        </w:trPr>
        <w:tc>
          <w:tcPr>
            <w:tcW w:w="3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2014</w:t>
            </w:r>
          </w:p>
        </w:tc>
        <w:tc>
          <w:tcPr>
            <w:tcW w:w="320" w:type="dxa"/>
            <w:vAlign w:val="bottom"/>
          </w:tcPr>
          <w:p>
            <w:pPr>
              <w:spacing w:after="0"/>
              <w:rPr>
                <w:sz w:val="20"/>
                <w:szCs w:val="20"/>
                <w:color w:val="auto"/>
              </w:rPr>
            </w:pPr>
          </w:p>
        </w:tc>
        <w:tc>
          <w:tcPr>
            <w:tcW w:w="1300" w:type="dxa"/>
            <w:vAlign w:val="bottom"/>
          </w:tcPr>
          <w:p>
            <w:pPr>
              <w:jc w:val="center"/>
              <w:ind w:right="210"/>
              <w:spacing w:after="0"/>
              <w:rPr>
                <w:sz w:val="20"/>
                <w:szCs w:val="20"/>
                <w:color w:val="auto"/>
              </w:rPr>
            </w:pPr>
            <w:r>
              <w:rPr>
                <w:rFonts w:ascii="Arial" w:cs="Arial" w:eastAsia="Arial" w:hAnsi="Arial"/>
                <w:sz w:val="18"/>
                <w:szCs w:val="18"/>
                <w:b w:val="1"/>
                <w:bCs w:val="1"/>
                <w:color w:val="auto"/>
                <w:w w:val="89"/>
              </w:rPr>
              <w:t>2013</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1"/>
              </w:rPr>
              <w:t>% Change</w:t>
            </w:r>
          </w:p>
        </w:tc>
        <w:tc>
          <w:tcPr>
            <w:tcW w:w="400" w:type="dxa"/>
            <w:vAlign w:val="bottom"/>
          </w:tcPr>
          <w:p>
            <w:pPr>
              <w:spacing w:after="0"/>
              <w:rPr>
                <w:sz w:val="20"/>
                <w:szCs w:val="20"/>
                <w:color w:val="auto"/>
              </w:rPr>
            </w:pPr>
          </w:p>
        </w:tc>
        <w:tc>
          <w:tcPr>
            <w:tcW w:w="144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2013</w:t>
            </w: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 Change</w:t>
            </w:r>
          </w:p>
        </w:tc>
      </w:tr>
      <w:tr>
        <w:trPr>
          <w:trHeight w:val="27"/>
        </w:trPr>
        <w:tc>
          <w:tcPr>
            <w:tcW w:w="3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3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(Dollars in thousands)</w:t>
            </w:r>
          </w:p>
        </w:tc>
        <w:tc>
          <w:tcPr>
            <w:tcW w:w="1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40"/>
              <w:spacing w:after="0"/>
              <w:rPr>
                <w:sz w:val="20"/>
                <w:szCs w:val="20"/>
                <w:color w:val="auto"/>
              </w:rPr>
            </w:pPr>
            <w:r>
              <w:rPr>
                <w:rFonts w:ascii="Arial" w:cs="Arial" w:eastAsia="Arial" w:hAnsi="Arial"/>
                <w:sz w:val="18"/>
                <w:szCs w:val="18"/>
                <w:b w:val="1"/>
                <w:bCs w:val="1"/>
                <w:color w:val="auto"/>
              </w:rPr>
              <w:t>Avnet, Inc.</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6,683,616</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6,298,699</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6.1 %</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6,442,691</w:t>
            </w:r>
          </w:p>
        </w:tc>
        <w:tc>
          <w:tcPr>
            <w:tcW w:w="1620" w:type="dxa"/>
            <w:vAlign w:val="bottom"/>
          </w:tcPr>
          <w:p>
            <w:pPr>
              <w:jc w:val="right"/>
              <w:ind w:right="210"/>
              <w:spacing w:after="0"/>
              <w:rPr>
                <w:sz w:val="20"/>
                <w:szCs w:val="20"/>
                <w:color w:val="auto"/>
              </w:rPr>
            </w:pPr>
            <w:r>
              <w:rPr>
                <w:rFonts w:ascii="Arial" w:cs="Arial" w:eastAsia="Arial" w:hAnsi="Arial"/>
                <w:sz w:val="18"/>
                <w:szCs w:val="18"/>
                <w:color w:val="auto"/>
              </w:rPr>
              <w:t>3.7 %</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4,133,004</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3,797,206</w:t>
            </w:r>
          </w:p>
        </w:tc>
        <w:tc>
          <w:tcPr>
            <w:tcW w:w="16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8.8</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3,826,925</w:t>
            </w:r>
          </w:p>
        </w:tc>
        <w:tc>
          <w:tcPr>
            <w:tcW w:w="1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8.0</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TS</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2,550,612</w:t>
            </w:r>
          </w:p>
        </w:tc>
        <w:tc>
          <w:tcPr>
            <w:tcW w:w="32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2,501,493</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2.0</w:t>
            </w:r>
          </w:p>
        </w:tc>
        <w:tc>
          <w:tcPr>
            <w:tcW w:w="40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2,615,766</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(2.5)</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EM</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1,193,591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1,320,139</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(9.6)%</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1,207,273</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(1.1)%</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1,385,830</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1,100,057</w:t>
            </w:r>
          </w:p>
        </w:tc>
        <w:tc>
          <w:tcPr>
            <w:tcW w:w="16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26.0</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1,222,936</w:t>
            </w:r>
          </w:p>
        </w:tc>
        <w:tc>
          <w:tcPr>
            <w:tcW w:w="1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13.3</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1,553,583</w:t>
            </w:r>
          </w:p>
        </w:tc>
        <w:tc>
          <w:tcPr>
            <w:tcW w:w="32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1,377,010</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12.8</w:t>
            </w:r>
          </w:p>
        </w:tc>
        <w:tc>
          <w:tcPr>
            <w:tcW w:w="40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1,396,716</w:t>
            </w: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11.2</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1,373,548</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1,300,156</w:t>
            </w:r>
          </w:p>
        </w:tc>
        <w:tc>
          <w:tcPr>
            <w:tcW w:w="1680" w:type="dxa"/>
            <w:vAlign w:val="bottom"/>
          </w:tcPr>
          <w:p>
            <w:pPr>
              <w:jc w:val="right"/>
              <w:ind w:right="130"/>
              <w:spacing w:after="0"/>
              <w:rPr>
                <w:sz w:val="20"/>
                <w:szCs w:val="20"/>
                <w:color w:val="auto"/>
              </w:rPr>
            </w:pPr>
            <w:r>
              <w:rPr>
                <w:rFonts w:ascii="Arial" w:cs="Arial" w:eastAsia="Arial" w:hAnsi="Arial"/>
                <w:sz w:val="18"/>
                <w:szCs w:val="18"/>
                <w:color w:val="auto"/>
              </w:rPr>
              <w:t>5.6 %</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1,414,429</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(2.9)%</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774,553</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782,950</w:t>
            </w:r>
          </w:p>
        </w:tc>
        <w:tc>
          <w:tcPr>
            <w:tcW w:w="16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(1.1)</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782,950</w:t>
            </w:r>
          </w:p>
        </w:tc>
        <w:tc>
          <w:tcPr>
            <w:tcW w:w="162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402,511</w:t>
            </w:r>
          </w:p>
        </w:tc>
        <w:tc>
          <w:tcPr>
            <w:tcW w:w="32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418,387</w:t>
            </w:r>
          </w:p>
        </w:tc>
        <w:tc>
          <w:tcPr>
            <w:tcW w:w="1680" w:type="dxa"/>
            <w:vAlign w:val="bottom"/>
          </w:tcPr>
          <w:p>
            <w:pPr>
              <w:jc w:val="right"/>
              <w:ind w:right="27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418,387</w:t>
            </w:r>
          </w:p>
        </w:tc>
        <w:tc>
          <w:tcPr>
            <w:tcW w:w="1620" w:type="dxa"/>
            <w:vAlign w:val="bottom"/>
          </w:tcPr>
          <w:p>
            <w:pPr>
              <w:jc w:val="right"/>
              <w:ind w:right="330"/>
              <w:spacing w:after="0"/>
              <w:rPr>
                <w:sz w:val="20"/>
                <w:szCs w:val="20"/>
                <w:color w:val="auto"/>
              </w:rPr>
            </w:pPr>
            <w:r>
              <w:rPr>
                <w:rFonts w:ascii="Arial" w:cs="Arial" w:eastAsia="Arial" w:hAnsi="Arial"/>
                <w:sz w:val="18"/>
                <w:szCs w:val="18"/>
                <w:color w:val="auto"/>
              </w:rPr>
              <w:t>(3.8)</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Totals by Region</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2,567,139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2,620,295</w:t>
            </w:r>
          </w:p>
        </w:tc>
        <w:tc>
          <w:tcPr>
            <w:tcW w:w="1680" w:type="dxa"/>
            <w:vAlign w:val="bottom"/>
          </w:tcPr>
          <w:p>
            <w:pPr>
              <w:jc w:val="right"/>
              <w:ind w:right="110"/>
              <w:spacing w:after="0"/>
              <w:rPr>
                <w:sz w:val="20"/>
                <w:szCs w:val="20"/>
                <w:color w:val="auto"/>
              </w:rPr>
            </w:pPr>
            <w:r>
              <w:rPr>
                <w:rFonts w:ascii="Arial" w:cs="Arial" w:eastAsia="Arial" w:hAnsi="Arial"/>
                <w:sz w:val="18"/>
                <w:szCs w:val="18"/>
                <w:color w:val="auto"/>
              </w:rPr>
              <w:t>(2.0)%</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2,621,702</w:t>
            </w:r>
          </w:p>
        </w:tc>
        <w:tc>
          <w:tcPr>
            <w:tcW w:w="1620" w:type="dxa"/>
            <w:vAlign w:val="bottom"/>
          </w:tcPr>
          <w:p>
            <w:pPr>
              <w:jc w:val="right"/>
              <w:ind w:right="190"/>
              <w:spacing w:after="0"/>
              <w:rPr>
                <w:sz w:val="20"/>
                <w:szCs w:val="20"/>
                <w:color w:val="auto"/>
              </w:rPr>
            </w:pPr>
            <w:r>
              <w:rPr>
                <w:rFonts w:ascii="Arial" w:cs="Arial" w:eastAsia="Arial" w:hAnsi="Arial"/>
                <w:sz w:val="18"/>
                <w:szCs w:val="18"/>
                <w:color w:val="auto"/>
              </w:rPr>
              <w:t>(2.1)%</w:t>
            </w:r>
          </w:p>
        </w:tc>
      </w:tr>
      <w:tr>
        <w:trPr>
          <w:trHeight w:val="27"/>
        </w:trPr>
        <w:tc>
          <w:tcPr>
            <w:tcW w:w="3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3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2,160,383</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1,883,007</w:t>
            </w:r>
          </w:p>
        </w:tc>
        <w:tc>
          <w:tcPr>
            <w:tcW w:w="1680" w:type="dxa"/>
            <w:vAlign w:val="bottom"/>
            <w:tcBorders>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rPr>
              <w:t>14.7</w:t>
            </w:r>
          </w:p>
        </w:tc>
        <w:tc>
          <w:tcPr>
            <w:tcW w:w="4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2,005,886</w:t>
            </w:r>
          </w:p>
        </w:tc>
        <w:tc>
          <w:tcPr>
            <w:tcW w:w="1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7.7</w:t>
            </w:r>
          </w:p>
        </w:tc>
      </w:tr>
      <w:tr>
        <w:trPr>
          <w:trHeight w:val="243"/>
        </w:trPr>
        <w:tc>
          <w:tcPr>
            <w:tcW w:w="3240" w:type="dxa"/>
            <w:vAlign w:val="bottom"/>
          </w:tcPr>
          <w:p>
            <w:pPr>
              <w:ind w:left="180"/>
              <w:spacing w:after="0"/>
              <w:rPr>
                <w:sz w:val="20"/>
                <w:szCs w:val="20"/>
                <w:color w:val="auto"/>
              </w:rPr>
            </w:pPr>
            <w:r>
              <w:rPr>
                <w:rFonts w:ascii="Arial" w:cs="Arial" w:eastAsia="Arial" w:hAnsi="Arial"/>
                <w:sz w:val="18"/>
                <w:szCs w:val="18"/>
                <w:color w:val="auto"/>
              </w:rPr>
              <w:t>Asia/Pacific</w:t>
            </w:r>
          </w:p>
        </w:tc>
        <w:tc>
          <w:tcPr>
            <w:tcW w:w="1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1,956,094</w:t>
            </w:r>
          </w:p>
        </w:tc>
        <w:tc>
          <w:tcPr>
            <w:tcW w:w="320" w:type="dxa"/>
            <w:vAlign w:val="bottom"/>
          </w:tcPr>
          <w:p>
            <w:pPr>
              <w:spacing w:after="0"/>
              <w:rPr>
                <w:sz w:val="21"/>
                <w:szCs w:val="21"/>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color w:val="auto"/>
              </w:rPr>
              <w:t>1,795,397</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9.0</w:t>
            </w:r>
          </w:p>
        </w:tc>
        <w:tc>
          <w:tcPr>
            <w:tcW w:w="400" w:type="dxa"/>
            <w:vAlign w:val="bottom"/>
          </w:tcPr>
          <w:p>
            <w:pPr>
              <w:spacing w:after="0"/>
              <w:rPr>
                <w:sz w:val="21"/>
                <w:szCs w:val="21"/>
                <w:color w:val="auto"/>
              </w:rPr>
            </w:pPr>
          </w:p>
        </w:tc>
        <w:tc>
          <w:tcPr>
            <w:tcW w:w="1440" w:type="dxa"/>
            <w:vAlign w:val="bottom"/>
          </w:tcPr>
          <w:p>
            <w:pPr>
              <w:jc w:val="right"/>
              <w:ind w:right="270"/>
              <w:spacing w:after="0"/>
              <w:rPr>
                <w:sz w:val="20"/>
                <w:szCs w:val="20"/>
                <w:color w:val="auto"/>
              </w:rPr>
            </w:pPr>
            <w:r>
              <w:rPr>
                <w:rFonts w:ascii="Arial" w:cs="Arial" w:eastAsia="Arial" w:hAnsi="Arial"/>
                <w:sz w:val="18"/>
                <w:szCs w:val="18"/>
                <w:color w:val="auto"/>
              </w:rPr>
              <w:t>1,815,103</w:t>
            </w:r>
          </w:p>
        </w:tc>
        <w:tc>
          <w:tcPr>
            <w:tcW w:w="1620" w:type="dxa"/>
            <w:vAlign w:val="bottom"/>
          </w:tcPr>
          <w:p>
            <w:pPr>
              <w:jc w:val="right"/>
              <w:ind w:right="390"/>
              <w:spacing w:after="0"/>
              <w:rPr>
                <w:sz w:val="20"/>
                <w:szCs w:val="20"/>
                <w:color w:val="auto"/>
              </w:rPr>
            </w:pPr>
            <w:r>
              <w:rPr>
                <w:rFonts w:ascii="Arial" w:cs="Arial" w:eastAsia="Arial" w:hAnsi="Arial"/>
                <w:sz w:val="18"/>
                <w:szCs w:val="18"/>
                <w:color w:val="auto"/>
              </w:rPr>
              <w:t>7.8</w:t>
            </w:r>
          </w:p>
        </w:tc>
      </w:tr>
    </w:tbl>
    <w:p>
      <w:pPr>
        <w:spacing w:after="0" w:line="229" w:lineRule="exact"/>
        <w:rPr>
          <w:sz w:val="20"/>
          <w:szCs w:val="20"/>
          <w:color w:val="auto"/>
        </w:rPr>
      </w:pPr>
    </w:p>
    <w:p>
      <w:pPr>
        <w:ind w:right="20" w:firstLine="432"/>
        <w:spacing w:after="0" w:line="308" w:lineRule="auto"/>
        <w:rPr>
          <w:sz w:val="20"/>
          <w:szCs w:val="20"/>
          <w:color w:val="auto"/>
        </w:rPr>
      </w:pPr>
      <w:r>
        <w:rPr>
          <w:rFonts w:ascii="Arial" w:cs="Arial" w:eastAsia="Arial" w:hAnsi="Arial"/>
          <w:sz w:val="17"/>
          <w:szCs w:val="17"/>
          <w:color w:val="auto"/>
        </w:rPr>
        <w:t>The following tables present the reconciliation of the reported sales to organic sales for the third quarters and first nine months of fiscal 2014 and fiscal 2013. For the second and third quarters of fiscal 2014, organic sales were identical to reported sales due to the timing of acquisitions.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Third Quarter</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Ended</w:t>
            </w: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w w:val="95"/>
              </w:rPr>
              <w:t>Nine Months Ended</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0"/>
              </w:rPr>
              <w:t>As Reported</w:t>
            </w:r>
          </w:p>
        </w:tc>
        <w:tc>
          <w:tcPr>
            <w:tcW w:w="200" w:type="dxa"/>
            <w:vAlign w:val="bottom"/>
          </w:tcPr>
          <w:p>
            <w:pPr>
              <w:spacing w:after="0"/>
              <w:rPr>
                <w:sz w:val="18"/>
                <w:szCs w:val="18"/>
                <w:color w:val="auto"/>
              </w:rPr>
            </w:pPr>
          </w:p>
        </w:tc>
        <w:tc>
          <w:tcPr>
            <w:tcW w:w="1420" w:type="dxa"/>
            <w:vAlign w:val="bottom"/>
          </w:tcPr>
          <w:p>
            <w:pPr>
              <w:jc w:val="center"/>
              <w:ind w:right="172"/>
              <w:spacing w:after="0"/>
              <w:rPr>
                <w:sz w:val="20"/>
                <w:szCs w:val="20"/>
                <w:color w:val="auto"/>
              </w:rPr>
            </w:pPr>
            <w:r>
              <w:rPr>
                <w:rFonts w:ascii="Arial" w:cs="Arial" w:eastAsia="Arial" w:hAnsi="Arial"/>
                <w:sz w:val="16"/>
                <w:szCs w:val="16"/>
                <w:b w:val="1"/>
                <w:bCs w:val="1"/>
                <w:color w:val="auto"/>
                <w:w w:val="92"/>
              </w:rPr>
              <w:t>As Reported</w:t>
            </w:r>
          </w:p>
        </w:tc>
        <w:tc>
          <w:tcPr>
            <w:tcW w:w="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03"/>
        </w:trPr>
        <w:tc>
          <w:tcPr>
            <w:tcW w:w="4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4"/>
              </w:rPr>
              <w:t>and Organic -</w:t>
            </w:r>
          </w:p>
        </w:tc>
        <w:tc>
          <w:tcPr>
            <w:tcW w:w="200" w:type="dxa"/>
            <w:vAlign w:val="bottom"/>
          </w:tcPr>
          <w:p>
            <w:pPr>
              <w:spacing w:after="0"/>
              <w:rPr>
                <w:sz w:val="17"/>
                <w:szCs w:val="17"/>
                <w:color w:val="auto"/>
              </w:rPr>
            </w:pPr>
          </w:p>
        </w:tc>
        <w:tc>
          <w:tcPr>
            <w:tcW w:w="1420" w:type="dxa"/>
            <w:vAlign w:val="bottom"/>
          </w:tcPr>
          <w:p>
            <w:pPr>
              <w:jc w:val="center"/>
              <w:ind w:right="172"/>
              <w:spacing w:after="0"/>
              <w:rPr>
                <w:sz w:val="20"/>
                <w:szCs w:val="20"/>
                <w:color w:val="auto"/>
              </w:rPr>
            </w:pPr>
            <w:r>
              <w:rPr>
                <w:rFonts w:ascii="Arial" w:cs="Arial" w:eastAsia="Arial" w:hAnsi="Arial"/>
                <w:sz w:val="16"/>
                <w:szCs w:val="16"/>
                <w:b w:val="1"/>
                <w:bCs w:val="1"/>
                <w:color w:val="auto"/>
                <w:w w:val="93"/>
              </w:rPr>
              <w:t>and Organic -</w:t>
            </w:r>
          </w:p>
        </w:tc>
        <w:tc>
          <w:tcPr>
            <w:tcW w:w="300" w:type="dxa"/>
            <w:vAlign w:val="bottom"/>
          </w:tcPr>
          <w:p>
            <w:pPr>
              <w:spacing w:after="0"/>
              <w:rPr>
                <w:sz w:val="17"/>
                <w:szCs w:val="17"/>
                <w:color w:val="auto"/>
              </w:rPr>
            </w:pPr>
          </w:p>
        </w:tc>
        <w:tc>
          <w:tcPr>
            <w:tcW w:w="1440" w:type="dxa"/>
            <w:vAlign w:val="bottom"/>
          </w:tcPr>
          <w:p>
            <w:pPr>
              <w:jc w:val="right"/>
              <w:ind w:right="312"/>
              <w:spacing w:after="0"/>
              <w:rPr>
                <w:sz w:val="20"/>
                <w:szCs w:val="20"/>
                <w:color w:val="auto"/>
              </w:rPr>
            </w:pPr>
            <w:r>
              <w:rPr>
                <w:rFonts w:ascii="Arial" w:cs="Arial" w:eastAsia="Arial" w:hAnsi="Arial"/>
                <w:sz w:val="16"/>
                <w:szCs w:val="16"/>
                <w:b w:val="1"/>
                <w:bCs w:val="1"/>
                <w:color w:val="auto"/>
              </w:rPr>
              <w:t>Acquisitions/</w:t>
            </w:r>
          </w:p>
        </w:tc>
        <w:tc>
          <w:tcPr>
            <w:tcW w:w="220" w:type="dxa"/>
            <w:vAlign w:val="bottom"/>
          </w:tcPr>
          <w:p>
            <w:pPr>
              <w:spacing w:after="0"/>
              <w:rPr>
                <w:sz w:val="17"/>
                <w:szCs w:val="17"/>
                <w:color w:val="auto"/>
              </w:rPr>
            </w:pPr>
          </w:p>
        </w:tc>
        <w:tc>
          <w:tcPr>
            <w:tcW w:w="1420" w:type="dxa"/>
            <w:vAlign w:val="bottom"/>
          </w:tcPr>
          <w:p>
            <w:pPr>
              <w:jc w:val="right"/>
              <w:ind w:right="212"/>
              <w:spacing w:after="0"/>
              <w:rPr>
                <w:sz w:val="20"/>
                <w:szCs w:val="20"/>
                <w:color w:val="auto"/>
              </w:rPr>
            </w:pPr>
            <w:r>
              <w:rPr>
                <w:rFonts w:ascii="Arial" w:cs="Arial" w:eastAsia="Arial" w:hAnsi="Arial"/>
                <w:sz w:val="16"/>
                <w:szCs w:val="16"/>
                <w:b w:val="1"/>
                <w:bCs w:val="1"/>
                <w:color w:val="auto"/>
                <w:w w:val="94"/>
              </w:rPr>
              <w:t>Organic Sales -</w:t>
            </w:r>
          </w:p>
        </w:tc>
      </w:tr>
      <w:tr>
        <w:trPr>
          <w:trHeight w:val="243"/>
        </w:trPr>
        <w:tc>
          <w:tcPr>
            <w:tcW w:w="47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6"/>
                <w:szCs w:val="16"/>
                <w:b w:val="1"/>
                <w:bCs w:val="1"/>
                <w:color w:val="auto"/>
                <w:w w:val="91"/>
              </w:rPr>
              <w:t>Fiscal 2014</w:t>
            </w:r>
          </w:p>
        </w:tc>
        <w:tc>
          <w:tcPr>
            <w:tcW w:w="2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center"/>
              <w:ind w:right="132"/>
              <w:spacing w:after="0"/>
              <w:rPr>
                <w:sz w:val="20"/>
                <w:szCs w:val="20"/>
                <w:color w:val="auto"/>
              </w:rPr>
            </w:pPr>
            <w:r>
              <w:rPr>
                <w:rFonts w:ascii="Arial" w:cs="Arial" w:eastAsia="Arial" w:hAnsi="Arial"/>
                <w:sz w:val="16"/>
                <w:szCs w:val="16"/>
                <w:b w:val="1"/>
                <w:bCs w:val="1"/>
                <w:color w:val="auto"/>
                <w:w w:val="88"/>
              </w:rPr>
              <w:t>Fiscal 2014</w:t>
            </w:r>
          </w:p>
        </w:tc>
        <w:tc>
          <w:tcPr>
            <w:tcW w:w="30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w w:val="93"/>
              </w:rPr>
              <w:t xml:space="preserve">Divestitures </w:t>
            </w:r>
            <w:r>
              <w:rPr>
                <w:rFonts w:ascii="Arial" w:cs="Arial" w:eastAsia="Arial" w:hAnsi="Arial"/>
                <w:sz w:val="21"/>
                <w:szCs w:val="21"/>
                <w:b w:val="1"/>
                <w:bCs w:val="1"/>
                <w:color w:val="auto"/>
                <w:w w:val="93"/>
                <w:vertAlign w:val="superscript"/>
              </w:rPr>
              <w:t>(1)</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32"/>
              <w:spacing w:after="0"/>
              <w:rPr>
                <w:sz w:val="20"/>
                <w:szCs w:val="20"/>
                <w:color w:val="auto"/>
              </w:rPr>
            </w:pPr>
            <w:r>
              <w:rPr>
                <w:rFonts w:ascii="Arial" w:cs="Arial" w:eastAsia="Arial" w:hAnsi="Arial"/>
                <w:sz w:val="16"/>
                <w:szCs w:val="16"/>
                <w:b w:val="1"/>
                <w:bCs w:val="1"/>
                <w:color w:val="auto"/>
              </w:rPr>
              <w:t>Fiscal 2014</w:t>
            </w:r>
          </w:p>
        </w:tc>
      </w:tr>
      <w:tr>
        <w:trPr>
          <w:trHeight w:val="237"/>
        </w:trPr>
        <w:tc>
          <w:tcPr>
            <w:tcW w:w="4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160" w:type="dxa"/>
            <w:vAlign w:val="bottom"/>
            <w:gridSpan w:val="3"/>
          </w:tcPr>
          <w:p>
            <w:pPr>
              <w:jc w:val="right"/>
              <w:ind w:right="1132"/>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Avnet, Inc.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6,683,616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20,450,945</w:t>
            </w:r>
          </w:p>
        </w:tc>
        <w:tc>
          <w:tcPr>
            <w:tcW w:w="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119,950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20,570,895</w:t>
            </w:r>
          </w:p>
        </w:tc>
      </w:tr>
      <w:tr>
        <w:trPr>
          <w:trHeight w:val="243"/>
        </w:trPr>
        <w:tc>
          <w:tcPr>
            <w:tcW w:w="4700" w:type="dxa"/>
            <w:vAlign w:val="bottom"/>
          </w:tcPr>
          <w:p>
            <w:pPr>
              <w:ind w:left="180"/>
              <w:spacing w:after="0"/>
              <w:rPr>
                <w:sz w:val="20"/>
                <w:szCs w:val="20"/>
                <w:color w:val="auto"/>
              </w:rPr>
            </w:pPr>
            <w:r>
              <w:rPr>
                <w:rFonts w:ascii="Arial" w:cs="Arial" w:eastAsia="Arial" w:hAnsi="Arial"/>
                <w:sz w:val="16"/>
                <w:szCs w:val="16"/>
                <w:color w:val="auto"/>
              </w:rPr>
              <w:t>EM</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4,133,004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12,225,911</w:t>
            </w:r>
          </w:p>
        </w:tc>
        <w:tc>
          <w:tcPr>
            <w:tcW w:w="30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119,950</w:t>
            </w:r>
          </w:p>
        </w:tc>
        <w:tc>
          <w:tcPr>
            <w:tcW w:w="22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12,345,861</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2,550,612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8,225,034</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8,225,034</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EM</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1,193,591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3,597,778</w:t>
            </w:r>
          </w:p>
        </w:tc>
        <w:tc>
          <w:tcPr>
            <w:tcW w:w="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3,597,778</w:t>
            </w:r>
          </w:p>
        </w:tc>
      </w:tr>
      <w:tr>
        <w:trPr>
          <w:trHeight w:val="243"/>
        </w:trPr>
        <w:tc>
          <w:tcPr>
            <w:tcW w:w="4700" w:type="dxa"/>
            <w:vAlign w:val="bottom"/>
          </w:tcPr>
          <w:p>
            <w:pPr>
              <w:ind w:left="180"/>
              <w:spacing w:after="0"/>
              <w:rPr>
                <w:sz w:val="20"/>
                <w:szCs w:val="20"/>
                <w:color w:val="auto"/>
              </w:rPr>
            </w:pPr>
            <w:r>
              <w:rPr>
                <w:rFonts w:ascii="Arial" w:cs="Arial" w:eastAsia="Arial" w:hAnsi="Arial"/>
                <w:sz w:val="16"/>
                <w:szCs w:val="16"/>
                <w:color w:val="auto"/>
              </w:rPr>
              <w:t>EMEA</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1,385,830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3,700,658</w:t>
            </w:r>
          </w:p>
        </w:tc>
        <w:tc>
          <w:tcPr>
            <w:tcW w:w="30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119,950</w:t>
            </w:r>
          </w:p>
        </w:tc>
        <w:tc>
          <w:tcPr>
            <w:tcW w:w="22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3,820,608</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1,553,583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4,927,475</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4,927,475</w:t>
            </w:r>
          </w:p>
        </w:tc>
      </w:tr>
      <w:tr>
        <w:trPr>
          <w:trHeight w:val="237"/>
        </w:trPr>
        <w:tc>
          <w:tcPr>
            <w:tcW w:w="4700" w:type="dxa"/>
            <w:vAlign w:val="bottom"/>
          </w:tcPr>
          <w:p>
            <w:pPr>
              <w:ind w:left="40"/>
              <w:spacing w:after="0"/>
              <w:rPr>
                <w:sz w:val="20"/>
                <w:szCs w:val="20"/>
                <w:color w:val="auto"/>
              </w:rPr>
            </w:pPr>
            <w:r>
              <w:rPr>
                <w:rFonts w:ascii="Arial" w:cs="Arial" w:eastAsia="Arial" w:hAnsi="Arial"/>
                <w:sz w:val="16"/>
                <w:szCs w:val="16"/>
                <w:b w:val="1"/>
                <w:bCs w:val="1"/>
                <w:color w:val="auto"/>
              </w:rPr>
              <w:t>TS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3"/>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1,373,548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4,521,672</w:t>
            </w:r>
          </w:p>
        </w:tc>
        <w:tc>
          <w:tcPr>
            <w:tcW w:w="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4,521,672</w:t>
            </w:r>
          </w:p>
        </w:tc>
      </w:tr>
      <w:tr>
        <w:trPr>
          <w:trHeight w:val="243"/>
        </w:trPr>
        <w:tc>
          <w:tcPr>
            <w:tcW w:w="4700" w:type="dxa"/>
            <w:vAlign w:val="bottom"/>
          </w:tcPr>
          <w:p>
            <w:pPr>
              <w:ind w:left="180"/>
              <w:spacing w:after="0"/>
              <w:rPr>
                <w:sz w:val="20"/>
                <w:szCs w:val="20"/>
                <w:color w:val="auto"/>
              </w:rPr>
            </w:pPr>
            <w:r>
              <w:rPr>
                <w:rFonts w:ascii="Arial" w:cs="Arial" w:eastAsia="Arial" w:hAnsi="Arial"/>
                <w:sz w:val="16"/>
                <w:szCs w:val="16"/>
                <w:color w:val="auto"/>
              </w:rPr>
              <w:t>EMEA</w:t>
            </w:r>
          </w:p>
        </w:tc>
        <w:tc>
          <w:tcPr>
            <w:tcW w:w="180" w:type="dxa"/>
            <w:vAlign w:val="bottom"/>
          </w:tcPr>
          <w:p>
            <w:pPr>
              <w:spacing w:after="0"/>
              <w:rPr>
                <w:sz w:val="21"/>
                <w:szCs w:val="21"/>
                <w:color w:val="auto"/>
              </w:rPr>
            </w:pPr>
          </w:p>
        </w:tc>
        <w:tc>
          <w:tcPr>
            <w:tcW w:w="1440" w:type="dxa"/>
            <w:vAlign w:val="bottom"/>
          </w:tcPr>
          <w:p>
            <w:pPr>
              <w:jc w:val="right"/>
              <w:ind w:right="32"/>
              <w:spacing w:after="0"/>
              <w:rPr>
                <w:sz w:val="20"/>
                <w:szCs w:val="20"/>
                <w:color w:val="auto"/>
              </w:rPr>
            </w:pPr>
            <w:r>
              <w:rPr>
                <w:rFonts w:ascii="Arial" w:cs="Arial" w:eastAsia="Arial" w:hAnsi="Arial"/>
                <w:sz w:val="18"/>
                <w:szCs w:val="18"/>
                <w:color w:val="auto"/>
              </w:rPr>
              <w:t>774,553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2"/>
              <w:spacing w:after="0"/>
              <w:rPr>
                <w:sz w:val="20"/>
                <w:szCs w:val="20"/>
                <w:color w:val="auto"/>
              </w:rPr>
            </w:pPr>
            <w:r>
              <w:rPr>
                <w:rFonts w:ascii="Arial" w:cs="Arial" w:eastAsia="Arial" w:hAnsi="Arial"/>
                <w:sz w:val="18"/>
                <w:szCs w:val="18"/>
                <w:color w:val="auto"/>
              </w:rPr>
              <w:t>2,404,735</w:t>
            </w:r>
          </w:p>
        </w:tc>
        <w:tc>
          <w:tcPr>
            <w:tcW w:w="300" w:type="dxa"/>
            <w:vAlign w:val="bottom"/>
          </w:tcPr>
          <w:p>
            <w:pPr>
              <w:spacing w:after="0"/>
              <w:rPr>
                <w:sz w:val="21"/>
                <w:szCs w:val="21"/>
                <w:color w:val="auto"/>
              </w:rPr>
            </w:pPr>
          </w:p>
        </w:tc>
        <w:tc>
          <w:tcPr>
            <w:tcW w:w="14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ind w:right="12"/>
              <w:spacing w:after="0"/>
              <w:rPr>
                <w:sz w:val="20"/>
                <w:szCs w:val="20"/>
                <w:color w:val="auto"/>
              </w:rPr>
            </w:pPr>
            <w:r>
              <w:rPr>
                <w:rFonts w:ascii="Arial" w:cs="Arial" w:eastAsia="Arial" w:hAnsi="Arial"/>
                <w:sz w:val="18"/>
                <w:szCs w:val="18"/>
                <w:color w:val="auto"/>
              </w:rPr>
              <w:t>2,404,735</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402,511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1,298,627</w:t>
            </w:r>
          </w:p>
        </w:tc>
        <w:tc>
          <w:tcPr>
            <w:tcW w:w="3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1,298,627</w:t>
            </w:r>
          </w:p>
        </w:tc>
      </w:tr>
      <w:tr>
        <w:trPr>
          <w:trHeight w:val="891"/>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ind w:right="432"/>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3"/>
          </w:tcPr>
          <w:p>
            <w:pPr>
              <w:jc w:val="right"/>
              <w:ind w:right="373"/>
              <w:spacing w:after="0"/>
              <w:rPr>
                <w:sz w:val="20"/>
                <w:szCs w:val="20"/>
                <w:color w:val="auto"/>
              </w:rPr>
            </w:pPr>
            <w:r>
              <w:rPr>
                <w:rFonts w:ascii="Arial" w:cs="Arial" w:eastAsia="Arial" w:hAnsi="Arial"/>
                <w:sz w:val="18"/>
                <w:szCs w:val="18"/>
                <w:b w:val="1"/>
                <w:bCs w:val="1"/>
                <w:color w:val="auto"/>
              </w:rPr>
              <w:t>Third Quarter Ended</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0" w:type="dxa"/>
            <w:vAlign w:val="bottom"/>
            <w:gridSpan w:val="3"/>
          </w:tcPr>
          <w:p>
            <w:pPr>
              <w:jc w:val="right"/>
              <w:ind w:right="415"/>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center"/>
              <w:ind w:right="113"/>
              <w:spacing w:after="0"/>
              <w:rPr>
                <w:sz w:val="20"/>
                <w:szCs w:val="20"/>
                <w:color w:val="auto"/>
              </w:rPr>
            </w:pPr>
            <w:r>
              <w:rPr>
                <w:rFonts w:ascii="Arial" w:cs="Arial" w:eastAsia="Arial" w:hAnsi="Arial"/>
                <w:sz w:val="16"/>
                <w:szCs w:val="16"/>
                <w:b w:val="1"/>
                <w:bCs w:val="1"/>
                <w:color w:val="auto"/>
                <w:w w:val="93"/>
              </w:rPr>
              <w:t>Transfer of</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center"/>
              <w:ind w:right="95"/>
              <w:spacing w:after="0"/>
              <w:rPr>
                <w:sz w:val="20"/>
                <w:szCs w:val="20"/>
                <w:color w:val="auto"/>
              </w:rPr>
            </w:pPr>
            <w:r>
              <w:rPr>
                <w:rFonts w:ascii="Arial" w:cs="Arial" w:eastAsia="Arial" w:hAnsi="Arial"/>
                <w:sz w:val="16"/>
                <w:szCs w:val="16"/>
                <w:b w:val="1"/>
                <w:bCs w:val="1"/>
                <w:color w:val="auto"/>
                <w:w w:val="93"/>
              </w:rPr>
              <w:t>Transfer of</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92"/>
              <w:spacing w:after="0"/>
              <w:rPr>
                <w:sz w:val="20"/>
                <w:szCs w:val="20"/>
                <w:color w:val="auto"/>
              </w:rPr>
            </w:pPr>
            <w:r>
              <w:rPr>
                <w:rFonts w:ascii="Arial" w:cs="Arial" w:eastAsia="Arial" w:hAnsi="Arial"/>
                <w:sz w:val="16"/>
                <w:szCs w:val="16"/>
                <w:b w:val="1"/>
                <w:bCs w:val="1"/>
                <w:color w:val="auto"/>
                <w:w w:val="87"/>
              </w:rPr>
              <w:t>As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center"/>
              <w:ind w:right="113"/>
              <w:spacing w:after="0"/>
              <w:rPr>
                <w:sz w:val="20"/>
                <w:szCs w:val="20"/>
                <w:color w:val="auto"/>
              </w:rPr>
            </w:pPr>
            <w:r>
              <w:rPr>
                <w:rFonts w:ascii="Arial" w:cs="Arial" w:eastAsia="Arial" w:hAnsi="Arial"/>
                <w:sz w:val="16"/>
                <w:szCs w:val="16"/>
                <w:b w:val="1"/>
                <w:bCs w:val="1"/>
                <w:color w:val="auto"/>
                <w:w w:val="92"/>
              </w:rPr>
              <w:t>Operations</w:t>
            </w:r>
          </w:p>
        </w:tc>
        <w:tc>
          <w:tcPr>
            <w:tcW w:w="22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Organic</w:t>
            </w:r>
          </w:p>
        </w:tc>
        <w:tc>
          <w:tcPr>
            <w:tcW w:w="180" w:type="dxa"/>
            <w:vAlign w:val="bottom"/>
          </w:tcPr>
          <w:p>
            <w:pPr>
              <w:spacing w:after="0"/>
              <w:rPr>
                <w:sz w:val="17"/>
                <w:szCs w:val="17"/>
                <w:color w:val="auto"/>
              </w:rPr>
            </w:pPr>
          </w:p>
        </w:tc>
        <w:tc>
          <w:tcPr>
            <w:tcW w:w="1080" w:type="dxa"/>
            <w:vAlign w:val="bottom"/>
          </w:tcPr>
          <w:p>
            <w:pPr>
              <w:jc w:val="center"/>
              <w:ind w:right="92"/>
              <w:spacing w:after="0"/>
              <w:rPr>
                <w:sz w:val="20"/>
                <w:szCs w:val="20"/>
                <w:color w:val="auto"/>
              </w:rPr>
            </w:pPr>
            <w:r>
              <w:rPr>
                <w:rFonts w:ascii="Arial" w:cs="Arial" w:eastAsia="Arial" w:hAnsi="Arial"/>
                <w:sz w:val="16"/>
                <w:szCs w:val="16"/>
                <w:b w:val="1"/>
                <w:bCs w:val="1"/>
                <w:color w:val="auto"/>
                <w:w w:val="87"/>
              </w:rPr>
              <w:t>As</w:t>
            </w: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center"/>
              <w:ind w:right="95"/>
              <w:spacing w:after="0"/>
              <w:rPr>
                <w:sz w:val="20"/>
                <w:szCs w:val="20"/>
                <w:color w:val="auto"/>
              </w:rPr>
            </w:pPr>
            <w:r>
              <w:rPr>
                <w:rFonts w:ascii="Arial" w:cs="Arial" w:eastAsia="Arial" w:hAnsi="Arial"/>
                <w:sz w:val="16"/>
                <w:szCs w:val="16"/>
                <w:b w:val="1"/>
                <w:bCs w:val="1"/>
                <w:color w:val="auto"/>
                <w:w w:val="92"/>
              </w:rPr>
              <w:t>Operations</w:t>
            </w:r>
          </w:p>
        </w:tc>
        <w:tc>
          <w:tcPr>
            <w:tcW w:w="200" w:type="dxa"/>
            <w:vAlign w:val="bottom"/>
          </w:tcPr>
          <w:p>
            <w:pPr>
              <w:spacing w:after="0"/>
              <w:rPr>
                <w:sz w:val="17"/>
                <w:szCs w:val="17"/>
                <w:color w:val="auto"/>
              </w:rPr>
            </w:pPr>
          </w:p>
        </w:tc>
        <w:tc>
          <w:tcPr>
            <w:tcW w:w="1120" w:type="dxa"/>
            <w:vAlign w:val="bottom"/>
          </w:tcPr>
          <w:p>
            <w:pPr>
              <w:jc w:val="center"/>
              <w:ind w:right="92"/>
              <w:spacing w:after="0"/>
              <w:rPr>
                <w:sz w:val="20"/>
                <w:szCs w:val="20"/>
                <w:color w:val="auto"/>
              </w:rPr>
            </w:pPr>
            <w:r>
              <w:rPr>
                <w:rFonts w:ascii="Arial" w:cs="Arial" w:eastAsia="Arial" w:hAnsi="Arial"/>
                <w:sz w:val="16"/>
                <w:szCs w:val="16"/>
                <w:b w:val="1"/>
                <w:bCs w:val="1"/>
                <w:color w:val="auto"/>
                <w:w w:val="95"/>
              </w:rPr>
              <w:t>Organic</w:t>
            </w:r>
          </w:p>
        </w:tc>
      </w:tr>
      <w:tr>
        <w:trPr>
          <w:trHeight w:val="203"/>
        </w:trPr>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132"/>
              <w:spacing w:after="0"/>
              <w:rPr>
                <w:sz w:val="20"/>
                <w:szCs w:val="20"/>
                <w:color w:val="auto"/>
              </w:rPr>
            </w:pPr>
            <w:r>
              <w:rPr>
                <w:rFonts w:ascii="Arial" w:cs="Arial" w:eastAsia="Arial" w:hAnsi="Arial"/>
                <w:sz w:val="16"/>
                <w:szCs w:val="16"/>
                <w:b w:val="1"/>
                <w:bCs w:val="1"/>
                <w:color w:val="auto"/>
                <w:w w:val="92"/>
              </w:rPr>
              <w:t>Reported -</w:t>
            </w:r>
          </w:p>
        </w:tc>
        <w:tc>
          <w:tcPr>
            <w:tcW w:w="2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6"/>
                <w:szCs w:val="16"/>
                <w:b w:val="1"/>
                <w:bCs w:val="1"/>
                <w:color w:val="auto"/>
                <w:w w:val="91"/>
              </w:rPr>
              <w:t>Acquisitions/</w:t>
            </w:r>
          </w:p>
        </w:tc>
        <w:tc>
          <w:tcPr>
            <w:tcW w:w="220" w:type="dxa"/>
            <w:vAlign w:val="bottom"/>
          </w:tcPr>
          <w:p>
            <w:pPr>
              <w:spacing w:after="0"/>
              <w:rPr>
                <w:sz w:val="17"/>
                <w:szCs w:val="17"/>
                <w:color w:val="auto"/>
              </w:rPr>
            </w:pPr>
          </w:p>
        </w:tc>
        <w:tc>
          <w:tcPr>
            <w:tcW w:w="1020" w:type="dxa"/>
            <w:vAlign w:val="bottom"/>
          </w:tcPr>
          <w:p>
            <w:pPr>
              <w:jc w:val="center"/>
              <w:ind w:right="93"/>
              <w:spacing w:after="0"/>
              <w:rPr>
                <w:sz w:val="20"/>
                <w:szCs w:val="20"/>
                <w:color w:val="auto"/>
              </w:rPr>
            </w:pPr>
            <w:r>
              <w:rPr>
                <w:rFonts w:ascii="Arial" w:cs="Arial" w:eastAsia="Arial" w:hAnsi="Arial"/>
                <w:sz w:val="16"/>
                <w:szCs w:val="16"/>
                <w:b w:val="1"/>
                <w:bCs w:val="1"/>
                <w:color w:val="auto"/>
                <w:w w:val="99"/>
              </w:rPr>
              <w:t>from EM</w:t>
            </w:r>
          </w:p>
        </w:tc>
        <w:tc>
          <w:tcPr>
            <w:tcW w:w="22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Sales - Q3</w:t>
            </w:r>
          </w:p>
        </w:tc>
        <w:tc>
          <w:tcPr>
            <w:tcW w:w="180" w:type="dxa"/>
            <w:vAlign w:val="bottom"/>
          </w:tcPr>
          <w:p>
            <w:pPr>
              <w:spacing w:after="0"/>
              <w:rPr>
                <w:sz w:val="17"/>
                <w:szCs w:val="17"/>
                <w:color w:val="auto"/>
              </w:rPr>
            </w:pPr>
          </w:p>
        </w:tc>
        <w:tc>
          <w:tcPr>
            <w:tcW w:w="1080" w:type="dxa"/>
            <w:vAlign w:val="bottom"/>
          </w:tcPr>
          <w:p>
            <w:pPr>
              <w:jc w:val="center"/>
              <w:ind w:right="152"/>
              <w:spacing w:after="0"/>
              <w:rPr>
                <w:sz w:val="20"/>
                <w:szCs w:val="20"/>
                <w:color w:val="auto"/>
              </w:rPr>
            </w:pPr>
            <w:r>
              <w:rPr>
                <w:rFonts w:ascii="Arial" w:cs="Arial" w:eastAsia="Arial" w:hAnsi="Arial"/>
                <w:sz w:val="16"/>
                <w:szCs w:val="16"/>
                <w:b w:val="1"/>
                <w:bCs w:val="1"/>
                <w:color w:val="auto"/>
                <w:w w:val="94"/>
              </w:rPr>
              <w:t>Reported -</w:t>
            </w:r>
          </w:p>
        </w:tc>
        <w:tc>
          <w:tcPr>
            <w:tcW w:w="240" w:type="dxa"/>
            <w:vAlign w:val="bottom"/>
          </w:tcPr>
          <w:p>
            <w:pPr>
              <w:spacing w:after="0"/>
              <w:rPr>
                <w:sz w:val="17"/>
                <w:szCs w:val="17"/>
                <w:color w:val="auto"/>
              </w:rPr>
            </w:pPr>
          </w:p>
        </w:tc>
        <w:tc>
          <w:tcPr>
            <w:tcW w:w="1160" w:type="dxa"/>
            <w:vAlign w:val="bottom"/>
          </w:tcPr>
          <w:p>
            <w:pPr>
              <w:jc w:val="right"/>
              <w:ind w:right="131"/>
              <w:spacing w:after="0"/>
              <w:rPr>
                <w:sz w:val="20"/>
                <w:szCs w:val="20"/>
                <w:color w:val="auto"/>
              </w:rPr>
            </w:pPr>
            <w:r>
              <w:rPr>
                <w:rFonts w:ascii="Arial" w:cs="Arial" w:eastAsia="Arial" w:hAnsi="Arial"/>
                <w:sz w:val="16"/>
                <w:szCs w:val="16"/>
                <w:b w:val="1"/>
                <w:bCs w:val="1"/>
                <w:color w:val="auto"/>
                <w:w w:val="91"/>
              </w:rPr>
              <w:t>Acquisitions/</w:t>
            </w:r>
          </w:p>
        </w:tc>
        <w:tc>
          <w:tcPr>
            <w:tcW w:w="200" w:type="dxa"/>
            <w:vAlign w:val="bottom"/>
          </w:tcPr>
          <w:p>
            <w:pPr>
              <w:spacing w:after="0"/>
              <w:rPr>
                <w:sz w:val="17"/>
                <w:szCs w:val="17"/>
                <w:color w:val="auto"/>
              </w:rPr>
            </w:pPr>
          </w:p>
        </w:tc>
        <w:tc>
          <w:tcPr>
            <w:tcW w:w="1040" w:type="dxa"/>
            <w:vAlign w:val="bottom"/>
          </w:tcPr>
          <w:p>
            <w:pPr>
              <w:jc w:val="center"/>
              <w:ind w:right="95"/>
              <w:spacing w:after="0"/>
              <w:rPr>
                <w:sz w:val="20"/>
                <w:szCs w:val="20"/>
                <w:color w:val="auto"/>
              </w:rPr>
            </w:pPr>
            <w:r>
              <w:rPr>
                <w:rFonts w:ascii="Arial" w:cs="Arial" w:eastAsia="Arial" w:hAnsi="Arial"/>
                <w:sz w:val="16"/>
                <w:szCs w:val="16"/>
                <w:b w:val="1"/>
                <w:bCs w:val="1"/>
                <w:color w:val="auto"/>
                <w:w w:val="98"/>
              </w:rPr>
              <w:t>from EM to</w:t>
            </w:r>
          </w:p>
        </w:tc>
        <w:tc>
          <w:tcPr>
            <w:tcW w:w="200" w:type="dxa"/>
            <w:vAlign w:val="bottom"/>
          </w:tcPr>
          <w:p>
            <w:pPr>
              <w:spacing w:after="0"/>
              <w:rPr>
                <w:sz w:val="17"/>
                <w:szCs w:val="17"/>
                <w:color w:val="auto"/>
              </w:rPr>
            </w:pPr>
          </w:p>
        </w:tc>
        <w:tc>
          <w:tcPr>
            <w:tcW w:w="1120" w:type="dxa"/>
            <w:vAlign w:val="bottom"/>
          </w:tcPr>
          <w:p>
            <w:pPr>
              <w:jc w:val="center"/>
              <w:ind w:right="92"/>
              <w:spacing w:after="0"/>
              <w:rPr>
                <w:sz w:val="20"/>
                <w:szCs w:val="20"/>
                <w:color w:val="auto"/>
              </w:rPr>
            </w:pPr>
            <w:r>
              <w:rPr>
                <w:rFonts w:ascii="Arial" w:cs="Arial" w:eastAsia="Arial" w:hAnsi="Arial"/>
                <w:sz w:val="16"/>
                <w:szCs w:val="16"/>
                <w:b w:val="1"/>
                <w:bCs w:val="1"/>
                <w:color w:val="auto"/>
                <w:w w:val="88"/>
              </w:rPr>
              <w:t>Sales - Fiscal</w:t>
            </w:r>
          </w:p>
        </w:tc>
      </w:tr>
      <w:tr>
        <w:trPr>
          <w:trHeight w:val="243"/>
        </w:trPr>
        <w:tc>
          <w:tcPr>
            <w:tcW w:w="1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72"/>
              <w:spacing w:after="0"/>
              <w:rPr>
                <w:sz w:val="20"/>
                <w:szCs w:val="20"/>
                <w:color w:val="auto"/>
              </w:rPr>
            </w:pPr>
            <w:r>
              <w:rPr>
                <w:rFonts w:ascii="Arial" w:cs="Arial" w:eastAsia="Arial" w:hAnsi="Arial"/>
                <w:sz w:val="16"/>
                <w:szCs w:val="16"/>
                <w:b w:val="1"/>
                <w:bCs w:val="1"/>
                <w:color w:val="auto"/>
                <w:w w:val="88"/>
              </w:rPr>
              <w:t>Fiscal 2013</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86"/>
              </w:rPr>
              <w:t>Divestitures</w:t>
            </w:r>
            <w:r>
              <w:rPr>
                <w:rFonts w:ascii="Arial" w:cs="Arial" w:eastAsia="Arial" w:hAnsi="Arial"/>
                <w:sz w:val="21"/>
                <w:szCs w:val="21"/>
                <w:b w:val="1"/>
                <w:bCs w:val="1"/>
                <w:color w:val="auto"/>
                <w:w w:val="86"/>
                <w:vertAlign w:val="superscript"/>
              </w:rPr>
              <w:t>(1)</w:t>
            </w: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13"/>
              <w:spacing w:after="0"/>
              <w:rPr>
                <w:sz w:val="20"/>
                <w:szCs w:val="20"/>
                <w:color w:val="auto"/>
              </w:rPr>
            </w:pPr>
            <w:r>
              <w:rPr>
                <w:rFonts w:ascii="Arial" w:cs="Arial" w:eastAsia="Arial" w:hAnsi="Arial"/>
                <w:sz w:val="16"/>
                <w:szCs w:val="16"/>
                <w:b w:val="1"/>
                <w:bCs w:val="1"/>
                <w:color w:val="auto"/>
                <w:w w:val="87"/>
              </w:rPr>
              <w:t>to TS</w:t>
            </w:r>
            <w:r>
              <w:rPr>
                <w:rFonts w:ascii="Arial" w:cs="Arial" w:eastAsia="Arial" w:hAnsi="Arial"/>
                <w:sz w:val="21"/>
                <w:szCs w:val="21"/>
                <w:b w:val="1"/>
                <w:bCs w:val="1"/>
                <w:color w:val="auto"/>
                <w:w w:val="87"/>
                <w:vertAlign w:val="superscript"/>
              </w:rPr>
              <w:t>(2)</w:t>
            </w: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w w:val="88"/>
              </w:rPr>
              <w:t>Fiscal 2013</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112"/>
              <w:spacing w:after="0"/>
              <w:rPr>
                <w:sz w:val="20"/>
                <w:szCs w:val="20"/>
                <w:color w:val="auto"/>
              </w:rPr>
            </w:pPr>
            <w:r>
              <w:rPr>
                <w:rFonts w:ascii="Arial" w:cs="Arial" w:eastAsia="Arial" w:hAnsi="Arial"/>
                <w:sz w:val="16"/>
                <w:szCs w:val="16"/>
                <w:b w:val="1"/>
                <w:bCs w:val="1"/>
                <w:color w:val="auto"/>
                <w:w w:val="88"/>
              </w:rPr>
              <w:t>Fiscal 2013</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11"/>
              <w:spacing w:after="0"/>
              <w:rPr>
                <w:sz w:val="20"/>
                <w:szCs w:val="20"/>
                <w:color w:val="auto"/>
              </w:rPr>
            </w:pPr>
            <w:r>
              <w:rPr>
                <w:rFonts w:ascii="Arial" w:cs="Arial" w:eastAsia="Arial" w:hAnsi="Arial"/>
                <w:sz w:val="16"/>
                <w:szCs w:val="16"/>
                <w:b w:val="1"/>
                <w:bCs w:val="1"/>
                <w:color w:val="auto"/>
                <w:w w:val="86"/>
              </w:rPr>
              <w:t>Divestitures</w:t>
            </w:r>
            <w:r>
              <w:rPr>
                <w:rFonts w:ascii="Arial" w:cs="Arial" w:eastAsia="Arial" w:hAnsi="Arial"/>
                <w:sz w:val="21"/>
                <w:szCs w:val="21"/>
                <w:b w:val="1"/>
                <w:bCs w:val="1"/>
                <w:color w:val="auto"/>
                <w:w w:val="86"/>
                <w:vertAlign w:val="superscript"/>
              </w:rPr>
              <w:t>(1)</w:t>
            </w: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95"/>
              <w:spacing w:after="0" w:line="243" w:lineRule="exact"/>
              <w:rPr>
                <w:sz w:val="20"/>
                <w:szCs w:val="20"/>
                <w:color w:val="auto"/>
              </w:rPr>
            </w:pPr>
            <w:r>
              <w:rPr>
                <w:rFonts w:ascii="Arial" w:cs="Arial" w:eastAsia="Arial" w:hAnsi="Arial"/>
                <w:sz w:val="28"/>
                <w:szCs w:val="28"/>
                <w:b w:val="1"/>
                <w:bCs w:val="1"/>
                <w:color w:val="auto"/>
                <w:w w:val="94"/>
                <w:vertAlign w:val="subscript"/>
              </w:rPr>
              <w:t>TS</w:t>
            </w:r>
            <w:r>
              <w:rPr>
                <w:rFonts w:ascii="Arial" w:cs="Arial" w:eastAsia="Arial" w:hAnsi="Arial"/>
                <w:sz w:val="10"/>
                <w:szCs w:val="10"/>
                <w:b w:val="1"/>
                <w:bCs w:val="1"/>
                <w:color w:val="auto"/>
                <w:w w:val="94"/>
              </w:rPr>
              <w:t>(2)</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32"/>
              <w:spacing w:after="0"/>
              <w:rPr>
                <w:sz w:val="20"/>
                <w:szCs w:val="20"/>
                <w:color w:val="auto"/>
              </w:rPr>
            </w:pPr>
            <w:r>
              <w:rPr>
                <w:rFonts w:ascii="Arial" w:cs="Arial" w:eastAsia="Arial" w:hAnsi="Arial"/>
                <w:sz w:val="16"/>
                <w:szCs w:val="16"/>
                <w:b w:val="1"/>
                <w:bCs w:val="1"/>
                <w:color w:val="auto"/>
                <w:w w:val="89"/>
              </w:rPr>
              <w:t>2013</w:t>
            </w:r>
          </w:p>
        </w:tc>
      </w:tr>
      <w:tr>
        <w:trPr>
          <w:trHeight w:val="237"/>
        </w:trPr>
        <w:tc>
          <w:tcPr>
            <w:tcW w:w="10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(Thousands)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Avnet, Inc.</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6,298,699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143,992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6,442,691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18,868,221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668,526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19,536,747</w:t>
            </w:r>
          </w:p>
        </w:tc>
      </w:tr>
      <w:tr>
        <w:trPr>
          <w:trHeight w:val="243"/>
        </w:trPr>
        <w:tc>
          <w:tcPr>
            <w:tcW w:w="1040" w:type="dxa"/>
            <w:vAlign w:val="bottom"/>
          </w:tcPr>
          <w:p>
            <w:pPr>
              <w:ind w:left="180"/>
              <w:spacing w:after="0"/>
              <w:rPr>
                <w:sz w:val="20"/>
                <w:szCs w:val="20"/>
                <w:color w:val="auto"/>
              </w:rPr>
            </w:pPr>
            <w:r>
              <w:rPr>
                <w:rFonts w:ascii="Arial" w:cs="Arial" w:eastAsia="Arial" w:hAnsi="Arial"/>
                <w:sz w:val="16"/>
                <w:szCs w:val="16"/>
                <w:color w:val="auto"/>
              </w:rPr>
              <w:t>EM</w:t>
            </w:r>
          </w:p>
        </w:tc>
        <w:tc>
          <w:tcPr>
            <w:tcW w:w="1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3,797,206</w:t>
            </w:r>
          </w:p>
        </w:tc>
        <w:tc>
          <w:tcPr>
            <w:tcW w:w="2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140,628</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(110,909)</w:t>
            </w:r>
          </w:p>
        </w:tc>
        <w:tc>
          <w:tcPr>
            <w:tcW w:w="2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3,826,925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11,123,851</w:t>
            </w:r>
          </w:p>
        </w:tc>
        <w:tc>
          <w:tcPr>
            <w:tcW w:w="2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504,834</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(344,606)</w:t>
            </w:r>
          </w:p>
        </w:tc>
        <w:tc>
          <w:tcPr>
            <w:tcW w:w="2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11,284,079</w:t>
            </w:r>
          </w:p>
        </w:tc>
      </w:tr>
      <w:tr>
        <w:trPr>
          <w:trHeight w:val="27"/>
        </w:trPr>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TS</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2,501,493</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3,364</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110,909</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2,615,766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7,744,370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163,692</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344,606</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8,252,668</w:t>
            </w: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b w:val="1"/>
                <w:bCs w:val="1"/>
                <w:color w:val="auto"/>
              </w:rPr>
              <w:t>EM</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1,320,139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(110,909)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1,207,273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3,872,804</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31,888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(344,606)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3,560,086</w:t>
            </w:r>
          </w:p>
        </w:tc>
      </w:tr>
      <w:tr>
        <w:trPr>
          <w:trHeight w:val="243"/>
        </w:trPr>
        <w:tc>
          <w:tcPr>
            <w:tcW w:w="1040" w:type="dxa"/>
            <w:vAlign w:val="bottom"/>
          </w:tcPr>
          <w:p>
            <w:pPr>
              <w:ind w:left="180"/>
              <w:spacing w:after="0"/>
              <w:rPr>
                <w:sz w:val="20"/>
                <w:szCs w:val="20"/>
                <w:color w:val="auto"/>
              </w:rPr>
            </w:pPr>
            <w:r>
              <w:rPr>
                <w:rFonts w:ascii="Arial" w:cs="Arial" w:eastAsia="Arial" w:hAnsi="Arial"/>
                <w:sz w:val="16"/>
                <w:szCs w:val="16"/>
                <w:color w:val="auto"/>
              </w:rPr>
              <w:t>EMEA</w:t>
            </w:r>
          </w:p>
        </w:tc>
        <w:tc>
          <w:tcPr>
            <w:tcW w:w="1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1,100,057</w:t>
            </w:r>
          </w:p>
        </w:tc>
        <w:tc>
          <w:tcPr>
            <w:tcW w:w="2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122,879</w:t>
            </w:r>
          </w:p>
        </w:tc>
        <w:tc>
          <w:tcPr>
            <w:tcW w:w="2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1,222,936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2,972,869</w:t>
            </w:r>
          </w:p>
        </w:tc>
        <w:tc>
          <w:tcPr>
            <w:tcW w:w="2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361,440</w:t>
            </w:r>
          </w:p>
        </w:tc>
        <w:tc>
          <w:tcPr>
            <w:tcW w:w="2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3,334,309</w:t>
            </w:r>
          </w:p>
        </w:tc>
      </w:tr>
      <w:tr>
        <w:trPr>
          <w:trHeight w:val="27"/>
        </w:trPr>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1,377,010</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19,706</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1,396,716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4,278,178</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111,506</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4,389,684</w:t>
            </w:r>
          </w:p>
        </w:tc>
      </w:tr>
      <w:tr>
        <w:trPr>
          <w:trHeight w:val="237"/>
        </w:trPr>
        <w:tc>
          <w:tcPr>
            <w:tcW w:w="1040" w:type="dxa"/>
            <w:vAlign w:val="bottom"/>
          </w:tcPr>
          <w:p>
            <w:pPr>
              <w:ind w:left="40"/>
              <w:spacing w:after="0"/>
              <w:rPr>
                <w:sz w:val="20"/>
                <w:szCs w:val="20"/>
                <w:color w:val="auto"/>
              </w:rPr>
            </w:pPr>
            <w:r>
              <w:rPr>
                <w:rFonts w:ascii="Arial" w:cs="Arial" w:eastAsia="Arial" w:hAnsi="Arial"/>
                <w:sz w:val="16"/>
                <w:szCs w:val="16"/>
                <w:b w:val="1"/>
                <w:bCs w:val="1"/>
                <w:color w:val="auto"/>
              </w:rPr>
              <w:t>TS</w:t>
            </w: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1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Americas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1,300,156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3,364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110,909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1,414,429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4,063,062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27,151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344,606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4,434,819</w:t>
            </w:r>
          </w:p>
        </w:tc>
      </w:tr>
      <w:tr>
        <w:trPr>
          <w:trHeight w:val="243"/>
        </w:trPr>
        <w:tc>
          <w:tcPr>
            <w:tcW w:w="1040" w:type="dxa"/>
            <w:vAlign w:val="bottom"/>
          </w:tcPr>
          <w:p>
            <w:pPr>
              <w:ind w:left="180"/>
              <w:spacing w:after="0"/>
              <w:rPr>
                <w:sz w:val="20"/>
                <w:szCs w:val="20"/>
                <w:color w:val="auto"/>
              </w:rPr>
            </w:pPr>
            <w:r>
              <w:rPr>
                <w:rFonts w:ascii="Arial" w:cs="Arial" w:eastAsia="Arial" w:hAnsi="Arial"/>
                <w:sz w:val="16"/>
                <w:szCs w:val="16"/>
                <w:color w:val="auto"/>
              </w:rPr>
              <w:t>EMEA</w:t>
            </w:r>
          </w:p>
        </w:tc>
        <w:tc>
          <w:tcPr>
            <w:tcW w:w="160" w:type="dxa"/>
            <w:vAlign w:val="bottom"/>
          </w:tcPr>
          <w:p>
            <w:pPr>
              <w:spacing w:after="0"/>
              <w:rPr>
                <w:sz w:val="21"/>
                <w:szCs w:val="21"/>
                <w:color w:val="auto"/>
              </w:rPr>
            </w:pP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782,950</w:t>
            </w:r>
          </w:p>
        </w:tc>
        <w:tc>
          <w:tcPr>
            <w:tcW w:w="24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782,950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2,382,255</w:t>
            </w:r>
          </w:p>
        </w:tc>
        <w:tc>
          <w:tcPr>
            <w:tcW w:w="24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139,994</w:t>
            </w:r>
          </w:p>
        </w:tc>
        <w:tc>
          <w:tcPr>
            <w:tcW w:w="200" w:type="dxa"/>
            <w:vAlign w:val="bottom"/>
          </w:tcPr>
          <w:p>
            <w:pPr>
              <w:spacing w:after="0"/>
              <w:rPr>
                <w:sz w:val="21"/>
                <w:szCs w:val="21"/>
                <w:color w:val="auto"/>
              </w:rPr>
            </w:pPr>
          </w:p>
        </w:tc>
        <w:tc>
          <w:tcPr>
            <w:tcW w:w="1040" w:type="dxa"/>
            <w:vAlign w:val="bottom"/>
          </w:tcPr>
          <w:p>
            <w:pPr>
              <w:jc w:val="right"/>
              <w:ind w:right="75"/>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2,522,249</w:t>
            </w:r>
          </w:p>
        </w:tc>
      </w:tr>
      <w:tr>
        <w:trPr>
          <w:trHeight w:val="27"/>
        </w:trPr>
        <w:tc>
          <w:tcPr>
            <w:tcW w:w="1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1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Asia</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418,387</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418,387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1,299,053</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(3,453)</w:t>
            </w: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1,295,600</w:t>
            </w:r>
          </w:p>
        </w:tc>
      </w:tr>
      <w:tr>
        <w:trPr>
          <w:trHeight w:val="27"/>
        </w:trPr>
        <w:tc>
          <w:tcPr>
            <w:tcW w:w="1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8"/>
          <w:szCs w:val="18"/>
          <w:color w:val="auto"/>
        </w:rPr>
        <w:t>_____________________</w:t>
      </w:r>
    </w:p>
    <w:p>
      <w:pPr>
        <w:spacing w:after="0" w:line="76" w:lineRule="exact"/>
        <w:rPr>
          <w:sz w:val="20"/>
          <w:szCs w:val="20"/>
          <w:color w:val="auto"/>
        </w:rPr>
      </w:pPr>
    </w:p>
    <w:p>
      <w:pPr>
        <w:ind w:left="900" w:right="4400" w:hanging="892"/>
        <w:spacing w:after="0" w:line="344" w:lineRule="auto"/>
        <w:tabs>
          <w:tab w:leader="none" w:pos="495"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Includes the following transactions, which impacted the year-over-year sales comparisons: </w:t>
      </w:r>
      <w:r>
        <w:rPr>
          <w:rFonts w:ascii="Arial" w:cs="Arial" w:eastAsia="Arial" w:hAnsi="Arial"/>
          <w:sz w:val="18"/>
          <w:szCs w:val="18"/>
          <w:u w:val="single" w:color="auto"/>
          <w:color w:val="auto"/>
        </w:rPr>
        <w:t>Fiscal 2013</w:t>
      </w:r>
    </w:p>
    <w:p>
      <w:pPr>
        <w:ind w:left="900" w:right="5700"/>
        <w:spacing w:after="0" w:line="364" w:lineRule="auto"/>
        <w:rPr>
          <w:rFonts w:ascii="Arial" w:cs="Arial" w:eastAsia="Arial" w:hAnsi="Arial"/>
          <w:sz w:val="18"/>
          <w:szCs w:val="18"/>
          <w:color w:val="auto"/>
        </w:rPr>
      </w:pPr>
      <w:r>
        <w:rPr>
          <w:rFonts w:ascii="Arial" w:cs="Arial" w:eastAsia="Arial" w:hAnsi="Arial"/>
          <w:sz w:val="17"/>
          <w:szCs w:val="17"/>
          <w:color w:val="auto"/>
        </w:rPr>
        <w:t>Pepperweed Consulting in August 2012 in the TS Americas region C.R.G. Electronics, Ltd. in August 2012 in the EM EMEA region Internix, Inc. in August 2012 in the EM Asia region</w:t>
      </w:r>
    </w:p>
    <w:p>
      <w:pPr>
        <w:spacing w:after="0" w:line="1" w:lineRule="exact"/>
        <w:rPr>
          <w:rFonts w:ascii="Arial" w:cs="Arial" w:eastAsia="Arial" w:hAnsi="Arial"/>
          <w:sz w:val="18"/>
          <w:szCs w:val="18"/>
          <w:color w:val="auto"/>
        </w:rPr>
      </w:pPr>
    </w:p>
    <w:p>
      <w:pPr>
        <w:ind w:left="900" w:right="5000"/>
        <w:spacing w:after="0" w:line="344" w:lineRule="auto"/>
        <w:rPr>
          <w:rFonts w:ascii="Arial" w:cs="Arial" w:eastAsia="Arial" w:hAnsi="Arial"/>
          <w:sz w:val="18"/>
          <w:szCs w:val="18"/>
          <w:color w:val="auto"/>
        </w:rPr>
      </w:pPr>
      <w:r>
        <w:rPr>
          <w:rFonts w:ascii="Arial" w:cs="Arial" w:eastAsia="Arial" w:hAnsi="Arial"/>
          <w:sz w:val="18"/>
          <w:szCs w:val="18"/>
          <w:color w:val="auto"/>
        </w:rPr>
        <w:t>Tekdata Interconnections, Limited in October 2012 in the EM EMEA region Magirus AG in October 2012 in the TS EMEA region</w:t>
      </w:r>
    </w:p>
    <w:p>
      <w:pPr>
        <w:ind w:left="900" w:right="5360"/>
        <w:spacing w:after="0" w:line="344" w:lineRule="auto"/>
        <w:rPr>
          <w:rFonts w:ascii="Arial" w:cs="Arial" w:eastAsia="Arial" w:hAnsi="Arial"/>
          <w:sz w:val="18"/>
          <w:szCs w:val="18"/>
          <w:color w:val="auto"/>
        </w:rPr>
      </w:pPr>
      <w:r>
        <w:rPr>
          <w:rFonts w:ascii="Arial" w:cs="Arial" w:eastAsia="Arial" w:hAnsi="Arial"/>
          <w:sz w:val="18"/>
          <w:szCs w:val="18"/>
          <w:color w:val="auto"/>
        </w:rPr>
        <w:t>Brightstar Partners, Inc., in November 2012 in the TS Americas region Genilogix, in November 2012 in the TS Americas region Divestiture in December 2012 of a small business in the TS Asia region TSS Link, Inc. in January 2013 in the TS Americas region</w:t>
      </w:r>
    </w:p>
    <w:p>
      <w:pPr>
        <w:spacing w:after="0" w:line="1" w:lineRule="exact"/>
        <w:rPr>
          <w:rFonts w:ascii="Arial" w:cs="Arial" w:eastAsia="Arial" w:hAnsi="Arial"/>
          <w:sz w:val="18"/>
          <w:szCs w:val="18"/>
          <w:color w:val="auto"/>
        </w:rPr>
      </w:pPr>
    </w:p>
    <w:p>
      <w:pPr>
        <w:ind w:left="900" w:right="5080"/>
        <w:spacing w:after="0" w:line="344" w:lineRule="auto"/>
        <w:rPr>
          <w:rFonts w:ascii="Arial" w:cs="Arial" w:eastAsia="Arial" w:hAnsi="Arial"/>
          <w:sz w:val="18"/>
          <w:szCs w:val="18"/>
          <w:color w:val="auto"/>
        </w:rPr>
      </w:pPr>
      <w:r>
        <w:rPr>
          <w:rFonts w:ascii="Arial" w:cs="Arial" w:eastAsia="Arial" w:hAnsi="Arial"/>
          <w:sz w:val="18"/>
          <w:szCs w:val="18"/>
          <w:color w:val="auto"/>
        </w:rPr>
        <w:t>Universal Semiconductor, Inc., in January 2013 in the EM Americas region RTI Holdings, in April 2013 in the EM Asia region</w:t>
      </w:r>
    </w:p>
    <w:p>
      <w:pPr>
        <w:ind w:left="900" w:right="5200"/>
        <w:spacing w:after="0" w:line="344" w:lineRule="auto"/>
        <w:rPr>
          <w:rFonts w:ascii="Arial" w:cs="Arial" w:eastAsia="Arial" w:hAnsi="Arial"/>
          <w:sz w:val="18"/>
          <w:szCs w:val="18"/>
          <w:color w:val="auto"/>
        </w:rPr>
      </w:pPr>
      <w:r>
        <w:rPr>
          <w:rFonts w:ascii="Arial" w:cs="Arial" w:eastAsia="Arial" w:hAnsi="Arial"/>
          <w:sz w:val="18"/>
          <w:szCs w:val="18"/>
          <w:color w:val="auto"/>
        </w:rPr>
        <w:t xml:space="preserve">Divestiture in March 2013 of a small business in the EM Americas region </w:t>
      </w:r>
      <w:r>
        <w:rPr>
          <w:rFonts w:ascii="Arial" w:cs="Arial" w:eastAsia="Arial" w:hAnsi="Arial"/>
          <w:sz w:val="18"/>
          <w:szCs w:val="18"/>
          <w:u w:val="single" w:color="auto"/>
          <w:color w:val="auto"/>
        </w:rPr>
        <w:t>Fiscal 2014</w:t>
      </w:r>
    </w:p>
    <w:p>
      <w:pPr>
        <w:ind w:left="900" w:right="5560"/>
        <w:spacing w:after="0" w:line="387" w:lineRule="auto"/>
        <w:rPr>
          <w:rFonts w:ascii="Arial" w:cs="Arial" w:eastAsia="Arial" w:hAnsi="Arial"/>
          <w:sz w:val="18"/>
          <w:szCs w:val="18"/>
          <w:color w:val="auto"/>
        </w:rPr>
      </w:pPr>
      <w:r>
        <w:rPr>
          <w:rFonts w:ascii="Arial" w:cs="Arial" w:eastAsia="Arial" w:hAnsi="Arial"/>
          <w:sz w:val="16"/>
          <w:szCs w:val="16"/>
          <w:color w:val="auto"/>
        </w:rPr>
        <w:t>Seamless Technologies, Inc., in July 2013 in the TS Americas region Nisko Semiconductors Ltd., in July 2013 in the EM EMEA region</w:t>
      </w:r>
    </w:p>
    <w:p>
      <w:pPr>
        <w:ind w:left="900"/>
        <w:spacing w:after="0"/>
        <w:rPr>
          <w:rFonts w:ascii="Arial" w:cs="Arial" w:eastAsia="Arial" w:hAnsi="Arial"/>
          <w:sz w:val="18"/>
          <w:szCs w:val="18"/>
          <w:color w:val="auto"/>
        </w:rPr>
      </w:pPr>
      <w:r>
        <w:rPr>
          <w:rFonts w:ascii="Arial" w:cs="Arial" w:eastAsia="Arial" w:hAnsi="Arial"/>
          <w:sz w:val="18"/>
          <w:szCs w:val="18"/>
          <w:color w:val="auto"/>
        </w:rPr>
        <w:t>MSC Investoren GmbH ("MSC"), in October 2013 in the EM EMEA region</w:t>
      </w:r>
    </w:p>
    <w:p>
      <w:pPr>
        <w:spacing w:after="0" w:line="90" w:lineRule="exact"/>
        <w:rPr>
          <w:rFonts w:ascii="Arial" w:cs="Arial" w:eastAsia="Arial" w:hAnsi="Arial"/>
          <w:sz w:val="18"/>
          <w:szCs w:val="18"/>
          <w:color w:val="auto"/>
        </w:rPr>
      </w:pPr>
    </w:p>
    <w:p>
      <w:pPr>
        <w:ind w:left="440" w:hanging="432"/>
        <w:spacing w:after="0"/>
        <w:tabs>
          <w:tab w:leader="none" w:pos="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adjust reported sales for the impact of certain operations transferred from EM to TS at the beginning of fiscal 2014.</w:t>
      </w:r>
    </w:p>
    <w:p>
      <w:pPr>
        <w:spacing w:after="0" w:line="18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Avnet sales for the third quarter of fiscal 2014 were $6.68 billion, an increase of 6.1%, or $384.9 million, from the third quarter of fiscal 2013 sales of $6.30 billion. Avnet organic sales in constant currency increased 3.5% year over year. The organic sales increase in constant currency was primarily due to a 7.2% increase at EM due to sales growth in the EMEA and Asia regions, partially offset by a 1.9% decline at TS.</w:t>
      </w:r>
    </w:p>
    <w:p>
      <w:pPr>
        <w:spacing w:after="0" w:line="1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EM sales of $4.13 billion in the third quarter of fiscal 2014 increased 8.8% from the third quarter of fiscal 2013 sales of $3.80 billion. EM organic sales in constant currency increased 7.2% year over year. On a regional basis, the EMEA organic sales in constant currency increased 9.4% year over year primarily due to increased sales volumes due to higher demand compared to the third quarter of fiscal 2013. Asia organic sales increased 11.2% year over year, which was primarily due to increased fulfillment sales compared to the third quarter of fiscal 2013. EM Americas organic sales declined 1.1% year over year.</w:t>
      </w:r>
    </w:p>
    <w:p>
      <w:pPr>
        <w:sectPr>
          <w:pgSz w:w="11900" w:h="16838" w:orient="portrait"/>
          <w:cols w:equalWidth="0" w:num="1">
            <w:col w:w="11420"/>
          </w:cols>
          <w:pgMar w:left="240" w:top="742"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742" w:right="239" w:bottom="1440" w:gutter="0" w:footer="0" w:header="0"/>
          <w:type w:val="continuous"/>
        </w:sectPr>
      </w:pPr>
    </w:p>
    <w:bookmarkStart w:id="22" w:name="page23"/>
    <w:bookmarkEnd w:id="22"/>
    <w:p>
      <w:pPr>
        <w:jc w:val="both"/>
        <w:ind w:firstLine="432"/>
        <w:spacing w:after="0" w:line="259" w:lineRule="auto"/>
        <w:rPr>
          <w:sz w:val="20"/>
          <w:szCs w:val="20"/>
          <w:color w:val="auto"/>
        </w:rPr>
      </w:pPr>
      <w:r>
        <w:rPr>
          <w:rFonts w:ascii="Arial" w:cs="Arial" w:eastAsia="Arial" w:hAnsi="Arial"/>
          <w:sz w:val="18"/>
          <w:szCs w:val="18"/>
          <w:color w:val="auto"/>
        </w:rPr>
        <w:t>TS sales of $2.55 billion in the third quarter of fiscal 2014 increased 2.0% from the third quarter of fiscal 2013 sales of $2.50 billion. TS organic sales in constant currency decreased 1.9% year over year. On a regional basis, sales in the Americas increased 5.6% primarily due to growth in networking and security, as well as services, partially offset by a decline in servers. EMEA organic sales in constant currency declined 4.9% primarily due to lower demand for computing components and organic sales in Asia declined 3.8%.</w:t>
      </w:r>
    </w:p>
    <w:p>
      <w:pPr>
        <w:spacing w:after="0" w:line="146"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Avnet sales for the first nine months of fiscal 2014 were $20.45 billion, an increase of 8.4% as compared with sales of $18.87 billion for the first nine months of fiscal 2013. Organic sales in constant currency for the first nine months of fiscal 2014 increased by 4.6% as compared with the first nine months of fiscal 2013. EM sales of $12.23 billion for the first nine months of fiscal 2014 increased 9.9% as compared with the first nine months of fiscal 2013 sales of $11.12 billion. The increase was primarily driven by organic sales growth across all regions and the impact of recent acquisitions. TS sales of $8.23 billion for the first nine months of fiscal 2014 increased 6.2% as compared with the first nine months of fiscal 2013 sales of $7.74 billion. The increase was driven by the Americas region primarily due to a combination of organic growth and the transfer of certain operations to TS at the beginning of fiscal 2014.</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18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Avnet gross profit for the third quarter of fiscal 2014 was $804.9 million, an increase of $48.9 million, or 6.5%, from the third quarter of fiscal 2013 gross profit of $756.0 million, primarily due to the increase in sales as described further above. Avnet gross profit margin of 12.0% increased 4 basis points from the third quarter of fiscal 2013. EM gross profit margin increased 12 basis points year over year primarily due to an increase in the EMEA region due in part to the impact of recent acquisitions, partially offset by an increase in fulfillment sales in the Asia region. TS gross profit margin decreased by 24 basis points year over year primarily due to a decline in the Americas region driven primarily by product mix and the transfer of the EM computing components operations to TS in fiscal 2014.</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Avnet gross profit and gross profit margins were $2.39 billion and 11.7%, respectively, for the first nine months of fiscal 2014 as compared with $2.21 billion and 11.7%, respectively, for the first nine months of fiscal 2013. For the first nine months of fiscal 2014, EM gross profit margin decreased 13 basis points year over year and TS gross profit margin increased 4 basis points year over year.</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Selling, general and administrative expenses (“SG&amp;A expenses”) were $594.0 million in the third quarter of fiscal 2014, an increase of $32.9 million, or 5.9%, from the third quarter of fiscal 2013. This increase consisted of an increase of approximately $41.0 million related to expenses from acquired businesses including amortization expense, and an increase of $2.3 million related to the translation impact of changes in foreign currency exchange rates between the periods. These increases were partially offset by a $10.4 million reduction due to the realization of cost savings from prior restructuring actions net of increases in SG&amp;A expenses to fund organic growth and other costs, including employee merit compensation increases that took effect in January of 2014. Metrics that management monitors with respect to its operating expenses are SG&amp;A expenses as a percentage of sales and as a percentage of gross profit. In the third quarter of fiscal 2014, SG&amp;A expenses as a percentage of sales were 8.9% and as a percentage of gross profit were 73.8% as compared with 8.9% and 74.2%, respectively, in the third quarter of fiscal 2013. SG&amp;A expenses, excluding amortization of acquired intangibles, as a percentage of gross profit at EM decreased 218 basis points year over year reflecting improved operating leverage from recent restructuring actions and increased gross profit in the third quarter of fiscal 2014. SG&amp;A expenses at TS, excluding amortization of acquired intangibles, as a percentage of gross profit increased by 298 basis points year over year primarily due to sales growth being lower than required to support increases in SG&amp;A expenses to fund organic growth and other costs.</w:t>
      </w:r>
    </w:p>
    <w:p>
      <w:pPr>
        <w:spacing w:after="0" w:line="139"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Avnet SG&amp;A expenses for the first nine months of fiscal 2014 were $1.74 billion, or 8.5% of sales, as compared with $1.66 billion, or 8.8% of sales, in the first nine months of fiscal 2013. SG&amp;A expenses were 72.7% of gross profit in the first nine months of fiscal 2014 as compared with 75.0% in the first nine months of 2013. The increase in SG&amp;A expenses is primarily related to the increase in operating expenses due to recent acquisitions and higher sales volumes between years, partially offset by a reduction in operating expense from restructuring actions implemented in fiscal 2014 and fiscal 2013.</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18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third quarter of fiscal 2014, the Company incurred restructuring expenses related to certain actions intended to achieve planned synergies from recent acquisitions and to reduce future operating costs. The Company also incurred integration and other costs primarily related to costs associated with recently acquired businesses and restructuring related actions. As a result, the Company recorded restructuring, integration and other expenses of $26.1 million during the quarter, including restructuring costs of $19.3 million, integration costs of $3.9 million, other costs of $2.3 million and changes in estimates for costs associated with previous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60" w:right="239" w:bottom="1440" w:gutter="0" w:footer="0" w:header="0"/>
        </w:sectPr>
      </w:pPr>
    </w:p>
    <w:bookmarkStart w:id="23" w:name="page24"/>
    <w:bookmarkEnd w:id="23"/>
    <w:p>
      <w:pPr>
        <w:jc w:val="both"/>
        <w:spacing w:after="0" w:line="289" w:lineRule="auto"/>
        <w:rPr>
          <w:sz w:val="20"/>
          <w:szCs w:val="20"/>
          <w:color w:val="auto"/>
        </w:rPr>
      </w:pPr>
      <w:r>
        <w:rPr>
          <w:rFonts w:ascii="Arial" w:cs="Arial" w:eastAsia="Arial" w:hAnsi="Arial"/>
          <w:sz w:val="16"/>
          <w:szCs w:val="16"/>
          <w:color w:val="auto"/>
        </w:rPr>
        <w:t>restructuring actions of $0.6 million. The tax-effected impact of restructuring, integration, and other expenses for the third quarter of fiscal 2014 was $19.3 million and $0.14 per share on a diluted basis. These restructuring expenses were partially related to the restructuring actions initiated in the second quarter of fiscal 2014 associated with certain recent acquisitions to achieve planned synergies with the remainder related to other expense reduction actions. When all such restructuring actions are substantially complete, which is expected to occur by the first quarter of fiscal 2015, the Company expects to realize approximately $35.0 million to $40.0 million in annualized operating cost benefits, which includes approximately $25.0 million to $30.0 million of the expected annualized savings disclosed in the second quarter of fiscal 2014. The Company expects to incur additional restructuring expenses through the first quarter of fiscal 2015 of up to $10.0 million to $15.0 million primarily related to the restructuring actions initiated in the second and third quarters of fiscal 2014, but not yet completed, in order to achieve the above targeted annualized cost savings. When realized, the annualized cost savings are expected to benefit the EM operating group by approximately $30.0 million to $35.0 million and the TS operating group by approximately $5.0 million.</w:t>
      </w:r>
    </w:p>
    <w:p>
      <w:pPr>
        <w:spacing w:after="0" w:line="12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Comparatively, in the third quarter of fiscal 2013, restructuring, integration and other expenses were $27.3 million and consisted of restructuring costs of $23.9 million, integration costs of $14.9 million, other costs aggregating to a net benefit of $10.8 million and a net benefit for changes in estimates for costs associated with previous restructuring actions of $0.6 million. The tax-effected impact of restructuring, integration, and other expenses was $25.8 million and $0.18 per share on a diluted basis.</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nine months of fiscal 2014, the Company recorded restructuring, integration and other expenses of $66.6 million, including restructuring costs of $46.2 million, integration costs of $12.3 million, other costs of $6.9 million and changes in estimates for costs associated with previous restructuring actions of $1.2 million. The tax-effected impact of restructuring, integration, and other expenses for the first nine months of fiscal 2014 was $49.9 million and $0.36 per share on a diluted basis.</w:t>
      </w:r>
    </w:p>
    <w:p>
      <w:pPr>
        <w:spacing w:after="0" w:line="146"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In the first nine months of fiscal 2013, restructuring, integration and other expenses were $89.7 million and consisted of restructuring costs of $70.2 million, integration costs of $27.5 million, other costs aggregating to a net benefit of $5.0 million and a net benefit for changes in estimates for costs associated with previous restructuring actions of $3.0 million. The tax-effected impact of restructuring, integration, and other expenses for the first nine months of fiscal 2013 was $72.8 million and $0.52 per share on a diluted basis.</w:t>
      </w:r>
    </w:p>
    <w:p>
      <w:pPr>
        <w:spacing w:after="0" w:line="146"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13, "Restructuring, integration and other expenses" to the Company's consolidated financial statements included in this Quarterly Report on Form 10-Q for additional information related to fiscal 2014 restructuring, integration and other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89" w:lineRule="exact"/>
        <w:rPr>
          <w:sz w:val="20"/>
          <w:szCs w:val="20"/>
          <w:color w:val="auto"/>
        </w:rPr>
      </w:pPr>
    </w:p>
    <w:p>
      <w:pPr>
        <w:jc w:val="both"/>
        <w:ind w:firstLine="432"/>
        <w:spacing w:after="0" w:line="269" w:lineRule="auto"/>
        <w:rPr>
          <w:sz w:val="20"/>
          <w:szCs w:val="20"/>
          <w:color w:val="auto"/>
        </w:rPr>
      </w:pPr>
      <w:r>
        <w:rPr>
          <w:rFonts w:ascii="Arial" w:cs="Arial" w:eastAsia="Arial" w:hAnsi="Arial"/>
          <w:sz w:val="17"/>
          <w:szCs w:val="17"/>
          <w:color w:val="auto"/>
        </w:rPr>
        <w:t xml:space="preserve">During the third quarter of fiscal 2014, the Company had operating income of $184.8 million, representing a 10.3% increase compared to the third quarter of fiscal 2013 operating income of $167.6 million. Both periods included restructuring, integration and other expenses as described further in </w:t>
      </w:r>
      <w:r>
        <w:rPr>
          <w:rFonts w:ascii="Arial" w:cs="Arial" w:eastAsia="Arial" w:hAnsi="Arial"/>
          <w:sz w:val="17"/>
          <w:szCs w:val="17"/>
          <w:i w:val="1"/>
          <w:iCs w:val="1"/>
          <w:color w:val="auto"/>
        </w:rPr>
        <w:t xml:space="preserve">Restructuring, Integration and Other Expenses, </w:t>
      </w:r>
      <w:r>
        <w:rPr>
          <w:rFonts w:ascii="Arial" w:cs="Arial" w:eastAsia="Arial" w:hAnsi="Arial"/>
          <w:sz w:val="17"/>
          <w:szCs w:val="17"/>
          <w:color w:val="auto"/>
        </w:rPr>
        <w:t>above. Both periods also included amortization expense associated with acquired intangible assets. Excluding</w:t>
      </w:r>
      <w:r>
        <w:rPr>
          <w:rFonts w:ascii="Arial" w:cs="Arial" w:eastAsia="Arial" w:hAnsi="Arial"/>
          <w:sz w:val="17"/>
          <w:szCs w:val="17"/>
          <w:i w:val="1"/>
          <w:iCs w:val="1"/>
          <w:color w:val="auto"/>
        </w:rPr>
        <w:t xml:space="preserve"> </w:t>
      </w:r>
      <w:r>
        <w:rPr>
          <w:rFonts w:ascii="Arial" w:cs="Arial" w:eastAsia="Arial" w:hAnsi="Arial"/>
          <w:sz w:val="17"/>
          <w:szCs w:val="17"/>
          <w:color w:val="auto"/>
        </w:rPr>
        <w:t>these amounts from both periods, adjusted operating income was $223.8 million, or 3.3% of sales, in the third quarter of fiscal 2014 as compared with $203.7 million, or 3.2% of sales, in the third quarter of fiscal 2013. EM operating income of $193.4 million increased 17.2% year over year and operating income margin increased 33 basis points year over year to 4.7%. The increase in EM operating income margin was primarily due to the impact of recent cost reduction actions and from the increase in gross profit margin as discussed above, partially offset by an increase in operating expenses associated with recent acquisitions from which expected cost synergies have not yet been fully realized. TS operating income of $60.9 million decreased 11.3% year over year and operating income margin decreased 35 basis points year over to 2.4%. The decrease in TS operating income margin was due to the decrease in gross profit margin and the increase in operating expenses, partially offset by a slight increase in sales as discussed above. Corporate operating expense excluding restructuring, integration and other expenses remained relatively flat at $30.5 million in the third quarter of fiscal 2014 as compared with $29.9 million in the third quarter of fiscal 2013.</w:t>
      </w:r>
    </w:p>
    <w:p>
      <w:pPr>
        <w:spacing w:after="0" w:line="13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Avnet operating income for the first nine months of 2014 was $585.4 million, or 2.9% of sales, as compared with $463.2 million, or 2.5% of sales for the first nine months of fiscal 2013. The 41 basis point increase in operating income margin for the first nine months of 2014 as compared with the first nine months of fiscal 2013 was due primarily to the factors discussed above.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and Other Income (Expense), Net</w:t>
      </w:r>
    </w:p>
    <w:p>
      <w:pPr>
        <w:spacing w:after="0" w:line="189"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Interest expense for the third quarter of fiscal 2014 was $25.3 million, a decrease of $2.0 million or 7.4%, as compared with interest expense of $27.3 million for the third quarter of fiscal 2013. The decrease in interest expense for the third quarter of fiscal 2014 was in part due to the repayment at maturity of the 5.875% Notes due March 15, 2014 and a corresponding lower average borrowing rate between the year-over-year quarters. Interest expense for the first nine months of fiscal 2014 was $80.5 million, an increase of $1.5 million or 1.9%, as compared with interest expense of $79.0 million for the first nine months of fiscal 2013. The increase in interest expense for the first nine months of fiscal 2014 was primarily due to the issuance in November 2012 of $350.0</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60" w:right="239" w:bottom="1440" w:gutter="0" w:footer="0" w:header="0"/>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 xml:space="preserve">million of 4.875% Senior Notes due December 1, 2022 and the corresponding increase in average total debt outstanding between the year-over-year nine month periods. See </w:t>
      </w:r>
      <w:r>
        <w:rPr>
          <w:rFonts w:ascii="Arial" w:cs="Arial" w:eastAsia="Arial" w:hAnsi="Arial"/>
          <w:sz w:val="18"/>
          <w:szCs w:val="18"/>
          <w:i w:val="1"/>
          <w:iCs w:val="1"/>
          <w:color w:val="auto"/>
        </w:rPr>
        <w:t>Financing Transactions</w:t>
      </w:r>
      <w:r>
        <w:rPr>
          <w:rFonts w:ascii="Arial" w:cs="Arial" w:eastAsia="Arial" w:hAnsi="Arial"/>
          <w:sz w:val="18"/>
          <w:szCs w:val="18"/>
          <w:color w:val="auto"/>
        </w:rPr>
        <w:t xml:space="preserve"> for further discussion of the Company's outstanding debt.</w:t>
      </w:r>
    </w:p>
    <w:p>
      <w:pPr>
        <w:spacing w:after="0" w:line="130"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During the third quarter of fiscal 2014, the Company had $2.5 million of other income as compared with $4.1 million of other income in the third quarter of fiscal 2013. The decrease in other income was primarily due to a gain on the sale of marketable securities from an acquired business in the third quarter of fiscal 2013, partially offset by foreign exchange gains in the third quarter of fiscal 2014 compared to foreign exchange losses in the third quarter of fiscal 2013. During the first nine months of fiscal 2014, the Company recognized $1.5 million of other expense as compared with $6.6 million of other income in the first nine months of fiscal 2013. The increase in other expense in the first nine months of fiscal 2014 was primarily due to the impact of the above mentioned gain on sale of marketable securities in the first nine months of fiscal 2013.</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Legal Settlement, Bargain Purchase and Other</w:t>
      </w:r>
    </w:p>
    <w:p>
      <w:pPr>
        <w:spacing w:after="0" w:line="189"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third quarter of fiscal 2014, the Company received the final award payment from a legal settlement of $3.0 million before tax, $1.8 million after tax and $.01 per shared on a diluted basis.</w:t>
      </w:r>
    </w:p>
    <w:p>
      <w:pPr>
        <w:spacing w:after="0" w:line="13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first nine months of fiscal 2014, the Company received award payments and recognized a gain on legal settlement of $22.1 million before tax, $13.5 million after tax and $.10 per share on a diluted basis.</w:t>
      </w:r>
    </w:p>
    <w:p>
      <w:pPr>
        <w:spacing w:after="0" w:line="13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nine months of fiscal 2013, the Company recognized a gain on bargain purchase and other of $31.4 million before tax, $31.3 million after tax and $0.22 per share on a diluted basis, which consisted of (i) a gain on bargain purchase of $33.0 million before and after tax and $0.23 per share on a diluted basis related to the acquisition of Internix and (ii) a loss of $1.7 million before and after tax and $0.01 per share on a diluted basis associated with a divestiture.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89"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The Company’s effective tax rate on its income before income taxes was 31.0% in the third quarter of fiscal 2014 as compared to 40.3% in the third quarter of fiscal 2013. During the third quarter of fiscal 2014, the Company's effective tax rate was favorably impacted by the mix of income in lower tax rate jurisdictions and a lower level of increases to valuation allowances and reserves.</w:t>
      </w:r>
    </w:p>
    <w:p>
      <w:pPr>
        <w:spacing w:after="0" w:line="141" w:lineRule="exact"/>
        <w:rPr>
          <w:sz w:val="20"/>
          <w:szCs w:val="20"/>
          <w:color w:val="auto"/>
        </w:rPr>
      </w:pPr>
    </w:p>
    <w:p>
      <w:pPr>
        <w:jc w:val="both"/>
        <w:ind w:firstLine="432"/>
        <w:spacing w:after="0" w:line="297" w:lineRule="auto"/>
        <w:rPr>
          <w:sz w:val="20"/>
          <w:szCs w:val="20"/>
          <w:color w:val="auto"/>
        </w:rPr>
      </w:pPr>
      <w:r>
        <w:rPr>
          <w:rFonts w:ascii="Arial" w:cs="Arial" w:eastAsia="Arial" w:hAnsi="Arial"/>
          <w:sz w:val="16"/>
          <w:szCs w:val="16"/>
          <w:color w:val="auto"/>
        </w:rPr>
        <w:t>For the first nine months of fiscal 2014 and 2013, the Company's effective tax rate was 31.6% and 23.2%, respectively. This increase in the effective tax rate was due primarily to the fiscal 2013 effective tax rate including the favorable settlement of two IRS audits for the Company and an acquired company, and a non-taxable gain on a bargain purchase, partially offset by increases to valuation allowances and reserves. Due to the reduced level of income before income taxes in the first nine months of fiscal 2013, the net favorable impact of these items on the effective tax rate was significant. The effective tax rate for the first nine months of fiscal 2013 was also favorably impacted, to a lesser extent, by the mix of income earned in lower tax rate jurisdictions.</w:t>
      </w:r>
    </w:p>
    <w:p>
      <w:pPr>
        <w:spacing w:after="0" w:line="118"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7, “Income taxes” to the Company’s consolidated financial statements included in this Quarterly Report on Form 10-Q for additional information on the Company's effective tax rate.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w:t>
      </w:r>
    </w:p>
    <w:p>
      <w:pPr>
        <w:spacing w:after="0" w:line="189"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As a result of the factors described in the preceding sections of this MD&amp;A, the Company’s net income for the third quarter of fiscal 2014 was $113.9 million, or $0.81 per share on a diluted basis, as compared with $86.2 million, or $0.62 per share on a diluted basis, in the third quarter of fiscal 2013.</w:t>
      </w:r>
    </w:p>
    <w:p>
      <w:pPr>
        <w:spacing w:after="0" w:line="8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nine months of fiscal 2014 was $359.3 million, or $2.57 per share on a diluted basis, as compared with $324.0 million, or $2.31 per share on a diluted basis, for the first nine months of fiscal 2013.</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18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nine months of fiscal 2014, the Company generated $203.9 million of cash from its operating activities as compared to a cash generation of $429.4 million in the first nine months of fiscal 2013. These operating cash flows are comprised of: (i) cash flow generated from net income, adjusted for the impact of non-cash and other items, which includes depreciation and amortization expenses, deferred income taxes, stock-based compensation expense and other non-cash items (primarily, provisions for doubtful accounts and periodic pension costs) and (ii) cash flows used for, or generated from, working capital and other, excluding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60" w:right="239" w:bottom="1440" w:gutter="0" w:footer="0" w:header="0"/>
        </w:sectPr>
      </w:pPr>
    </w:p>
    <w:bookmarkStart w:id="25" w:name="page26"/>
    <w:bookmarkEnd w:id="25"/>
    <w:p>
      <w:pPr>
        <w:jc w:val="both"/>
        <w:spacing w:after="0" w:line="279" w:lineRule="auto"/>
        <w:rPr>
          <w:sz w:val="20"/>
          <w:szCs w:val="20"/>
          <w:color w:val="auto"/>
        </w:rPr>
      </w:pPr>
      <w:r>
        <w:rPr>
          <w:rFonts w:ascii="Arial" w:cs="Arial" w:eastAsia="Arial" w:hAnsi="Arial"/>
          <w:sz w:val="17"/>
          <w:szCs w:val="17"/>
          <w:color w:val="auto"/>
        </w:rPr>
        <w:t>cash and cash equivalents. Cash used for working capital and other was $365.5 million during the first nine months of fiscal 2014, including an increase in accounts receivable of $55.9 million and inventory of $114.3 million, as well as decreases in accounts payable of $148.8 million and accrued liabilities and other of $46.5 million. Comparatively, cash used by working capital and other was $55.1 million during the first nine months of fiscal 2013, including decreases in payables of $175.9 million and accrued liabilities and other of $68.5 million, partially offset by a decrease in inventory of $192.2 million.</w:t>
      </w:r>
    </w:p>
    <w:p>
      <w:pPr>
        <w:spacing w:after="0" w:line="13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third quarter of fiscal 2014, the Company generated $358.1 million of cash from operating activities compared to a generation of cash from operating activities of $22.0 million in the third quarter of 2013.</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18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During the first nine months of fiscal 2014, the Company repaid upon maturity the $300.0 million of 5.875% Notes due in March 2014. The Company received proceeds of $56.7 million and $230.0 million from net borrowings of bank and other debt, and the Company's accounts receivable securitization program, respectively. During the first nine months of fiscal 2014, the Company also used $62.0 million of cash to pay quarterly cash dividends on common stock.</w:t>
      </w:r>
    </w:p>
    <w:p>
      <w:pPr>
        <w:spacing w:after="0" w:line="146"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first nine months of 2013, the Company received net proceeds of $349.3 million as a result of the issuance of $350.0 million of 4.875% Notes due in 2022. During the first nine months of fiscal 2013, the Company also used cash of $450.8 million to make repayments under the accounts receivable securitization program and borrowings of bank and other debt. In addition, during the first nine months of fiscal 2013, the Company used $207.2 million of cash to repurchase common stock under the share repurchase program authorized by the Company's Board of Directors.</w:t>
      </w:r>
    </w:p>
    <w:p>
      <w:pPr>
        <w:spacing w:after="0" w:line="131" w:lineRule="exact"/>
        <w:rPr>
          <w:sz w:val="20"/>
          <w:szCs w:val="20"/>
          <w:color w:val="auto"/>
        </w:rPr>
      </w:pPr>
    </w:p>
    <w:p>
      <w:pPr>
        <w:jc w:val="both"/>
        <w:ind w:right="20" w:firstLine="432"/>
        <w:spacing w:after="0" w:line="277" w:lineRule="auto"/>
        <w:rPr>
          <w:sz w:val="20"/>
          <w:szCs w:val="20"/>
          <w:color w:val="auto"/>
        </w:rPr>
      </w:pPr>
      <w:r>
        <w:rPr>
          <w:rFonts w:ascii="Arial" w:cs="Arial" w:eastAsia="Arial" w:hAnsi="Arial"/>
          <w:sz w:val="18"/>
          <w:szCs w:val="18"/>
          <w:color w:val="auto"/>
        </w:rPr>
        <w:t>During the third quarter of fiscal 2014, the Company used $144.7 million of cash for financing activities compared to cash of $88.2 million provided by financing activities in the third quarter of 2013.</w:t>
      </w:r>
    </w:p>
    <w:p>
      <w:pPr>
        <w:spacing w:after="0" w:line="13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18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nine months of fiscal 2014, the Company used $116.9 million of cash for acquisitions, net of cash acquired. During the first nine months of fiscal 2014, the Company also used $81.2 million for capital expenditures primarily related to information system computer hardware and software purchases.</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nine months of fiscal 2013, the Company used $244.1 million of cash for acquisitions, net of cash acquired, and received proceeds of $3.6 million from divestitures, net of cash divested. During the first nine months of fiscal 2013, the Company also used $75.4 million for capital expenditures primarily related to information system computer hardware and software expenditures.</w:t>
      </w:r>
    </w:p>
    <w:p>
      <w:pPr>
        <w:spacing w:after="0" w:line="141"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During the third quarter of fiscal 2014, the Company used $32.0 million of cash for investing activities compared to a use of cash from investing activities of $93.0 million in the third quarter of 2013.</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 and Contractual Obligations</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summarizes the Company’s capital structure as of the end of the third quarter of fiscal 2014 with a comparison to the end of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jc w:val="right"/>
              <w:ind w:right="350"/>
              <w:spacing w:after="0"/>
              <w:rPr>
                <w:sz w:val="20"/>
                <w:szCs w:val="20"/>
                <w:color w:val="auto"/>
              </w:rPr>
            </w:pPr>
            <w:r>
              <w:rPr>
                <w:rFonts w:ascii="Arial" w:cs="Arial" w:eastAsia="Arial" w:hAnsi="Arial"/>
                <w:sz w:val="18"/>
                <w:szCs w:val="18"/>
                <w:b w:val="1"/>
                <w:bCs w:val="1"/>
                <w:color w:val="auto"/>
              </w:rPr>
              <w:t>March 29,</w:t>
            </w:r>
          </w:p>
        </w:tc>
        <w:tc>
          <w:tcPr>
            <w:tcW w:w="1800" w:type="dxa"/>
            <w:vAlign w:val="bottom"/>
          </w:tcPr>
          <w:p>
            <w:pPr>
              <w:ind w:left="500"/>
              <w:spacing w:after="0"/>
              <w:rPr>
                <w:sz w:val="20"/>
                <w:szCs w:val="20"/>
                <w:color w:val="auto"/>
              </w:rPr>
            </w:pPr>
            <w:r>
              <w:rPr>
                <w:rFonts w:ascii="Arial" w:cs="Arial" w:eastAsia="Arial" w:hAnsi="Arial"/>
                <w:sz w:val="18"/>
                <w:szCs w:val="18"/>
                <w:b w:val="1"/>
                <w:bCs w:val="1"/>
                <w:color w:val="auto"/>
              </w:rPr>
              <w:t>% of Total</w:t>
            </w:r>
          </w:p>
        </w:tc>
        <w:tc>
          <w:tcPr>
            <w:tcW w:w="260" w:type="dxa"/>
            <w:vAlign w:val="bottom"/>
          </w:tcPr>
          <w:p>
            <w:pPr>
              <w:spacing w:after="0"/>
              <w:rPr>
                <w:sz w:val="18"/>
                <w:szCs w:val="18"/>
                <w:color w:val="auto"/>
              </w:rPr>
            </w:pPr>
          </w:p>
        </w:tc>
        <w:tc>
          <w:tcPr>
            <w:tcW w:w="1220" w:type="dxa"/>
            <w:vAlign w:val="bottom"/>
          </w:tcPr>
          <w:p>
            <w:pPr>
              <w:jc w:val="right"/>
              <w:ind w:right="350"/>
              <w:spacing w:after="0"/>
              <w:rPr>
                <w:sz w:val="20"/>
                <w:szCs w:val="20"/>
                <w:color w:val="auto"/>
              </w:rPr>
            </w:pPr>
            <w:r>
              <w:rPr>
                <w:rFonts w:ascii="Arial" w:cs="Arial" w:eastAsia="Arial" w:hAnsi="Arial"/>
                <w:sz w:val="18"/>
                <w:szCs w:val="18"/>
                <w:b w:val="1"/>
                <w:bCs w:val="1"/>
                <w:color w:val="auto"/>
              </w:rPr>
              <w:t>June 29,</w:t>
            </w:r>
          </w:p>
        </w:tc>
        <w:tc>
          <w:tcPr>
            <w:tcW w:w="1700" w:type="dxa"/>
            <w:vAlign w:val="bottom"/>
          </w:tcPr>
          <w:p>
            <w:pPr>
              <w:ind w:left="500"/>
              <w:spacing w:after="0"/>
              <w:rPr>
                <w:sz w:val="20"/>
                <w:szCs w:val="20"/>
                <w:color w:val="auto"/>
              </w:rPr>
            </w:pPr>
            <w:r>
              <w:rPr>
                <w:rFonts w:ascii="Arial" w:cs="Arial" w:eastAsia="Arial" w:hAnsi="Arial"/>
                <w:sz w:val="18"/>
                <w:szCs w:val="18"/>
                <w:b w:val="1"/>
                <w:bCs w:val="1"/>
                <w:color w:val="auto"/>
              </w:rPr>
              <w:t>% of Total</w:t>
            </w:r>
          </w:p>
        </w:tc>
      </w:tr>
      <w:tr>
        <w:trPr>
          <w:trHeight w:val="234"/>
        </w:trPr>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1800" w:type="dxa"/>
            <w:vAlign w:val="bottom"/>
          </w:tcPr>
          <w:p>
            <w:pPr>
              <w:ind w:left="360"/>
              <w:spacing w:after="0"/>
              <w:rPr>
                <w:sz w:val="20"/>
                <w:szCs w:val="20"/>
                <w:color w:val="auto"/>
              </w:rPr>
            </w:pPr>
            <w:r>
              <w:rPr>
                <w:rFonts w:ascii="Arial" w:cs="Arial" w:eastAsia="Arial" w:hAnsi="Arial"/>
                <w:sz w:val="18"/>
                <w:szCs w:val="18"/>
                <w:b w:val="1"/>
                <w:bCs w:val="1"/>
                <w:color w:val="auto"/>
              </w:rPr>
              <w:t>Capitalization</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2013</w:t>
            </w:r>
          </w:p>
        </w:tc>
        <w:tc>
          <w:tcPr>
            <w:tcW w:w="1700" w:type="dxa"/>
            <w:vAlign w:val="bottom"/>
          </w:tcPr>
          <w:p>
            <w:pPr>
              <w:ind w:left="360"/>
              <w:spacing w:after="0"/>
              <w:rPr>
                <w:sz w:val="20"/>
                <w:szCs w:val="20"/>
                <w:color w:val="auto"/>
              </w:rPr>
            </w:pPr>
            <w:r>
              <w:rPr>
                <w:rFonts w:ascii="Arial" w:cs="Arial" w:eastAsia="Arial" w:hAnsi="Arial"/>
                <w:sz w:val="18"/>
                <w:szCs w:val="18"/>
                <w:b w:val="1"/>
                <w:bCs w:val="1"/>
                <w:color w:val="auto"/>
              </w:rPr>
              <w:t>Capitalization</w:t>
            </w:r>
          </w:p>
        </w:tc>
      </w:tr>
      <w:tr>
        <w:trPr>
          <w:trHeight w:val="27"/>
        </w:trPr>
        <w:tc>
          <w:tcPr>
            <w:tcW w:w="4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3"/>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7"/>
        </w:trPr>
        <w:tc>
          <w:tcPr>
            <w:tcW w:w="48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(Dollars in thousands)</w:t>
            </w:r>
          </w:p>
        </w:tc>
        <w:tc>
          <w:tcPr>
            <w:tcW w:w="1700" w:type="dxa"/>
            <w:vAlign w:val="bottom"/>
          </w:tcPr>
          <w:p>
            <w:pPr>
              <w:spacing w:after="0"/>
              <w:rPr>
                <w:sz w:val="20"/>
                <w:szCs w:val="20"/>
                <w:color w:val="auto"/>
              </w:rPr>
            </w:pPr>
          </w:p>
        </w:tc>
      </w:tr>
      <w:tr>
        <w:trPr>
          <w:trHeight w:val="27"/>
        </w:trPr>
        <w:tc>
          <w:tcPr>
            <w:tcW w:w="4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848,388</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12.4%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838,190</w:t>
            </w:r>
          </w:p>
        </w:tc>
        <w:tc>
          <w:tcPr>
            <w:tcW w:w="1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13.2%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1,221,977</w:t>
            </w:r>
          </w:p>
        </w:tc>
        <w:tc>
          <w:tcPr>
            <w:tcW w:w="1800" w:type="dxa"/>
            <w:vAlign w:val="bottom"/>
          </w:tcPr>
          <w:p>
            <w:pPr>
              <w:ind w:left="460"/>
              <w:spacing w:after="0"/>
              <w:rPr>
                <w:sz w:val="20"/>
                <w:szCs w:val="20"/>
                <w:color w:val="auto"/>
              </w:rPr>
            </w:pPr>
            <w:r>
              <w:rPr>
                <w:rFonts w:ascii="Arial" w:cs="Arial" w:eastAsia="Arial" w:hAnsi="Arial"/>
                <w:sz w:val="18"/>
                <w:szCs w:val="18"/>
                <w:color w:val="auto"/>
              </w:rPr>
              <w:t>18.0</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1,206,993</w:t>
            </w:r>
          </w:p>
        </w:tc>
        <w:tc>
          <w:tcPr>
            <w:tcW w:w="1700" w:type="dxa"/>
            <w:vAlign w:val="bottom"/>
          </w:tcPr>
          <w:p>
            <w:pPr>
              <w:ind w:left="460"/>
              <w:spacing w:after="0"/>
              <w:rPr>
                <w:sz w:val="20"/>
                <w:szCs w:val="20"/>
                <w:color w:val="auto"/>
              </w:rPr>
            </w:pPr>
            <w:r>
              <w:rPr>
                <w:rFonts w:ascii="Arial" w:cs="Arial" w:eastAsia="Arial" w:hAnsi="Arial"/>
                <w:sz w:val="18"/>
                <w:szCs w:val="18"/>
                <w:color w:val="auto"/>
              </w:rPr>
              <w:t>19.1</w:t>
            </w:r>
          </w:p>
        </w:tc>
      </w:tr>
      <w:tr>
        <w:trPr>
          <w:trHeight w:val="27"/>
        </w:trPr>
        <w:tc>
          <w:tcPr>
            <w:tcW w:w="4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44"/>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2,070,365</w:t>
            </w:r>
          </w:p>
        </w:tc>
        <w:tc>
          <w:tcPr>
            <w:tcW w:w="18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30.4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2,045,183</w:t>
            </w:r>
          </w:p>
        </w:tc>
        <w:tc>
          <w:tcPr>
            <w:tcW w:w="17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32.3</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Shareholders’ equity</w:t>
            </w:r>
          </w:p>
        </w:tc>
        <w:tc>
          <w:tcPr>
            <w:tcW w:w="26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4,735,867</w:t>
            </w:r>
          </w:p>
        </w:tc>
        <w:tc>
          <w:tcPr>
            <w:tcW w:w="1800" w:type="dxa"/>
            <w:vAlign w:val="bottom"/>
          </w:tcPr>
          <w:p>
            <w:pPr>
              <w:ind w:left="460"/>
              <w:spacing w:after="0"/>
              <w:rPr>
                <w:sz w:val="20"/>
                <w:szCs w:val="20"/>
                <w:color w:val="auto"/>
              </w:rPr>
            </w:pPr>
            <w:r>
              <w:rPr>
                <w:rFonts w:ascii="Arial" w:cs="Arial" w:eastAsia="Arial" w:hAnsi="Arial"/>
                <w:sz w:val="18"/>
                <w:szCs w:val="18"/>
                <w:color w:val="auto"/>
              </w:rPr>
              <w:t>69.6</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4,289,125</w:t>
            </w:r>
          </w:p>
        </w:tc>
        <w:tc>
          <w:tcPr>
            <w:tcW w:w="1700" w:type="dxa"/>
            <w:vAlign w:val="bottom"/>
          </w:tcPr>
          <w:p>
            <w:pPr>
              <w:ind w:left="460"/>
              <w:spacing w:after="0"/>
              <w:rPr>
                <w:sz w:val="20"/>
                <w:szCs w:val="20"/>
                <w:color w:val="auto"/>
              </w:rPr>
            </w:pPr>
            <w:r>
              <w:rPr>
                <w:rFonts w:ascii="Arial" w:cs="Arial" w:eastAsia="Arial" w:hAnsi="Arial"/>
                <w:sz w:val="18"/>
                <w:szCs w:val="18"/>
                <w:color w:val="auto"/>
              </w:rPr>
              <w:t>67.7</w:t>
            </w:r>
          </w:p>
        </w:tc>
      </w:tr>
      <w:tr>
        <w:trPr>
          <w:trHeight w:val="27"/>
        </w:trPr>
        <w:tc>
          <w:tcPr>
            <w:tcW w:w="4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r>
      <w:tr>
        <w:trPr>
          <w:trHeight w:val="257"/>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capitalization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6,806,232</w:t>
            </w:r>
          </w:p>
        </w:tc>
        <w:tc>
          <w:tcPr>
            <w:tcW w:w="1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100.0%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6,334,308</w:t>
            </w:r>
          </w:p>
        </w:tc>
        <w:tc>
          <w:tcPr>
            <w:tcW w:w="1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100.0%</w:t>
            </w:r>
          </w:p>
        </w:tc>
      </w:tr>
      <w:tr>
        <w:trPr>
          <w:trHeight w:val="20"/>
        </w:trPr>
        <w:tc>
          <w:tcPr>
            <w:tcW w:w="4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 xml:space="preserve">For a more detailed description of the Company’s long-term debt and lease commitments for the next five years and thereafter, see </w:t>
      </w:r>
      <w:r>
        <w:rPr>
          <w:rFonts w:ascii="Arial" w:cs="Arial" w:eastAsia="Arial" w:hAnsi="Arial"/>
          <w:sz w:val="18"/>
          <w:szCs w:val="18"/>
          <w:i w:val="1"/>
          <w:iCs w:val="1"/>
          <w:color w:val="auto"/>
        </w:rPr>
        <w:t>Long-Term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appearing in Item 7 of the Company’s Annual Report on Form 10-K for the year ended June 29, 2013. With the exception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debt transactions discussed herein, there are no material changes to this information outside of normal borrowings and repayments on long-term debt and lease payments.</w:t>
      </w:r>
    </w:p>
    <w:p>
      <w:pPr>
        <w:spacing w:after="0" w:line="14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does not currently have any material commitments for capital expenditures.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6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Financing Transactions</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See Note 4, “External financing” to the Company’s consolidated financial statements included in this Quarterly Report on Form 10-Q for additional information on financing transactions including the 2012 Credit Facility, the accounts receivable securitization program (the “Program”) and the outstanding Notes as of March 29, 2014.</w:t>
      </w:r>
    </w:p>
    <w:p>
      <w:pPr>
        <w:spacing w:after="0" w:line="14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has several small lines of credit and other forms of bank debt in various foreign locations to fund the short-term working capital, foreign exchange, overdraft and letter of credit needs of its wholly owned subsidiaries in EMEA, Asia, Latin America and Canada. Avnet generally guarantees its subsidiaries’ obligations under these facilities.</w:t>
      </w:r>
    </w:p>
    <w:p>
      <w:pPr>
        <w:spacing w:after="0" w:line="14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w:t>
      </w:r>
      <w:r>
        <w:rPr>
          <w:rFonts w:ascii="Arial" w:cs="Arial" w:eastAsia="Arial" w:hAnsi="Arial"/>
          <w:sz w:val="18"/>
          <w:szCs w:val="18"/>
          <w:color w:val="auto"/>
        </w:rPr>
        <w:t xml:space="preserve"> below for further discussion of the Company’s availability under these various facilities.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and Conditions</w:t>
      </w:r>
    </w:p>
    <w:p>
      <w:pPr>
        <w:spacing w:after="0" w:line="18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2012 Credit Facility contains certain covenants with various limitations on debt incurrence, share repurchases, dividends, investments and capital expenditures and also includes financial covenants requiring the Company to maintain minimum interest coverage and leverage ratios.</w:t>
      </w:r>
    </w:p>
    <w:p>
      <w:pPr>
        <w:spacing w:after="0" w:line="106"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Program requires the Company to maintain certain minimum interest coverage and leverage ratios in order to continue utilizing the Program. The Program also contains certain covenants relating to the quality of the receivables sold. If these conditions are not met, the Company may not be able to borrow any additional funds and the lending financial institutions may consider this an amortization event, as defined in the Program agreement, which would permit the financial institutions to liquidate the accounts receivables sold to cover any outstanding borrowings. Circumstances that could affect the Company’s ability to meet the required covenants and conditions of the Program include the Company’s ongoing profitability and various other economic, market and industry factors.</w:t>
      </w:r>
    </w:p>
    <w:p>
      <w:pPr>
        <w:spacing w:after="0" w:line="15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Management does not believe that the covenants under the 2012 Credit Facility or the Program limit the Company’s ability to pursue its intended business strategy or future financing needs. The Company was in compliance with all covenants of the 2012 Credit Facility and the Program as of March 29, 2014.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189" w:lineRule="exact"/>
        <w:rPr>
          <w:sz w:val="20"/>
          <w:szCs w:val="20"/>
          <w:color w:val="auto"/>
        </w:rPr>
      </w:pPr>
    </w:p>
    <w:p>
      <w:pPr>
        <w:jc w:val="both"/>
        <w:ind w:right="20" w:firstLine="432"/>
        <w:spacing w:after="0" w:line="308" w:lineRule="auto"/>
        <w:rPr>
          <w:sz w:val="20"/>
          <w:szCs w:val="20"/>
          <w:color w:val="auto"/>
        </w:rPr>
      </w:pPr>
      <w:r>
        <w:rPr>
          <w:rFonts w:ascii="Arial" w:cs="Arial" w:eastAsia="Arial" w:hAnsi="Arial"/>
          <w:sz w:val="17"/>
          <w:szCs w:val="17"/>
          <w:color w:val="auto"/>
        </w:rPr>
        <w:t>The Company had cash and cash equivalents of $960.1 million as of March 29, 2014, of which $877.8 million was held outside the United States. As of June 29, 2013, the Company had cash and cash equivalents of $1.01 billion, of which $918.4 million was held outside of the United States.</w:t>
      </w:r>
    </w:p>
    <w:p>
      <w:pPr>
        <w:spacing w:after="0" w:line="10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As of the end of the third quarter of fiscal 2014, the Company had a combined total borrowing capacity of $1.8 billion under the 2012 Credit Facility and the Program. There were $20.0 million in borrowings outstanding and $2.0 million in letters of credit issued under the 2012 Credit Facility and $590.0 million in borrowings outstanding under the Program, resulting in approximately $1.2 billion of availability as of March 29, 2014. During the third quarter and first nine months of fiscal 2014, the Company had an average daily balance outstanding under the 2012 Credit Facility of approximately $4.0 million, and approximately $554.0 million and $472.0 million, respectively, under the Program. During the third quarter and first nine months of fiscal 2013, the Company had an average daily balance outstanding under the 2012 Credit Facility of approximately $6.0 million and $119.0 million, respectively, and approximately $480.0 million and $603.0 million, respectively, under the Program. During the third quarter of fiscal 2014, the Company repaid the $300.0 million of 5.875% Notes due March 2014 upon maturity.</w:t>
      </w:r>
    </w:p>
    <w:p>
      <w:pPr>
        <w:spacing w:after="0" w:line="152"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Liquidity is subject to many factors, such as normal business operations as well as general economic, financial, competitive, legislative, and regulatory factors that are beyond the Company’s control. Cash balances generated and held in foreign locations are used for on-going working capital, capital expenditure needs and to support acquisitions. These balances are currently expected to be permanently reinvested outside the United States. If these funds were needed for general corporate use in the United States, the Company would incur significant income taxes to repatriate cash held in foreign locations, but only to the extent the repatriated cash is in excess of outstanding intercompany loans due to Avnet, Inc. from foreign subsidiaries.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3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first nine months of fiscal 2014, the Company utilized $116.9 million of cash, net of cash acquired, for acquisitions. The Company has made, and expects to continue to make, strategic investments through acquisition activity to the extent the investments strengthen Avnet’s competitive position and/or meet management’s return on capital thresholds.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56" w:right="239" w:bottom="1440" w:gutter="0" w:footer="0" w:header="0"/>
        </w:sectPr>
      </w:pPr>
    </w:p>
    <w:bookmarkStart w:id="27" w:name="page28"/>
    <w:bookmarkEnd w:id="27"/>
    <w:p>
      <w:pPr>
        <w:jc w:val="both"/>
        <w:ind w:firstLine="432"/>
        <w:spacing w:after="0" w:line="270" w:lineRule="auto"/>
        <w:rPr>
          <w:sz w:val="20"/>
          <w:szCs w:val="20"/>
          <w:color w:val="auto"/>
        </w:rPr>
      </w:pPr>
      <w:r>
        <w:rPr>
          <w:rFonts w:ascii="Arial" w:cs="Arial" w:eastAsia="Arial" w:hAnsi="Arial"/>
          <w:sz w:val="17"/>
          <w:szCs w:val="17"/>
          <w:color w:val="auto"/>
        </w:rPr>
        <w:t>In addition to continuing to make investments in acquisitions, as of March 29, 2014, the Company may repurchase up to an aggregate of $223.2 million of shares of the Company’s common stock through a $750.0 million share repurchase program approved by the Board of Directors in prior years. The Company plans to repurchase stock from time to time at the discretion of management, subject to strategic considerations, market conditions and other factors. The Company may terminate or limit the share repurchase program at any time without prior notice. The timing and actual number of shares purchased will depend on a variety of factors such as share price, corporate and regulatory requirements, and prevailing market conditions. Since the beginning of the repurchase program through the end of the third quarter of fiscal 2014, the Company has repurchased 17.9 million shares of stock at an aggregate cost of $526.8 million. Shares repurchased were retired. Additionally, the Company currently expects to pay quarterly cash dividends on shares of its common stock, subject to approval of the Board of Directors. During the third quarter of fiscal 2014, the Board of Directors approved a dividend of $.15 per share, which was paid in March 2014 in the aggregate amount of $20.7 million. During the first nine months of fiscal 2014, the Company has paid $62.0 million in quarterly dividends on its common stock.</w:t>
      </w:r>
    </w:p>
    <w:p>
      <w:pPr>
        <w:spacing w:after="0" w:line="137"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periods of weakening demand in the electronic components and enterprise computer solutions industries, the Company typically generates cash from operating activities. Conversely, the Company is more likely to use operating cash flows for working capital requirements during periods of higher growth. During the third quarter and first nine months of fiscal 2014, the Company generated cash from operations of $358.1 million and $203.9 million, respectively. The Company generated $470.7 million of cash from operations over the trailing twelve month period ended March 29, 2014.</w:t>
      </w:r>
    </w:p>
    <w:p>
      <w:pPr>
        <w:spacing w:after="0" w:line="131"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Management believes that Avnet’s available borrowing capacity, its current cash on hand and the Company’s expected ability to generate operating cash flows in the future are sufficient to meet its future liquidity needs. The Company also may issue debt or equity securities in the future and management believes the Company will have adequate access to the capital markets, if needed.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COMPARATIVE ANALYSIS — LIQUIDITY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170"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following table highlights the Company’s liquidity and liquidity ratios as of the end of the third quarter of fiscal 2014 with a comparison to the end of fiscal 2013:</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b w:val="1"/>
                <w:bCs w:val="1"/>
                <w:color w:val="auto"/>
              </w:rPr>
              <w:t>March 29,</w:t>
            </w:r>
          </w:p>
        </w:tc>
        <w:tc>
          <w:tcPr>
            <w:tcW w:w="420" w:type="dxa"/>
            <w:vAlign w:val="bottom"/>
          </w:tcPr>
          <w:p>
            <w:pPr>
              <w:spacing w:after="0"/>
              <w:rPr>
                <w:sz w:val="18"/>
                <w:szCs w:val="18"/>
                <w:color w:val="auto"/>
              </w:rPr>
            </w:pPr>
          </w:p>
        </w:tc>
        <w:tc>
          <w:tcPr>
            <w:tcW w:w="144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29,</w:t>
            </w:r>
          </w:p>
        </w:tc>
        <w:tc>
          <w:tcPr>
            <w:tcW w:w="1800" w:type="dxa"/>
            <w:vAlign w:val="bottom"/>
          </w:tcPr>
          <w:p>
            <w:pPr>
              <w:jc w:val="right"/>
              <w:ind w:right="39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6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0"/>
                <w:szCs w:val="20"/>
                <w:color w:val="auto"/>
              </w:rPr>
            </w:pPr>
          </w:p>
        </w:tc>
        <w:tc>
          <w:tcPr>
            <w:tcW w:w="13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b w:val="1"/>
                <w:bCs w:val="1"/>
                <w:color w:val="auto"/>
              </w:rPr>
              <w:t>Change</w:t>
            </w:r>
          </w:p>
        </w:tc>
      </w:tr>
      <w:tr>
        <w:trPr>
          <w:trHeight w:val="27"/>
        </w:trPr>
        <w:tc>
          <w:tcPr>
            <w:tcW w:w="6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0" w:type="dxa"/>
            <w:vAlign w:val="bottom"/>
            <w:tcBorders>
              <w:bottom w:val="single" w:sz="8" w:color="CCEEFF"/>
            </w:tcBorders>
            <w:gridSpan w:val="4"/>
            <w:shd w:val="clear" w:color="auto" w:fill="CCEEFF"/>
          </w:tcPr>
          <w:p>
            <w:pPr>
              <w:ind w:left="580"/>
              <w:spacing w:after="0"/>
              <w:rPr>
                <w:sz w:val="20"/>
                <w:szCs w:val="20"/>
                <w:color w:val="auto"/>
              </w:rPr>
            </w:pPr>
            <w:r>
              <w:rPr>
                <w:rFonts w:ascii="Arial" w:cs="Arial" w:eastAsia="Arial" w:hAnsi="Arial"/>
                <w:sz w:val="18"/>
                <w:szCs w:val="18"/>
                <w:b w:val="1"/>
                <w:bCs w:val="1"/>
                <w:color w:val="auto"/>
              </w:rPr>
              <w:t>(Dollars in thousands)</w:t>
            </w: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8,653.4</w:t>
            </w:r>
          </w:p>
        </w:tc>
        <w:tc>
          <w:tcPr>
            <w:tcW w:w="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8,356.9</w:t>
            </w:r>
          </w:p>
        </w:tc>
        <w:tc>
          <w:tcPr>
            <w:tcW w:w="100" w:type="dxa"/>
            <w:vAlign w:val="bottom"/>
          </w:tcPr>
          <w:p>
            <w:pPr>
              <w:spacing w:after="0"/>
              <w:rPr>
                <w:sz w:val="21"/>
                <w:szCs w:val="21"/>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color w:val="auto"/>
              </w:rPr>
              <w:t>3.5 %</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Quick Assets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5,944.0</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5,878.3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1.1</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4,764.6</w:t>
            </w:r>
          </w:p>
        </w:tc>
        <w:tc>
          <w:tcPr>
            <w:tcW w:w="420" w:type="dxa"/>
            <w:vAlign w:val="bottom"/>
          </w:tcPr>
          <w:p>
            <w:pPr>
              <w:spacing w:after="0"/>
              <w:rPr>
                <w:sz w:val="21"/>
                <w:szCs w:val="21"/>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4,821.4</w:t>
            </w:r>
          </w:p>
        </w:tc>
        <w:tc>
          <w:tcPr>
            <w:tcW w:w="100" w:type="dxa"/>
            <w:vAlign w:val="bottom"/>
          </w:tcPr>
          <w:p>
            <w:pPr>
              <w:spacing w:after="0"/>
              <w:rPr>
                <w:sz w:val="21"/>
                <w:szCs w:val="21"/>
                <w:color w:val="auto"/>
              </w:rPr>
            </w:pP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(1.2)</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Working Capital</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3,888.8</w:t>
            </w:r>
          </w:p>
        </w:tc>
        <w:tc>
          <w:tcPr>
            <w:tcW w:w="4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3,535.4</w:t>
            </w:r>
          </w:p>
        </w:tc>
        <w:tc>
          <w:tcPr>
            <w:tcW w:w="10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10.0</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26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2,070.4</w:t>
            </w:r>
          </w:p>
        </w:tc>
        <w:tc>
          <w:tcPr>
            <w:tcW w:w="420" w:type="dxa"/>
            <w:vAlign w:val="bottom"/>
          </w:tcPr>
          <w:p>
            <w:pPr>
              <w:spacing w:after="0"/>
              <w:rPr>
                <w:sz w:val="21"/>
                <w:szCs w:val="21"/>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2,045.2</w:t>
            </w:r>
          </w:p>
        </w:tc>
        <w:tc>
          <w:tcPr>
            <w:tcW w:w="100" w:type="dxa"/>
            <w:vAlign w:val="bottom"/>
          </w:tcPr>
          <w:p>
            <w:pPr>
              <w:spacing w:after="0"/>
              <w:rPr>
                <w:sz w:val="21"/>
                <w:szCs w:val="21"/>
                <w:color w:val="auto"/>
              </w:rPr>
            </w:pPr>
          </w:p>
        </w:tc>
        <w:tc>
          <w:tcPr>
            <w:tcW w:w="1800" w:type="dxa"/>
            <w:vAlign w:val="bottom"/>
          </w:tcPr>
          <w:p>
            <w:pPr>
              <w:jc w:val="right"/>
              <w:ind w:right="390"/>
              <w:spacing w:after="0"/>
              <w:rPr>
                <w:sz w:val="20"/>
                <w:szCs w:val="20"/>
                <w:color w:val="auto"/>
              </w:rPr>
            </w:pPr>
            <w:r>
              <w:rPr>
                <w:rFonts w:ascii="Arial" w:cs="Arial" w:eastAsia="Arial" w:hAnsi="Arial"/>
                <w:sz w:val="18"/>
                <w:szCs w:val="18"/>
                <w:color w:val="auto"/>
              </w:rPr>
              <w:t>1.2</w:t>
            </w: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Capital (total debt plus total 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6,806.3</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6,334.3</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7.5</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Quick Ratio</w:t>
            </w:r>
          </w:p>
        </w:tc>
        <w:tc>
          <w:tcPr>
            <w:tcW w:w="26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21"/>
                <w:szCs w:val="21"/>
                <w:color w:val="auto"/>
              </w:rPr>
            </w:pPr>
          </w:p>
        </w:tc>
        <w:tc>
          <w:tcPr>
            <w:tcW w:w="1340" w:type="dxa"/>
            <w:vAlign w:val="bottom"/>
          </w:tcPr>
          <w:p>
            <w:pPr>
              <w:jc w:val="right"/>
              <w:ind w:right="2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7"/>
        </w:trPr>
        <w:tc>
          <w:tcPr>
            <w:tcW w:w="6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 Ratio</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1.8:1</w:t>
            </w:r>
          </w:p>
        </w:tc>
        <w:tc>
          <w:tcPr>
            <w:tcW w:w="4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Debt to Total Capital</w:t>
            </w:r>
          </w:p>
        </w:tc>
        <w:tc>
          <w:tcPr>
            <w:tcW w:w="260" w:type="dxa"/>
            <w:vAlign w:val="bottom"/>
          </w:tcPr>
          <w:p>
            <w:pPr>
              <w:spacing w:after="0"/>
              <w:rPr>
                <w:sz w:val="21"/>
                <w:szCs w:val="21"/>
                <w:color w:val="auto"/>
              </w:rPr>
            </w:pPr>
          </w:p>
        </w:tc>
        <w:tc>
          <w:tcPr>
            <w:tcW w:w="1340" w:type="dxa"/>
            <w:vAlign w:val="bottom"/>
          </w:tcPr>
          <w:p>
            <w:pPr>
              <w:jc w:val="right"/>
              <w:ind w:right="50"/>
              <w:spacing w:after="0"/>
              <w:rPr>
                <w:sz w:val="20"/>
                <w:szCs w:val="20"/>
                <w:color w:val="auto"/>
              </w:rPr>
            </w:pPr>
            <w:r>
              <w:rPr>
                <w:rFonts w:ascii="Arial" w:cs="Arial" w:eastAsia="Arial" w:hAnsi="Arial"/>
                <w:sz w:val="18"/>
                <w:szCs w:val="18"/>
                <w:color w:val="auto"/>
              </w:rPr>
              <w:t>30.4%</w:t>
            </w:r>
          </w:p>
        </w:tc>
        <w:tc>
          <w:tcPr>
            <w:tcW w:w="420" w:type="dxa"/>
            <w:vAlign w:val="bottom"/>
          </w:tcPr>
          <w:p>
            <w:pPr>
              <w:spacing w:after="0"/>
              <w:rPr>
                <w:sz w:val="21"/>
                <w:szCs w:val="21"/>
                <w:color w:val="auto"/>
              </w:rPr>
            </w:pP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243"/>
        </w:trPr>
        <w:tc>
          <w:tcPr>
            <w:tcW w:w="6160" w:type="dxa"/>
            <w:vAlign w:val="bottom"/>
          </w:tcPr>
          <w:p>
            <w:pPr>
              <w:spacing w:after="0"/>
              <w:rPr>
                <w:sz w:val="20"/>
                <w:szCs w:val="20"/>
                <w:color w:val="auto"/>
              </w:rPr>
            </w:pPr>
            <w:r>
              <w:rPr>
                <w:rFonts w:ascii="Arial" w:cs="Arial" w:eastAsia="Arial" w:hAnsi="Arial"/>
                <w:sz w:val="18"/>
                <w:szCs w:val="18"/>
                <w:color w:val="auto"/>
              </w:rPr>
              <w:t>_____________________</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r>
    </w:tbl>
    <w:p>
      <w:pPr>
        <w:ind w:left="420" w:hanging="412"/>
        <w:spacing w:after="0"/>
        <w:tabs>
          <w:tab w:leader="none" w:pos="4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calculation of working capital is defined as current assets less current liabilities.</w:t>
      </w:r>
    </w:p>
    <w:p>
      <w:pPr>
        <w:spacing w:after="0" w:line="17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The Company’s quick assets (consisting of cash and cash equivalents and receivables) increased 1.1% since the end of fiscal 2013 primarily due to an increase in receivables partially offset by a decrease in cash and cash equivalents. These factors, when combined with an increase in inventory, led to an increase in current assets of 3.5%. Current liabilities decreased 1.2% primarily due to a decrease in accounts payable. The net increase in current assets and current liabilities was also impacted by the change in foreign currency exchange rates since the end of fiscal 2013. As a result of the factors noted above, total working capital increased by 10.0% during the first nine months of fiscal 2014. Total debt increased by 1.2%, primarily due to an increase in long-term debt. Total capital increased by 7.5% primarily as the result of generating net income in the first nine months of fiscal 2014 and the debt to total capital ratio decreased as compared with June 29, 2013 to 30.4%.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60" w:right="239" w:bottom="1440" w:gutter="0" w:footer="0" w:header="0"/>
        </w:sectPr>
      </w:pPr>
    </w:p>
    <w:bookmarkStart w:id="28" w:name="page29"/>
    <w:bookmarkEnd w:id="28"/>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8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1, "Basis of presentation and new accounting pronouncements" to the Company's consolidated financial statements included in this Quarterly Report on Form 10-Q for a description of new accounting pronouncements.</w:t>
      </w:r>
    </w:p>
    <w:p>
      <w:pPr>
        <w:spacing w:after="0" w:line="12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8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seeks to reduce earnings and cash flow volatility associated with changes in interest rates and foreign currency exchange rates by entering into financial arrangements from time to time, which are intended to provide a hedge against all or a portion of the risks associated with such volatility. The Company continues to have exposure to such risks to the extent they are not hedged.</w:t>
      </w:r>
    </w:p>
    <w:p>
      <w:pPr>
        <w:spacing w:after="0" w:line="141"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 xml:space="preserve">See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in the Company’s Annual Report on Form 10-K for the year ended June 29, 2013 for further discussion of market risks associated with interest rates and foreign currency exchange. Avnet’s exposure to foreign exchange risks has not changed materially since June 29, 2013 as the Company continues to economically hedge the majority of its foreign exchange exposures. Thus, any increase or decrease in fair value of the Company’s foreign exchange contracts is generally offset by an opposite effect on the related hedged position.</w:t>
      </w:r>
    </w:p>
    <w:p>
      <w:pPr>
        <w:spacing w:after="0" w:line="11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Liquidity and Capital Resources — Financing Transactions</w:t>
      </w:r>
      <w:r>
        <w:rPr>
          <w:rFonts w:ascii="Arial" w:cs="Arial" w:eastAsia="Arial" w:hAnsi="Arial"/>
          <w:sz w:val="17"/>
          <w:szCs w:val="17"/>
          <w:color w:val="auto"/>
        </w:rPr>
        <w:t xml:space="preserve"> appearing in Item 2 of this Form 10-Q for further discussion of the Company’s financing transactions and capital structure. As of March 29, 2014, 60% of the Company’s debt bears interest at a fixed rate and 40% of the Company’s debt bears interest at variable rates. Therefore, a hypothetical 1.0% (100 basis points) increase in interest rates would result in a $2.1 million decrease in income before income taxes in the Company’s consolidated statement of operations for the quarter ended March 29, 2014.</w:t>
      </w:r>
    </w:p>
    <w:p>
      <w:pPr>
        <w:spacing w:after="0" w:line="12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52"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During the third quarter of fiscal 2014, there were no changes to the Company’s internal control over financial reporting (as defined in Rule 13a-15(f)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6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PART II</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8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8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As a result primarily of certain former manufacturing operations, Avnet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(“CERCLA”) and similar state laws, Avnet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2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Pursuant to SEC regulations, including but not limited to Item 103 of Regulation S-K, the Company regularly assesses the status of and developments in pending environmental legal proceedings to determine whether any such proceedings should be identified specifically in this discussion of legal proceedings, and has concluded that no particular pending environmental legal proceeding requires public disclosure. Based on the information known to date, management believes that the Company has appropriately accrued in its consolidated financial statements for its share of the estimated costs associated with the environmental clean up of sites in which the Company is participating.</w:t>
      </w:r>
    </w:p>
    <w:p>
      <w:pPr>
        <w:spacing w:after="0" w:line="14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The Company and/or its subsidiaries are also parties to various other legal proceedings arising from time to time in the normal course of business. While litigation is subject to inherent uncertainties, management currently believes that the ultimate outcome of these proceedings, individually and in the aggregate, will not have a material adverse effect on the Company’s financial position, cash flows or results of operations.</w:t>
      </w:r>
    </w:p>
    <w:p>
      <w:pPr>
        <w:spacing w:after="0" w:line="1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89"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This Quarterly Report on Form 10-Q ("Quarterly Report") contains forward-looking statements within the meaning of Section 27A of the Securities Act of 1933, as amended and Section 21E of the Securities Exchange Act of 1934, as amended,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29, 2013, could affect the Company’s future results, and could cause those results or other outcomes to differ materially from those expressed or implied in the forward-looking statements:</w:t>
      </w:r>
    </w:p>
    <w:p>
      <w:pPr>
        <w:spacing w:after="0" w:line="57" w:lineRule="exact"/>
        <w:rPr>
          <w:sz w:val="20"/>
          <w:szCs w:val="20"/>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global economic conditions, including the current global economic uncertainty;</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 and computer products;</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cyclicality in the technology industry, particularly in the semiconductor sector;</w:t>
      </w:r>
    </w:p>
    <w:p>
      <w:pPr>
        <w:spacing w:after="0" w:line="90"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the Company's international sales and operations, including risks relating to the ability to repatriate funds, foreign currency fluctuations, duties and taxes, and compliance with international and U.S. laws;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relating to acquisitions and investments;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effects on our supply chain, shipping costs, customers and suppliers, including as a result of issues caused by natural and weather-related disasters;</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risks related to the Company's information systems;</w:t>
      </w:r>
    </w:p>
    <w:p>
      <w:pPr>
        <w:spacing w:after="0" w:line="90"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and foreign) affecting Avnet's financial performance and, indirectly, Avnet's credit ratings, debt covenant compliance, and liquidity and access to financing; and</w:t>
      </w:r>
    </w:p>
    <w:p>
      <w:pPr>
        <w:spacing w:after="0" w:line="35" w:lineRule="exact"/>
        <w:rPr>
          <w:rFonts w:ascii="Arial" w:cs="Arial" w:eastAsia="Arial" w:hAnsi="Arial"/>
          <w:sz w:val="18"/>
          <w:szCs w:val="18"/>
          <w:color w:val="auto"/>
        </w:rPr>
      </w:pPr>
    </w:p>
    <w:p>
      <w:pPr>
        <w:ind w:left="820" w:hanging="326"/>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legislative or regulatory changes affecting Avnet’s businesses.</w:t>
      </w:r>
    </w:p>
    <w:p>
      <w:pPr>
        <w:spacing w:after="0" w:line="185"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0" w:name="page31"/>
    <w:bookmarkEnd w:id="30"/>
    <w:p>
      <w:pPr>
        <w:jc w:val="both"/>
        <w:ind w:firstLine="432"/>
        <w:spacing w:after="0" w:line="257" w:lineRule="auto"/>
        <w:rPr>
          <w:sz w:val="20"/>
          <w:szCs w:val="20"/>
          <w:color w:val="auto"/>
        </w:rPr>
      </w:pPr>
      <w:r>
        <w:rPr>
          <w:rFonts w:ascii="Arial" w:cs="Arial" w:eastAsia="Arial" w:hAnsi="Arial"/>
          <w:sz w:val="18"/>
          <w:szCs w:val="18"/>
          <w:color w:val="auto"/>
        </w:rPr>
        <w:t>The discussion of Avnet’s business and operations should be read together with the risk factors contained in Item 1A of its Annual Report on Form 10-K for the fiscal year ended June 29, 2013, which describe various risks and uncertainties to which the Company is or may become subject to. These risks and uncertainties have the potential to affect Avnet’s business, financial condition, results of operations, cash flows, strategies or prospects in a material and adverse manner. As of March 29, 2014, there have been no material changes to the risk factors set forth in the Company’s report on Form 10-K for the fiscal year ended June 29, 2013.</w:t>
      </w:r>
    </w:p>
    <w:p>
      <w:pPr>
        <w:spacing w:after="0" w:line="1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18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In August 2011, the Company’s Board of Directors (the "Board") approved the repurchase of up to $500.0 million of the Company’s common stock through a share repurchase program. During August 2012, the Board approved an additional $250.00 million for the share repurchase program. With this increase, the Company may repurchase up to a total of $750.0 million of the Company's common stock under the share repurchase program. The following table includes, if any, the Company’s monthly purchases of Avnet's common stock during the third quarter ended March 29, 2014, under the share repurchase program, which is part of a publicly announced plan, and purchases made on the open market to obtain shares for the Company’s Employee Stock Purchase Plan (“ESPP”), which is not part of a publicly announced plan:</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Total Number of</w:t>
            </w: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7"/>
              </w:rPr>
              <w:t>Total Number</w:t>
            </w: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Average Price</w:t>
            </w: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as Part of Publicly</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360" w:type="dxa"/>
            <w:vAlign w:val="bottom"/>
            <w:gridSpan w:val="2"/>
            <w:vMerge w:val="continue"/>
          </w:tcPr>
          <w:p>
            <w:pPr>
              <w:spacing w:after="0"/>
              <w:rPr>
                <w:sz w:val="12"/>
                <w:szCs w:val="12"/>
                <w:color w:val="auto"/>
              </w:rPr>
            </w:pPr>
          </w:p>
        </w:tc>
        <w:tc>
          <w:tcPr>
            <w:tcW w:w="2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2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Purchased</w:t>
            </w:r>
            <w:r>
              <w:rPr>
                <w:rFonts w:ascii="Arial" w:cs="Arial" w:eastAsia="Arial" w:hAnsi="Arial"/>
                <w:sz w:val="8"/>
                <w:szCs w:val="8"/>
                <w:b w:val="1"/>
                <w:bCs w:val="1"/>
                <w:color w:val="auto"/>
                <w:w w:val="93"/>
              </w:rPr>
              <w:t>(1)</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Paid per Share</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or Programs</w:t>
            </w:r>
          </w:p>
        </w:tc>
        <w:tc>
          <w:tcPr>
            <w:tcW w:w="100" w:type="dxa"/>
            <w:vAlign w:val="bottom"/>
            <w:tcBorders>
              <w:bottom w:val="single" w:sz="8" w:color="CCEEFF"/>
            </w:tcBorders>
          </w:tcPr>
          <w:p>
            <w:pPr>
              <w:spacing w:after="0"/>
              <w:rPr>
                <w:sz w:val="16"/>
                <w:szCs w:val="16"/>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January</w:t>
            </w:r>
          </w:p>
        </w:tc>
        <w:tc>
          <w:tcPr>
            <w:tcW w:w="13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3,900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$43.41</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$224,475,000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February</w:t>
            </w:r>
          </w:p>
        </w:tc>
        <w:tc>
          <w:tcPr>
            <w:tcW w:w="1380" w:type="dxa"/>
            <w:vAlign w:val="bottom"/>
            <w:gridSpan w:val="2"/>
          </w:tcPr>
          <w:p>
            <w:pPr>
              <w:jc w:val="center"/>
              <w:ind w:left="50"/>
              <w:spacing w:after="0"/>
              <w:rPr>
                <w:sz w:val="20"/>
                <w:szCs w:val="20"/>
                <w:color w:val="auto"/>
              </w:rPr>
            </w:pPr>
            <w:r>
              <w:rPr>
                <w:rFonts w:ascii="Arial" w:cs="Arial" w:eastAsia="Arial" w:hAnsi="Arial"/>
                <w:sz w:val="18"/>
                <w:szCs w:val="18"/>
                <w:color w:val="auto"/>
                <w:w w:val="87"/>
              </w:rPr>
              <w:t>35,700</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$39.72</w:t>
            </w:r>
          </w:p>
        </w:tc>
        <w:tc>
          <w:tcPr>
            <w:tcW w:w="10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7"/>
              </w:rPr>
              <w:t>31,700</w:t>
            </w:r>
          </w:p>
        </w:tc>
        <w:tc>
          <w:tcPr>
            <w:tcW w:w="100" w:type="dxa"/>
            <w:vAlign w:val="bottom"/>
          </w:tcPr>
          <w:p>
            <w:pPr>
              <w:spacing w:after="0"/>
              <w:rPr>
                <w:sz w:val="21"/>
                <w:szCs w:val="21"/>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$223,223,000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w:t>
            </w:r>
          </w:p>
        </w:tc>
        <w:tc>
          <w:tcPr>
            <w:tcW w:w="1380" w:type="dxa"/>
            <w:vAlign w:val="bottom"/>
            <w:tcBorders>
              <w:bottom w:val="single" w:sz="8" w:color="CCEEFF"/>
            </w:tcBorders>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88"/>
              </w:rPr>
              <w:t>5,400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$223,223,000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_____________________</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660" w:right="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Consists of purchases of Avnet’s common stock associated with the Company’s ESPP as follows: 3,900 shares in January, 4,000 shares in February and 5,400 shares in March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60" w:right="239" w:bottom="1440" w:gutter="0" w:footer="0" w:header="0"/>
        </w:sectPr>
      </w:pPr>
    </w:p>
    <w:bookmarkStart w:id="31" w:name="page32"/>
    <w:bookmarkEnd w:id="31"/>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6"/>
              </w:rPr>
              <w:t>Exhibit</w:t>
            </w:r>
          </w:p>
        </w:tc>
        <w:tc>
          <w:tcPr>
            <w:tcW w:w="9800" w:type="dxa"/>
            <w:vAlign w:val="bottom"/>
          </w:tcPr>
          <w:p>
            <w:pPr>
              <w:spacing w:after="0"/>
              <w:rPr>
                <w:sz w:val="20"/>
                <w:szCs w:val="20"/>
                <w:color w:val="auto"/>
              </w:rPr>
            </w:pPr>
          </w:p>
        </w:tc>
      </w:tr>
      <w:tr>
        <w:trPr>
          <w:trHeight w:val="270"/>
        </w:trPr>
        <w:tc>
          <w:tcPr>
            <w:tcW w:w="16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r>
      <w:tr>
        <w:trPr>
          <w:trHeight w:val="27"/>
        </w:trPr>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237"/>
        </w:trPr>
        <w:tc>
          <w:tcPr>
            <w:tcW w:w="1500" w:type="dxa"/>
            <w:vAlign w:val="bottom"/>
          </w:tcPr>
          <w:p>
            <w:pPr>
              <w:jc w:val="right"/>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0"/>
                <w:szCs w:val="20"/>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302 of the Sarbanes-Oxley Act of 2002.</w:t>
            </w: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500" w:type="dxa"/>
            <w:vAlign w:val="bottom"/>
          </w:tcPr>
          <w:p>
            <w:pPr>
              <w:jc w:val="right"/>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Certification pursuant to Section 906 of the Sarbanes-Oxley Act of 2002.</w:t>
            </w:r>
          </w:p>
        </w:tc>
      </w:tr>
      <w:tr>
        <w:trPr>
          <w:trHeight w:val="540"/>
        </w:trPr>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101.INS*</w:t>
            </w:r>
          </w:p>
        </w:tc>
        <w:tc>
          <w:tcPr>
            <w:tcW w:w="980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40"/>
        </w:trPr>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101.SCH*</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101.DEF*</w:t>
            </w:r>
          </w:p>
        </w:tc>
        <w:tc>
          <w:tcPr>
            <w:tcW w:w="9800" w:type="dxa"/>
            <w:vAlign w:val="bottom"/>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540"/>
        </w:trPr>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101.CAL*</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101.LAB*</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40"/>
        </w:trPr>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101.PRE*</w:t>
            </w:r>
          </w:p>
        </w:tc>
        <w:tc>
          <w:tcPr>
            <w:tcW w:w="980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w:t>
      </w:r>
    </w:p>
    <w:p>
      <w:pPr>
        <w:spacing w:after="0" w:line="171" w:lineRule="exact"/>
        <w:rPr>
          <w:sz w:val="20"/>
          <w:szCs w:val="20"/>
          <w:color w:val="auto"/>
        </w:rPr>
      </w:pPr>
    </w:p>
    <w:p>
      <w:pPr>
        <w:ind w:left="620" w:hanging="585"/>
        <w:spacing w:after="0"/>
        <w:tabs>
          <w:tab w:leader="none" w:pos="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jc w:val="both"/>
        <w:ind w:left="620" w:right="40" w:hanging="585"/>
        <w:spacing w:after="0" w:line="264" w:lineRule="auto"/>
        <w:tabs>
          <w:tab w:leader="none" w:pos="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registration statement or other document filed under the Securities Act of 1933, as amended, except as expressly set forth by specific reference in such filing.</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0"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AVNET, INC.</w:t>
      </w:r>
    </w:p>
    <w:p>
      <w:pPr>
        <w:spacing w:after="0" w:line="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(Registrant)</w:t>
      </w:r>
    </w:p>
    <w:p>
      <w:pPr>
        <w:spacing w:after="0" w:line="265" w:lineRule="exact"/>
        <w:rPr>
          <w:sz w:val="20"/>
          <w:szCs w:val="20"/>
          <w:color w:val="auto"/>
        </w:rPr>
      </w:pPr>
    </w:p>
    <w:p>
      <w:pPr>
        <w:ind w:left="5240"/>
        <w:spacing w:after="0"/>
        <w:tabs>
          <w:tab w:leader="none" w:pos="5720" w:val="left"/>
        </w:tabs>
        <w:rPr>
          <w:sz w:val="20"/>
          <w:szCs w:val="20"/>
          <w:color w:val="auto"/>
        </w:rPr>
      </w:pPr>
      <w:r>
        <w:rPr>
          <w:rFonts w:ascii="Arial" w:cs="Arial" w:eastAsia="Arial" w:hAnsi="Arial"/>
          <w:sz w:val="18"/>
          <w:szCs w:val="18"/>
          <w:color w:val="auto"/>
        </w:rPr>
        <w:t>By:</w:t>
        <w:tab/>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31750</wp:posOffset>
            </wp:positionV>
            <wp:extent cx="3627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56"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Richard Hamada, certify that:</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2014</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Kevin Moriarty,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such term is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980" w:right="26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80" w:right="720" w:hanging="324"/>
        <w:spacing w:after="0" w:line="342" w:lineRule="auto"/>
        <w:tabs>
          <w:tab w:leader="none" w:pos="98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300" w:hanging="324"/>
        <w:spacing w:after="0" w:line="264"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38" w:lineRule="exact"/>
        <w:rPr>
          <w:rFonts w:ascii="Arial" w:cs="Arial" w:eastAsia="Arial" w:hAnsi="Arial"/>
          <w:sz w:val="17"/>
          <w:szCs w:val="17"/>
          <w:color w:val="auto"/>
        </w:rPr>
      </w:pPr>
    </w:p>
    <w:p>
      <w:pPr>
        <w:ind w:left="980" w:right="180" w:hanging="324"/>
        <w:spacing w:after="0" w:line="308" w:lineRule="auto"/>
        <w:tabs>
          <w:tab w:leader="none" w:pos="980" w:val="left"/>
        </w:tabs>
        <w:numPr>
          <w:ilvl w:val="1"/>
          <w:numId w:val="1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980" w:right="160" w:hanging="324"/>
        <w:spacing w:after="0" w:line="277" w:lineRule="auto"/>
        <w:tabs>
          <w:tab w:leader="none" w:pos="9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2014</w:t>
      </w:r>
    </w:p>
    <w:p>
      <w:pPr>
        <w:spacing w:after="0" w:line="38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31750</wp:posOffset>
            </wp:positionV>
            <wp:extent cx="30441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5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Quarterly Report on Form 10-Q for the period ended March 29, 2014 (the “Report”), I, Richard Hamada, Chief Executive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Avnet, Inc., (the “Company”) hereby certify that:</w:t>
      </w:r>
    </w:p>
    <w:p>
      <w:pPr>
        <w:spacing w:after="0" w:line="103"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2014</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RICHARD HAMADA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Richard Hamada</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Quarterly Report on Form 10-Q for the period ended March 29, 2014 (the “Report”), I, Kevin Moriarty, Chief Financial Officer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Avnet, Inc., (the “Company”) hereby certify that:</w:t>
      </w:r>
    </w:p>
    <w:p>
      <w:pPr>
        <w:spacing w:after="0" w:line="10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2014</w:t>
      </w:r>
    </w:p>
    <w:p>
      <w:pPr>
        <w:spacing w:after="0" w:line="171"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 KEVIN MORIARTY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3444240</wp:posOffset>
            </wp:positionH>
            <wp:positionV relativeFrom="paragraph">
              <wp:posOffset>31750</wp:posOffset>
            </wp:positionV>
            <wp:extent cx="2992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57"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Kevin Moriarty</w:t>
      </w:r>
    </w:p>
    <w:p>
      <w:pPr>
        <w:spacing w:after="0" w:line="6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1."/>
      <w:numFmt w:val="decimal"/>
      <w:start w:val="3"/>
    </w:lvl>
  </w:abstractNum>
  <w:abstractNum w:abstractNumId="1">
    <w:nsid w:val="5BD062C2"/>
    <w:multiLevelType w:val="hybridMultilevel"/>
    <w:lvl w:ilvl="0">
      <w:lvlJc w:val="left"/>
      <w:lvlText w:val="%1."/>
      <w:numFmt w:val="decimal"/>
      <w:start w:val="6"/>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2019-12-05T03:10:24Z</dcterms:created>
  <dcterms:modified xsi:type="dcterms:W3CDTF">2019-12-05T03:10:24Z</dcterms:modified>
</cp:coreProperties>
</file>