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237490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103505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2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quarterly period ended January 1, 2022</w:t>
      </w:r>
    </w:p>
    <w:p>
      <w:pPr>
        <w:spacing w:after="0" w:line="14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94615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AVNET</w:t>
      </w:r>
      <w:r>
        <w:rPr>
          <w:rFonts w:ascii="Arial" w:cs="Arial" w:eastAsia="Arial" w:hAnsi="Arial"/>
          <w:sz w:val="35"/>
          <w:szCs w:val="35"/>
          <w:b w:val="1"/>
          <w:bCs w:val="1"/>
          <w:color w:val="auto"/>
        </w:rPr>
        <w:t>,</w:t>
      </w:r>
      <w:r>
        <w:rPr>
          <w:rFonts w:ascii="Arial" w:cs="Arial" w:eastAsia="Arial" w:hAnsi="Arial"/>
          <w:sz w:val="29"/>
          <w:szCs w:val="29"/>
          <w:b w:val="1"/>
          <w:bCs w:val="1"/>
          <w:color w:val="auto"/>
        </w:rPr>
        <w:t xml:space="preserve">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160"/>
          </w:cols>
          <w:pgMar w:left="860" w:top="665"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Arial" w:cs="Arial" w:eastAsia="Arial" w:hAnsi="Arial"/>
          <w:sz w:val="18"/>
          <w:szCs w:val="18"/>
          <w:b w:val="1"/>
          <w:bCs w:val="1"/>
          <w:color w:val="auto"/>
        </w:rPr>
        <w:t>New York</w:t>
      </w:r>
    </w:p>
    <w:p>
      <w:pPr>
        <w:jc w:val="center"/>
        <w:ind w:right="4000"/>
        <w:spacing w:after="0" w:line="203" w:lineRule="auto"/>
        <w:rPr>
          <w:sz w:val="20"/>
          <w:szCs w:val="20"/>
          <w:color w:val="auto"/>
        </w:rPr>
      </w:pPr>
      <w:r>
        <w:rPr>
          <w:rFonts w:ascii="Arial" w:cs="Arial" w:eastAsia="Arial" w:hAnsi="Arial"/>
          <w:sz w:val="18"/>
          <w:szCs w:val="18"/>
          <w:color w:val="auto"/>
        </w:rPr>
        <w:t>(State or other jurisdiction</w:t>
      </w:r>
    </w:p>
    <w:p>
      <w:pPr>
        <w:jc w:val="center"/>
        <w:ind w:right="40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11-1890605</w:t>
      </w:r>
    </w:p>
    <w:p>
      <w:pPr>
        <w:jc w:val="center"/>
        <w:ind w:right="860"/>
        <w:spacing w:after="0" w:line="203" w:lineRule="auto"/>
        <w:rPr>
          <w:sz w:val="20"/>
          <w:szCs w:val="20"/>
          <w:color w:val="auto"/>
        </w:rPr>
      </w:pPr>
      <w:r>
        <w:rPr>
          <w:rFonts w:ascii="Arial" w:cs="Arial" w:eastAsia="Arial" w:hAnsi="Arial"/>
          <w:sz w:val="18"/>
          <w:szCs w:val="18"/>
          <w:color w:val="auto"/>
        </w:rPr>
        <w:t>(IRS Employer</w:t>
      </w: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5" w:right="879" w:bottom="1440" w:gutter="0" w:footer="0" w:header="0"/>
          <w:type w:val="continuous"/>
        </w:sectPr>
      </w:pP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12" w:lineRule="exact"/>
        <w:rPr>
          <w:sz w:val="24"/>
          <w:szCs w:val="24"/>
          <w:color w:val="auto"/>
        </w:rPr>
      </w:pPr>
    </w:p>
    <w:p>
      <w:pPr>
        <w:jc w:val="center"/>
        <w:ind w:right="16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85034</w:t>
      </w:r>
    </w:p>
    <w:p>
      <w:pPr>
        <w:jc w:val="center"/>
        <w:ind w:right="2060"/>
        <w:spacing w:after="0"/>
        <w:rPr>
          <w:sz w:val="20"/>
          <w:szCs w:val="20"/>
          <w:color w:val="auto"/>
        </w:rPr>
      </w:pPr>
      <w:r>
        <w:rPr>
          <w:rFonts w:ascii="Arial" w:cs="Arial" w:eastAsia="Arial" w:hAnsi="Arial"/>
          <w:sz w:val="16"/>
          <w:szCs w:val="16"/>
          <w:color w:val="auto"/>
        </w:rPr>
        <w:t>(Zip Code)</w:t>
      </w:r>
    </w:p>
    <w:p>
      <w:pPr>
        <w:spacing w:after="0" w:line="92" w:lineRule="exact"/>
        <w:rPr>
          <w:sz w:val="24"/>
          <w:szCs w:val="24"/>
          <w:color w:val="auto"/>
        </w:rPr>
      </w:pPr>
    </w:p>
    <w:p>
      <w:pPr>
        <w:sectPr>
          <w:pgSz w:w="11900" w:h="16838" w:orient="portrait"/>
          <w:cols w:equalWidth="0" w:num="2">
            <w:col w:w="6600" w:space="720"/>
            <w:col w:w="2840"/>
          </w:cols>
          <w:pgMar w:left="860" w:top="665" w:right="87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(480) 643-2000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0160"/>
          </w:cols>
          <w:pgMar w:left="860" w:top="665" w:right="87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Title of Each Class</w:t>
            </w:r>
          </w:p>
        </w:tc>
        <w:tc>
          <w:tcPr>
            <w:tcW w:w="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Trading Symbol</w:t>
            </w:r>
          </w:p>
        </w:tc>
        <w:tc>
          <w:tcPr>
            <w:tcW w:w="4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AVT</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color w:val="auto"/>
                <w:w w:val="90"/>
              </w:rPr>
              <w:t>Nasdaq Global Select Market</w:t>
            </w:r>
          </w:p>
        </w:tc>
      </w:tr>
      <w:tr>
        <w:trPr>
          <w:trHeight w:val="107"/>
        </w:trPr>
        <w:tc>
          <w:tcPr>
            <w:tcW w:w="3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Borders>
              <w:bottom w:val="single" w:sz="8" w:color="0D0D0D"/>
            </w:tcBorders>
          </w:tcPr>
          <w:p>
            <w:pPr>
              <w:spacing w:after="0"/>
              <w:rPr>
                <w:sz w:val="9"/>
                <w:szCs w:val="9"/>
                <w:color w:val="auto"/>
              </w:rPr>
            </w:pPr>
          </w:p>
        </w:tc>
        <w:tc>
          <w:tcPr>
            <w:tcW w:w="260" w:type="dxa"/>
            <w:vAlign w:val="bottom"/>
            <w:tcBorders>
              <w:bottom w:val="single" w:sz="8" w:color="0D0D0D"/>
            </w:tcBorders>
          </w:tcPr>
          <w:p>
            <w:pPr>
              <w:spacing w:after="0"/>
              <w:rPr>
                <w:sz w:val="9"/>
                <w:szCs w:val="9"/>
                <w:color w:val="auto"/>
              </w:rPr>
            </w:pPr>
          </w:p>
        </w:tc>
        <w:tc>
          <w:tcPr>
            <w:tcW w:w="380" w:type="dxa"/>
            <w:vAlign w:val="bottom"/>
            <w:tcBorders>
              <w:bottom w:val="single" w:sz="8" w:color="0D0D0D"/>
            </w:tcBorders>
          </w:tcPr>
          <w:p>
            <w:pPr>
              <w:spacing w:after="0"/>
              <w:rPr>
                <w:sz w:val="9"/>
                <w:szCs w:val="9"/>
                <w:color w:val="auto"/>
              </w:rPr>
            </w:pPr>
          </w:p>
        </w:tc>
        <w:tc>
          <w:tcPr>
            <w:tcW w:w="3800" w:type="dxa"/>
            <w:vAlign w:val="bottom"/>
          </w:tcPr>
          <w:p>
            <w:pPr>
              <w:spacing w:after="0"/>
              <w:rPr>
                <w:sz w:val="9"/>
                <w:szCs w:val="9"/>
                <w:color w:val="auto"/>
              </w:rPr>
            </w:pPr>
          </w:p>
        </w:tc>
      </w:tr>
    </w:tbl>
    <w:p>
      <w:pPr>
        <w:spacing w:after="0" w:line="161" w:lineRule="exact"/>
        <w:rPr>
          <w:sz w:val="24"/>
          <w:szCs w:val="24"/>
          <w:color w:val="auto"/>
        </w:rPr>
      </w:pPr>
    </w:p>
    <w:p>
      <w:pPr>
        <w:ind w:right="200" w:firstLine="427"/>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right="560"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ind w:right="200" w:firstLine="42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5" w:right="879" w:bottom="1440" w:gutter="0" w:footer="0" w:header="0"/>
          <w:type w:val="continuous"/>
        </w:sectPr>
      </w:pPr>
    </w:p>
    <w:p>
      <w:pPr>
        <w:spacing w:after="0" w:line="56"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ectPr>
          <w:pgSz w:w="11900" w:h="16838" w:orient="portrait"/>
          <w:cols w:equalWidth="0" w:num="2">
            <w:col w:w="6020" w:space="720"/>
            <w:col w:w="3420"/>
          </w:cols>
          <w:pgMar w:left="860" w:top="665" w:right="879" w:bottom="1440" w:gutter="0" w:footer="0" w:header="0"/>
          <w:type w:val="continuous"/>
        </w:sectPr>
      </w:pPr>
    </w:p>
    <w:p>
      <w:pPr>
        <w:ind w:right="500" w:firstLine="427"/>
        <w:spacing w:after="0" w:line="23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2" w:lineRule="exact"/>
        <w:rPr>
          <w:sz w:val="24"/>
          <w:szCs w:val="24"/>
          <w:color w:val="auto"/>
        </w:rPr>
      </w:pPr>
    </w:p>
    <w:p>
      <w:pPr>
        <w:ind w:left="4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3" w:lineRule="exact"/>
        <w:rPr>
          <w:sz w:val="24"/>
          <w:szCs w:val="24"/>
          <w:color w:val="auto"/>
        </w:rPr>
      </w:pPr>
    </w:p>
    <w:p>
      <w:pPr>
        <w:ind w:right="560" w:firstLine="427"/>
        <w:spacing w:after="0" w:line="277" w:lineRule="auto"/>
        <w:rPr>
          <w:sz w:val="20"/>
          <w:szCs w:val="20"/>
          <w:color w:val="auto"/>
        </w:rPr>
      </w:pPr>
      <w:r>
        <w:rPr>
          <w:rFonts w:ascii="Arial" w:cs="Arial" w:eastAsia="Arial" w:hAnsi="Arial"/>
          <w:sz w:val="18"/>
          <w:szCs w:val="18"/>
          <w:color w:val="auto"/>
        </w:rPr>
        <w:t>As of January 19, 2022, the total number of shares outstanding of the registrant’s Common Stock was 98,963,138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614680</wp:posOffset>
            </wp:positionV>
            <wp:extent cx="6463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64636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ectPr>
          <w:pgSz w:w="11900" w:h="16838" w:orient="portrait"/>
          <w:cols w:equalWidth="0" w:num="1">
            <w:col w:w="10160"/>
          </w:cols>
          <w:pgMar w:left="860" w:top="665" w:right="87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798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3"/>
          </w:tcPr>
          <w:p>
            <w:pPr>
              <w:jc w:val="center"/>
              <w:ind w:right="2120"/>
              <w:spacing w:after="0"/>
              <w:rPr>
                <w:sz w:val="20"/>
                <w:szCs w:val="20"/>
                <w:color w:val="auto"/>
              </w:rPr>
            </w:pPr>
            <w:r>
              <w:rPr>
                <w:rFonts w:ascii="Arial" w:cs="Arial" w:eastAsia="Arial" w:hAnsi="Arial"/>
                <w:sz w:val="18"/>
                <w:szCs w:val="18"/>
                <w:color w:val="auto"/>
                <w:w w:val="97"/>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gridSpan w:val="11"/>
          </w:tcPr>
          <w:p>
            <w:pPr>
              <w:jc w:val="center"/>
              <w:ind w:right="2620"/>
              <w:spacing w:after="0"/>
              <w:rPr>
                <w:sz w:val="20"/>
                <w:szCs w:val="20"/>
                <w:color w:val="auto"/>
              </w:rPr>
            </w:pPr>
            <w:r>
              <w:rPr>
                <w:rFonts w:ascii="Arial" w:cs="Arial" w:eastAsia="Arial" w:hAnsi="Arial"/>
                <w:sz w:val="18"/>
                <w:szCs w:val="18"/>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vMerge w:val="restart"/>
          </w:tcPr>
          <w:p>
            <w:pPr>
              <w:spacing w:after="0"/>
              <w:rPr>
                <w:sz w:val="24"/>
                <w:szCs w:val="24"/>
                <w:color w:val="auto"/>
              </w:rPr>
            </w:pPr>
          </w:p>
        </w:tc>
        <w:tc>
          <w:tcPr>
            <w:tcW w:w="5400" w:type="dxa"/>
            <w:vAlign w:val="bottom"/>
            <w:gridSpan w:val="15"/>
            <w:vMerge w:val="restart"/>
          </w:tcPr>
          <w:p>
            <w:pPr>
              <w:jc w:val="center"/>
              <w:ind w:right="2560"/>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0" w:type="dxa"/>
            <w:vAlign w:val="bottom"/>
            <w:gridSpan w:val="1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January 1, 2022 and July 3, 2021</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6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Operations for the second quarters and six months ended January 1, 2022</w:t>
              </w:r>
            </w:hyperlink>
          </w:p>
        </w:tc>
        <w:tc>
          <w:tcPr>
            <w:tcW w:w="30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and January 2, 2021</w:t>
              </w:r>
            </w:hyperlink>
          </w:p>
        </w:tc>
        <w:tc>
          <w:tcPr>
            <w:tcW w:w="6020" w:type="dxa"/>
            <w:vAlign w:val="bottom"/>
            <w:gridSpan w:val="1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4"/>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Comprehensive Income for the second quarters and six months ended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January 1, 2022 and January 2, 2021</w:t>
              </w:r>
            </w:hyperlink>
          </w:p>
        </w:tc>
        <w:tc>
          <w:tcPr>
            <w:tcW w:w="58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Shareholders’ Equity for the second quarters and six months ended January</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1, 2022 and January 2, 2021</w:t>
              </w:r>
            </w:hyperlink>
          </w:p>
        </w:tc>
        <w:tc>
          <w:tcPr>
            <w:tcW w:w="5280" w:type="dxa"/>
            <w:vAlign w:val="bottom"/>
            <w:tcBorders>
              <w:top w:val="single" w:sz="8" w:color="0000EE"/>
            </w:tcBorders>
            <w:gridSpan w:val="14"/>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4"/>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Consolidated Statements of Cash Flows for the six months ended January 1, 2022 and January 2, 2021</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20" w:type="dxa"/>
            <w:vAlign w:val="bottom"/>
            <w:tcBorders>
              <w:top w:val="single" w:sz="8" w:color="0000EE"/>
            </w:tcBorders>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24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EE"/>
            </w:tcBorders>
            <w:gridSpan w:val="7"/>
          </w:tcPr>
          <w:p>
            <w:pPr>
              <w:jc w:val="cente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PART II. OTHER INFORMATION</w:t>
              </w:r>
            </w:hyperlink>
          </w:p>
        </w:tc>
        <w:tc>
          <w:tcPr>
            <w:tcW w:w="270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1. Legal Proceedings</w:t>
              </w:r>
            </w:hyperlink>
          </w:p>
        </w:tc>
        <w:tc>
          <w:tcPr>
            <w:tcW w:w="6040" w:type="dxa"/>
            <w:vAlign w:val="bottom"/>
            <w:gridSpan w:val="1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634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30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6. 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Signature Page</w:t>
              </w:r>
            </w:hyperlink>
          </w:p>
        </w:tc>
        <w:tc>
          <w:tcPr>
            <w:tcW w:w="60" w:type="dxa"/>
            <w:vAlign w:val="bottom"/>
            <w:tcBorders>
              <w:top w:val="single" w:sz="8" w:color="0000EE"/>
            </w:tcBorders>
          </w:tcPr>
          <w:p>
            <w:pPr>
              <w:spacing w:after="0"/>
              <w:rPr>
                <w:sz w:val="24"/>
                <w:szCs w:val="24"/>
                <w:color w:val="auto"/>
              </w:rPr>
            </w:pPr>
          </w:p>
        </w:tc>
        <w:tc>
          <w:tcPr>
            <w:tcW w:w="678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544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PART I</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940" w:type="dxa"/>
            <w:vAlign w:val="bottom"/>
            <w:vMerge w:val="continue"/>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AVNET, INC. AND SUBSIDIARIES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40"/>
              <w:spacing w:after="0" w:line="184" w:lineRule="exact"/>
              <w:rPr>
                <w:sz w:val="20"/>
                <w:szCs w:val="20"/>
                <w:color w:val="auto"/>
              </w:rPr>
            </w:pPr>
            <w:r>
              <w:rPr>
                <w:rFonts w:ascii="Arial" w:cs="Arial" w:eastAsia="Arial" w:hAnsi="Arial"/>
                <w:sz w:val="18"/>
                <w:szCs w:val="18"/>
                <w:b w:val="1"/>
                <w:bCs w:val="1"/>
                <w:color w:val="auto"/>
                <w:w w:val="93"/>
              </w:rPr>
              <w:t>(Thousands, except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ind w:left="64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87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167,818</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4,077,707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3,576,130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Inventories</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3,542,723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3,236,837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155,963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150,763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7,944,211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7,163,421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338,199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207,441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260,917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9,580,870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8,925,422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vMerge w:val="restart"/>
          </w:tcPr>
          <w:p>
            <w:pPr>
              <w:jc w:val="center"/>
              <w:ind w:right="87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Short-term 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2,693,696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2,401,357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588,581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Short-term operating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56,228</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3,688,505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2"/>
              </w:rPr>
              <w:t>3,055,238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1,144,592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1,191,329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221,294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323,253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354,833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5,377,644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4,841,238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Common stock $1.00 par; authorized 300,000,000 shares; issued 98,430,306 shares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and 99,601,393 shares,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1,642,521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1,622,160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2,686,018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2,516,170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(223,743)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(153,747)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4,203,226</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4,084,184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9,580,870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8,925,422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5"/>
              </w:rPr>
              <w:t>Second Quarters Ended</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January 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January 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January 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January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gridSpan w:val="9"/>
          </w:tcPr>
          <w:p>
            <w:pPr>
              <w:ind w:left="820"/>
              <w:spacing w:after="0" w:line="202" w:lineRule="exact"/>
              <w:rPr>
                <w:sz w:val="20"/>
                <w:szCs w:val="20"/>
                <w:color w:val="auto"/>
              </w:rPr>
            </w:pPr>
            <w:r>
              <w:rPr>
                <w:rFonts w:ascii="Arial" w:cs="Arial" w:eastAsia="Arial" w:hAnsi="Arial"/>
                <w:sz w:val="18"/>
                <w:szCs w:val="18"/>
                <w:b w:val="1"/>
                <w:bCs w:val="1"/>
                <w:color w:val="auto"/>
                <w:w w:val="83"/>
              </w:rPr>
              <w:t>(Thousands, except per share amounts)</w:t>
            </w: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4,668,172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11,449,912</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5,152,182</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4,156,919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10,077,185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501,363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442,084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987,540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913,241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Restructuring, integration and other expenses</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211,672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57,221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379,915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75,723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financing expenses, net</w:t>
            </w:r>
          </w:p>
        </w:tc>
        <w:tc>
          <w:tcPr>
            <w:tcW w:w="4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(21,485)</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40,958</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74,629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150,821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262,139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99,032</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98,937</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100,286</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99,932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100,701</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99,897</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common share</w:t>
            </w:r>
          </w:p>
        </w:tc>
        <w:tc>
          <w:tcPr>
            <w:tcW w:w="4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gridSpan w:val="2"/>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2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Second Quarters Ended</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6"/>
              </w:rPr>
              <w:t>Six Months Ended</w:t>
            </w:r>
          </w:p>
        </w:tc>
      </w:tr>
      <w:tr>
        <w:trPr>
          <w:trHeight w:val="198"/>
        </w:trPr>
        <w:tc>
          <w:tcPr>
            <w:tcW w:w="3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January 1,</w:t>
            </w:r>
          </w:p>
        </w:tc>
        <w:tc>
          <w:tcPr>
            <w:tcW w:w="200" w:type="dxa"/>
            <w:vAlign w:val="bottom"/>
          </w:tcPr>
          <w:p>
            <w:pPr>
              <w:spacing w:after="0"/>
              <w:rPr>
                <w:sz w:val="17"/>
                <w:szCs w:val="17"/>
                <w:color w:val="auto"/>
              </w:rPr>
            </w:pPr>
          </w:p>
        </w:tc>
        <w:tc>
          <w:tcPr>
            <w:tcW w:w="8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January 2,</w:t>
            </w:r>
          </w:p>
        </w:tc>
        <w:tc>
          <w:tcPr>
            <w:tcW w:w="24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January 1,</w:t>
            </w:r>
          </w:p>
        </w:tc>
        <w:tc>
          <w:tcPr>
            <w:tcW w:w="10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rPr>
              <w:t>January 2,</w:t>
            </w:r>
          </w:p>
        </w:tc>
      </w:tr>
      <w:tr>
        <w:trPr>
          <w:trHeight w:val="241"/>
        </w:trPr>
        <w:tc>
          <w:tcPr>
            <w:tcW w:w="3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r>
      <w:tr>
        <w:trPr>
          <w:trHeight w:val="203"/>
        </w:trPr>
        <w:tc>
          <w:tcPr>
            <w:tcW w:w="3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4"/>
          </w:tcPr>
          <w:p>
            <w:pPr>
              <w:jc w:val="right"/>
              <w:ind w:right="430"/>
              <w:spacing w:after="0" w:line="202" w:lineRule="exact"/>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150,821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262,139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210,373</w:t>
            </w:r>
          </w:p>
        </w:tc>
      </w:tr>
      <w:tr>
        <w:trPr>
          <w:trHeight w:val="223"/>
        </w:trPr>
        <w:tc>
          <w:tcPr>
            <w:tcW w:w="3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Pension adjustments, net</w:t>
            </w: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8,022</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13,606</w:t>
            </w:r>
          </w:p>
        </w:tc>
      </w:tr>
      <w:tr>
        <w:trPr>
          <w:trHeight w:val="216"/>
        </w:trPr>
        <w:tc>
          <w:tcPr>
            <w:tcW w:w="3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w:t>
            </w: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105,849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143,146</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192,143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224,253</w:t>
            </w:r>
          </w:p>
        </w:tc>
      </w:tr>
      <w:tr>
        <w:trPr>
          <w:trHeight w:val="20"/>
        </w:trPr>
        <w:tc>
          <w:tcPr>
            <w:tcW w:w="3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left="1500" w:right="1760"/>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SHAREHOLDERS’ EQUITY (Unaudited)</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9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Stock-</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Retained</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Comprehensive</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r>
      <w:tr>
        <w:trPr>
          <w:trHeight w:val="223"/>
        </w:trPr>
        <w:tc>
          <w:tcPr>
            <w:tcW w:w="2960" w:type="dxa"/>
            <w:vAlign w:val="bottom"/>
          </w:tcPr>
          <w:p>
            <w:pPr>
              <w:spacing w:after="0"/>
              <w:rPr>
                <w:sz w:val="19"/>
                <w:szCs w:val="1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Amount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Earnings</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(Loss) Income</w:t>
            </w:r>
          </w:p>
        </w:tc>
        <w:tc>
          <w:tcPr>
            <w:tcW w:w="240" w:type="dxa"/>
            <w:vAlign w:val="bottom"/>
          </w:tcPr>
          <w:p>
            <w:pPr>
              <w:spacing w:after="0"/>
              <w:rPr>
                <w:sz w:val="19"/>
                <w:szCs w:val="19"/>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Equity</w:t>
            </w:r>
          </w:p>
        </w:tc>
      </w:tr>
      <w:tr>
        <w:trPr>
          <w:trHeight w:val="189"/>
        </w:trPr>
        <w:tc>
          <w:tcPr>
            <w:tcW w:w="29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74"/>
              </w:rPr>
              <w:t>(Thousands)</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July 3, 2021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$ 99,601</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$ 1,622,160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$ 2,516,170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(153,747)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4,084,184</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111,318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111,318</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 and other</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(29,036)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(29,036)</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Pension liability adjustments, net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4,012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4,012</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(23,893)</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(23,893)</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(275)</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(275)</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(10,228)</w:t>
            </w:r>
          </w:p>
        </w:tc>
        <w:tc>
          <w:tcPr>
            <w:tcW w:w="3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(10,503)</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9,507</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9,517</w:t>
            </w:r>
          </w:p>
        </w:tc>
      </w:tr>
      <w:tr>
        <w:trPr>
          <w:trHeight w:val="189"/>
        </w:trPr>
        <w:tc>
          <w:tcPr>
            <w:tcW w:w="29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Balance, October 2, 2021</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99,336</w:t>
            </w:r>
          </w:p>
        </w:tc>
        <w:tc>
          <w:tcPr>
            <w:tcW w:w="16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99,336</w:t>
            </w: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1,631,667</w:t>
            </w: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2,593,367</w:t>
            </w:r>
          </w:p>
        </w:tc>
        <w:tc>
          <w:tcPr>
            <w:tcW w:w="16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(178,771)</w:t>
            </w: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4,145,599</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150,821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150,821</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Translation adjustments and other</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(48,982)</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(48,982)</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liability adjustments, net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Cash dividends</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(23,749)</w:t>
            </w:r>
          </w:p>
        </w:tc>
        <w:tc>
          <w:tcPr>
            <w:tcW w:w="3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(23,749)</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(34,421)</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(35,342)</w:t>
            </w:r>
          </w:p>
        </w:tc>
      </w:tr>
      <w:tr>
        <w:trPr>
          <w:trHeight w:val="210"/>
        </w:trPr>
        <w:tc>
          <w:tcPr>
            <w:tcW w:w="29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10,854</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10,869</w:t>
            </w:r>
          </w:p>
        </w:tc>
      </w:tr>
      <w:tr>
        <w:trPr>
          <w:trHeight w:val="203"/>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January 1,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$ 98,430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$ 1,642,521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$ 2,686,018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(223,743)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4,203,226</w:t>
            </w:r>
          </w:p>
        </w:tc>
      </w:tr>
      <w:tr>
        <w:trPr>
          <w:trHeight w:val="20"/>
        </w:trPr>
        <w:tc>
          <w:tcPr>
            <w:tcW w:w="2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99"/>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9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Stock-</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Retained</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Comprehensive</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r>
      <w:tr>
        <w:trPr>
          <w:trHeight w:val="223"/>
        </w:trPr>
        <w:tc>
          <w:tcPr>
            <w:tcW w:w="2960" w:type="dxa"/>
            <w:vAlign w:val="bottom"/>
          </w:tcPr>
          <w:p>
            <w:pPr>
              <w:spacing w:after="0"/>
              <w:rPr>
                <w:sz w:val="19"/>
                <w:szCs w:val="1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Amount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Earnings</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(Loss) Income</w:t>
            </w:r>
          </w:p>
        </w:tc>
        <w:tc>
          <w:tcPr>
            <w:tcW w:w="240" w:type="dxa"/>
            <w:vAlign w:val="bottom"/>
          </w:tcPr>
          <w:p>
            <w:pPr>
              <w:spacing w:after="0"/>
              <w:rPr>
                <w:sz w:val="19"/>
                <w:szCs w:val="19"/>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Equity</w:t>
            </w:r>
          </w:p>
        </w:tc>
      </w:tr>
      <w:tr>
        <w:trPr>
          <w:trHeight w:val="189"/>
        </w:trPr>
        <w:tc>
          <w:tcPr>
            <w:tcW w:w="29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74"/>
              </w:rPr>
              <w:t>(Thousands)</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27, 2020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98,793</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$ 98,793</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$ 1,594,140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$ 2,421,845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(388,380)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3,726,398</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(18,889)</w:t>
            </w:r>
          </w:p>
        </w:tc>
        <w:tc>
          <w:tcPr>
            <w:tcW w:w="3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(18,889)</w:t>
            </w:r>
          </w:p>
        </w:tc>
      </w:tr>
      <w:tr>
        <w:trPr>
          <w:trHeight w:val="20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 and other</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90,373</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Pension liability adjustments, net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9,623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9,623</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(20,756)</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(20,756)</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Effects of new accounting principles, net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(14,480)</w:t>
            </w:r>
          </w:p>
        </w:tc>
        <w:tc>
          <w:tcPr>
            <w:tcW w:w="3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(14,480)</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w:t>
            </w:r>
          </w:p>
        </w:tc>
      </w:tr>
      <w:tr>
        <w:trPr>
          <w:trHeight w:val="190"/>
        </w:trPr>
        <w:tc>
          <w:tcPr>
            <w:tcW w:w="29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Balance, October 3, 2020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98,844</w:t>
            </w:r>
          </w:p>
        </w:tc>
        <w:tc>
          <w:tcPr>
            <w:tcW w:w="16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98,844</w:t>
            </w: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1,599,331</w:t>
            </w: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2,367,720</w:t>
            </w:r>
          </w:p>
        </w:tc>
        <w:tc>
          <w:tcPr>
            <w:tcW w:w="16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(288,384)</w:t>
            </w: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3,777,511</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19,163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19,163</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Translation adjustments and other</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120,000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120,000</w:t>
            </w: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liability adjustments, net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w:t>
            </w: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Cash dividends</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(20,756)</w:t>
            </w:r>
          </w:p>
        </w:tc>
        <w:tc>
          <w:tcPr>
            <w:tcW w:w="3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(20,756)</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10,814</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10,832</w:t>
            </w:r>
          </w:p>
        </w:tc>
      </w:tr>
      <w:tr>
        <w:trPr>
          <w:trHeight w:val="190"/>
        </w:trPr>
        <w:tc>
          <w:tcPr>
            <w:tcW w:w="29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Balance, January 2, 2021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98,862</w:t>
            </w:r>
          </w:p>
        </w:tc>
        <w:tc>
          <w:tcPr>
            <w:tcW w:w="160" w:type="dxa"/>
            <w:vAlign w:val="bottom"/>
            <w:tcBorders>
              <w:top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$ 98,862</w:t>
            </w: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$ 1,610,145</w:t>
            </w: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$ 2,366,127</w:t>
            </w:r>
          </w:p>
        </w:tc>
        <w:tc>
          <w:tcPr>
            <w:tcW w:w="16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(164,401)</w:t>
            </w: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3,910,733</w:t>
            </w:r>
          </w:p>
        </w:tc>
      </w:tr>
      <w:tr>
        <w:trPr>
          <w:trHeight w:val="20"/>
        </w:trPr>
        <w:tc>
          <w:tcPr>
            <w:tcW w:w="2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January 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January 2,</w:t>
            </w:r>
          </w:p>
        </w:tc>
      </w:tr>
      <w:tr>
        <w:trPr>
          <w:trHeight w:val="229"/>
        </w:trPr>
        <w:tc>
          <w:tcPr>
            <w:tcW w:w="5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203"/>
        </w:trPr>
        <w:tc>
          <w:tcPr>
            <w:tcW w:w="5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(Thousands)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262,139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9"/>
        </w:trPr>
        <w:tc>
          <w:tcPr>
            <w:tcW w:w="5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Non-cash and other reconciling items: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44,002</w:t>
            </w:r>
          </w:p>
        </w:tc>
      </w:tr>
      <w:tr>
        <w:trPr>
          <w:trHeight w:val="213"/>
        </w:trPr>
        <w:tc>
          <w:tcPr>
            <w:tcW w:w="562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30,474</w:t>
            </w: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operating lease assets</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28,111</w:t>
            </w:r>
          </w:p>
        </w:tc>
      </w:tr>
      <w:tr>
        <w:trPr>
          <w:trHeight w:val="213"/>
        </w:trPr>
        <w:tc>
          <w:tcPr>
            <w:tcW w:w="562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15,331</w:t>
            </w:r>
          </w:p>
        </w:tc>
      </w:tr>
      <w:tr>
        <w:trPr>
          <w:trHeight w:val="213"/>
        </w:trPr>
        <w:tc>
          <w:tcPr>
            <w:tcW w:w="5620" w:type="dxa"/>
            <w:vAlign w:val="bottom"/>
          </w:tcPr>
          <w:p>
            <w:pPr>
              <w:ind w:left="320"/>
              <w:spacing w:after="0"/>
              <w:rPr>
                <w:sz w:val="20"/>
                <w:szCs w:val="20"/>
                <w:color w:val="auto"/>
              </w:rPr>
            </w:pPr>
            <w:r>
              <w:rPr>
                <w:rFonts w:ascii="Arial" w:cs="Arial" w:eastAsia="Arial" w:hAnsi="Arial"/>
                <w:sz w:val="16"/>
                <w:szCs w:val="16"/>
                <w:color w:val="auto"/>
              </w:rPr>
              <w:t>Impairments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15,166</w:t>
            </w: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net</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17,004</w:t>
            </w: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Changes in (net of effects from businesses acquired and divested):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Receivables</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(558,702)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(94,831)</w:t>
            </w:r>
          </w:p>
        </w:tc>
      </w:tr>
      <w:tr>
        <w:trPr>
          <w:trHeight w:val="213"/>
        </w:trPr>
        <w:tc>
          <w:tcPr>
            <w:tcW w:w="562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51,185</w:t>
            </w: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328,574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130,768</w:t>
            </w:r>
          </w:p>
        </w:tc>
      </w:tr>
      <w:tr>
        <w:trPr>
          <w:trHeight w:val="223"/>
        </w:trPr>
        <w:tc>
          <w:tcPr>
            <w:tcW w:w="56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Accrued expenses and other, net</w:t>
            </w: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(41,117)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(29,779)</w:t>
            </w:r>
          </w:p>
        </w:tc>
      </w:tr>
      <w:tr>
        <w:trPr>
          <w:trHeight w:val="223"/>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provided by operating activities</w:t>
            </w: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(263,209)</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207,394</w:t>
            </w:r>
          </w:p>
        </w:tc>
      </w:tr>
      <w:tr>
        <w:trPr>
          <w:trHeight w:val="216"/>
        </w:trPr>
        <w:tc>
          <w:tcPr>
            <w:tcW w:w="5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Borrowings under accounts receivable securitization, net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11,800</w:t>
            </w:r>
          </w:p>
        </w:tc>
      </w:tr>
      <w:tr>
        <w:trPr>
          <w:trHeight w:val="219"/>
        </w:trPr>
        <w:tc>
          <w:tcPr>
            <w:tcW w:w="5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Borrowings (repayments) under senior unsecured credit facility, net</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109,669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(239,430)</w:t>
            </w: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Repayments under bank credit facilities and other debt, net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(1,480)</w:t>
            </w:r>
          </w:p>
        </w:tc>
      </w:tr>
      <w:tr>
        <w:trPr>
          <w:trHeight w:val="219"/>
        </w:trPr>
        <w:tc>
          <w:tcPr>
            <w:tcW w:w="5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Repurchases of common stock</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Dividends paid on common stock</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(47,642)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(41,512)</w:t>
            </w:r>
          </w:p>
        </w:tc>
      </w:tr>
      <w:tr>
        <w:trPr>
          <w:trHeight w:val="226"/>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(6,069)</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r>
      <w:tr>
        <w:trPr>
          <w:trHeight w:val="223"/>
        </w:trPr>
        <w:tc>
          <w:tcPr>
            <w:tcW w:w="56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provided (used) for financing activities</w:t>
            </w: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199,238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(272,923)</w:t>
            </w:r>
          </w:p>
        </w:tc>
      </w:tr>
      <w:tr>
        <w:trPr>
          <w:trHeight w:val="216"/>
        </w:trPr>
        <w:tc>
          <w:tcPr>
            <w:tcW w:w="5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(30,022)</w:t>
            </w: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Acquisitions of assets and businesses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(18,371)</w:t>
            </w:r>
          </w:p>
        </w:tc>
      </w:tr>
      <w:tr>
        <w:trPr>
          <w:trHeight w:val="226"/>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68,270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r>
      <w:tr>
        <w:trPr>
          <w:trHeight w:val="223"/>
        </w:trPr>
        <w:tc>
          <w:tcPr>
            <w:tcW w:w="56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provided (used) for investing activities</w:t>
            </w: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46,154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(47,668)</w:t>
            </w:r>
          </w:p>
        </w:tc>
      </w:tr>
      <w:tr>
        <w:trPr>
          <w:trHeight w:val="216"/>
        </w:trPr>
        <w:tc>
          <w:tcPr>
            <w:tcW w:w="5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12,492</w:t>
            </w:r>
          </w:p>
        </w:tc>
      </w:tr>
      <w:tr>
        <w:trPr>
          <w:trHeight w:val="219"/>
        </w:trPr>
        <w:tc>
          <w:tcPr>
            <w:tcW w:w="5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 decrease</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(100,705)</w:t>
            </w:r>
          </w:p>
        </w:tc>
      </w:tr>
      <w:tr>
        <w:trPr>
          <w:trHeight w:val="223"/>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 at beginning of period</w:t>
            </w: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199,691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477,038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 at end of period</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376,333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60" w:right="79"/>
        <w:spacing w:after="0" w:line="313" w:lineRule="auto"/>
        <w:rPr>
          <w:sz w:val="20"/>
          <w:szCs w:val="20"/>
          <w:color w:val="auto"/>
        </w:rPr>
      </w:pPr>
      <w:r>
        <w:rPr>
          <w:rFonts w:ascii="Arial" w:cs="Arial" w:eastAsia="Arial" w:hAnsi="Arial"/>
          <w:sz w:val="18"/>
          <w:szCs w:val="18"/>
          <w:b w:val="1"/>
          <w:bCs w:val="1"/>
          <w:color w:val="auto"/>
        </w:rPr>
        <w:t>AVNET, INC. AND SUBSIDIARIES NOTES TO CONSOLIDATED FINANCIAL STATEMENTS (Unaudited)</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ind w:left="60" w:right="419" w:firstLine="427"/>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w:t>
      </w:r>
    </w:p>
    <w:p>
      <w:pPr>
        <w:spacing w:after="0" w:line="187" w:lineRule="exact"/>
        <w:rPr>
          <w:sz w:val="20"/>
          <w:szCs w:val="20"/>
          <w:color w:val="auto"/>
        </w:rPr>
      </w:pPr>
    </w:p>
    <w:p>
      <w:pPr>
        <w:ind w:left="60" w:right="299" w:firstLine="427"/>
        <w:spacing w:after="0" w:line="286" w:lineRule="auto"/>
        <w:rPr>
          <w:sz w:val="20"/>
          <w:szCs w:val="20"/>
          <w:color w:val="auto"/>
        </w:rPr>
      </w:pPr>
      <w:r>
        <w:rPr>
          <w:rFonts w:ascii="Arial" w:cs="Arial" w:eastAsia="Arial" w:hAnsi="Arial"/>
          <w:sz w:val="17"/>
          <w:szCs w:val="17"/>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65" w:lineRule="exact"/>
        <w:rPr>
          <w:sz w:val="20"/>
          <w:szCs w:val="20"/>
          <w:color w:val="auto"/>
        </w:rPr>
      </w:pPr>
    </w:p>
    <w:p>
      <w:pPr>
        <w:ind w:left="60" w:right="579" w:firstLine="427"/>
        <w:spacing w:after="0" w:line="311" w:lineRule="auto"/>
        <w:rPr>
          <w:sz w:val="20"/>
          <w:szCs w:val="20"/>
          <w:color w:val="auto"/>
        </w:rPr>
      </w:pPr>
      <w:r>
        <w:rPr>
          <w:rFonts w:ascii="Arial" w:cs="Arial" w:eastAsia="Arial" w:hAnsi="Arial"/>
          <w:sz w:val="16"/>
          <w:szCs w:val="16"/>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July 3, 2021.</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jc w:val="both"/>
        <w:ind w:left="60" w:right="319" w:firstLine="427"/>
        <w:spacing w:after="0" w:line="263" w:lineRule="auto"/>
        <w:rPr>
          <w:sz w:val="20"/>
          <w:szCs w:val="20"/>
          <w:color w:val="auto"/>
        </w:rPr>
      </w:pPr>
      <w:r>
        <w:rPr>
          <w:rFonts w:ascii="Arial" w:cs="Arial" w:eastAsia="Arial" w:hAnsi="Arial"/>
          <w:sz w:val="18"/>
          <w:szCs w:val="18"/>
          <w:color w:val="auto"/>
        </w:rPr>
        <w:t>The Company operates on a “52/53 week” fiscal year, and fiscal 2022 contains 52 weeks compared to fiscal 2021, which contained 53 weeks. As a result, the first six months of fiscal 2022, contained 26 weeks compared to the first six months of fiscal 2021, which contained 27 weeks.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left="60" w:right="99" w:firstLine="427"/>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xml:space="preserve"> (“ASU No. 2019-12”), which simplifies income tax accounting, eliminates certain exceptions within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and clarifies certain aspects of the current guidance to promote consistency among reporting entities. Most</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within ASU No. 2019-12 are required to be applied on a prospective basis, while certain amendments must be applied on a retrospective or modified retrospective basis. The Company’s adoption of ASU No. 2019-12 beginning the first quarter of fiscal 2022 did not have a material impact on the Company’s consolidated financial statements.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left="60" w:right="79" w:firstLine="427"/>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Reference Rate Reform on Financial Reporting </w:t>
      </w:r>
      <w:r>
        <w:rPr>
          <w:rFonts w:ascii="Arial" w:cs="Arial" w:eastAsia="Arial" w:hAnsi="Arial"/>
          <w:sz w:val="17"/>
          <w:szCs w:val="17"/>
          <w:color w:val="auto"/>
        </w:rPr>
        <w:t>(“ASU No. 2020-04”), which provides optional guidance to ease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potential burden in accounting for reference rate reform on financial reporting. The new guidance provides optional expedients and exceptions for applying GAAP to transactions affected by reference rate reform if certain criteria are met. In January 2021, the FASB issued ASU No.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xml:space="preserve"> (“ASU No. 2021-01”), to clarify certain optional expedients and exceptions in Topic 848 for contract modifications and hedge accounting to apply to derivatives that are affected by the discounting transition. Both ASU No. 2020-04 and ASU No. 2021-01 are effective upon issuance through December 31, 2022. The Company is currently evaluating the effects of adopting the provisions of ASU No. 2020-04 and ASU No. 2021-01, but does not currently expect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2. Receivables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320" w:type="dxa"/>
            <w:vAlign w:val="bottom"/>
          </w:tcPr>
          <w:p>
            <w:pPr>
              <w:ind w:left="440"/>
              <w:spacing w:after="0"/>
              <w:rPr>
                <w:sz w:val="20"/>
                <w:szCs w:val="20"/>
                <w:color w:val="auto"/>
              </w:rPr>
            </w:pPr>
            <w:r>
              <w:rPr>
                <w:rFonts w:ascii="Arial" w:cs="Arial" w:eastAsia="Arial" w:hAnsi="Arial"/>
                <w:sz w:val="18"/>
                <w:szCs w:val="18"/>
                <w:color w:val="auto"/>
                <w:w w:val="96"/>
              </w:rPr>
              <w:t>The Company’s receivables and allowance for credit losses were as follows: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6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January 1,</w:t>
            </w:r>
          </w:p>
        </w:tc>
        <w:tc>
          <w:tcPr>
            <w:tcW w:w="22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w:t>
            </w:r>
          </w:p>
        </w:tc>
      </w:tr>
      <w:tr>
        <w:trPr>
          <w:trHeight w:val="241"/>
        </w:trPr>
        <w:tc>
          <w:tcPr>
            <w:tcW w:w="6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4,167,281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3,664,290</w:t>
            </w:r>
          </w:p>
        </w:tc>
        <w:tc>
          <w:tcPr>
            <w:tcW w:w="20" w:type="dxa"/>
            <w:vAlign w:val="bottom"/>
          </w:tcPr>
          <w:p>
            <w:pPr>
              <w:spacing w:after="0"/>
              <w:rPr>
                <w:sz w:val="18"/>
                <w:szCs w:val="18"/>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Allowance for Credit Losses</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(89,574)</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(88,160)</w:t>
            </w:r>
          </w:p>
        </w:tc>
        <w:tc>
          <w:tcPr>
            <w:tcW w:w="20" w:type="dxa"/>
            <w:vAlign w:val="bottom"/>
          </w:tcPr>
          <w:p>
            <w:pPr>
              <w:spacing w:after="0"/>
              <w:rPr>
                <w:sz w:val="20"/>
                <w:szCs w:val="20"/>
                <w:color w:val="auto"/>
              </w:rPr>
            </w:pPr>
          </w:p>
        </w:tc>
      </w:tr>
    </w:tbl>
    <w:p>
      <w:pPr>
        <w:spacing w:after="0" w:line="187" w:lineRule="exact"/>
        <w:rPr>
          <w:sz w:val="20"/>
          <w:szCs w:val="20"/>
          <w:color w:val="auto"/>
        </w:rPr>
      </w:pPr>
    </w:p>
    <w:p>
      <w:pPr>
        <w:jc w:val="both"/>
        <w:ind w:left="60" w:right="79" w:firstLine="427"/>
        <w:spacing w:after="0" w:line="277" w:lineRule="auto"/>
        <w:rPr>
          <w:sz w:val="20"/>
          <w:szCs w:val="20"/>
          <w:color w:val="auto"/>
        </w:rPr>
      </w:pPr>
      <w:r>
        <w:rPr>
          <w:rFonts w:ascii="Arial" w:cs="Arial" w:eastAsia="Arial" w:hAnsi="Arial"/>
          <w:sz w:val="18"/>
          <w:szCs w:val="18"/>
          <w:color w:val="auto"/>
        </w:rPr>
        <w:t>The Company had the following activity in the allowance for credit losses during the first six months of fiscal 2022 and 2021:</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January 1,</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w:t>
            </w:r>
          </w:p>
        </w:tc>
      </w:tr>
      <w:tr>
        <w:trPr>
          <w:trHeight w:val="241"/>
        </w:trPr>
        <w:tc>
          <w:tcPr>
            <w:tcW w:w="6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65,018</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Effect of adopting credit loss accounting standard</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17,205</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Provisions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Credit Loss Recoveries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Write offs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20" w:type="dxa"/>
            <w:vAlign w:val="bottom"/>
          </w:tcPr>
          <w:p>
            <w:pPr>
              <w:spacing w:after="0"/>
              <w:rPr>
                <w:sz w:val="18"/>
                <w:szCs w:val="18"/>
                <w:color w:val="auto"/>
              </w:rPr>
            </w:pPr>
          </w:p>
        </w:tc>
      </w:tr>
      <w:tr>
        <w:trPr>
          <w:trHeight w:val="223"/>
        </w:trPr>
        <w:tc>
          <w:tcPr>
            <w:tcW w:w="6320" w:type="dxa"/>
            <w:vAlign w:val="bottom"/>
          </w:tcPr>
          <w:p>
            <w:pPr>
              <w:ind w:left="120"/>
              <w:spacing w:after="0"/>
              <w:rPr>
                <w:sz w:val="20"/>
                <w:szCs w:val="20"/>
                <w:color w:val="auto"/>
              </w:rPr>
            </w:pPr>
            <w:r>
              <w:rPr>
                <w:rFonts w:ascii="Arial" w:cs="Arial" w:eastAsia="Arial" w:hAnsi="Arial"/>
                <w:sz w:val="18"/>
                <w:szCs w:val="18"/>
                <w:color w:val="auto"/>
              </w:rPr>
              <w:t>Foreign Currency Effect and Other</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(1,726)</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3,693</w:t>
            </w:r>
          </w:p>
        </w:tc>
        <w:tc>
          <w:tcPr>
            <w:tcW w:w="20" w:type="dxa"/>
            <w:vAlign w:val="bottom"/>
          </w:tcPr>
          <w:p>
            <w:pPr>
              <w:spacing w:after="0"/>
              <w:rPr>
                <w:sz w:val="19"/>
                <w:szCs w:val="19"/>
                <w:color w:val="auto"/>
              </w:rPr>
            </w:pPr>
          </w:p>
        </w:tc>
      </w:tr>
      <w:tr>
        <w:trPr>
          <w:trHeight w:val="216"/>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the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85,450</w:t>
            </w:r>
          </w:p>
        </w:tc>
        <w:tc>
          <w:tcPr>
            <w:tcW w:w="2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80" w:right="6459" w:hanging="430"/>
        <w:spacing w:after="0" w:line="503" w:lineRule="auto"/>
        <w:tabs>
          <w:tab w:leader="none" w:pos="2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ind w:left="48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presents the change in goodwill by reportable segment for the six months ended January 1, 2022.</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Farnell</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0"/>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July 3, 2021 </w:t>
            </w:r>
            <w:r>
              <w:rPr>
                <w:rFonts w:ascii="Arial" w:cs="Arial" w:eastAsia="Arial" w:hAnsi="Arial"/>
                <w:sz w:val="25"/>
                <w:szCs w:val="25"/>
                <w:color w:val="auto"/>
                <w:vertAlign w:val="superscript"/>
              </w:rPr>
              <w:t>(1)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527,523</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838,105</w:t>
            </w: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currency translation</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(14,377)</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January 1, 2022 </w:t>
            </w:r>
            <w:r>
              <w:rPr>
                <w:rFonts w:ascii="Arial" w:cs="Arial" w:eastAsia="Arial" w:hAnsi="Arial"/>
                <w:sz w:val="25"/>
                <w:szCs w:val="25"/>
                <w:color w:val="auto"/>
                <w:vertAlign w:val="superscript"/>
              </w:rPr>
              <w:t>(1)</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305,602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518,126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823,728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300" w:hanging="250"/>
        <w:spacing w:after="0"/>
        <w:tabs>
          <w:tab w:leader="none" w:pos="300" w:val="left"/>
        </w:tabs>
        <w:numPr>
          <w:ilvl w:val="0"/>
          <w:numId w:val="4"/>
        </w:numPr>
        <w:rPr>
          <w:rFonts w:ascii="Arial" w:cs="Arial" w:eastAsia="Arial" w:hAnsi="Arial"/>
          <w:sz w:val="12"/>
          <w:szCs w:val="12"/>
          <w:color w:val="auto"/>
        </w:rPr>
      </w:pPr>
      <w:r>
        <w:rPr>
          <w:rFonts w:ascii="Arial" w:cs="Arial" w:eastAsia="Arial" w:hAnsi="Arial"/>
          <w:sz w:val="16"/>
          <w:szCs w:val="16"/>
          <w:color w:val="auto"/>
        </w:rPr>
        <w:t>Includes accumulated impairments of $1,482,677 from prior fiscal years.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35" w:lineRule="exact"/>
        <w:rPr>
          <w:rFonts w:ascii="Arial" w:cs="Arial" w:eastAsia="Arial" w:hAnsi="Arial"/>
          <w:sz w:val="12"/>
          <w:szCs w:val="12"/>
          <w:color w:val="auto"/>
        </w:rPr>
      </w:pPr>
    </w:p>
    <w:p>
      <w:pPr>
        <w:ind w:left="4460"/>
        <w:spacing w:after="0"/>
        <w:rPr>
          <w:rFonts w:ascii="Arial" w:cs="Arial" w:eastAsia="Arial" w:hAnsi="Arial"/>
          <w:sz w:val="12"/>
          <w:szCs w:val="12"/>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0" w:right="819" w:firstLine="427"/>
        <w:spacing w:after="0" w:line="277" w:lineRule="auto"/>
        <w:rPr>
          <w:sz w:val="20"/>
          <w:szCs w:val="20"/>
          <w:color w:val="auto"/>
        </w:rPr>
      </w:pPr>
      <w:r>
        <w:rPr>
          <w:rFonts w:ascii="Arial" w:cs="Arial" w:eastAsia="Arial" w:hAnsi="Arial"/>
          <w:sz w:val="18"/>
          <w:szCs w:val="18"/>
          <w:color w:val="auto"/>
        </w:rPr>
        <w:t>The following table presents the Company’s acquired intangible assets at January 1, 2022 and July 3, 2021, respectively.</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January 1, 2022</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July 3, 2021</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w w:val="94"/>
              </w:rPr>
              <w:t>Acquired</w:t>
            </w:r>
          </w:p>
        </w:tc>
        <w:tc>
          <w:tcPr>
            <w:tcW w:w="1320" w:type="dxa"/>
            <w:vAlign w:val="bottom"/>
            <w:gridSpan w:val="4"/>
          </w:tcPr>
          <w:p>
            <w:pPr>
              <w:ind w:left="180"/>
              <w:spacing w:after="0" w:line="189" w:lineRule="exact"/>
              <w:rPr>
                <w:sz w:val="20"/>
                <w:szCs w:val="20"/>
                <w:color w:val="auto"/>
              </w:rPr>
            </w:pPr>
            <w:r>
              <w:rPr>
                <w:rFonts w:ascii="Arial" w:cs="Arial" w:eastAsia="Arial" w:hAnsi="Arial"/>
                <w:sz w:val="18"/>
                <w:szCs w:val="18"/>
                <w:b w:val="1"/>
                <w:bCs w:val="1"/>
                <w:color w:val="auto"/>
                <w:w w:val="99"/>
              </w:rPr>
              <w:t>Accumulated</w:t>
            </w:r>
          </w:p>
        </w:tc>
        <w:tc>
          <w:tcPr>
            <w:tcW w:w="80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6"/>
              </w:rPr>
              <w:t>Net Book</w:t>
            </w:r>
          </w:p>
        </w:tc>
        <w:tc>
          <w:tcPr>
            <w:tcW w:w="18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4"/>
              </w:rPr>
              <w:t>Acquired</w:t>
            </w:r>
          </w:p>
        </w:tc>
        <w:tc>
          <w:tcPr>
            <w:tcW w:w="200" w:type="dxa"/>
            <w:vAlign w:val="bottom"/>
          </w:tcPr>
          <w:p>
            <w:pPr>
              <w:spacing w:after="0"/>
              <w:rPr>
                <w:sz w:val="16"/>
                <w:szCs w:val="16"/>
                <w:color w:val="auto"/>
              </w:rPr>
            </w:pPr>
          </w:p>
        </w:tc>
        <w:tc>
          <w:tcPr>
            <w:tcW w:w="1280" w:type="dxa"/>
            <w:vAlign w:val="bottom"/>
            <w:gridSpan w:val="3"/>
          </w:tcPr>
          <w:p>
            <w:pPr>
              <w:jc w:val="center"/>
              <w:ind w:right="220"/>
              <w:spacing w:after="0" w:line="189"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6"/>
                <w:szCs w:val="16"/>
                <w:color w:val="auto"/>
              </w:rPr>
            </w:pPr>
          </w:p>
        </w:tc>
        <w:tc>
          <w:tcPr>
            <w:tcW w:w="82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1"/>
              </w:rPr>
              <w:t>Net Book</w:t>
            </w:r>
          </w:p>
        </w:tc>
        <w:tc>
          <w:tcPr>
            <w:tcW w:w="60" w:type="dxa"/>
            <w:vAlign w:val="bottom"/>
          </w:tcPr>
          <w:p>
            <w:pPr>
              <w:spacing w:after="0"/>
              <w:rPr>
                <w:sz w:val="16"/>
                <w:szCs w:val="16"/>
                <w:color w:val="auto"/>
              </w:rPr>
            </w:pPr>
          </w:p>
        </w:tc>
      </w:tr>
      <w:tr>
        <w:trPr>
          <w:trHeight w:val="242"/>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Amount</w:t>
            </w:r>
          </w:p>
        </w:tc>
        <w:tc>
          <w:tcPr>
            <w:tcW w:w="1320" w:type="dxa"/>
            <w:vAlign w:val="bottom"/>
            <w:gridSpan w:val="4"/>
          </w:tcPr>
          <w:p>
            <w:pPr>
              <w:ind w:left="18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1"/>
                <w:szCs w:val="21"/>
                <w:color w:val="auto"/>
              </w:rPr>
            </w:pPr>
          </w:p>
        </w:tc>
        <w:tc>
          <w:tcPr>
            <w:tcW w:w="820" w:type="dxa"/>
            <w:vAlign w:val="bottom"/>
            <w:gridSpan w:val="2"/>
          </w:tcPr>
          <w:p>
            <w:pPr>
              <w:jc w:val="right"/>
              <w:spacing w:after="0" w:line="242" w:lineRule="exact"/>
              <w:rPr>
                <w:sz w:val="20"/>
                <w:szCs w:val="20"/>
                <w:color w:val="auto"/>
              </w:rPr>
            </w:pPr>
            <w:r>
              <w:rPr>
                <w:rFonts w:ascii="Arial" w:cs="Arial" w:eastAsia="Arial" w:hAnsi="Arial"/>
                <w:sz w:val="18"/>
                <w:szCs w:val="18"/>
                <w:b w:val="1"/>
                <w:bCs w:val="1"/>
                <w:color w:val="auto"/>
                <w:w w:val="87"/>
              </w:rPr>
              <w:t>Amount</w:t>
            </w:r>
            <w:r>
              <w:rPr>
                <w:rFonts w:ascii="Arial" w:cs="Arial" w:eastAsia="Arial" w:hAnsi="Arial"/>
                <w:sz w:val="26"/>
                <w:szCs w:val="26"/>
                <w:b w:val="1"/>
                <w:bCs w:val="1"/>
                <w:color w:val="auto"/>
                <w:w w:val="87"/>
                <w:vertAlign w:val="superscript"/>
              </w:rPr>
              <w:t>(1)</w:t>
            </w:r>
          </w:p>
        </w:tc>
        <w:tc>
          <w:tcPr>
            <w:tcW w:w="200" w:type="dxa"/>
            <w:vAlign w:val="bottom"/>
          </w:tcPr>
          <w:p>
            <w:pPr>
              <w:spacing w:after="0"/>
              <w:rPr>
                <w:sz w:val="21"/>
                <w:szCs w:val="21"/>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Amortization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4"/>
          </w:tcPr>
          <w:p>
            <w:pPr>
              <w:jc w:val="right"/>
              <w:ind w:right="23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$ 318,723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(308,131)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324,416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(312,392)</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Trade name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56,103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(48,635)</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12,165</w:t>
            </w:r>
          </w:p>
        </w:tc>
        <w:tc>
          <w:tcPr>
            <w:tcW w:w="6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56,510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(55,299)</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6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$ 431,336</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(412,065)</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$ 19,271</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439,409</w:t>
            </w: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(410,870)</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28,539</w:t>
            </w:r>
          </w:p>
        </w:tc>
        <w:tc>
          <w:tcPr>
            <w:tcW w:w="6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 w:lineRule="exact"/>
        <w:rPr>
          <w:sz w:val="20"/>
          <w:szCs w:val="20"/>
          <w:color w:val="auto"/>
        </w:rPr>
      </w:pPr>
    </w:p>
    <w:p>
      <w:pPr>
        <w:ind w:left="320" w:hanging="270"/>
        <w:spacing w:after="0"/>
        <w:tabs>
          <w:tab w:leader="none" w:pos="32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Acquired amount reduced by impairment of $17,473 from prior fiscal years.</w:t>
      </w:r>
    </w:p>
    <w:p>
      <w:pPr>
        <w:spacing w:after="0" w:line="181" w:lineRule="exact"/>
        <w:rPr>
          <w:sz w:val="20"/>
          <w:szCs w:val="20"/>
          <w:color w:val="auto"/>
        </w:rPr>
      </w:pPr>
    </w:p>
    <w:p>
      <w:pPr>
        <w:ind w:left="60" w:right="239" w:firstLine="427"/>
        <w:spacing w:after="0" w:line="342" w:lineRule="auto"/>
        <w:rPr>
          <w:sz w:val="20"/>
          <w:szCs w:val="20"/>
          <w:color w:val="auto"/>
        </w:rPr>
      </w:pPr>
      <w:r>
        <w:rPr>
          <w:rFonts w:ascii="Arial" w:cs="Arial" w:eastAsia="Arial" w:hAnsi="Arial"/>
          <w:sz w:val="16"/>
          <w:szCs w:val="16"/>
          <w:color w:val="auto"/>
        </w:rPr>
        <w:t>Intangible asset amortization expense was $3.8 million and $10.4 million for the second quarters of fiscal 2022 and 2021, respectively, and $9.0 million and $30.5 million for the first six months of fiscal 2022 and 2021, respectively.</w:t>
      </w:r>
    </w:p>
    <w:p>
      <w:pPr>
        <w:spacing w:after="0" w:line="124" w:lineRule="exact"/>
        <w:rPr>
          <w:sz w:val="20"/>
          <w:szCs w:val="20"/>
          <w:color w:val="auto"/>
        </w:rPr>
      </w:pPr>
    </w:p>
    <w:p>
      <w:pPr>
        <w:ind w:left="60" w:right="179" w:firstLine="427"/>
        <w:spacing w:after="0" w:line="277" w:lineRule="auto"/>
        <w:rPr>
          <w:sz w:val="20"/>
          <w:szCs w:val="20"/>
          <w:color w:val="auto"/>
        </w:rPr>
      </w:pPr>
      <w:r>
        <w:rPr>
          <w:rFonts w:ascii="Arial" w:cs="Arial" w:eastAsia="Arial" w:hAnsi="Arial"/>
          <w:sz w:val="18"/>
          <w:szCs w:val="18"/>
          <w:color w:val="auto"/>
        </w:rPr>
        <w:t>The following table presents the estimated future amortization expense for the remainder of fiscal 2022 and the next five fiscal years (in thousands):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2022</w:t>
            </w:r>
          </w:p>
        </w:tc>
        <w:tc>
          <w:tcPr>
            <w:tcW w:w="33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2023</w:t>
            </w:r>
          </w:p>
        </w:tc>
        <w:tc>
          <w:tcPr>
            <w:tcW w:w="39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9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2025</w:t>
            </w:r>
          </w:p>
        </w:tc>
        <w:tc>
          <w:tcPr>
            <w:tcW w:w="39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9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w:t>
            </w:r>
          </w:p>
        </w:tc>
        <w:tc>
          <w:tcPr>
            <w:tcW w:w="396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Short-term debt consists of the following (carrying balances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1,</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6"/>
              </w:rPr>
              <w:t>July 3,</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January 1,</w:t>
            </w:r>
          </w:p>
        </w:tc>
        <w:tc>
          <w:tcPr>
            <w:tcW w:w="1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w:t>
            </w:r>
          </w:p>
        </w:tc>
      </w:tr>
      <w:tr>
        <w:trPr>
          <w:trHeight w:val="241"/>
        </w:trPr>
        <w:tc>
          <w:tcPr>
            <w:tcW w:w="520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3"/>
          </w:tcPr>
          <w:p>
            <w:pPr>
              <w:jc w:val="right"/>
              <w:ind w:right="310"/>
              <w:spacing w:after="0" w:line="202" w:lineRule="exact"/>
              <w:rPr>
                <w:sz w:val="20"/>
                <w:szCs w:val="20"/>
                <w:color w:val="auto"/>
              </w:rPr>
            </w:pPr>
            <w:r>
              <w:rPr>
                <w:rFonts w:ascii="Arial" w:cs="Arial" w:eastAsia="Arial" w:hAnsi="Arial"/>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w w:val="72"/>
              </w:rPr>
              <w:t>Balance</w:t>
            </w:r>
          </w:p>
        </w:tc>
        <w:tc>
          <w:tcPr>
            <w:tcW w:w="80" w:type="dxa"/>
            <w:vAlign w:val="bottom"/>
            <w:tcBorders>
              <w:bottom w:val="single" w:sz="8" w:color="CCEEFF"/>
            </w:tcBorders>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$ 23,078</w:t>
            </w:r>
          </w:p>
        </w:tc>
        <w:tc>
          <w:tcPr>
            <w:tcW w:w="8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Public notes due December 2022</w:t>
            </w:r>
          </w:p>
        </w:tc>
        <w:tc>
          <w:tcPr>
            <w:tcW w:w="1000" w:type="dxa"/>
            <w:vAlign w:val="bottom"/>
          </w:tcPr>
          <w:p>
            <w:pPr>
              <w:jc w:val="right"/>
              <w:spacing w:after="0"/>
              <w:rPr>
                <w:sz w:val="20"/>
                <w:szCs w:val="20"/>
                <w:color w:val="auto"/>
              </w:rPr>
            </w:pPr>
            <w:r>
              <w:rPr>
                <w:rFonts w:ascii="Arial" w:cs="Arial" w:eastAsia="Arial" w:hAnsi="Arial"/>
                <w:sz w:val="18"/>
                <w:szCs w:val="18"/>
                <w:color w:val="auto"/>
              </w:rPr>
              <w:t>4.88 %</w:t>
            </w:r>
          </w:p>
        </w:tc>
        <w:tc>
          <w:tcPr>
            <w:tcW w:w="14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debt</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$ 23,078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59" w:firstLine="432"/>
        <w:spacing w:after="0" w:line="263"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consists of the following (carrying balances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January 1,</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6"/>
              </w:rPr>
              <w:t>July 3,</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January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w:t>
            </w:r>
          </w:p>
        </w:tc>
      </w:tr>
      <w:tr>
        <w:trPr>
          <w:trHeight w:val="241"/>
        </w:trPr>
        <w:tc>
          <w:tcPr>
            <w:tcW w:w="4600" w:type="dxa"/>
            <w:vAlign w:val="bottom"/>
          </w:tcPr>
          <w:p>
            <w:pPr>
              <w:spacing w:after="0"/>
              <w:rPr>
                <w:sz w:val="20"/>
                <w:szCs w:val="20"/>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209"/>
        </w:trPr>
        <w:tc>
          <w:tcPr>
            <w:tcW w:w="46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Interest</w:t>
            </w:r>
          </w:p>
        </w:tc>
        <w:tc>
          <w:tcPr>
            <w:tcW w:w="20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w w:val="71"/>
              </w:rPr>
              <w:t>Rate</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160"/>
              <w:spacing w:after="0" w:line="202" w:lineRule="exact"/>
              <w:rPr>
                <w:sz w:val="20"/>
                <w:szCs w:val="20"/>
                <w:color w:val="auto"/>
              </w:rPr>
            </w:pPr>
            <w:r>
              <w:rPr>
                <w:rFonts w:ascii="Arial" w:cs="Arial" w:eastAsia="Arial" w:hAnsi="Arial"/>
                <w:sz w:val="18"/>
                <w:szCs w:val="18"/>
                <w:b w:val="1"/>
                <w:bCs w:val="1"/>
                <w:color w:val="auto"/>
                <w:w w:val="83"/>
              </w:rPr>
              <w:t>Carrying</w:t>
            </w:r>
          </w:p>
        </w:tc>
        <w:tc>
          <w:tcPr>
            <w:tcW w:w="10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190"/>
              <w:spacing w:after="0" w:line="202" w:lineRule="exact"/>
              <w:rPr>
                <w:sz w:val="20"/>
                <w:szCs w:val="20"/>
                <w:color w:val="auto"/>
              </w:rPr>
            </w:pPr>
            <w:r>
              <w:rPr>
                <w:rFonts w:ascii="Arial" w:cs="Arial" w:eastAsia="Arial" w:hAnsi="Arial"/>
                <w:sz w:val="18"/>
                <w:szCs w:val="18"/>
                <w:b w:val="1"/>
                <w:bCs w:val="1"/>
                <w:color w:val="auto"/>
                <w:w w:val="89"/>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Accounts receivable securitization program</w:t>
            </w:r>
          </w:p>
        </w:tc>
        <w:tc>
          <w:tcPr>
            <w:tcW w:w="1420" w:type="dxa"/>
            <w:vAlign w:val="bottom"/>
            <w:gridSpan w:val="2"/>
          </w:tcPr>
          <w:p>
            <w:pPr>
              <w:ind w:left="840"/>
              <w:spacing w:after="0"/>
              <w:rPr>
                <w:sz w:val="20"/>
                <w:szCs w:val="20"/>
                <w:color w:val="auto"/>
              </w:rPr>
            </w:pPr>
            <w:r>
              <w:rPr>
                <w:rFonts w:ascii="Arial" w:cs="Arial" w:eastAsia="Arial" w:hAnsi="Arial"/>
                <w:sz w:val="18"/>
                <w:szCs w:val="18"/>
                <w:color w:val="auto"/>
                <w:w w:val="99"/>
              </w:rPr>
              <w:t>0.85 %</w:t>
            </w:r>
          </w:p>
        </w:tc>
        <w:tc>
          <w:tcPr>
            <w:tcW w:w="20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213,300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Facility (due June 2023)</w:t>
            </w:r>
          </w:p>
        </w:tc>
        <w:tc>
          <w:tcPr>
            <w:tcW w:w="14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1.27 %</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Public notes due:</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2022</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April 2026</w:t>
            </w:r>
          </w:p>
        </w:tc>
        <w:tc>
          <w:tcPr>
            <w:tcW w:w="1420" w:type="dxa"/>
            <w:vAlign w:val="bottom"/>
            <w:gridSpan w:val="2"/>
          </w:tcPr>
          <w:p>
            <w:pPr>
              <w:ind w:left="840"/>
              <w:spacing w:after="0"/>
              <w:rPr>
                <w:sz w:val="20"/>
                <w:szCs w:val="20"/>
                <w:color w:val="auto"/>
              </w:rPr>
            </w:pPr>
            <w:r>
              <w:rPr>
                <w:rFonts w:ascii="Arial" w:cs="Arial" w:eastAsia="Arial" w:hAnsi="Arial"/>
                <w:sz w:val="18"/>
                <w:szCs w:val="18"/>
                <w:color w:val="auto"/>
                <w:w w:val="99"/>
              </w:rPr>
              <w:t>4.63 %</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2031</w:t>
            </w:r>
          </w:p>
        </w:tc>
        <w:tc>
          <w:tcPr>
            <w:tcW w:w="14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3.00 %</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r>
      <w:tr>
        <w:trPr>
          <w:trHeight w:val="223"/>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142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color w:val="auto"/>
                <w:w w:val="99"/>
              </w:rPr>
              <w:t>0.00 %</w:t>
            </w: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Borders>
              <w:bottom w:val="single" w:sz="8" w:color="CCEEFF"/>
            </w:tcBorders>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before discount and debt issuance costs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1,153,467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1,201,185</w:t>
            </w:r>
          </w:p>
        </w:tc>
        <w:tc>
          <w:tcPr>
            <w:tcW w:w="60" w:type="dxa"/>
            <w:vAlign w:val="bottom"/>
            <w:shd w:val="clear" w:color="auto" w:fill="CCEEFF"/>
          </w:tcPr>
          <w:p>
            <w:pPr>
              <w:spacing w:after="0"/>
              <w:rPr>
                <w:sz w:val="18"/>
                <w:szCs w:val="18"/>
                <w:color w:val="auto"/>
              </w:rPr>
            </w:pPr>
          </w:p>
        </w:tc>
      </w:tr>
      <w:tr>
        <w:trPr>
          <w:trHeight w:val="223"/>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 – unamortized</w:t>
            </w:r>
          </w:p>
        </w:tc>
        <w:tc>
          <w:tcPr>
            <w:tcW w:w="6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60" w:type="dxa"/>
            <w:vAlign w:val="bottom"/>
            <w:tcBorders>
              <w:bottom w:val="single" w:sz="8" w:color="CCEEFF"/>
            </w:tcBorders>
          </w:tcPr>
          <w:p>
            <w:pPr>
              <w:spacing w:after="0"/>
              <w:rPr>
                <w:sz w:val="19"/>
                <w:szCs w:val="19"/>
                <w:color w:val="auto"/>
              </w:rPr>
            </w:pPr>
          </w:p>
        </w:tc>
      </w:tr>
      <w:tr>
        <w:trPr>
          <w:trHeight w:val="216"/>
        </w:trPr>
        <w:tc>
          <w:tcPr>
            <w:tcW w:w="4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6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1,144,592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1,191,329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427"/>
        <w:spacing w:after="0" w:line="287" w:lineRule="auto"/>
        <w:rPr>
          <w:sz w:val="20"/>
          <w:szCs w:val="20"/>
          <w:color w:val="auto"/>
        </w:rPr>
      </w:pPr>
      <w:r>
        <w:rPr>
          <w:rFonts w:ascii="Arial" w:cs="Arial" w:eastAsia="Arial" w:hAnsi="Arial"/>
          <w:sz w:val="16"/>
          <w:szCs w:val="16"/>
          <w:color w:val="auto"/>
        </w:rPr>
        <w:t>In August 2021, the Company amended and extended for two years its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a maximum of $450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$915.6 million and $717.4 million at January 1, 2022, and July 3, 2021, respectively. The Securitization Program contains certain covenants relating to the quality of the receivables sold. Interest on borrowings is calculated using a one-month LIBOR rate plus a spread of 0.75%. The facility fee on the unused balance of the facility is up to 0.35%.</w:t>
      </w:r>
    </w:p>
    <w:p>
      <w:pPr>
        <w:spacing w:after="0" w:line="172" w:lineRule="exact"/>
        <w:rPr>
          <w:sz w:val="20"/>
          <w:szCs w:val="20"/>
          <w:color w:val="auto"/>
        </w:rPr>
      </w:pPr>
    </w:p>
    <w:p>
      <w:pPr>
        <w:ind w:left="60" w:right="99" w:firstLine="432"/>
        <w:spacing w:after="0" w:line="271" w:lineRule="auto"/>
        <w:rPr>
          <w:sz w:val="20"/>
          <w:szCs w:val="20"/>
          <w:color w:val="auto"/>
        </w:rPr>
      </w:pPr>
      <w:r>
        <w:rPr>
          <w:rFonts w:ascii="Arial" w:cs="Arial" w:eastAsia="Arial" w:hAnsi="Arial"/>
          <w:sz w:val="17"/>
          <w:szCs w:val="17"/>
          <w:color w:val="auto"/>
        </w:rPr>
        <w:t>The Company has a five-year $1.25 billion revolving credit facility (the “Credit Facility”) with a syndicate of banks, which expires in June 2023. It consists of revolving credit facilities and the issuance of up to $200.0 million of letters of credit and up to $300.0 million of loans in certain approved currencies.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January 1, 2022, and July 3, 2021.</w:t>
      </w:r>
    </w:p>
    <w:p>
      <w:pPr>
        <w:spacing w:after="0" w:line="178" w:lineRule="exact"/>
        <w:rPr>
          <w:sz w:val="20"/>
          <w:szCs w:val="20"/>
          <w:color w:val="auto"/>
        </w:rPr>
      </w:pPr>
    </w:p>
    <w:p>
      <w:pPr>
        <w:ind w:left="60" w:right="359" w:firstLine="432"/>
        <w:spacing w:after="0" w:line="277" w:lineRule="auto"/>
        <w:rPr>
          <w:sz w:val="20"/>
          <w:szCs w:val="20"/>
          <w:color w:val="auto"/>
        </w:rPr>
      </w:pPr>
      <w:r>
        <w:rPr>
          <w:rFonts w:ascii="Arial" w:cs="Arial" w:eastAsia="Arial" w:hAnsi="Arial"/>
          <w:sz w:val="18"/>
          <w:szCs w:val="18"/>
          <w:color w:val="auto"/>
        </w:rPr>
        <w:t>As of January 1, 2022, and July 3, 2021, there were $1.2 million and $1.3 million, respectively, in letters of credit issued under the Credit Facility.</w:t>
      </w:r>
    </w:p>
    <w:p>
      <w:pPr>
        <w:spacing w:after="0" w:line="170" w:lineRule="exact"/>
        <w:rPr>
          <w:sz w:val="20"/>
          <w:szCs w:val="20"/>
          <w:color w:val="auto"/>
        </w:rPr>
      </w:pPr>
    </w:p>
    <w:p>
      <w:pPr>
        <w:ind w:left="60" w:right="199" w:firstLine="427"/>
        <w:spacing w:after="0" w:line="257" w:lineRule="auto"/>
        <w:rPr>
          <w:sz w:val="20"/>
          <w:szCs w:val="20"/>
          <w:color w:val="auto"/>
        </w:rPr>
      </w:pPr>
      <w:r>
        <w:rPr>
          <w:rFonts w:ascii="Arial" w:cs="Arial" w:eastAsia="Arial" w:hAnsi="Arial"/>
          <w:sz w:val="18"/>
          <w:szCs w:val="18"/>
          <w:color w:val="auto"/>
        </w:rPr>
        <w:t>As of January 1, 2022, the carrying value and fair value of the Company’s total debt was $1.49 billion and $1.56 billion, respectively. At July 3, 2021, the carrying value and fair value of the Company’s total debt was $1.21 billion and $1.30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left="60" w:right="119" w:firstLine="427"/>
        <w:spacing w:after="0" w:line="259" w:lineRule="auto"/>
        <w:rPr>
          <w:sz w:val="20"/>
          <w:szCs w:val="20"/>
          <w:color w:val="auto"/>
        </w:rPr>
      </w:pPr>
      <w:r>
        <w:rPr>
          <w:rFonts w:ascii="Arial" w:cs="Arial" w:eastAsia="Arial" w:hAnsi="Arial"/>
          <w:sz w:val="18"/>
          <w:szCs w:val="18"/>
          <w:color w:val="auto"/>
        </w:rPr>
        <w:t>Substantially all the Company’s leases are classified as operating leases and are predominately related to real property for distribution centers, office space, and integration facilities with a lease term of up to 16 years. The Company’s equipment leases are primarily for automobiles and equipment and are not material to the consolidated financial statements.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Second Quarters Ended</w:t>
            </w:r>
          </w:p>
        </w:tc>
        <w:tc>
          <w:tcPr>
            <w:tcW w:w="80" w:type="dxa"/>
            <w:vAlign w:val="bottom"/>
          </w:tcPr>
          <w:p>
            <w:pPr>
              <w:spacing w:after="0"/>
              <w:rPr>
                <w:sz w:val="20"/>
                <w:szCs w:val="20"/>
                <w:color w:val="auto"/>
              </w:rPr>
            </w:pPr>
          </w:p>
        </w:tc>
        <w:tc>
          <w:tcPr>
            <w:tcW w:w="20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January 1,</w:t>
            </w:r>
          </w:p>
        </w:tc>
        <w:tc>
          <w:tcPr>
            <w:tcW w:w="9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2,</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January 1,</w:t>
            </w:r>
          </w:p>
        </w:tc>
        <w:tc>
          <w:tcPr>
            <w:tcW w:w="9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2,</w:t>
            </w:r>
          </w:p>
        </w:tc>
      </w:tr>
      <w:tr>
        <w:trPr>
          <w:trHeight w:val="241"/>
        </w:trPr>
        <w:tc>
          <w:tcPr>
            <w:tcW w:w="46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36,497</w:t>
            </w:r>
          </w:p>
        </w:tc>
      </w:tr>
      <w:tr>
        <w:trPr>
          <w:trHeight w:val="22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w:t>
            </w:r>
          </w:p>
        </w:tc>
      </w:tr>
      <w:tr>
        <w:trPr>
          <w:trHeight w:val="216"/>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48,208</w:t>
            </w: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minimum operating lease payments as of January 1, 2022, are as follows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Remainder of fiscal 2022</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59,916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133,754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Total imputed interest on operating lease liabilities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(56,074)</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3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gridSpan w:val="4"/>
            <w:vMerge w:val="restart"/>
          </w:tcPr>
          <w:p>
            <w:pPr>
              <w:ind w:left="420"/>
              <w:spacing w:after="0"/>
              <w:rPr>
                <w:sz w:val="20"/>
                <w:szCs w:val="20"/>
                <w:color w:val="auto"/>
              </w:rPr>
            </w:pPr>
            <w:r>
              <w:rPr>
                <w:rFonts w:ascii="Arial" w:cs="Arial" w:eastAsia="Arial" w:hAnsi="Arial"/>
                <w:sz w:val="18"/>
                <w:szCs w:val="18"/>
                <w:color w:val="auto"/>
              </w:rPr>
              <w:t>Other information pertaining to operating leases consists of the following:</w:t>
            </w: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04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580" w:type="dxa"/>
            <w:vAlign w:val="bottom"/>
            <w:tcBorders>
              <w:bottom w:val="single" w:sz="8" w:color="auto"/>
            </w:tcBorders>
            <w:gridSpan w:val="4"/>
          </w:tcPr>
          <w:p>
            <w:pPr>
              <w:ind w:left="1040"/>
              <w:spacing w:after="0"/>
              <w:rPr>
                <w:sz w:val="20"/>
                <w:szCs w:val="20"/>
                <w:color w:val="auto"/>
              </w:rPr>
            </w:pPr>
            <w:r>
              <w:rPr>
                <w:rFonts w:ascii="Arial" w:cs="Arial" w:eastAsia="Arial" w:hAnsi="Arial"/>
                <w:sz w:val="18"/>
                <w:szCs w:val="18"/>
                <w:b w:val="1"/>
                <w:bCs w:val="1"/>
                <w:color w:val="auto"/>
                <w:w w:val="97"/>
              </w:rPr>
              <w:t>Six Months Ended</w:t>
            </w: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6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January 1,</w:t>
            </w:r>
          </w:p>
        </w:tc>
        <w:tc>
          <w:tcPr>
            <w:tcW w:w="1840" w:type="dxa"/>
            <w:vAlign w:val="bottom"/>
            <w:gridSpan w:val="4"/>
          </w:tcPr>
          <w:p>
            <w:pPr>
              <w:jc w:val="right"/>
              <w:ind w:right="500"/>
              <w:spacing w:after="0" w:line="198" w:lineRule="exact"/>
              <w:rPr>
                <w:sz w:val="20"/>
                <w:szCs w:val="20"/>
                <w:color w:val="auto"/>
              </w:rPr>
            </w:pPr>
            <w:r>
              <w:rPr>
                <w:rFonts w:ascii="Arial" w:cs="Arial" w:eastAsia="Arial" w:hAnsi="Arial"/>
                <w:sz w:val="18"/>
                <w:szCs w:val="18"/>
                <w:b w:val="1"/>
                <w:bCs w:val="1"/>
                <w:color w:val="auto"/>
              </w:rPr>
              <w:t>January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6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Operating Lease Term and Discount Rate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Weighted-average remaining lease term in years</w:t>
            </w:r>
          </w:p>
        </w:tc>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Weighted-average discount rate</w:t>
            </w:r>
          </w:p>
        </w:tc>
        <w:tc>
          <w:tcPr>
            <w:tcW w:w="1520" w:type="dxa"/>
            <w:vAlign w:val="bottom"/>
          </w:tcPr>
          <w:p>
            <w:pPr>
              <w:ind w:left="1000"/>
              <w:spacing w:after="0"/>
              <w:rPr>
                <w:sz w:val="20"/>
                <w:szCs w:val="20"/>
                <w:color w:val="auto"/>
              </w:rPr>
            </w:pPr>
            <w:r>
              <w:rPr>
                <w:rFonts w:ascii="Arial" w:cs="Arial" w:eastAsia="Arial" w:hAnsi="Arial"/>
                <w:sz w:val="18"/>
                <w:szCs w:val="18"/>
                <w:color w:val="auto"/>
              </w:rPr>
              <w:t>3.8 %</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cash flow information related to the Company’s operating leases was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5"/>
          </w:tcPr>
          <w:p>
            <w:pPr>
              <w:ind w:left="48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6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January 1,</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8"/>
              </w:rPr>
              <w:t>January 2,</w:t>
            </w:r>
          </w:p>
        </w:tc>
        <w:tc>
          <w:tcPr>
            <w:tcW w:w="20" w:type="dxa"/>
            <w:vAlign w:val="bottom"/>
          </w:tcPr>
          <w:p>
            <w:pPr>
              <w:spacing w:after="0"/>
              <w:rPr>
                <w:sz w:val="17"/>
                <w:szCs w:val="17"/>
                <w:color w:val="auto"/>
              </w:rPr>
            </w:pPr>
          </w:p>
        </w:tc>
      </w:tr>
      <w:tr>
        <w:trPr>
          <w:trHeight w:val="241"/>
        </w:trPr>
        <w:tc>
          <w:tcPr>
            <w:tcW w:w="6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29,456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29,157</w:t>
            </w:r>
          </w:p>
        </w:tc>
        <w:tc>
          <w:tcPr>
            <w:tcW w:w="2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28,346</w:t>
            </w:r>
          </w:p>
        </w:tc>
        <w:tc>
          <w:tcPr>
            <w:tcW w:w="20" w:type="dxa"/>
            <w:vAlign w:val="bottom"/>
          </w:tcPr>
          <w:p>
            <w:pPr>
              <w:spacing w:after="0"/>
              <w:rPr>
                <w:sz w:val="18"/>
                <w:szCs w:val="18"/>
                <w:color w:val="auto"/>
              </w:rPr>
            </w:pPr>
          </w:p>
        </w:tc>
      </w:tr>
      <w:tr>
        <w:trPr>
          <w:trHeight w:val="675"/>
        </w:trPr>
        <w:tc>
          <w:tcPr>
            <w:tcW w:w="6180" w:type="dxa"/>
            <w:vAlign w:val="bottom"/>
          </w:tcPr>
          <w:p>
            <w:pPr>
              <w:jc w:val="right"/>
              <w:ind w:right="153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ind w:left="60" w:right="179" w:firstLine="427"/>
        <w:spacing w:after="0" w:line="286"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w:t>
      </w:r>
      <w:r>
        <w:rPr>
          <w:rFonts w:ascii="Arial" w:cs="Arial" w:eastAsia="Arial" w:hAnsi="Arial"/>
          <w:sz w:val="16"/>
          <w:szCs w:val="16"/>
          <w:i w:val="1"/>
          <w:iCs w:val="1"/>
          <w:color w:val="auto"/>
        </w:rPr>
        <w:t>i.e.</w:t>
      </w:r>
      <w:r>
        <w:rPr>
          <w:rFonts w:ascii="Arial" w:cs="Arial" w:eastAsia="Arial" w:hAnsi="Arial"/>
          <w:sz w:val="16"/>
          <w:szCs w:val="16"/>
          <w:color w:val="auto"/>
        </w:rPr>
        <w:t>, offsetting receivables and payables in the same foreign currency) and creating offsetting positions through the use of derivative financial instruments (primarily forward foreign exchange contracts typically with maturities of less than 60 days, but no longer than one year). The Company continues to have exposure to foreign currency risks to the extent they are not economically hedged. The Company adjusts any economic hedges to fair value through the consolidated statements of operations primarily within “Other expense,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January 1, 2022, and July 3, 2021.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74" w:lineRule="exact"/>
        <w:rPr>
          <w:sz w:val="20"/>
          <w:szCs w:val="20"/>
          <w:color w:val="auto"/>
        </w:rPr>
      </w:pPr>
    </w:p>
    <w:p>
      <w:pPr>
        <w:ind w:left="60" w:right="179" w:firstLine="427"/>
        <w:spacing w:after="0" w:line="263"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derivative financial instruments for trading or speculative purposes and monitors the financial stability and credit standing of its counterparties.</w:t>
      </w:r>
    </w:p>
    <w:p>
      <w:pPr>
        <w:spacing w:after="0" w:line="184" w:lineRule="exact"/>
        <w:rPr>
          <w:sz w:val="20"/>
          <w:szCs w:val="20"/>
          <w:color w:val="auto"/>
        </w:rPr>
      </w:pPr>
    </w:p>
    <w:p>
      <w:pPr>
        <w:ind w:left="60" w:right="79" w:firstLine="427"/>
        <w:spacing w:after="0" w:line="275"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76" w:lineRule="exact"/>
        <w:rPr>
          <w:sz w:val="20"/>
          <w:szCs w:val="20"/>
          <w:color w:val="auto"/>
        </w:rPr>
      </w:pPr>
    </w:p>
    <w:p>
      <w:pPr>
        <w:ind w:left="60" w:right="119" w:firstLine="427"/>
        <w:spacing w:after="0" w:line="277" w:lineRule="auto"/>
        <w:rPr>
          <w:sz w:val="20"/>
          <w:szCs w:val="20"/>
          <w:color w:val="auto"/>
        </w:rPr>
      </w:pPr>
      <w:r>
        <w:rPr>
          <w:rFonts w:ascii="Arial" w:cs="Arial" w:eastAsia="Arial" w:hAnsi="Arial"/>
          <w:sz w:val="18"/>
          <w:szCs w:val="18"/>
          <w:color w:val="auto"/>
        </w:rPr>
        <w:t>The fair values of forward foreign currency exchange contracts not receiving hedge accounting treatment recorded in the Company’s consolidated balance sheets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1,</w:t>
            </w:r>
          </w:p>
        </w:tc>
        <w:tc>
          <w:tcPr>
            <w:tcW w:w="2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w:t>
            </w:r>
          </w:p>
        </w:tc>
      </w:tr>
      <w:tr>
        <w:trPr>
          <w:trHeight w:val="241"/>
        </w:trPr>
        <w:tc>
          <w:tcPr>
            <w:tcW w:w="6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right"/>
              <w:ind w:right="730"/>
              <w:spacing w:after="0" w:line="202" w:lineRule="exact"/>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7"/>
                <w:szCs w:val="17"/>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40" w:type="dxa"/>
            <w:vAlign w:val="bottom"/>
            <w:shd w:val="clear" w:color="auto" w:fill="CCEEFF"/>
          </w:tcPr>
          <w:p>
            <w:pPr>
              <w:spacing w:after="0"/>
              <w:rPr>
                <w:sz w:val="18"/>
                <w:szCs w:val="18"/>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12,686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23,994</w:t>
            </w:r>
          </w:p>
        </w:tc>
        <w:tc>
          <w:tcPr>
            <w:tcW w:w="40" w:type="dxa"/>
            <w:vAlign w:val="bottom"/>
          </w:tcPr>
          <w:p>
            <w:pPr>
              <w:spacing w:after="0"/>
              <w:rPr>
                <w:sz w:val="20"/>
                <w:szCs w:val="20"/>
                <w:color w:val="auto"/>
              </w:rPr>
            </w:pPr>
          </w:p>
        </w:tc>
      </w:tr>
    </w:tbl>
    <w:p>
      <w:pPr>
        <w:spacing w:after="0" w:line="187" w:lineRule="exact"/>
        <w:rPr>
          <w:sz w:val="20"/>
          <w:szCs w:val="20"/>
          <w:color w:val="auto"/>
        </w:rPr>
      </w:pPr>
    </w:p>
    <w:p>
      <w:pPr>
        <w:jc w:val="both"/>
        <w:ind w:left="60" w:right="199" w:firstLine="427"/>
        <w:spacing w:after="0" w:line="277" w:lineRule="auto"/>
        <w:rPr>
          <w:sz w:val="20"/>
          <w:szCs w:val="20"/>
          <w:color w:val="auto"/>
        </w:rPr>
      </w:pPr>
      <w:r>
        <w:rPr>
          <w:rFonts w:ascii="Arial" w:cs="Arial" w:eastAsia="Arial" w:hAnsi="Arial"/>
          <w:sz w:val="18"/>
          <w:szCs w:val="18"/>
          <w:color w:val="auto"/>
        </w:rPr>
        <w:t>The amounts recorded to other income expense, net, related to derivative financial instruments for economic hedges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89"/>
              </w:rPr>
              <w:t>Second Quarters Ended</w:t>
            </w:r>
          </w:p>
        </w:tc>
        <w:tc>
          <w:tcPr>
            <w:tcW w:w="100" w:type="dxa"/>
            <w:vAlign w:val="bottom"/>
          </w:tcPr>
          <w:p>
            <w:pPr>
              <w:spacing w:after="0"/>
              <w:rPr>
                <w:sz w:val="20"/>
                <w:szCs w:val="20"/>
                <w:color w:val="auto"/>
              </w:rPr>
            </w:pPr>
          </w:p>
        </w:tc>
        <w:tc>
          <w:tcPr>
            <w:tcW w:w="2100" w:type="dxa"/>
            <w:vAlign w:val="bottom"/>
            <w:gridSpan w:val="4"/>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620" w:type="dxa"/>
            <w:vAlign w:val="bottom"/>
          </w:tcPr>
          <w:p>
            <w:pPr>
              <w:spacing w:after="0"/>
              <w:rPr>
                <w:sz w:val="17"/>
                <w:szCs w:val="17"/>
                <w:color w:val="auto"/>
              </w:rPr>
            </w:pPr>
          </w:p>
        </w:tc>
        <w:tc>
          <w:tcPr>
            <w:tcW w:w="112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January 1,</w:t>
            </w:r>
          </w:p>
        </w:tc>
        <w:tc>
          <w:tcPr>
            <w:tcW w:w="98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January 2,</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2"/>
              </w:rPr>
              <w:t>January 1,</w:t>
            </w:r>
          </w:p>
        </w:tc>
        <w:tc>
          <w:tcPr>
            <w:tcW w:w="940" w:type="dxa"/>
            <w:vAlign w:val="bottom"/>
            <w:tcBorders>
              <w:top w:val="single" w:sz="8" w:color="auto"/>
            </w:tcBorders>
          </w:tcPr>
          <w:p>
            <w:pPr>
              <w:ind w:left="60"/>
              <w:spacing w:after="0" w:line="198" w:lineRule="exact"/>
              <w:rPr>
                <w:sz w:val="20"/>
                <w:szCs w:val="20"/>
                <w:color w:val="auto"/>
              </w:rPr>
            </w:pPr>
            <w:r>
              <w:rPr>
                <w:rFonts w:ascii="Arial" w:cs="Arial" w:eastAsia="Arial" w:hAnsi="Arial"/>
                <w:sz w:val="18"/>
                <w:szCs w:val="18"/>
                <w:b w:val="1"/>
                <w:bCs w:val="1"/>
                <w:color w:val="auto"/>
                <w:w w:val="96"/>
              </w:rPr>
              <w:t>January 2,</w:t>
            </w:r>
          </w:p>
        </w:tc>
        <w:tc>
          <w:tcPr>
            <w:tcW w:w="2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3"/>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tcPr>
          <w:p>
            <w:pPr>
              <w:ind w:left="360"/>
              <w:spacing w:after="0" w:line="202" w:lineRule="exact"/>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financial instrument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(7,012)</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(10,627)</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0" w:right="339" w:firstLine="427"/>
        <w:spacing w:after="0" w:line="263"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ind w:left="60" w:right="179" w:firstLine="427"/>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ind w:left="60" w:right="79" w:firstLine="427"/>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to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92" w:lineRule="exact"/>
        <w:rPr>
          <w:sz w:val="20"/>
          <w:szCs w:val="20"/>
          <w:color w:val="auto"/>
        </w:rPr>
      </w:pPr>
    </w:p>
    <w:p>
      <w:pPr>
        <w:ind w:left="60" w:right="199" w:firstLine="427"/>
        <w:spacing w:after="0" w:line="342" w:lineRule="auto"/>
        <w:rPr>
          <w:sz w:val="20"/>
          <w:szCs w:val="20"/>
          <w:color w:val="auto"/>
        </w:rPr>
      </w:pPr>
      <w:r>
        <w:rPr>
          <w:rFonts w:ascii="Arial" w:cs="Arial" w:eastAsia="Arial" w:hAnsi="Arial"/>
          <w:sz w:val="16"/>
          <w:szCs w:val="16"/>
          <w:color w:val="auto"/>
        </w:rPr>
        <w:t>As of January 1, 2022, and July 3, 2021, the Company had aggregate estimated liabilities of $14.7 million classified within accrued expenses and other for such compliance-related matters that were reasonably estimable as of such dates.</w:t>
      </w:r>
    </w:p>
    <w:p>
      <w:pPr>
        <w:spacing w:after="0" w:line="124" w:lineRule="exact"/>
        <w:rPr>
          <w:sz w:val="20"/>
          <w:szCs w:val="20"/>
          <w:color w:val="auto"/>
        </w:rPr>
      </w:pPr>
    </w:p>
    <w:p>
      <w:pPr>
        <w:ind w:left="60" w:right="139" w:firstLine="427"/>
        <w:spacing w:after="0" w:line="277" w:lineRule="auto"/>
        <w:rPr>
          <w:sz w:val="20"/>
          <w:szCs w:val="20"/>
          <w:color w:val="auto"/>
        </w:rPr>
      </w:pPr>
      <w:r>
        <w:rPr>
          <w:rFonts w:ascii="Arial" w:cs="Arial" w:eastAsia="Arial" w:hAnsi="Arial"/>
          <w:sz w:val="18"/>
          <w:szCs w:val="18"/>
          <w:color w:val="auto"/>
        </w:rPr>
        <w:t>During the first six months of fiscal 2021, the Company recorded a gain on legal settlement of $8.2 million, which is classified as a component of Restructuring, integration and other expenses.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left="60" w:right="199" w:firstLine="427"/>
        <w:spacing w:after="0" w:line="342" w:lineRule="auto"/>
        <w:rPr>
          <w:sz w:val="20"/>
          <w:szCs w:val="20"/>
          <w:color w:val="auto"/>
        </w:rPr>
      </w:pPr>
      <w:r>
        <w:rPr>
          <w:rFonts w:ascii="Arial" w:cs="Arial" w:eastAsia="Arial" w:hAnsi="Arial"/>
          <w:sz w:val="16"/>
          <w:szCs w:val="16"/>
          <w:color w:val="auto"/>
        </w:rPr>
        <w:t>The Company’s effective tax rate on its income before taxes was 21.4% in the second quarter of fiscal 2022. During the second quarter of fiscal 2022, there were no individually material items impacting the Company’s effective tax rate.</w:t>
      </w:r>
    </w:p>
    <w:p>
      <w:pPr>
        <w:spacing w:after="0" w:line="124" w:lineRule="exact"/>
        <w:rPr>
          <w:sz w:val="20"/>
          <w:szCs w:val="20"/>
          <w:color w:val="auto"/>
        </w:rPr>
      </w:pPr>
    </w:p>
    <w:p>
      <w:pPr>
        <w:ind w:left="60" w:right="399" w:firstLine="427"/>
        <w:spacing w:after="0" w:line="286" w:lineRule="auto"/>
        <w:rPr>
          <w:sz w:val="20"/>
          <w:szCs w:val="20"/>
          <w:color w:val="auto"/>
        </w:rPr>
      </w:pPr>
      <w:r>
        <w:rPr>
          <w:rFonts w:ascii="Arial" w:cs="Arial" w:eastAsia="Arial" w:hAnsi="Arial"/>
          <w:sz w:val="17"/>
          <w:szCs w:val="17"/>
          <w:color w:val="auto"/>
        </w:rPr>
        <w:t>During the second quarter of fiscal 2021, the Company’s effective tax rate on its income before taxes was 44.3%. During the second quarter of fiscal 2021, the Company’s effective tax rate was unfavorably impacted primarily by increases to valuation allowances, partially offset by the mix of income in lower tax jurisdictions.</w:t>
      </w:r>
    </w:p>
    <w:p>
      <w:pPr>
        <w:spacing w:after="0" w:line="165" w:lineRule="exact"/>
        <w:rPr>
          <w:sz w:val="20"/>
          <w:szCs w:val="20"/>
          <w:color w:val="auto"/>
        </w:rPr>
      </w:pPr>
    </w:p>
    <w:p>
      <w:pPr>
        <w:ind w:left="60" w:right="259" w:firstLine="427"/>
        <w:spacing w:after="0" w:line="263" w:lineRule="auto"/>
        <w:rPr>
          <w:sz w:val="20"/>
          <w:szCs w:val="20"/>
          <w:color w:val="auto"/>
        </w:rPr>
      </w:pPr>
      <w:r>
        <w:rPr>
          <w:rFonts w:ascii="Arial" w:cs="Arial" w:eastAsia="Arial" w:hAnsi="Arial"/>
          <w:sz w:val="18"/>
          <w:szCs w:val="18"/>
          <w:color w:val="auto"/>
        </w:rPr>
        <w:t>For the first six months of fiscal 2022, the Company’s effective tax rate on its income before taxes was 22.2%. The effective tax rate for the first six months of fiscal 2022 was unfavorably impacted primarily by increases to valuation allowances.</w:t>
      </w:r>
    </w:p>
    <w:p>
      <w:pPr>
        <w:spacing w:after="0" w:line="184"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During the first six months of fiscal 2021, the Company’s effective tax rate on its income before taxes was 97.5%. The effective tax rate for the first six months of fiscal 2021 was unfavorably impacted primarily by increases to valuation allowances, partially offset by the mix of income in lower tax jurisdictions.</w:t>
      </w:r>
    </w:p>
    <w:p>
      <w:pPr>
        <w:spacing w:after="0" w:line="184" w:lineRule="exact"/>
        <w:rPr>
          <w:sz w:val="20"/>
          <w:szCs w:val="20"/>
          <w:color w:val="auto"/>
        </w:rPr>
      </w:pPr>
    </w:p>
    <w:p>
      <w:pPr>
        <w:jc w:val="both"/>
        <w:ind w:left="60" w:right="79" w:firstLine="432"/>
        <w:spacing w:after="0" w:line="263" w:lineRule="auto"/>
        <w:rPr>
          <w:sz w:val="20"/>
          <w:szCs w:val="20"/>
          <w:color w:val="auto"/>
        </w:rPr>
      </w:pPr>
      <w:r>
        <w:rPr>
          <w:rFonts w:ascii="Arial" w:cs="Arial" w:eastAsia="Arial" w:hAnsi="Arial"/>
          <w:sz w:val="18"/>
          <w:szCs w:val="18"/>
          <w:color w:val="auto"/>
        </w:rPr>
        <w:t>In January 2022, the U.S. Treasury published new regulations impacting foreign tax credit utilization. The Company is still evaluating this new tax regulation and the impact to income tax expense, which could have a significant impact on income expense in the third quarter of fiscal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employees (the “Plan”). Components of net periodic pension cost for the Plan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ind w:left="280"/>
              <w:spacing w:after="0"/>
              <w:rPr>
                <w:sz w:val="20"/>
                <w:szCs w:val="20"/>
                <w:color w:val="auto"/>
              </w:rPr>
            </w:pPr>
            <w:r>
              <w:rPr>
                <w:rFonts w:ascii="Arial" w:cs="Arial" w:eastAsia="Arial" w:hAnsi="Arial"/>
                <w:sz w:val="18"/>
                <w:szCs w:val="18"/>
                <w:b w:val="1"/>
                <w:bCs w:val="1"/>
                <w:color w:val="auto"/>
              </w:rPr>
              <w:t>Second Quarters Ended</w:t>
            </w:r>
          </w:p>
        </w:tc>
        <w:tc>
          <w:tcPr>
            <w:tcW w:w="140" w:type="dxa"/>
            <w:vAlign w:val="bottom"/>
          </w:tcPr>
          <w:p>
            <w:pPr>
              <w:spacing w:after="0"/>
              <w:rPr>
                <w:sz w:val="20"/>
                <w:szCs w:val="20"/>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3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January 1,</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8"/>
              </w:rPr>
              <w:t>January 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January 1,</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January 2,</w:t>
            </w:r>
          </w:p>
        </w:tc>
        <w:tc>
          <w:tcPr>
            <w:tcW w:w="20" w:type="dxa"/>
            <w:vAlign w:val="bottom"/>
          </w:tcPr>
          <w:p>
            <w:pPr>
              <w:spacing w:after="0"/>
              <w:rPr>
                <w:sz w:val="17"/>
                <w:szCs w:val="17"/>
                <w:color w:val="auto"/>
              </w:rPr>
            </w:pPr>
          </w:p>
        </w:tc>
      </w:tr>
      <w:tr>
        <w:trPr>
          <w:trHeight w:val="241"/>
        </w:trPr>
        <w:tc>
          <w:tcPr>
            <w:tcW w:w="3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3"/>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4"/>
          </w:tcPr>
          <w:p>
            <w:pPr>
              <w:jc w:val="right"/>
              <w:ind w:right="750"/>
              <w:spacing w:after="0" w:line="202" w:lineRule="exact"/>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20" w:type="dxa"/>
            <w:vAlign w:val="bottom"/>
          </w:tcPr>
          <w:p>
            <w:pPr>
              <w:spacing w:after="0"/>
              <w:rPr>
                <w:sz w:val="20"/>
                <w:szCs w:val="20"/>
                <w:color w:val="auto"/>
              </w:rPr>
            </w:pPr>
          </w:p>
        </w:tc>
      </w:tr>
      <w:tr>
        <w:trPr>
          <w:trHeight w:val="175"/>
        </w:trPr>
        <w:tc>
          <w:tcPr>
            <w:tcW w:w="3640" w:type="dxa"/>
            <w:vAlign w:val="bottom"/>
          </w:tcPr>
          <w:p>
            <w:pPr>
              <w:ind w:left="100"/>
              <w:spacing w:after="0" w:line="176" w:lineRule="exact"/>
              <w:rPr>
                <w:sz w:val="20"/>
                <w:szCs w:val="20"/>
                <w:color w:val="auto"/>
              </w:rPr>
            </w:pPr>
            <w:r>
              <w:rPr>
                <w:rFonts w:ascii="Arial" w:cs="Arial" w:eastAsia="Arial" w:hAnsi="Arial"/>
                <w:sz w:val="18"/>
                <w:szCs w:val="18"/>
                <w:color w:val="auto"/>
                <w:w w:val="98"/>
              </w:rPr>
              <w:t>Total net periodic pension cost within selling,</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3640" w:type="dxa"/>
            <w:vAlign w:val="bottom"/>
          </w:tcPr>
          <w:p>
            <w:pPr>
              <w:ind w:left="10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7,875</w:t>
            </w:r>
          </w:p>
        </w:tc>
        <w:tc>
          <w:tcPr>
            <w:tcW w:w="20" w:type="dxa"/>
            <w:vAlign w:val="bottom"/>
          </w:tcPr>
          <w:p>
            <w:pPr>
              <w:spacing w:after="0"/>
              <w:rPr>
                <w:sz w:val="20"/>
                <w:szCs w:val="20"/>
                <w:color w:val="auto"/>
              </w:rPr>
            </w:pPr>
          </w:p>
        </w:tc>
      </w:tr>
      <w:tr>
        <w:trPr>
          <w:trHeight w:val="216"/>
        </w:trPr>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7,952</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(12,284)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(12,420)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(24,840)</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r>
      <w:tr>
        <w:trPr>
          <w:trHeight w:val="236"/>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20" w:type="dxa"/>
            <w:vAlign w:val="bottom"/>
          </w:tcPr>
          <w:p>
            <w:pPr>
              <w:spacing w:after="0"/>
              <w:rPr>
                <w:sz w:val="20"/>
                <w:szCs w:val="20"/>
                <w:color w:val="auto"/>
              </w:rPr>
            </w:pPr>
          </w:p>
        </w:tc>
      </w:tr>
      <w:tr>
        <w:trPr>
          <w:trHeight w:val="175"/>
        </w:trPr>
        <w:tc>
          <w:tcPr>
            <w:tcW w:w="3640" w:type="dxa"/>
            <w:vAlign w:val="bottom"/>
          </w:tcPr>
          <w:p>
            <w:pPr>
              <w:ind w:left="100"/>
              <w:spacing w:after="0" w:line="176" w:lineRule="exact"/>
              <w:rPr>
                <w:sz w:val="20"/>
                <w:szCs w:val="20"/>
                <w:color w:val="auto"/>
              </w:rPr>
            </w:pPr>
            <w:r>
              <w:rPr>
                <w:rFonts w:ascii="Arial" w:cs="Arial" w:eastAsia="Arial" w:hAnsi="Arial"/>
                <w:sz w:val="18"/>
                <w:szCs w:val="18"/>
                <w:color w:val="auto"/>
                <w:w w:val="97"/>
              </w:rPr>
              <w:t>Total net periodic pension benefit within other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3640" w:type="dxa"/>
            <w:vAlign w:val="bottom"/>
          </w:tcPr>
          <w:p>
            <w:pPr>
              <w:ind w:left="100"/>
              <w:spacing w:after="0"/>
              <w:rPr>
                <w:sz w:val="20"/>
                <w:szCs w:val="20"/>
                <w:color w:val="auto"/>
              </w:rPr>
            </w:pPr>
            <w:r>
              <w:rPr>
                <w:rFonts w:ascii="Arial" w:cs="Arial" w:eastAsia="Arial" w:hAnsi="Arial"/>
                <w:sz w:val="18"/>
                <w:szCs w:val="18"/>
                <w:color w:val="auto"/>
              </w:rPr>
              <w:t>expense, net</w:t>
            </w:r>
          </w:p>
        </w:tc>
        <w:tc>
          <w:tcPr>
            <w:tcW w:w="1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(4,250)</w:t>
            </w: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(3,217)</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(6,435)</w:t>
            </w:r>
          </w:p>
        </w:tc>
      </w:tr>
      <w:tr>
        <w:trPr>
          <w:trHeight w:val="236"/>
        </w:trPr>
        <w:tc>
          <w:tcPr>
            <w:tcW w:w="3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3640" w:type="dxa"/>
            <w:vAlign w:val="bottom"/>
          </w:tcPr>
          <w:p>
            <w:pPr>
              <w:ind w:left="100"/>
              <w:spacing w:after="0" w:line="203" w:lineRule="exact"/>
              <w:rPr>
                <w:sz w:val="20"/>
                <w:szCs w:val="20"/>
                <w:color w:val="auto"/>
              </w:rPr>
            </w:pPr>
            <w:r>
              <w:rPr>
                <w:rFonts w:ascii="Arial" w:cs="Arial" w:eastAsia="Arial" w:hAnsi="Arial"/>
                <w:sz w:val="18"/>
                <w:szCs w:val="18"/>
                <w:color w:val="auto"/>
              </w:rPr>
              <w:t>Net periodic pension (benefit) cost</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(499)</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(997)</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w:t>
            </w:r>
          </w:p>
        </w:tc>
        <w:tc>
          <w:tcPr>
            <w:tcW w:w="20" w:type="dxa"/>
            <w:vAlign w:val="bottom"/>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479" w:firstLine="427"/>
        <w:spacing w:after="0" w:line="277" w:lineRule="auto"/>
        <w:rPr>
          <w:sz w:val="20"/>
          <w:szCs w:val="20"/>
          <w:color w:val="auto"/>
        </w:rPr>
      </w:pPr>
      <w:r>
        <w:rPr>
          <w:rFonts w:ascii="Arial" w:cs="Arial" w:eastAsia="Arial" w:hAnsi="Arial"/>
          <w:sz w:val="18"/>
          <w:szCs w:val="18"/>
          <w:color w:val="auto"/>
        </w:rPr>
        <w:t>The Company made $8.0 million of contributions during the first six months of fiscal 2022 and expects to make additional contributions to the Plan of up to $8.0 million in the remainder of fiscal 2022.</w:t>
      </w:r>
    </w:p>
    <w:p>
      <w:pPr>
        <w:spacing w:after="0" w:line="166" w:lineRule="exact"/>
        <w:rPr>
          <w:sz w:val="20"/>
          <w:szCs w:val="20"/>
          <w:color w:val="auto"/>
        </w:rPr>
      </w:pPr>
    </w:p>
    <w:p>
      <w:pPr>
        <w:ind w:left="480" w:right="6619" w:hanging="430"/>
        <w:spacing w:after="0" w:line="566" w:lineRule="auto"/>
        <w:tabs>
          <w:tab w:leader="none" w:pos="323"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ind w:left="60" w:right="159" w:firstLine="427"/>
        <w:spacing w:after="0" w:line="272" w:lineRule="auto"/>
        <w:rPr>
          <w:sz w:val="20"/>
          <w:szCs w:val="20"/>
          <w:color w:val="auto"/>
        </w:rPr>
      </w:pPr>
      <w:r>
        <w:rPr>
          <w:rFonts w:ascii="Arial" w:cs="Arial" w:eastAsia="Arial" w:hAnsi="Arial"/>
          <w:sz w:val="17"/>
          <w:szCs w:val="17"/>
          <w:color w:val="auto"/>
        </w:rPr>
        <w:t>In August 2019, the Company’s Board of Directors amended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the second quarter ended January 1, 2022, the Company repurchased 0.9 million shares under this program for a total cost of $35.3 million. As of January 1, 2022, the Company had $423.1 million remaining under its share repurchase authorization.</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ind w:left="60" w:right="99" w:firstLine="432"/>
        <w:spacing w:after="0" w:line="277" w:lineRule="auto"/>
        <w:rPr>
          <w:sz w:val="20"/>
          <w:szCs w:val="20"/>
          <w:color w:val="auto"/>
        </w:rPr>
      </w:pPr>
      <w:r>
        <w:rPr>
          <w:rFonts w:ascii="Arial" w:cs="Arial" w:eastAsia="Arial" w:hAnsi="Arial"/>
          <w:sz w:val="18"/>
          <w:szCs w:val="18"/>
          <w:color w:val="auto"/>
        </w:rPr>
        <w:t>In November 2021, the Company’s Board of Directors approved a dividend of $0.24 per common share and dividend payments of $23.7 million were made in December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9019"/>
          </w:cols>
          <w:pgMar w:left="1440" w:top="544" w:right="1440" w:bottom="1440" w:gutter="0" w:footer="0" w:header="0"/>
        </w:sect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common shares for basic earnings per share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effect of dilutive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common shares for diluted earnings per share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 per share</w:t>
      </w:r>
    </w:p>
    <w:p>
      <w:pPr>
        <w:spacing w:after="0" w:line="23" w:lineRule="exact"/>
        <w:rPr>
          <w:sz w:val="20"/>
          <w:szCs w:val="20"/>
          <w:color w:val="auto"/>
        </w:rPr>
      </w:pPr>
    </w:p>
    <w:p>
      <w:pPr>
        <w:ind w:left="20"/>
        <w:spacing w:after="0" w:line="260" w:lineRule="auto"/>
        <w:rPr>
          <w:sz w:val="20"/>
          <w:szCs w:val="20"/>
          <w:color w:val="auto"/>
        </w:rPr>
      </w:pPr>
      <w:r>
        <w:rPr>
          <w:rFonts w:ascii="Arial" w:cs="Arial" w:eastAsia="Arial" w:hAnsi="Arial"/>
          <w:sz w:val="18"/>
          <w:szCs w:val="18"/>
          <w:color w:val="auto"/>
        </w:rPr>
        <w:t>Stock options excluded from earnings per share calculation due to anti-dilutive effect</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Additional cash flow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10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Second Quarters Ended</w:t>
            </w:r>
          </w:p>
        </w:tc>
        <w:tc>
          <w:tcPr>
            <w:tcW w:w="200" w:type="dxa"/>
            <w:vAlign w:val="bottom"/>
          </w:tcPr>
          <w:p>
            <w:pPr>
              <w:spacing w:after="0"/>
              <w:rPr>
                <w:sz w:val="20"/>
                <w:szCs w:val="20"/>
                <w:color w:val="auto"/>
              </w:rPr>
            </w:pPr>
          </w:p>
        </w:tc>
        <w:tc>
          <w:tcPr>
            <w:tcW w:w="1780" w:type="dxa"/>
            <w:vAlign w:val="bottom"/>
            <w:gridSpan w:val="4"/>
          </w:tcPr>
          <w:p>
            <w:pPr>
              <w:ind w:left="8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1060" w:type="dxa"/>
            <w:vAlign w:val="bottom"/>
            <w:tcBorders>
              <w:top w:val="single" w:sz="8" w:color="auto"/>
            </w:tcBorders>
            <w:gridSpan w:val="3"/>
          </w:tcPr>
          <w:p>
            <w:pPr>
              <w:ind w:left="60"/>
              <w:spacing w:after="0" w:line="198" w:lineRule="exact"/>
              <w:rPr>
                <w:sz w:val="20"/>
                <w:szCs w:val="20"/>
                <w:color w:val="auto"/>
              </w:rPr>
            </w:pPr>
            <w:r>
              <w:rPr>
                <w:rFonts w:ascii="Arial" w:cs="Arial" w:eastAsia="Arial" w:hAnsi="Arial"/>
                <w:sz w:val="18"/>
                <w:szCs w:val="18"/>
                <w:b w:val="1"/>
                <w:bCs w:val="1"/>
                <w:color w:val="auto"/>
              </w:rPr>
              <w:t>January 1,</w:t>
            </w:r>
          </w:p>
        </w:tc>
        <w:tc>
          <w:tcPr>
            <w:tcW w:w="9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January 2,</w:t>
            </w:r>
          </w:p>
        </w:tc>
        <w:tc>
          <w:tcPr>
            <w:tcW w:w="100" w:type="dxa"/>
            <w:vAlign w:val="bottom"/>
          </w:tcPr>
          <w:p>
            <w:pPr>
              <w:spacing w:after="0"/>
              <w:rPr>
                <w:sz w:val="17"/>
                <w:szCs w:val="17"/>
                <w:color w:val="auto"/>
              </w:rPr>
            </w:pPr>
          </w:p>
        </w:tc>
        <w:tc>
          <w:tcPr>
            <w:tcW w:w="1040" w:type="dxa"/>
            <w:vAlign w:val="bottom"/>
            <w:tcBorders>
              <w:top w:val="single" w:sz="8" w:color="auto"/>
            </w:tcBorders>
            <w:gridSpan w:val="3"/>
          </w:tcPr>
          <w:p>
            <w:pPr>
              <w:ind w:left="60"/>
              <w:spacing w:after="0" w:line="198" w:lineRule="exact"/>
              <w:rPr>
                <w:sz w:val="20"/>
                <w:szCs w:val="20"/>
                <w:color w:val="auto"/>
              </w:rPr>
            </w:pPr>
            <w:r>
              <w:rPr>
                <w:rFonts w:ascii="Arial" w:cs="Arial" w:eastAsia="Arial" w:hAnsi="Arial"/>
                <w:sz w:val="18"/>
                <w:szCs w:val="18"/>
                <w:b w:val="1"/>
                <w:bCs w:val="1"/>
                <w:color w:val="auto"/>
              </w:rPr>
              <w:t>January 1,</w:t>
            </w:r>
          </w:p>
        </w:tc>
        <w:tc>
          <w:tcPr>
            <w:tcW w:w="9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January 2,</w:t>
            </w:r>
          </w:p>
        </w:tc>
      </w:tr>
      <w:tr>
        <w:trPr>
          <w:trHeight w:val="241"/>
        </w:trPr>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2021</w:t>
            </w:r>
          </w:p>
        </w:tc>
      </w:tr>
      <w:tr>
        <w:trPr>
          <w:trHeight w:val="234"/>
        </w:trPr>
        <w:tc>
          <w:tcPr>
            <w:tcW w:w="180" w:type="dxa"/>
            <w:vAlign w:val="bottom"/>
          </w:tcPr>
          <w:p>
            <w:pPr>
              <w:spacing w:after="0"/>
              <w:rPr>
                <w:sz w:val="20"/>
                <w:szCs w:val="20"/>
                <w:color w:val="auto"/>
              </w:rPr>
            </w:pPr>
          </w:p>
        </w:tc>
        <w:tc>
          <w:tcPr>
            <w:tcW w:w="3240" w:type="dxa"/>
            <w:vAlign w:val="bottom"/>
            <w:gridSpan w:val="9"/>
          </w:tcPr>
          <w:p>
            <w:pPr>
              <w:jc w:val="right"/>
              <w:spacing w:after="0"/>
              <w:rPr>
                <w:sz w:val="20"/>
                <w:szCs w:val="20"/>
                <w:color w:val="auto"/>
              </w:rPr>
            </w:pPr>
            <w:r>
              <w:rPr>
                <w:rFonts w:ascii="Arial" w:cs="Arial" w:eastAsia="Arial" w:hAnsi="Arial"/>
                <w:sz w:val="18"/>
                <w:szCs w:val="18"/>
                <w:b w:val="1"/>
                <w:bCs w:val="1"/>
                <w:color w:val="auto"/>
              </w:rPr>
              <w:t>(Thousands, except per share data)</w:t>
            </w:r>
          </w:p>
        </w:tc>
        <w:tc>
          <w:tcPr>
            <w:tcW w:w="660" w:type="dxa"/>
            <w:vAlign w:val="bottom"/>
          </w:tcPr>
          <w:p>
            <w:pPr>
              <w:spacing w:after="0"/>
              <w:rPr>
                <w:sz w:val="20"/>
                <w:szCs w:val="20"/>
                <w:color w:val="auto"/>
              </w:rPr>
            </w:pPr>
          </w:p>
        </w:tc>
      </w:tr>
      <w:tr>
        <w:trPr>
          <w:trHeight w:val="40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150,821</w:t>
            </w:r>
          </w:p>
        </w:tc>
        <w:tc>
          <w:tcPr>
            <w:tcW w:w="14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19,163</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262,139</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614"/>
        </w:trPr>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99,032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98,937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99,340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98,917</w:t>
            </w:r>
          </w:p>
        </w:tc>
      </w:tr>
      <w:tr>
        <w:trPr>
          <w:trHeight w:val="237"/>
        </w:trPr>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100,286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99,932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1,237</w:t>
            </w:r>
          </w:p>
        </w:tc>
      </w:tr>
    </w:tbl>
    <w:p>
      <w:pPr>
        <w:spacing w:after="0" w:line="847" w:lineRule="exact"/>
        <w:rPr>
          <w:sz w:val="20"/>
          <w:szCs w:val="20"/>
          <w:color w:val="auto"/>
        </w:rPr>
      </w:pPr>
    </w:p>
    <w:p>
      <w:pPr>
        <w:sectPr>
          <w:pgSz w:w="11900" w:h="16838" w:orient="portrait"/>
          <w:cols w:equalWidth="0" w:num="2">
            <w:col w:w="4760" w:space="140"/>
            <w:col w:w="4119"/>
          </w:cols>
          <w:pgMar w:left="1440" w:top="544" w:right="1440" w:bottom="1440" w:gutter="0" w:footer="0" w:header="0"/>
          <w:type w:val="continuous"/>
        </w:sectPr>
      </w:pPr>
    </w:p>
    <w:p>
      <w:pPr>
        <w:spacing w:after="0" w:line="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9"/>
              </w:rPr>
              <w:t>January 2,</w:t>
            </w:r>
          </w:p>
        </w:tc>
      </w:tr>
      <w:tr>
        <w:trPr>
          <w:trHeight w:val="241"/>
        </w:trPr>
        <w:tc>
          <w:tcPr>
            <w:tcW w:w="4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r>
      <w:tr>
        <w:trPr>
          <w:trHeight w:val="203"/>
        </w:trPr>
        <w:tc>
          <w:tcPr>
            <w:tcW w:w="4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right"/>
              <w:ind w:right="530"/>
              <w:spacing w:after="0" w:line="202" w:lineRule="exact"/>
              <w:rPr>
                <w:sz w:val="20"/>
                <w:szCs w:val="20"/>
                <w:color w:val="auto"/>
              </w:rPr>
            </w:pPr>
            <w:r>
              <w:rPr>
                <w:rFonts w:ascii="Arial" w:cs="Arial" w:eastAsia="Arial" w:hAnsi="Arial"/>
                <w:sz w:val="18"/>
                <w:szCs w:val="18"/>
                <w:b w:val="1"/>
                <w:bCs w:val="1"/>
                <w:color w:val="auto"/>
              </w:rPr>
              <w:t>(Thousands)</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Capital expenditures incurred but not paid</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4,359</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Unsettled share repurchases</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Interest</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49,192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50,507</w:t>
            </w: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net payments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51,835</w:t>
            </w:r>
          </w:p>
        </w:tc>
      </w:tr>
    </w:tbl>
    <w:p>
      <w:pPr>
        <w:spacing w:after="0" w:line="202" w:lineRule="exact"/>
        <w:rPr>
          <w:sz w:val="20"/>
          <w:szCs w:val="20"/>
          <w:color w:val="auto"/>
        </w:rPr>
      </w:pPr>
    </w:p>
    <w:p>
      <w:pPr>
        <w:ind w:left="60" w:right="239" w:firstLine="432"/>
        <w:spacing w:after="0" w:line="263" w:lineRule="auto"/>
        <w:rPr>
          <w:sz w:val="20"/>
          <w:szCs w:val="20"/>
          <w:color w:val="auto"/>
        </w:rPr>
      </w:pPr>
      <w:r>
        <w:rPr>
          <w:rFonts w:ascii="Arial" w:cs="Arial" w:eastAsia="Arial" w:hAnsi="Arial"/>
          <w:sz w:val="18"/>
          <w:szCs w:val="18"/>
          <w:color w:val="auto"/>
        </w:rPr>
        <w:t>Included in cash and cash equivalents as of January 1, 2022, and July 3, 2021, was $2.8 million and $3.8 million, respectively, of cash equivalents, which was primarily comprised of investment grade money market funds and overnight time deposits.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left="60" w:right="139" w:firstLine="427"/>
        <w:spacing w:after="0" w:line="301" w:lineRule="auto"/>
        <w:rPr>
          <w:sz w:val="20"/>
          <w:szCs w:val="20"/>
          <w:color w:val="auto"/>
        </w:rPr>
      </w:pPr>
      <w:r>
        <w:rPr>
          <w:rFonts w:ascii="Arial" w:cs="Arial" w:eastAsia="Arial" w:hAnsi="Arial"/>
          <w:sz w:val="16"/>
          <w:szCs w:val="16"/>
          <w:color w:val="auto"/>
        </w:rPr>
        <w:t>Electronic Components (“EC”) and Farnell (“Farnell”) are the Company’s reportable segments (“operating groups”). EC markets and sells (i) semiconductors, (ii) interconnect, passive and electromechanical devices, and (iii) integrated components, to a diverse customer base serving many end-markets. Farnell distributes electronic components and related products to the electronic system design community utilizing multi-channel sales and marketing resources.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Second Quarters Ended</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January 1,</w:t>
            </w:r>
          </w:p>
        </w:tc>
        <w:tc>
          <w:tcPr>
            <w:tcW w:w="20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January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January 1,</w:t>
            </w:r>
          </w:p>
        </w:tc>
        <w:tc>
          <w:tcPr>
            <w:tcW w:w="20" w:type="dxa"/>
            <w:vAlign w:val="bottom"/>
          </w:tcPr>
          <w:p>
            <w:pPr>
              <w:spacing w:after="0"/>
              <w:rPr>
                <w:sz w:val="17"/>
                <w:szCs w:val="17"/>
                <w:color w:val="auto"/>
              </w:rPr>
            </w:pPr>
          </w:p>
        </w:tc>
        <w:tc>
          <w:tcPr>
            <w:tcW w:w="9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January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4"/>
          </w:tcPr>
          <w:p>
            <w:pPr>
              <w:jc w:val="right"/>
              <w:ind w:right="49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Electronic Components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5,424,349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4,342,386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10,553,846</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8,724,535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440,868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325,786</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896,066</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5,865,217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4,668,172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11,449,912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9,391,232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Electronic Components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188,904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103,922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351,366</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249,093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118,514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461,147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Restructuring, integration and other expenses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(38,369)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Amortization of acquired intangible assets and other</w:t>
            </w: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(30,592)</w:t>
            </w:r>
          </w:p>
        </w:tc>
        <w:tc>
          <w:tcPr>
            <w:tcW w:w="0" w:type="dxa"/>
            <w:vAlign w:val="bottom"/>
          </w:tcPr>
          <w:p>
            <w:pPr>
              <w:spacing w:after="0"/>
              <w:rPr>
                <w:sz w:val="1"/>
                <w:szCs w:val="1"/>
                <w:color w:val="auto"/>
              </w:rPr>
            </w:pPr>
          </w:p>
        </w:tc>
      </w:tr>
      <w:tr>
        <w:trPr>
          <w:trHeight w:val="243"/>
        </w:trPr>
        <w:tc>
          <w:tcPr>
            <w:tcW w:w="4140" w:type="dxa"/>
            <w:vAlign w:val="bottom"/>
            <w:gridSpan w:val="2"/>
          </w:tcPr>
          <w:p>
            <w:pPr>
              <w:spacing w:after="0" w:line="203" w:lineRule="exact"/>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211,672</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57,221</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379,915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75,723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Sales, by geographic area:</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8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1,391,567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1,101,450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2,650,377</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2,307,145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8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1,840,789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1,346,347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3,588,368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2,827,020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80"/>
              <w:spacing w:after="0" w:line="216" w:lineRule="exact"/>
              <w:rPr>
                <w:sz w:val="20"/>
                <w:szCs w:val="20"/>
                <w:color w:val="auto"/>
              </w:rPr>
            </w:pPr>
            <w:r>
              <w:rPr>
                <w:rFonts w:ascii="Arial" w:cs="Arial" w:eastAsia="Arial" w:hAnsi="Arial"/>
                <w:sz w:val="17"/>
                <w:szCs w:val="17"/>
                <w:color w:val="auto"/>
              </w:rPr>
              <w:t xml:space="preserve">Asia/Pacific </w:t>
            </w:r>
            <w:r>
              <w:rPr>
                <w:rFonts w:ascii="Arial" w:cs="Arial" w:eastAsia="Arial" w:hAnsi="Arial"/>
                <w:sz w:val="25"/>
                <w:szCs w:val="25"/>
                <w:color w:val="auto"/>
                <w:vertAlign w:val="superscript"/>
              </w:rPr>
              <w:t>(3)</w:t>
            </w: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2,632,861</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2,220,375</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5,211,167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4,257,067</w:t>
            </w: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line="203" w:lineRule="exact"/>
              <w:rPr>
                <w:sz w:val="20"/>
                <w:szCs w:val="20"/>
                <w:color w:val="auto"/>
              </w:rPr>
            </w:pPr>
            <w:r>
              <w:rPr>
                <w:rFonts w:ascii="Arial" w:cs="Arial" w:eastAsia="Arial" w:hAnsi="Arial"/>
                <w:sz w:val="18"/>
                <w:szCs w:val="18"/>
                <w:color w:val="auto"/>
              </w:rPr>
              <w:t>Sales</w:t>
            </w:r>
          </w:p>
        </w:tc>
        <w:tc>
          <w:tcPr>
            <w:tcW w:w="3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5,865,217</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4,668,172</w:t>
            </w: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11,449,912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9,391,232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7" w:lineRule="exact"/>
        <w:rPr>
          <w:sz w:val="20"/>
          <w:szCs w:val="20"/>
          <w:color w:val="auto"/>
        </w:rPr>
      </w:pPr>
    </w:p>
    <w:p>
      <w:pPr>
        <w:jc w:val="both"/>
        <w:ind w:left="380" w:right="139" w:hanging="330"/>
        <w:spacing w:after="0" w:line="219" w:lineRule="auto"/>
        <w:tabs>
          <w:tab w:leader="none" w:pos="38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Includes sales from the United States of $1.29 billion and $1.03 billion for the second quarters ended January 1, 2022, and January 2, 2021, respectively. Includes sales from the United States of $2.45 billion and $2.16 billion for the first six months of fiscal 2022 and 2021, respectively.</w:t>
      </w:r>
    </w:p>
    <w:p>
      <w:pPr>
        <w:spacing w:after="0" w:line="202" w:lineRule="exact"/>
        <w:rPr>
          <w:rFonts w:ascii="Arial" w:cs="Arial" w:eastAsia="Arial" w:hAnsi="Arial"/>
          <w:sz w:val="27"/>
          <w:szCs w:val="27"/>
          <w:color w:val="auto"/>
          <w:vertAlign w:val="superscript"/>
        </w:rPr>
      </w:pPr>
    </w:p>
    <w:p>
      <w:pPr>
        <w:ind w:left="380" w:right="239" w:hanging="330"/>
        <w:spacing w:after="0" w:line="258"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Includes sales from Germany and Belgium of $740.0 million and $330.7 million, respectively, for the second quarter ended January 1, 2022; and $1.44 billion and $638.3 million, respectively, for the first six months of fiscal 2022. Includes sales from Germany and Belgium of $520.8 million and $255.0 million, respectively, for the second quarter ended January 2, 2021; and $1.10 billion and $549.4 million, respectively, for the first six months of fiscal 2021.</w:t>
      </w:r>
    </w:p>
    <w:p>
      <w:pPr>
        <w:spacing w:after="0" w:line="189" w:lineRule="exact"/>
        <w:rPr>
          <w:rFonts w:ascii="Arial" w:cs="Arial" w:eastAsia="Arial" w:hAnsi="Arial"/>
          <w:sz w:val="24"/>
          <w:szCs w:val="24"/>
          <w:color w:val="auto"/>
          <w:vertAlign w:val="superscript"/>
        </w:rPr>
      </w:pPr>
    </w:p>
    <w:p>
      <w:pPr>
        <w:ind w:left="380" w:right="99" w:hanging="330"/>
        <w:spacing w:after="0" w:line="263"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Includes sales from China (including Hong Kong), Taiwan and Singapore of $863.0 million, $1.13 billion and $323.5 million, respectively, for the second quarter ended January 1, 2022; and $1.69 billion, $2.33 billion and $587.5 million, respectively, for the first six months of fiscal 2022. Includes sales from China (including Hong Kong), Taiwan and Singapore of $666.0 million, $1.07 billion and $252.6 million, respectively, for the second quarter ended January 2, 2021; and $1.30 billion, $1.99 billion and $524.6 million, respectively, for the first six months of fiscal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tbl>
      <w:tblPr>
        <w:tblLayout w:type="fixed"/>
        <w:tblInd w:w="100" w:type="dxa"/>
        <w:tblCellMar>
          <w:top w:w="0" w:type="dxa"/>
          <w:left w:w="0" w:type="dxa"/>
          <w:bottom w:w="0" w:type="dxa"/>
          <w:right w:w="0" w:type="dxa"/>
        </w:tblCellMar>
      </w:tblPr>
      <w:tr>
        <w:trPr>
          <w:trHeight w:val="207"/>
        </w:trPr>
        <w:tc>
          <w:tcPr>
            <w:tcW w:w="6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817"/>
        </w:trPr>
        <w:tc>
          <w:tcPr>
            <w:tcW w:w="1260" w:type="dxa"/>
            <w:vAlign w:val="bottom"/>
            <w:tcBorders>
              <w:top w:val="single" w:sz="8" w:color="0000EE"/>
            </w:tcBorders>
          </w:tcPr>
          <w:p>
            <w:pPr>
              <w:spacing w:after="0"/>
              <w:rPr>
                <w:sz w:val="24"/>
                <w:szCs w:val="24"/>
                <w:color w:val="auto"/>
              </w:rPr>
            </w:pPr>
          </w:p>
        </w:tc>
        <w:tc>
          <w:tcPr>
            <w:tcW w:w="4920" w:type="dxa"/>
            <w:vAlign w:val="bottom"/>
          </w:tcPr>
          <w:p>
            <w:pPr>
              <w:ind w:left="1780"/>
              <w:spacing w:after="0"/>
              <w:rPr>
                <w:sz w:val="20"/>
                <w:szCs w:val="20"/>
                <w:color w:val="auto"/>
              </w:rPr>
            </w:pPr>
            <w:r>
              <w:rPr>
                <w:rFonts w:ascii="Arial" w:cs="Arial" w:eastAsia="Arial" w:hAnsi="Arial"/>
                <w:sz w:val="18"/>
                <w:szCs w:val="18"/>
                <w:b w:val="1"/>
                <w:bCs w:val="1"/>
                <w:color w:val="auto"/>
              </w:rPr>
              <w:t>AVNET, INC. AND SUBSIDIARIES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1260" w:type="dxa"/>
            <w:vAlign w:val="bottom"/>
          </w:tcPr>
          <w:p>
            <w:pPr>
              <w:spacing w:after="0"/>
              <w:rPr>
                <w:sz w:val="22"/>
                <w:szCs w:val="22"/>
                <w:color w:val="auto"/>
              </w:rPr>
            </w:pPr>
          </w:p>
        </w:tc>
        <w:tc>
          <w:tcPr>
            <w:tcW w:w="6380" w:type="dxa"/>
            <w:vAlign w:val="bottom"/>
            <w:gridSpan w:val="4"/>
          </w:tcPr>
          <w:p>
            <w:pPr>
              <w:jc w:val="right"/>
              <w:ind w:right="211"/>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41"/>
        </w:trPr>
        <w:tc>
          <w:tcPr>
            <w:tcW w:w="12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w w:val="94"/>
              </w:rPr>
              <w:t>January 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w:t>
            </w:r>
          </w:p>
        </w:tc>
      </w:tr>
      <w:tr>
        <w:trPr>
          <w:trHeight w:val="241"/>
        </w:trPr>
        <w:tc>
          <w:tcPr>
            <w:tcW w:w="12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r>
      <w:tr>
        <w:trPr>
          <w:trHeight w:val="203"/>
        </w:trPr>
        <w:tc>
          <w:tcPr>
            <w:tcW w:w="12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500"/>
              <w:spacing w:after="0"/>
              <w:rPr>
                <w:sz w:val="20"/>
                <w:szCs w:val="20"/>
                <w:color w:val="auto"/>
              </w:rPr>
            </w:pPr>
            <w:r>
              <w:rPr>
                <w:rFonts w:ascii="Arial" w:cs="Arial" w:eastAsia="Arial" w:hAnsi="Arial"/>
                <w:sz w:val="17"/>
                <w:szCs w:val="17"/>
                <w:b w:val="1"/>
                <w:bCs w:val="1"/>
                <w:color w:val="auto"/>
                <w:w w:val="72"/>
              </w:rPr>
              <w:t>(Thousands)</w:t>
            </w:r>
          </w:p>
        </w:tc>
        <w:tc>
          <w:tcPr>
            <w:tcW w:w="8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130,397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146,042</w:t>
            </w:r>
          </w:p>
        </w:tc>
        <w:tc>
          <w:tcPr>
            <w:tcW w:w="180" w:type="dxa"/>
            <w:vAlign w:val="bottom"/>
          </w:tcPr>
          <w:p>
            <w:pPr>
              <w:spacing w:after="0"/>
              <w:rPr>
                <w:sz w:val="18"/>
                <w:szCs w:val="18"/>
                <w:color w:val="auto"/>
              </w:rPr>
            </w:pPr>
          </w:p>
        </w:tc>
      </w:tr>
      <w:tr>
        <w:trPr>
          <w:trHeight w:val="216"/>
        </w:trPr>
        <w:tc>
          <w:tcPr>
            <w:tcW w:w="61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185,753</w:t>
            </w:r>
          </w:p>
        </w:tc>
        <w:tc>
          <w:tcPr>
            <w:tcW w:w="180" w:type="dxa"/>
            <w:vAlign w:val="bottom"/>
            <w:shd w:val="clear" w:color="auto" w:fill="CCEEFF"/>
          </w:tcPr>
          <w:p>
            <w:pPr>
              <w:spacing w:after="0"/>
              <w:rPr>
                <w:sz w:val="18"/>
                <w:szCs w:val="18"/>
                <w:color w:val="auto"/>
              </w:rPr>
            </w:pPr>
          </w:p>
        </w:tc>
      </w:tr>
      <w:tr>
        <w:trPr>
          <w:trHeight w:val="223"/>
        </w:trPr>
        <w:tc>
          <w:tcPr>
            <w:tcW w:w="6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Asia/Pacific</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32,463</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36,657</w:t>
            </w:r>
          </w:p>
        </w:tc>
        <w:tc>
          <w:tcPr>
            <w:tcW w:w="180" w:type="dxa"/>
            <w:vAlign w:val="bottom"/>
            <w:tcBorders>
              <w:bottom w:val="single" w:sz="8" w:color="CCEEFF"/>
            </w:tcBorders>
          </w:tcPr>
          <w:p>
            <w:pPr>
              <w:spacing w:after="0"/>
              <w:rPr>
                <w:sz w:val="19"/>
                <w:szCs w:val="19"/>
                <w:color w:val="auto"/>
              </w:rPr>
            </w:pPr>
          </w:p>
        </w:tc>
      </w:tr>
      <w:tr>
        <w:trPr>
          <w:trHeight w:val="216"/>
        </w:trPr>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338,199</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368,452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137160</wp:posOffset>
            </wp:positionV>
            <wp:extent cx="141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7" w:lineRule="exact"/>
        <w:rPr>
          <w:sz w:val="20"/>
          <w:szCs w:val="20"/>
          <w:color w:val="auto"/>
        </w:rPr>
      </w:pPr>
    </w:p>
    <w:p>
      <w:pPr>
        <w:ind w:left="420" w:right="340" w:hanging="330"/>
        <w:spacing w:after="0" w:line="207" w:lineRule="auto"/>
        <w:tabs>
          <w:tab w:leader="none" w:pos="42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$127.1 million and $142.7 million as of January 1, 2022, and July 3, 2021, respectively, in the United States.</w:t>
      </w:r>
    </w:p>
    <w:p>
      <w:pPr>
        <w:spacing w:after="0" w:line="201" w:lineRule="exact"/>
        <w:rPr>
          <w:rFonts w:ascii="Arial" w:cs="Arial" w:eastAsia="Arial" w:hAnsi="Arial"/>
          <w:sz w:val="27"/>
          <w:szCs w:val="27"/>
          <w:color w:val="auto"/>
          <w:vertAlign w:val="superscript"/>
        </w:rPr>
      </w:pPr>
    </w:p>
    <w:p>
      <w:pPr>
        <w:ind w:left="420" w:right="180" w:hanging="330"/>
        <w:spacing w:after="0" w:line="219" w:lineRule="auto"/>
        <w:tabs>
          <w:tab w:leader="none" w:pos="42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$70.4 million, $82.5 million and $18.9 million in Germany, the United Kingdom and Belgium, respectively, as of January 1, 2022; and $77.9 million, $83.5 million and $20.9 million in Germany, the United Kingdom and Belgium, respectively, as of July 3, 2021.</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14. Restructuring expenses</w:t>
      </w:r>
    </w:p>
    <w:p>
      <w:pPr>
        <w:spacing w:after="0" w:line="229" w:lineRule="exact"/>
        <w:rPr>
          <w:sz w:val="20"/>
          <w:szCs w:val="20"/>
          <w:color w:val="auto"/>
        </w:rPr>
      </w:pPr>
    </w:p>
    <w:p>
      <w:pPr>
        <w:ind w:left="100" w:right="340" w:firstLine="432"/>
        <w:spacing w:after="0" w:line="259" w:lineRule="auto"/>
        <w:rPr>
          <w:sz w:val="20"/>
          <w:szCs w:val="20"/>
          <w:color w:val="auto"/>
        </w:rPr>
      </w:pPr>
      <w:r>
        <w:rPr>
          <w:rFonts w:ascii="Arial" w:cs="Arial" w:eastAsia="Arial" w:hAnsi="Arial"/>
          <w:sz w:val="18"/>
          <w:szCs w:val="18"/>
          <w:color w:val="auto"/>
        </w:rPr>
        <w:t>During fiscal 2021 and prior, the Company incurred restructuring expenses related to various restructuring actions intended to achieve planned synergies from acquired businesses and to reduce future operating expenses. The following table presents the activity during the first six months of fiscal 2022 related to the remaining restructuring liabilities established during fiscal 2021 and prior: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Facility</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 Contract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Severance</w:t>
            </w:r>
          </w:p>
        </w:tc>
        <w:tc>
          <w:tcPr>
            <w:tcW w:w="14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Exit Costs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3"/>
        </w:trPr>
        <w:tc>
          <w:tcPr>
            <w:tcW w:w="4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88"/>
              </w:rPr>
              <w:t>(Thousands)</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39,962</w:t>
            </w: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(14,720)</w:t>
            </w: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(2,032)</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(16,752)</w:t>
            </w:r>
          </w:p>
        </w:tc>
      </w:tr>
      <w:tr>
        <w:trPr>
          <w:trHeight w:val="216"/>
        </w:trPr>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estimates, net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r>
      <w:tr>
        <w:trPr>
          <w:trHeight w:val="223"/>
        </w:trPr>
        <w:tc>
          <w:tcPr>
            <w:tcW w:w="4360" w:type="dxa"/>
            <w:vAlign w:val="bottom"/>
          </w:tcPr>
          <w:p>
            <w:pPr>
              <w:ind w:left="100"/>
              <w:spacing w:after="0"/>
              <w:rPr>
                <w:sz w:val="20"/>
                <w:szCs w:val="20"/>
                <w:color w:val="auto"/>
              </w:rPr>
            </w:pPr>
            <w:r>
              <w:rPr>
                <w:rFonts w:ascii="Arial" w:cs="Arial" w:eastAsia="Arial" w:hAnsi="Arial"/>
                <w:sz w:val="18"/>
                <w:szCs w:val="18"/>
                <w:color w:val="auto"/>
              </w:rPr>
              <w:t>Other, principally foreign currency translation</w:t>
            </w:r>
          </w:p>
        </w:tc>
        <w:tc>
          <w:tcPr>
            <w:tcW w:w="2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19,653</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expects the majority of the remaining amounts to be paid by the end of fiscal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80"/>
          </w:cols>
          <w:pgMar w:left="1400" w:top="527" w:right="1419"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84"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July 3, 2021, could affect the Company’s future results of operations, and could cause those results or other outcomes to differ materially from those expressed or implied in the forward-looking statements: the scope and duration of the COVID-19 pandemic and its impact on global economic systems, access to financial markets, and the Company’s employees, operations, customers, and supply chain; competitive pressures among distributors of electronic components; an industry down-cycle in semiconductors; relationships with key suppliers and allocations of products by suppliers; risks relating to the Company’s international sales and operations, including risks relating to the ability to repatriate cash, foreign currency fluctuations, duties and taxes,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natural and weather-related disasters, pandemics and health related crisis, or warehouse modernization and relocation efforts; risks related to cyber-attacks, other privacy and security incidents, and information systems failures, including related to current or future implementations, integrations or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geopolitical events; and legislative or regulatory changes affecting the Company’s businesses.</w:t>
      </w:r>
    </w:p>
    <w:p>
      <w:pPr>
        <w:spacing w:after="0" w:line="178" w:lineRule="exact"/>
        <w:rPr>
          <w:sz w:val="20"/>
          <w:szCs w:val="20"/>
          <w:color w:val="auto"/>
        </w:rPr>
      </w:pPr>
    </w:p>
    <w:p>
      <w:pPr>
        <w:ind w:left="60" w:right="279" w:firstLine="405"/>
        <w:spacing w:after="0" w:line="263"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119" w:firstLine="432"/>
        <w:spacing w:after="0" w:line="253"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Avnet and the significant factors that influenced the Company’s performance during the quarter ended January 1, 2022, this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(“MD&amp;A”) should be read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 including the related notes, appearing in Item 1 of this Quarterly Report on Form 10-Q, as well as the Company’s Annual Report on Form 10-K for the fiscal year ended July 3, 2021. The Company operates on a “52/53 week” fiscal year and fiscal 2022 contains 52 weeks compared to 53 weeks in fiscal 2021. As a result, the first six months of fiscal 2022 contained 26 weeks and the first six months of fiscal 2021 contained 27 weeks. This extra week in the first six months of fiscal 2021, which occurred in the first quarter of fiscal 2021, impacts the year-over-year analysis in this MD&amp;A.</w:t>
      </w:r>
    </w:p>
    <w:p>
      <w:pPr>
        <w:spacing w:after="0" w:line="196" w:lineRule="exact"/>
        <w:rPr>
          <w:sz w:val="20"/>
          <w:szCs w:val="20"/>
          <w:color w:val="auto"/>
        </w:rPr>
      </w:pPr>
    </w:p>
    <w:p>
      <w:pPr>
        <w:ind w:left="60" w:right="139" w:firstLine="432"/>
        <w:spacing w:after="0" w:line="255" w:lineRule="auto"/>
        <w:rPr>
          <w:sz w:val="20"/>
          <w:szCs w:val="20"/>
          <w:color w:val="auto"/>
        </w:rPr>
      </w:pPr>
      <w:r>
        <w:rPr>
          <w:rFonts w:ascii="Arial" w:cs="Arial" w:eastAsia="Arial" w:hAnsi="Arial"/>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39" w:firstLine="432"/>
        <w:spacing w:after="0" w:line="342" w:lineRule="auto"/>
        <w:rPr>
          <w:sz w:val="20"/>
          <w:szCs w:val="20"/>
          <w:color w:val="auto"/>
        </w:rPr>
      </w:pPr>
      <w:r>
        <w:rPr>
          <w:rFonts w:ascii="Arial" w:cs="Arial" w:eastAsia="Arial" w:hAnsi="Arial"/>
          <w:sz w:val="16"/>
          <w:szCs w:val="16"/>
          <w:color w:val="auto"/>
        </w:rPr>
        <w:t>In addition to disclosing financial results that are determined in accordance with generally accepted accounting principles in the U.S. (“GAAP”), the Company also discloses certain non-GAAP financial information, including:</w:t>
      </w:r>
    </w:p>
    <w:p>
      <w:pPr>
        <w:spacing w:after="0" w:line="124" w:lineRule="exact"/>
        <w:rPr>
          <w:sz w:val="20"/>
          <w:szCs w:val="20"/>
          <w:color w:val="auto"/>
        </w:rPr>
      </w:pPr>
    </w:p>
    <w:p>
      <w:pPr>
        <w:ind w:left="720" w:right="159" w:hanging="319"/>
        <w:spacing w:after="0" w:line="254"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2021 sales are adjusted for the estimated impact of the extra week of sales in the first quarter of fiscal 2021 due to it being a 14-week quarter, as discussed above. Additionally, the Company has adjusted sales for the impact of the termination of the Texas Instruments (“TI”) distribution agreement between fiscal years. Sales taking into account these adjustments are referred to as “organic sales.”</w:t>
      </w:r>
    </w:p>
    <w:p>
      <w:pPr>
        <w:spacing w:after="0" w:line="194" w:lineRule="exact"/>
        <w:rPr>
          <w:rFonts w:ascii="Arial" w:cs="Arial" w:eastAsia="Arial" w:hAnsi="Arial"/>
          <w:sz w:val="18"/>
          <w:szCs w:val="18"/>
          <w:color w:val="auto"/>
        </w:rPr>
      </w:pPr>
    </w:p>
    <w:p>
      <w:pPr>
        <w:ind w:left="720" w:right="159" w:hanging="319"/>
        <w:spacing w:after="0" w:line="26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 this MD&amp;A), and (ii) amortization of acquired intangible assets is referred to as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income.”</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Second Quarters Ended</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w w:val="97"/>
              </w:rPr>
              <w:t>Six Months Ended</w:t>
            </w:r>
          </w:p>
        </w:tc>
      </w:tr>
      <w:tr>
        <w:trPr>
          <w:trHeight w:val="198"/>
        </w:trPr>
        <w:tc>
          <w:tcPr>
            <w:tcW w:w="4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January 1,</w:t>
            </w:r>
          </w:p>
        </w:tc>
        <w:tc>
          <w:tcPr>
            <w:tcW w:w="180" w:type="dxa"/>
            <w:vAlign w:val="bottom"/>
          </w:tcPr>
          <w:p>
            <w:pPr>
              <w:spacing w:after="0"/>
              <w:rPr>
                <w:sz w:val="17"/>
                <w:szCs w:val="17"/>
                <w:color w:val="auto"/>
              </w:rPr>
            </w:pPr>
          </w:p>
        </w:tc>
        <w:tc>
          <w:tcPr>
            <w:tcW w:w="9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January 2,</w:t>
            </w:r>
          </w:p>
        </w:tc>
        <w:tc>
          <w:tcPr>
            <w:tcW w:w="180" w:type="dxa"/>
            <w:vAlign w:val="bottom"/>
          </w:tcPr>
          <w:p>
            <w:pPr>
              <w:spacing w:after="0"/>
              <w:rPr>
                <w:sz w:val="17"/>
                <w:szCs w:val="17"/>
                <w:color w:val="auto"/>
              </w:rPr>
            </w:pPr>
          </w:p>
        </w:tc>
        <w:tc>
          <w:tcPr>
            <w:tcW w:w="10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January 1,</w:t>
            </w:r>
          </w:p>
        </w:tc>
        <w:tc>
          <w:tcPr>
            <w:tcW w:w="20" w:type="dxa"/>
            <w:vAlign w:val="bottom"/>
          </w:tcPr>
          <w:p>
            <w:pPr>
              <w:spacing w:after="0"/>
              <w:rPr>
                <w:sz w:val="17"/>
                <w:szCs w:val="17"/>
                <w:color w:val="auto"/>
              </w:rPr>
            </w:pPr>
          </w:p>
        </w:tc>
        <w:tc>
          <w:tcPr>
            <w:tcW w:w="9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January 2,</w:t>
            </w:r>
          </w:p>
        </w:tc>
      </w:tr>
      <w:tr>
        <w:trPr>
          <w:trHeight w:val="241"/>
        </w:trPr>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r>
      <w:tr>
        <w:trPr>
          <w:trHeight w:val="203"/>
        </w:trPr>
        <w:tc>
          <w:tcPr>
            <w:tcW w:w="4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370"/>
              <w:spacing w:after="0" w:line="202" w:lineRule="exact"/>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211,672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57,221</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379,915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75,723</w:t>
            </w: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38,369</w:t>
            </w:r>
          </w:p>
        </w:tc>
      </w:tr>
      <w:tr>
        <w:trPr>
          <w:trHeight w:val="236"/>
        </w:trPr>
        <w:tc>
          <w:tcPr>
            <w:tcW w:w="4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Amortization of acquired intangible assets and other</w:t>
            </w:r>
          </w:p>
        </w:tc>
        <w:tc>
          <w:tcPr>
            <w:tcW w:w="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30,592</w:t>
            </w:r>
          </w:p>
        </w:tc>
      </w:tr>
      <w:tr>
        <w:trPr>
          <w:trHeight w:val="203"/>
        </w:trPr>
        <w:tc>
          <w:tcPr>
            <w:tcW w:w="4300" w:type="dxa"/>
            <w:vAlign w:val="bottom"/>
          </w:tcPr>
          <w:p>
            <w:pPr>
              <w:spacing w:after="0" w:line="203" w:lineRule="exact"/>
              <w:rPr>
                <w:sz w:val="20"/>
                <w:szCs w:val="20"/>
                <w:color w:val="auto"/>
              </w:rPr>
            </w:pPr>
            <w:r>
              <w:rPr>
                <w:rFonts w:ascii="Arial" w:cs="Arial" w:eastAsia="Arial" w:hAnsi="Arial"/>
                <w:sz w:val="18"/>
                <w:szCs w:val="18"/>
                <w:color w:val="auto"/>
              </w:rPr>
              <w:t>Adjusted operating income</w:t>
            </w:r>
          </w:p>
        </w:tc>
        <w:tc>
          <w:tcPr>
            <w:tcW w:w="4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215,468</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79,586</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394,222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144,684</w:t>
            </w:r>
          </w:p>
        </w:tc>
      </w:tr>
      <w:tr>
        <w:trPr>
          <w:trHeight w:val="20"/>
        </w:trPr>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432"/>
        <w:spacing w:after="0" w:line="293" w:lineRule="auto"/>
        <w:rPr>
          <w:sz w:val="20"/>
          <w:szCs w:val="20"/>
          <w:color w:val="auto"/>
        </w:rPr>
      </w:pPr>
      <w:r>
        <w:rPr>
          <w:rFonts w:ascii="Arial" w:cs="Arial" w:eastAsia="Arial" w:hAnsi="Arial"/>
          <w:sz w:val="16"/>
          <w:szCs w:val="16"/>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left="60" w:right="99" w:firstLine="432"/>
        <w:spacing w:after="0" w:line="272" w:lineRule="auto"/>
        <w:rPr>
          <w:sz w:val="20"/>
          <w:szCs w:val="20"/>
          <w:color w:val="auto"/>
        </w:rPr>
      </w:pPr>
      <w:r>
        <w:rPr>
          <w:rFonts w:ascii="Arial" w:cs="Arial" w:eastAsia="Arial" w:hAnsi="Arial"/>
          <w:sz w:val="17"/>
          <w:szCs w:val="17"/>
          <w:color w:val="auto"/>
        </w:rPr>
        <w:t>Avnet, Inc. and its consolidated subsidiaries (collectively, the “Company” or “Avnet”), is a leading global technology distributor and solutions provider. Avnet has served customers’ evolving needs for an entire century. Avnet supports customers at each stage of a product’s lifecycle, from idea to design and from prototype to production. Avnet’s position at the center of the technology value chain enables it to accelerate the design and supply stages of product development so customers can realize revenue faster. Decade after decade, Avnet helps its customers and suppliers around the world realize the transformative possibilities of technology. Founded in 1921, the Company works with suppliers in every major technology segment to serve customers in more than 140 countries.</w:t>
      </w:r>
    </w:p>
    <w:p>
      <w:pPr>
        <w:spacing w:after="0" w:line="177" w:lineRule="exact"/>
        <w:rPr>
          <w:sz w:val="20"/>
          <w:szCs w:val="20"/>
          <w:color w:val="auto"/>
        </w:rPr>
      </w:pPr>
    </w:p>
    <w:p>
      <w:pPr>
        <w:ind w:left="60" w:right="239" w:firstLine="432"/>
        <w:spacing w:after="0" w:line="259" w:lineRule="auto"/>
        <w:rPr>
          <w:sz w:val="20"/>
          <w:szCs w:val="20"/>
          <w:color w:val="auto"/>
        </w:rPr>
      </w:pPr>
      <w:r>
        <w:rPr>
          <w:rFonts w:ascii="Arial" w:cs="Arial" w:eastAsia="Arial" w:hAnsi="Arial"/>
          <w:sz w:val="18"/>
          <w:szCs w:val="18"/>
          <w:color w:val="auto"/>
        </w:rPr>
        <w:t>Avnet has two primary operating groups — Electronic Components (“EC”) and Farnell (“Farnell”). Both operating groups have operations in each of the three major economic regions of the world: (i) the Americas, (ii) EMEA, and (iii) Asia. A summary of each operating group is provided in Note 13, “Segment information” to the Company’s consolidated financial statements included in this Quarterly Report on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left="60" w:right="139" w:firstLine="432"/>
        <w:spacing w:after="0" w:line="263" w:lineRule="auto"/>
        <w:rPr>
          <w:sz w:val="20"/>
          <w:szCs w:val="20"/>
          <w:color w:val="auto"/>
        </w:rPr>
      </w:pPr>
      <w:r>
        <w:rPr>
          <w:rFonts w:ascii="Arial" w:cs="Arial" w:eastAsia="Arial" w:hAnsi="Arial"/>
          <w:sz w:val="18"/>
          <w:szCs w:val="18"/>
          <w:color w:val="auto"/>
        </w:rPr>
        <w:t>Sales of $5.87 billion in the second quarter of fiscal 2022 were 25.6% higher than the prior year second quarter sales of $4.67 billion. Excluding the impact of changes in foreign currency, sales increased 27.4% as compared to sales in the prior year second quarter.</w:t>
      </w:r>
    </w:p>
    <w:p>
      <w:pPr>
        <w:spacing w:after="0" w:line="184" w:lineRule="exact"/>
        <w:rPr>
          <w:sz w:val="20"/>
          <w:szCs w:val="20"/>
          <w:color w:val="auto"/>
        </w:rPr>
      </w:pPr>
    </w:p>
    <w:p>
      <w:pPr>
        <w:ind w:left="60" w:right="159" w:firstLine="432"/>
        <w:spacing w:after="0" w:line="263" w:lineRule="auto"/>
        <w:rPr>
          <w:sz w:val="20"/>
          <w:szCs w:val="20"/>
          <w:color w:val="auto"/>
        </w:rPr>
      </w:pPr>
      <w:r>
        <w:rPr>
          <w:rFonts w:ascii="Arial" w:cs="Arial" w:eastAsia="Arial" w:hAnsi="Arial"/>
          <w:sz w:val="18"/>
          <w:szCs w:val="18"/>
          <w:color w:val="auto"/>
        </w:rPr>
        <w:t>Gross profit margin of 12.2% increased 121 basis points compared to 11.0% in the second quarter of fiscal 2021. This increase is primarily due to strong overall demand for electronic components and improvements in product, customer mix, and geographic regional sales mix.</w:t>
      </w:r>
    </w:p>
    <w:p>
      <w:pPr>
        <w:spacing w:after="0" w:line="184" w:lineRule="exact"/>
        <w:rPr>
          <w:sz w:val="20"/>
          <w:szCs w:val="20"/>
          <w:color w:val="auto"/>
        </w:rPr>
      </w:pPr>
    </w:p>
    <w:p>
      <w:pPr>
        <w:ind w:left="60" w:right="59" w:firstLine="432"/>
        <w:spacing w:after="0" w:line="272" w:lineRule="auto"/>
        <w:rPr>
          <w:sz w:val="20"/>
          <w:szCs w:val="20"/>
          <w:color w:val="auto"/>
        </w:rPr>
      </w:pPr>
      <w:r>
        <w:rPr>
          <w:rFonts w:ascii="Arial" w:cs="Arial" w:eastAsia="Arial" w:hAnsi="Arial"/>
          <w:sz w:val="17"/>
          <w:szCs w:val="17"/>
          <w:color w:val="auto"/>
        </w:rPr>
        <w:t>Operating income of $211.7 million was $154.5 million higher than the second quarter of fiscal 2021. Operating income margin was 3.6% in the second quarter of fiscal 2022, as compared to 1.2% in the prior year second quarter. The increase in operating income margin is the result of increases in sales and in gross profit margin, partially offset by an increase in selling, general and administrative expenses. Adjusted operating income margin was 3.7% in the second quarter of fiscal 2022 as compared to 1.7% in the second quarter of fiscal 2021, an increase of 197 basis points. This increase in adjusted operating income margin is primarily due to the increases in sales and gross margin, partially offset by increases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ind w:left="60" w:right="79" w:firstLine="427"/>
        <w:spacing w:after="0" w:line="235" w:lineRule="auto"/>
        <w:rPr>
          <w:sz w:val="20"/>
          <w:szCs w:val="20"/>
          <w:color w:val="auto"/>
        </w:rPr>
      </w:pPr>
      <w:r>
        <w:rPr>
          <w:rFonts w:ascii="Arial" w:cs="Arial" w:eastAsia="Arial" w:hAnsi="Arial"/>
          <w:sz w:val="18"/>
          <w:szCs w:val="18"/>
          <w:color w:val="auto"/>
        </w:rPr>
        <w:t>Reported sales were the same as organic sales in the second quarter and first six months of fiscal 2022. The following table presents the reconciliation of reported sales to organic sales for the second quarter and first six months of fiscal 2021 by geographic region and by operating group.</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7"/>
          </w:tcPr>
          <w:p>
            <w:pPr>
              <w:ind w:left="720"/>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5"/>
          </w:tcPr>
          <w:p>
            <w:pPr>
              <w:jc w:val="center"/>
              <w:ind w:left="399"/>
              <w:spacing w:after="0"/>
              <w:rPr>
                <w:sz w:val="20"/>
                <w:szCs w:val="20"/>
                <w:color w:val="auto"/>
              </w:rPr>
            </w:pPr>
            <w:r>
              <w:rPr>
                <w:rFonts w:ascii="Arial" w:cs="Arial" w:eastAsia="Arial" w:hAnsi="Arial"/>
                <w:sz w:val="16"/>
                <w:szCs w:val="16"/>
                <w:b w:val="1"/>
                <w:bCs w:val="1"/>
                <w:color w:val="auto"/>
                <w:w w:val="92"/>
              </w:rPr>
              <w:t>Six Months Ended</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89"/>
        </w:trPr>
        <w:tc>
          <w:tcPr>
            <w:tcW w:w="1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1"/>
              </w:rPr>
              <w:t>Sales</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3"/>
        </w:trPr>
        <w:tc>
          <w:tcPr>
            <w:tcW w:w="13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Organic</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rPr>
              <w:t>Estimated</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5"/>
              </w:rPr>
              <w:t>Organic</w:t>
            </w:r>
          </w:p>
        </w:tc>
      </w:tr>
      <w:tr>
        <w:trPr>
          <w:trHeight w:val="203"/>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1"/>
              </w:rPr>
              <w:t>Sales</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1"/>
              </w:rPr>
              <w:t>Sales</w:t>
            </w:r>
          </w:p>
        </w:tc>
        <w:tc>
          <w:tcPr>
            <w:tcW w:w="120" w:type="dxa"/>
            <w:vAlign w:val="bottom"/>
          </w:tcPr>
          <w:p>
            <w:pPr>
              <w:spacing w:after="0"/>
              <w:rPr>
                <w:sz w:val="17"/>
                <w:szCs w:val="17"/>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Extra</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Organic</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1"/>
              </w:rPr>
              <w:t>Sales</w:t>
            </w:r>
          </w:p>
        </w:tc>
      </w:tr>
      <w:tr>
        <w:trPr>
          <w:trHeight w:val="203"/>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Organic</w:t>
            </w:r>
          </w:p>
        </w:tc>
        <w:tc>
          <w:tcPr>
            <w:tcW w:w="820" w:type="dxa"/>
            <w:vAlign w:val="bottom"/>
            <w:gridSpan w:val="3"/>
          </w:tcPr>
          <w:p>
            <w:pPr>
              <w:ind w:left="60"/>
              <w:spacing w:after="0"/>
              <w:rPr>
                <w:sz w:val="20"/>
                <w:szCs w:val="20"/>
                <w:color w:val="auto"/>
              </w:rPr>
            </w:pPr>
            <w:r>
              <w:rPr>
                <w:rFonts w:ascii="Arial" w:cs="Arial" w:eastAsia="Arial" w:hAnsi="Arial"/>
                <w:sz w:val="16"/>
                <w:szCs w:val="16"/>
                <w:b w:val="1"/>
                <w:bCs w:val="1"/>
                <w:color w:val="auto"/>
              </w:rPr>
              <w:t>TI Sales</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Adj for TI</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As Reported</w:t>
            </w:r>
          </w:p>
        </w:tc>
        <w:tc>
          <w:tcPr>
            <w:tcW w:w="8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Week in</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1"/>
              </w:rPr>
              <w:t>Sales</w:t>
            </w:r>
          </w:p>
        </w:tc>
        <w:tc>
          <w:tcPr>
            <w:tcW w:w="8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TI Sales</w:t>
            </w: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Adj for TI</w:t>
            </w:r>
          </w:p>
        </w:tc>
      </w:tr>
      <w:tr>
        <w:trPr>
          <w:trHeight w:val="189"/>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Q2-Fiscal</w:t>
            </w: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Q2-Fiscal</w:t>
            </w: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Q2-Fiscal</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Q2-Fiscal</w:t>
            </w:r>
          </w:p>
        </w:tc>
        <w:tc>
          <w:tcPr>
            <w:tcW w:w="12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Fiscal</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Q2-Fiscal</w:t>
            </w:r>
          </w:p>
        </w:tc>
        <w:tc>
          <w:tcPr>
            <w:tcW w:w="8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Q2-Fiscal</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Q2-Fiscal</w:t>
            </w:r>
          </w:p>
        </w:tc>
      </w:tr>
      <w:tr>
        <w:trPr>
          <w:trHeight w:val="237"/>
        </w:trPr>
        <w:tc>
          <w:tcPr>
            <w:tcW w:w="13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6"/>
                <w:szCs w:val="16"/>
                <w:b w:val="1"/>
                <w:bCs w:val="1"/>
                <w:color w:val="auto"/>
                <w:w w:val="83"/>
              </w:rPr>
              <w:t>2021</w:t>
            </w:r>
            <w:r>
              <w:rPr>
                <w:rFonts w:ascii="Arial" w:cs="Arial" w:eastAsia="Arial" w:hAnsi="Arial"/>
                <w:sz w:val="24"/>
                <w:szCs w:val="24"/>
                <w:b w:val="1"/>
                <w:bCs w:val="1"/>
                <w:color w:val="auto"/>
                <w:w w:val="83"/>
                <w:vertAlign w:val="superscript"/>
              </w:rPr>
              <w:t>(1)</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3"/>
              </w:rPr>
              <w:t>2021</w:t>
            </w:r>
            <w:r>
              <w:rPr>
                <w:rFonts w:ascii="Arial" w:cs="Arial" w:eastAsia="Arial" w:hAnsi="Arial"/>
                <w:sz w:val="24"/>
                <w:szCs w:val="24"/>
                <w:b w:val="1"/>
                <w:bCs w:val="1"/>
                <w:color w:val="auto"/>
                <w:w w:val="83"/>
                <w:vertAlign w:val="superscript"/>
              </w:rPr>
              <w:t>(1)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right="19"/>
              <w:spacing w:after="0" w:line="230" w:lineRule="exact"/>
              <w:rPr>
                <w:sz w:val="20"/>
                <w:szCs w:val="20"/>
                <w:color w:val="auto"/>
              </w:rPr>
            </w:pPr>
            <w:r>
              <w:rPr>
                <w:rFonts w:ascii="Arial" w:cs="Arial" w:eastAsia="Arial" w:hAnsi="Arial"/>
                <w:sz w:val="16"/>
                <w:szCs w:val="16"/>
                <w:b w:val="1"/>
                <w:bCs w:val="1"/>
                <w:color w:val="auto"/>
                <w:w w:val="83"/>
              </w:rPr>
              <w:t>2021</w:t>
            </w:r>
            <w:r>
              <w:rPr>
                <w:rFonts w:ascii="Arial" w:cs="Arial" w:eastAsia="Arial" w:hAnsi="Arial"/>
                <w:sz w:val="24"/>
                <w:szCs w:val="24"/>
                <w:b w:val="1"/>
                <w:bCs w:val="1"/>
                <w:color w:val="auto"/>
                <w:w w:val="83"/>
                <w:vertAlign w:val="superscript"/>
              </w:rPr>
              <w:t>(2)</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39"/>
              <w:spacing w:after="0" w:line="230" w:lineRule="exact"/>
              <w:rPr>
                <w:sz w:val="20"/>
                <w:szCs w:val="20"/>
                <w:color w:val="auto"/>
              </w:rPr>
            </w:pPr>
            <w:r>
              <w:rPr>
                <w:rFonts w:ascii="Arial" w:cs="Arial" w:eastAsia="Arial" w:hAnsi="Arial"/>
                <w:sz w:val="16"/>
                <w:szCs w:val="16"/>
                <w:b w:val="1"/>
                <w:bCs w:val="1"/>
                <w:color w:val="auto"/>
                <w:w w:val="83"/>
              </w:rPr>
              <w:t>2021</w:t>
            </w:r>
            <w:r>
              <w:rPr>
                <w:rFonts w:ascii="Arial" w:cs="Arial" w:eastAsia="Arial" w:hAnsi="Arial"/>
                <w:sz w:val="24"/>
                <w:szCs w:val="24"/>
                <w:b w:val="1"/>
                <w:bCs w:val="1"/>
                <w:color w:val="auto"/>
                <w:w w:val="83"/>
                <w:vertAlign w:val="superscript"/>
              </w:rPr>
              <w:t>(1)</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3"/>
              </w:rPr>
              <w:t>2021</w:t>
            </w:r>
            <w:r>
              <w:rPr>
                <w:rFonts w:ascii="Arial" w:cs="Arial" w:eastAsia="Arial" w:hAnsi="Arial"/>
                <w:sz w:val="24"/>
                <w:szCs w:val="24"/>
                <w:b w:val="1"/>
                <w:bCs w:val="1"/>
                <w:color w:val="auto"/>
                <w:w w:val="83"/>
                <w:vertAlign w:val="superscript"/>
              </w:rPr>
              <w:t>(1)</w:t>
            </w:r>
          </w:p>
        </w:tc>
      </w:tr>
      <w:tr>
        <w:trPr>
          <w:trHeight w:val="189"/>
        </w:trPr>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gridSpan w:val="4"/>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(Thousands)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3"/>
        </w:trPr>
        <w:tc>
          <w:tcPr>
            <w:tcW w:w="1380" w:type="dxa"/>
            <w:vAlign w:val="bottom"/>
          </w:tcPr>
          <w:p>
            <w:pPr>
              <w:ind w:left="120"/>
              <w:spacing w:after="0"/>
              <w:rPr>
                <w:sz w:val="20"/>
                <w:szCs w:val="20"/>
                <w:color w:val="auto"/>
              </w:rPr>
            </w:pPr>
            <w:r>
              <w:rPr>
                <w:rFonts w:ascii="Arial" w:cs="Arial" w:eastAsia="Arial" w:hAnsi="Arial"/>
                <w:sz w:val="16"/>
                <w:szCs w:val="16"/>
                <w:color w:val="auto"/>
              </w:rPr>
              <w:t>Avnet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4,668,172</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49,568</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$ 4,618,604</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9,391,232</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306,000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2"/>
              </w:rPr>
              <w:t>$ 9,085,232</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290,552</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8,794,680</w:t>
            </w:r>
          </w:p>
        </w:tc>
      </w:tr>
      <w:tr>
        <w:trPr>
          <w:trHeight w:val="203"/>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Avnet by region</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1380" w:type="dxa"/>
            <w:vAlign w:val="bottom"/>
          </w:tcPr>
          <w:p>
            <w:pPr>
              <w:ind w:left="120"/>
              <w:spacing w:after="0"/>
              <w:rPr>
                <w:sz w:val="20"/>
                <w:szCs w:val="20"/>
                <w:color w:val="auto"/>
              </w:rPr>
            </w:pPr>
            <w:r>
              <w:rPr>
                <w:rFonts w:ascii="Arial" w:cs="Arial" w:eastAsia="Arial" w:hAnsi="Arial"/>
                <w:sz w:val="16"/>
                <w:szCs w:val="16"/>
                <w:color w:val="auto"/>
              </w:rPr>
              <w:t>Americas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1,101,450</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13,969</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$ 1,087,481</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2,307,145</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77,000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2"/>
              </w:rPr>
              <w:t>$ 2,230,145</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82,469</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2,147,676</w:t>
            </w:r>
          </w:p>
        </w:tc>
      </w:tr>
      <w:tr>
        <w:trPr>
          <w:trHeight w:val="203"/>
        </w:trPr>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EMEA</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1,346,347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20,839</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1,325,508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2,827,020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2,730,020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123,749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2,606,271</w:t>
            </w:r>
          </w:p>
        </w:tc>
      </w:tr>
      <w:tr>
        <w:trPr>
          <w:trHeight w:val="203"/>
        </w:trPr>
        <w:tc>
          <w:tcPr>
            <w:tcW w:w="1380" w:type="dxa"/>
            <w:vAlign w:val="bottom"/>
          </w:tcPr>
          <w:p>
            <w:pPr>
              <w:ind w:left="120"/>
              <w:spacing w:after="0"/>
              <w:rPr>
                <w:sz w:val="20"/>
                <w:szCs w:val="20"/>
                <w:color w:val="auto"/>
              </w:rPr>
            </w:pPr>
            <w:r>
              <w:rPr>
                <w:rFonts w:ascii="Arial" w:cs="Arial" w:eastAsia="Arial" w:hAnsi="Arial"/>
                <w:sz w:val="16"/>
                <w:szCs w:val="16"/>
                <w:color w:val="auto"/>
              </w:rPr>
              <w:t>Asia</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2,220,375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14,760</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2,205,615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4,257,067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132,000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4,125,067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84,334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4,040,733</w:t>
            </w:r>
          </w:p>
        </w:tc>
      </w:tr>
      <w:tr>
        <w:trPr>
          <w:trHeight w:val="203"/>
        </w:trPr>
        <w:tc>
          <w:tcPr>
            <w:tcW w:w="24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Avnet by operating group</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1380" w:type="dxa"/>
            <w:vAlign w:val="bottom"/>
          </w:tcPr>
          <w:p>
            <w:pPr>
              <w:ind w:left="120"/>
              <w:spacing w:after="0"/>
              <w:rPr>
                <w:sz w:val="20"/>
                <w:szCs w:val="20"/>
                <w:color w:val="auto"/>
              </w:rPr>
            </w:pPr>
            <w:r>
              <w:rPr>
                <w:rFonts w:ascii="Arial" w:cs="Arial" w:eastAsia="Arial" w:hAnsi="Arial"/>
                <w:sz w:val="16"/>
                <w:szCs w:val="16"/>
                <w:color w:val="auto"/>
              </w:rPr>
              <w:t>EC</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4,342,386</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49,568</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$ 4,292,818</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8,724,535</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284,000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2"/>
              </w:rPr>
              <w:t>$ 8,440,535</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290,552</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8,149,983</w:t>
            </w:r>
          </w:p>
        </w:tc>
      </w:tr>
      <w:tr>
        <w:trPr>
          <w:trHeight w:val="203"/>
        </w:trPr>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Farnell</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644,697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644,697</w:t>
            </w:r>
          </w:p>
        </w:tc>
      </w:tr>
      <w:tr>
        <w:trPr>
          <w:trHeight w:val="220"/>
        </w:trPr>
        <w:tc>
          <w:tcPr>
            <w:tcW w:w="1380" w:type="dxa"/>
            <w:vAlign w:val="bottom"/>
          </w:tcPr>
          <w:p>
            <w:pPr>
              <w:ind w:left="20"/>
              <w:spacing w:after="0"/>
              <w:rPr>
                <w:sz w:val="20"/>
                <w:szCs w:val="20"/>
                <w:color w:val="auto"/>
              </w:rPr>
            </w:pPr>
            <w:r>
              <w:rPr>
                <w:rFonts w:ascii="Arial" w:cs="Arial" w:eastAsia="Arial" w:hAnsi="Arial"/>
                <w:sz w:val="18"/>
                <w:szCs w:val="18"/>
                <w:color w:val="auto"/>
              </w:rPr>
              <w:t>___________</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 w:lineRule="exact"/>
        <w:rPr>
          <w:sz w:val="20"/>
          <w:szCs w:val="20"/>
          <w:color w:val="auto"/>
        </w:rPr>
      </w:pPr>
    </w:p>
    <w:p>
      <w:pPr>
        <w:ind w:left="420" w:hanging="329"/>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4"/>
          <w:szCs w:val="14"/>
          <w:color w:val="auto"/>
        </w:rPr>
        <w:t>Sales adjusted for the impact of the termination of the Texas Instruments (“TI”) distribution agreement.</w:t>
      </w:r>
    </w:p>
    <w:p>
      <w:pPr>
        <w:spacing w:after="0" w:line="18" w:lineRule="exact"/>
        <w:rPr>
          <w:rFonts w:ascii="Arial" w:cs="Arial" w:eastAsia="Arial" w:hAnsi="Arial"/>
          <w:sz w:val="16"/>
          <w:szCs w:val="16"/>
          <w:color w:val="auto"/>
        </w:rPr>
      </w:pPr>
    </w:p>
    <w:p>
      <w:pPr>
        <w:ind w:left="420" w:hanging="329"/>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4"/>
          <w:szCs w:val="14"/>
          <w:color w:val="auto"/>
        </w:rPr>
        <w:t>The impact of the additional week of sales in the first quarter of fiscal 2021 is estimated</w:t>
      </w:r>
    </w:p>
    <w:p>
      <w:pPr>
        <w:spacing w:after="0" w:line="214" w:lineRule="exact"/>
        <w:rPr>
          <w:sz w:val="20"/>
          <w:szCs w:val="20"/>
          <w:color w:val="auto"/>
        </w:rPr>
      </w:pPr>
    </w:p>
    <w:p>
      <w:pPr>
        <w:ind w:left="60" w:right="339" w:firstLine="427"/>
        <w:spacing w:after="0" w:line="277" w:lineRule="auto"/>
        <w:rPr>
          <w:sz w:val="20"/>
          <w:szCs w:val="20"/>
          <w:color w:val="auto"/>
        </w:rPr>
      </w:pPr>
      <w:r>
        <w:rPr>
          <w:rFonts w:ascii="Arial" w:cs="Arial" w:eastAsia="Arial" w:hAnsi="Arial"/>
          <w:sz w:val="18"/>
          <w:szCs w:val="18"/>
          <w:color w:val="auto"/>
        </w:rPr>
        <w:t>The following table presents reported and organic sales growth rates for the second quarter and first six months of fiscal 2022 as compared to fiscal 2021 by geographic region and by operating group.</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5"/>
              </w:rPr>
              <w:t>Quarter Ended</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780"/>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tcBorders>
              <w:bottom w:val="single" w:sz="8" w:color="auto"/>
            </w:tcBorders>
          </w:tcPr>
          <w:p>
            <w:pPr>
              <w:spacing w:after="0"/>
              <w:rPr>
                <w:sz w:val="19"/>
                <w:szCs w:val="19"/>
                <w:color w:val="auto"/>
              </w:rPr>
            </w:pPr>
          </w:p>
        </w:tc>
      </w:tr>
      <w:tr>
        <w:trPr>
          <w:trHeight w:val="189"/>
        </w:trPr>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5"/>
              </w:rPr>
              <w:t>Sales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5"/>
              </w:rPr>
              <w:t>Organic</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r>
      <w:tr>
        <w:trPr>
          <w:trHeight w:val="203"/>
        </w:trPr>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As Reported</w:t>
            </w: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1"/>
              </w:rPr>
              <w:t>Sales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1"/>
              </w:rPr>
              <w:t>Sales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Organic</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5"/>
              </w:rPr>
              <w:t>Sales</w:t>
            </w:r>
          </w:p>
        </w:tc>
      </w:tr>
      <w:tr>
        <w:trPr>
          <w:trHeight w:val="203"/>
        </w:trPr>
        <w:tc>
          <w:tcPr>
            <w:tcW w:w="13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5"/>
              </w:rPr>
              <w:t>Sales</w:t>
            </w:r>
          </w:p>
        </w:tc>
        <w:tc>
          <w:tcPr>
            <w:tcW w:w="6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and Organic</w:t>
            </w: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Adj for TI</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As Reported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1"/>
              </w:rPr>
              <w:t>Sales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Adj for TI</w:t>
            </w:r>
          </w:p>
        </w:tc>
      </w:tr>
      <w:tr>
        <w:trPr>
          <w:trHeight w:val="203"/>
        </w:trPr>
        <w:tc>
          <w:tcPr>
            <w:tcW w:w="1360" w:type="dxa"/>
            <w:vAlign w:val="bottom"/>
          </w:tcPr>
          <w:p>
            <w:pPr>
              <w:spacing w:after="0"/>
              <w:rPr>
                <w:sz w:val="17"/>
                <w:szCs w:val="17"/>
                <w:color w:val="auto"/>
              </w:rPr>
            </w:pPr>
          </w:p>
        </w:tc>
        <w:tc>
          <w:tcPr>
            <w:tcW w:w="2900" w:type="dxa"/>
            <w:vAlign w:val="bottom"/>
            <w:gridSpan w:val="7"/>
          </w:tcPr>
          <w:p>
            <w:pPr>
              <w:jc w:val="center"/>
              <w:ind w:right="60"/>
              <w:spacing w:after="0"/>
              <w:rPr>
                <w:sz w:val="20"/>
                <w:szCs w:val="20"/>
                <w:color w:val="auto"/>
              </w:rPr>
            </w:pPr>
            <w:r>
              <w:rPr>
                <w:rFonts w:ascii="Arial" w:cs="Arial" w:eastAsia="Arial" w:hAnsi="Arial"/>
                <w:sz w:val="16"/>
                <w:szCs w:val="16"/>
                <w:b w:val="1"/>
                <w:bCs w:val="1"/>
                <w:color w:val="auto"/>
                <w:w w:val="97"/>
              </w:rPr>
              <w:t>as Reported Year-Year % Year-Year %</w:t>
            </w:r>
          </w:p>
        </w:tc>
        <w:tc>
          <w:tcPr>
            <w:tcW w:w="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1"/>
              </w:rPr>
              <w:t>Sales</w:t>
            </w:r>
          </w:p>
        </w:tc>
        <w:tc>
          <w:tcPr>
            <w:tcW w:w="1820" w:type="dxa"/>
            <w:vAlign w:val="bottom"/>
            <w:gridSpan w:val="4"/>
          </w:tcPr>
          <w:p>
            <w:pPr>
              <w:spacing w:after="0"/>
              <w:rPr>
                <w:sz w:val="20"/>
                <w:szCs w:val="20"/>
                <w:color w:val="auto"/>
              </w:rPr>
            </w:pPr>
            <w:r>
              <w:rPr>
                <w:rFonts w:ascii="Arial" w:cs="Arial" w:eastAsia="Arial" w:hAnsi="Arial"/>
                <w:sz w:val="16"/>
                <w:szCs w:val="16"/>
                <w:b w:val="1"/>
                <w:bCs w:val="1"/>
                <w:color w:val="auto"/>
              </w:rPr>
              <w:t>Year-Year %  Organic</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Year-Year %</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6"/>
              </w:rPr>
              <w:t>Year-Year %</w:t>
            </w:r>
          </w:p>
        </w:tc>
      </w:tr>
      <w:tr>
        <w:trPr>
          <w:trHeight w:val="203"/>
        </w:trPr>
        <w:tc>
          <w:tcPr>
            <w:tcW w:w="13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4"/>
              </w:rPr>
              <w:t>and Organic</w:t>
            </w:r>
          </w:p>
        </w:tc>
        <w:tc>
          <w:tcPr>
            <w:tcW w:w="6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Change in</w:t>
            </w: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Change in</w:t>
            </w:r>
          </w:p>
        </w:tc>
        <w:tc>
          <w:tcPr>
            <w:tcW w:w="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As Reported</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Change in</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Sales</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Change in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Change in</w:t>
            </w:r>
          </w:p>
        </w:tc>
      </w:tr>
      <w:tr>
        <w:trPr>
          <w:trHeight w:val="189"/>
        </w:trPr>
        <w:tc>
          <w:tcPr>
            <w:tcW w:w="13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Year-Year</w:t>
            </w:r>
          </w:p>
        </w:tc>
        <w:tc>
          <w:tcPr>
            <w:tcW w:w="6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Constant</w:t>
            </w: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Constant</w:t>
            </w:r>
          </w:p>
        </w:tc>
        <w:tc>
          <w:tcPr>
            <w:tcW w:w="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Year-Year</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Constant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Year-Year</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Constant</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37"/>
        </w:trPr>
        <w:tc>
          <w:tcPr>
            <w:tcW w:w="1360" w:type="dxa"/>
            <w:vAlign w:val="bottom"/>
          </w:tcPr>
          <w:p>
            <w:pPr>
              <w:spacing w:after="0"/>
              <w:rPr>
                <w:sz w:val="20"/>
                <w:szCs w:val="20"/>
                <w:color w:val="auto"/>
              </w:rPr>
            </w:pPr>
          </w:p>
        </w:tc>
        <w:tc>
          <w:tcPr>
            <w:tcW w:w="2900" w:type="dxa"/>
            <w:vAlign w:val="bottom"/>
            <w:gridSpan w:val="7"/>
          </w:tcPr>
          <w:p>
            <w:pPr>
              <w:jc w:val="center"/>
              <w:ind w:right="40"/>
              <w:spacing w:after="0" w:line="230" w:lineRule="exact"/>
              <w:rPr>
                <w:sz w:val="20"/>
                <w:szCs w:val="20"/>
                <w:color w:val="auto"/>
              </w:rPr>
            </w:pPr>
            <w:r>
              <w:rPr>
                <w:rFonts w:ascii="Arial" w:cs="Arial" w:eastAsia="Arial" w:hAnsi="Arial"/>
                <w:sz w:val="16"/>
                <w:szCs w:val="16"/>
                <w:b w:val="1"/>
                <w:bCs w:val="1"/>
                <w:color w:val="auto"/>
              </w:rPr>
              <w:t>% Change   Currency   Currency</w:t>
            </w:r>
            <w:r>
              <w:rPr>
                <w:rFonts w:ascii="Arial" w:cs="Arial" w:eastAsia="Arial" w:hAnsi="Arial"/>
                <w:sz w:val="24"/>
                <w:szCs w:val="24"/>
                <w:b w:val="1"/>
                <w:bCs w:val="1"/>
                <w:color w:val="auto"/>
                <w:vertAlign w:val="superscript"/>
              </w:rPr>
              <w:t>(1)</w:t>
            </w:r>
          </w:p>
        </w:tc>
        <w:tc>
          <w:tcPr>
            <w:tcW w:w="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5"/>
              </w:rPr>
              <w:t>% Change</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Currency</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 Change</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Currency</w:t>
            </w:r>
          </w:p>
        </w:tc>
        <w:tc>
          <w:tcPr>
            <w:tcW w:w="960" w:type="dxa"/>
            <w:vAlign w:val="bottom"/>
          </w:tcPr>
          <w:p>
            <w:pPr>
              <w:jc w:val="center"/>
              <w:spacing w:after="0" w:line="230" w:lineRule="exact"/>
              <w:rPr>
                <w:sz w:val="20"/>
                <w:szCs w:val="20"/>
                <w:color w:val="auto"/>
              </w:rPr>
            </w:pPr>
            <w:r>
              <w:rPr>
                <w:rFonts w:ascii="Arial" w:cs="Arial" w:eastAsia="Arial" w:hAnsi="Arial"/>
                <w:sz w:val="16"/>
                <w:szCs w:val="16"/>
                <w:b w:val="1"/>
                <w:bCs w:val="1"/>
                <w:color w:val="auto"/>
                <w:w w:val="89"/>
              </w:rPr>
              <w:t>Currency</w:t>
            </w:r>
            <w:r>
              <w:rPr>
                <w:rFonts w:ascii="Arial" w:cs="Arial" w:eastAsia="Arial" w:hAnsi="Arial"/>
                <w:sz w:val="24"/>
                <w:szCs w:val="24"/>
                <w:b w:val="1"/>
                <w:bCs w:val="1"/>
                <w:color w:val="auto"/>
                <w:w w:val="89"/>
                <w:vertAlign w:val="superscript"/>
              </w:rPr>
              <w:t>(1)</w:t>
            </w:r>
          </w:p>
        </w:tc>
      </w:tr>
      <w:tr>
        <w:trPr>
          <w:trHeight w:val="203"/>
        </w:trPr>
        <w:tc>
          <w:tcPr>
            <w:tcW w:w="1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8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25.6 %</w:t>
            </w: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27.4 %</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28.8 %</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21.9 %</w:t>
            </w:r>
          </w:p>
        </w:tc>
        <w:tc>
          <w:tcPr>
            <w:tcW w:w="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22.4 %</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w w:val="96"/>
              </w:rPr>
              <w:t>26.0 %</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26.5 %</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30.7 %</w:t>
            </w:r>
          </w:p>
        </w:tc>
      </w:tr>
      <w:tr>
        <w:trPr>
          <w:trHeight w:val="203"/>
        </w:trPr>
        <w:tc>
          <w:tcPr>
            <w:tcW w:w="1360" w:type="dxa"/>
            <w:vAlign w:val="bottom"/>
          </w:tcPr>
          <w:p>
            <w:pPr>
              <w:ind w:left="20"/>
              <w:spacing w:after="0"/>
              <w:rPr>
                <w:sz w:val="20"/>
                <w:szCs w:val="20"/>
                <w:color w:val="auto"/>
              </w:rPr>
            </w:pPr>
            <w:r>
              <w:rPr>
                <w:rFonts w:ascii="Arial" w:cs="Arial" w:eastAsia="Arial" w:hAnsi="Arial"/>
                <w:sz w:val="16"/>
                <w:szCs w:val="16"/>
                <w:color w:val="auto"/>
              </w:rPr>
              <w:t>Avnet by region</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26.3 %</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26.3 %</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28.0 %</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14.9 %</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14.9 %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6"/>
              </w:rPr>
              <w:t>18.8 %</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18.8 %</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23.4 %</w:t>
            </w:r>
          </w:p>
        </w:tc>
      </w:tr>
      <w:tr>
        <w:trPr>
          <w:trHeight w:val="203"/>
        </w:trPr>
        <w:tc>
          <w:tcPr>
            <w:tcW w:w="1360" w:type="dxa"/>
            <w:vAlign w:val="bottom"/>
          </w:tcPr>
          <w:p>
            <w:pPr>
              <w:ind w:left="120"/>
              <w:spacing w:after="0"/>
              <w:rPr>
                <w:sz w:val="20"/>
                <w:szCs w:val="20"/>
                <w:color w:val="auto"/>
              </w:rPr>
            </w:pPr>
            <w:r>
              <w:rPr>
                <w:rFonts w:ascii="Arial" w:cs="Arial" w:eastAsia="Arial" w:hAnsi="Arial"/>
                <w:sz w:val="16"/>
                <w:szCs w:val="16"/>
                <w:color w:val="auto"/>
              </w:rPr>
              <w:t>EMEA</w:t>
            </w:r>
          </w:p>
        </w:tc>
        <w:tc>
          <w:tcPr>
            <w:tcW w:w="880" w:type="dxa"/>
            <w:vAlign w:val="bottom"/>
          </w:tcPr>
          <w:p>
            <w:pPr>
              <w:ind w:left="360"/>
              <w:spacing w:after="0"/>
              <w:rPr>
                <w:sz w:val="20"/>
                <w:szCs w:val="20"/>
                <w:color w:val="auto"/>
              </w:rPr>
            </w:pPr>
            <w:r>
              <w:rPr>
                <w:rFonts w:ascii="Arial" w:cs="Arial" w:eastAsia="Arial" w:hAnsi="Arial"/>
                <w:sz w:val="16"/>
                <w:szCs w:val="16"/>
                <w:color w:val="auto"/>
              </w:rPr>
              <w:t>36.7</w:t>
            </w:r>
          </w:p>
        </w:tc>
        <w:tc>
          <w:tcPr>
            <w:tcW w:w="960" w:type="dxa"/>
            <w:vAlign w:val="bottom"/>
            <w:gridSpan w:val="2"/>
          </w:tcPr>
          <w:p>
            <w:pPr>
              <w:ind w:left="440"/>
              <w:spacing w:after="0"/>
              <w:rPr>
                <w:sz w:val="20"/>
                <w:szCs w:val="20"/>
                <w:color w:val="auto"/>
              </w:rPr>
            </w:pPr>
            <w:r>
              <w:rPr>
                <w:rFonts w:ascii="Arial" w:cs="Arial" w:eastAsia="Arial" w:hAnsi="Arial"/>
                <w:sz w:val="16"/>
                <w:szCs w:val="16"/>
                <w:color w:val="auto"/>
              </w:rPr>
              <w:t>41.7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ind w:left="320"/>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7"/>
                <w:szCs w:val="17"/>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26.9</w:t>
            </w:r>
          </w:p>
        </w:tc>
        <w:tc>
          <w:tcPr>
            <w:tcW w:w="40" w:type="dxa"/>
            <w:vAlign w:val="bottom"/>
          </w:tcPr>
          <w:p>
            <w:pPr>
              <w:spacing w:after="0"/>
              <w:rPr>
                <w:sz w:val="17"/>
                <w:szCs w:val="17"/>
                <w:color w:val="auto"/>
              </w:rPr>
            </w:pPr>
          </w:p>
        </w:tc>
        <w:tc>
          <w:tcPr>
            <w:tcW w:w="900" w:type="dxa"/>
            <w:vAlign w:val="bottom"/>
          </w:tcPr>
          <w:p>
            <w:pPr>
              <w:ind w:left="380"/>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7"/>
                <w:szCs w:val="17"/>
                <w:color w:val="auto"/>
              </w:rPr>
            </w:pPr>
          </w:p>
        </w:tc>
        <w:tc>
          <w:tcPr>
            <w:tcW w:w="900" w:type="dxa"/>
            <w:vAlign w:val="bottom"/>
          </w:tcPr>
          <w:p>
            <w:pPr>
              <w:ind w:left="380"/>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7"/>
                <w:szCs w:val="17"/>
                <w:color w:val="auto"/>
              </w:rPr>
            </w:pPr>
          </w:p>
        </w:tc>
        <w:tc>
          <w:tcPr>
            <w:tcW w:w="960" w:type="dxa"/>
            <w:vAlign w:val="bottom"/>
          </w:tcPr>
          <w:p>
            <w:pPr>
              <w:ind w:left="400"/>
              <w:spacing w:after="0"/>
              <w:rPr>
                <w:sz w:val="20"/>
                <w:szCs w:val="20"/>
                <w:color w:val="auto"/>
              </w:rPr>
            </w:pPr>
            <w:r>
              <w:rPr>
                <w:rFonts w:ascii="Arial" w:cs="Arial" w:eastAsia="Arial" w:hAnsi="Arial"/>
                <w:sz w:val="16"/>
                <w:szCs w:val="16"/>
                <w:color w:val="auto"/>
              </w:rPr>
              <w:t>39.1</w:t>
            </w:r>
          </w:p>
        </w:tc>
      </w:tr>
      <w:tr>
        <w:trPr>
          <w:trHeight w:val="203"/>
        </w:trPr>
        <w:tc>
          <w:tcPr>
            <w:tcW w:w="1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18.6</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22.4</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26.3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29.3</w:t>
            </w:r>
          </w:p>
        </w:tc>
      </w:tr>
      <w:tr>
        <w:trPr>
          <w:trHeight w:val="193"/>
        </w:trPr>
        <w:tc>
          <w:tcPr>
            <w:tcW w:w="1360" w:type="dxa"/>
            <w:vAlign w:val="bottom"/>
          </w:tcPr>
          <w:p>
            <w:pPr>
              <w:ind w:left="20"/>
              <w:spacing w:after="0"/>
              <w:rPr>
                <w:sz w:val="20"/>
                <w:szCs w:val="20"/>
                <w:color w:val="auto"/>
              </w:rPr>
            </w:pPr>
            <w:r>
              <w:rPr>
                <w:rFonts w:ascii="Arial" w:cs="Arial" w:eastAsia="Arial" w:hAnsi="Arial"/>
                <w:sz w:val="16"/>
                <w:szCs w:val="16"/>
                <w:color w:val="auto"/>
              </w:rPr>
              <w:t>Avnet by</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9"/>
        </w:trPr>
        <w:tc>
          <w:tcPr>
            <w:tcW w:w="1360" w:type="dxa"/>
            <w:vAlign w:val="bottom"/>
          </w:tcPr>
          <w:p>
            <w:pPr>
              <w:ind w:left="20"/>
              <w:spacing w:after="0"/>
              <w:rPr>
                <w:sz w:val="20"/>
                <w:szCs w:val="20"/>
                <w:color w:val="auto"/>
              </w:rPr>
            </w:pPr>
            <w:r>
              <w:rPr>
                <w:rFonts w:ascii="Arial" w:cs="Arial" w:eastAsia="Arial" w:hAnsi="Arial"/>
                <w:sz w:val="16"/>
                <w:szCs w:val="16"/>
                <w:color w:val="auto"/>
              </w:rPr>
              <w:t>operating group</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5"/>
        </w:trPr>
        <w:tc>
          <w:tcPr>
            <w:tcW w:w="1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24.9 %</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26.8 %</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28.2 %</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21.0 %</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21.6 %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6"/>
              </w:rPr>
              <w:t>25.0 %</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25.6 %</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30.1 %</w:t>
            </w:r>
          </w:p>
        </w:tc>
      </w:tr>
      <w:tr>
        <w:trPr>
          <w:trHeight w:val="188"/>
        </w:trPr>
        <w:tc>
          <w:tcPr>
            <w:tcW w:w="1360" w:type="dxa"/>
            <w:vAlign w:val="bottom"/>
          </w:tcPr>
          <w:p>
            <w:pPr>
              <w:ind w:left="120"/>
              <w:spacing w:after="0"/>
              <w:rPr>
                <w:sz w:val="20"/>
                <w:szCs w:val="20"/>
                <w:color w:val="auto"/>
              </w:rPr>
            </w:pPr>
            <w:r>
              <w:rPr>
                <w:rFonts w:ascii="Arial" w:cs="Arial" w:eastAsia="Arial" w:hAnsi="Arial"/>
                <w:sz w:val="16"/>
                <w:szCs w:val="16"/>
                <w:color w:val="auto"/>
              </w:rPr>
              <w:t>Farnell</w:t>
            </w:r>
          </w:p>
        </w:tc>
        <w:tc>
          <w:tcPr>
            <w:tcW w:w="880" w:type="dxa"/>
            <w:vAlign w:val="bottom"/>
          </w:tcPr>
          <w:p>
            <w:pPr>
              <w:ind w:left="360"/>
              <w:spacing w:after="0"/>
              <w:rPr>
                <w:sz w:val="20"/>
                <w:szCs w:val="20"/>
                <w:color w:val="auto"/>
              </w:rPr>
            </w:pPr>
            <w:r>
              <w:rPr>
                <w:rFonts w:ascii="Arial" w:cs="Arial" w:eastAsia="Arial" w:hAnsi="Arial"/>
                <w:sz w:val="16"/>
                <w:szCs w:val="16"/>
                <w:color w:val="auto"/>
              </w:rPr>
              <w:t>35.3</w:t>
            </w:r>
          </w:p>
        </w:tc>
        <w:tc>
          <w:tcPr>
            <w:tcW w:w="960" w:type="dxa"/>
            <w:vAlign w:val="bottom"/>
            <w:gridSpan w:val="2"/>
          </w:tcPr>
          <w:p>
            <w:pPr>
              <w:ind w:left="440"/>
              <w:spacing w:after="0"/>
              <w:rPr>
                <w:sz w:val="20"/>
                <w:szCs w:val="20"/>
                <w:color w:val="auto"/>
              </w:rPr>
            </w:pPr>
            <w:r>
              <w:rPr>
                <w:rFonts w:ascii="Arial" w:cs="Arial" w:eastAsia="Arial" w:hAnsi="Arial"/>
                <w:sz w:val="16"/>
                <w:szCs w:val="16"/>
                <w:color w:val="auto"/>
              </w:rPr>
              <w:t>35.8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ind w:left="320"/>
              <w:spacing w:after="0"/>
              <w:rPr>
                <w:sz w:val="20"/>
                <w:szCs w:val="20"/>
                <w:color w:val="auto"/>
              </w:rPr>
            </w:pPr>
            <w:r>
              <w:rPr>
                <w:rFonts w:ascii="Arial" w:cs="Arial" w:eastAsia="Arial" w:hAnsi="Arial"/>
                <w:sz w:val="16"/>
                <w:szCs w:val="16"/>
                <w:color w:val="auto"/>
              </w:rPr>
              <w:t>35.8</w:t>
            </w:r>
          </w:p>
        </w:tc>
        <w:tc>
          <w:tcPr>
            <w:tcW w:w="80" w:type="dxa"/>
            <w:vAlign w:val="bottom"/>
          </w:tcPr>
          <w:p>
            <w:pPr>
              <w:spacing w:after="0"/>
              <w:rPr>
                <w:sz w:val="16"/>
                <w:szCs w:val="16"/>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34.4</w:t>
            </w:r>
          </w:p>
        </w:tc>
        <w:tc>
          <w:tcPr>
            <w:tcW w:w="40" w:type="dxa"/>
            <w:vAlign w:val="bottom"/>
          </w:tcPr>
          <w:p>
            <w:pPr>
              <w:spacing w:after="0"/>
              <w:rPr>
                <w:sz w:val="16"/>
                <w:szCs w:val="16"/>
                <w:color w:val="auto"/>
              </w:rPr>
            </w:pPr>
          </w:p>
        </w:tc>
        <w:tc>
          <w:tcPr>
            <w:tcW w:w="900" w:type="dxa"/>
            <w:vAlign w:val="bottom"/>
          </w:tcPr>
          <w:p>
            <w:pPr>
              <w:ind w:left="380"/>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6"/>
                <w:szCs w:val="16"/>
                <w:color w:val="auto"/>
              </w:rPr>
            </w:pPr>
          </w:p>
        </w:tc>
        <w:tc>
          <w:tcPr>
            <w:tcW w:w="760" w:type="dxa"/>
            <w:vAlign w:val="bottom"/>
          </w:tcPr>
          <w:p>
            <w:pPr>
              <w:ind w:left="260"/>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16"/>
                <w:szCs w:val="16"/>
                <w:color w:val="auto"/>
              </w:rPr>
            </w:pPr>
          </w:p>
        </w:tc>
        <w:tc>
          <w:tcPr>
            <w:tcW w:w="900" w:type="dxa"/>
            <w:vAlign w:val="bottom"/>
          </w:tcPr>
          <w:p>
            <w:pPr>
              <w:ind w:left="380"/>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16"/>
                <w:szCs w:val="16"/>
                <w:color w:val="auto"/>
              </w:rPr>
            </w:pPr>
          </w:p>
        </w:tc>
        <w:tc>
          <w:tcPr>
            <w:tcW w:w="960" w:type="dxa"/>
            <w:vAlign w:val="bottom"/>
          </w:tcPr>
          <w:p>
            <w:pPr>
              <w:ind w:left="400"/>
              <w:spacing w:after="0"/>
              <w:rPr>
                <w:sz w:val="20"/>
                <w:szCs w:val="20"/>
                <w:color w:val="auto"/>
              </w:rPr>
            </w:pPr>
            <w:r>
              <w:rPr>
                <w:rFonts w:ascii="Arial" w:cs="Arial" w:eastAsia="Arial" w:hAnsi="Arial"/>
                <w:sz w:val="16"/>
                <w:szCs w:val="16"/>
                <w:color w:val="auto"/>
              </w:rPr>
              <w:t>37.3</w:t>
            </w:r>
          </w:p>
        </w:tc>
      </w:tr>
      <w:tr>
        <w:trPr>
          <w:trHeight w:val="224"/>
        </w:trPr>
        <w:tc>
          <w:tcPr>
            <w:tcW w:w="1360" w:type="dxa"/>
            <w:vAlign w:val="bottom"/>
          </w:tcPr>
          <w:p>
            <w:pPr>
              <w:ind w:left="20"/>
              <w:spacing w:after="0"/>
              <w:rPr>
                <w:sz w:val="20"/>
                <w:szCs w:val="20"/>
                <w:color w:val="auto"/>
              </w:rPr>
            </w:pPr>
            <w:r>
              <w:rPr>
                <w:rFonts w:ascii="Arial" w:cs="Arial" w:eastAsia="Arial" w:hAnsi="Arial"/>
                <w:sz w:val="18"/>
                <w:szCs w:val="18"/>
                <w:color w:val="auto"/>
              </w:rPr>
              <w:t>___________</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ind w:left="420" w:hanging="329"/>
        <w:spacing w:after="0" w:line="187" w:lineRule="auto"/>
        <w:tabs>
          <w:tab w:leader="none" w:pos="420" w:val="left"/>
        </w:tabs>
        <w:numPr>
          <w:ilvl w:val="0"/>
          <w:numId w:val="11"/>
        </w:numPr>
        <w:rPr>
          <w:rFonts w:ascii="Arial" w:cs="Arial" w:eastAsia="Arial" w:hAnsi="Arial"/>
          <w:sz w:val="22"/>
          <w:szCs w:val="22"/>
          <w:color w:val="auto"/>
          <w:vertAlign w:val="superscript"/>
        </w:rPr>
      </w:pPr>
      <w:r>
        <w:rPr>
          <w:rFonts w:ascii="Arial" w:cs="Arial" w:eastAsia="Arial" w:hAnsi="Arial"/>
          <w:sz w:val="12"/>
          <w:szCs w:val="12"/>
          <w:color w:val="auto"/>
        </w:rPr>
        <w:t>Sales growth rates excluding the impact of the termination of the TI distribution agreement.</w:t>
      </w:r>
    </w:p>
    <w:p>
      <w:pPr>
        <w:spacing w:after="0" w:line="214" w:lineRule="exact"/>
        <w:rPr>
          <w:sz w:val="20"/>
          <w:szCs w:val="20"/>
          <w:color w:val="auto"/>
        </w:rPr>
      </w:pPr>
    </w:p>
    <w:p>
      <w:pPr>
        <w:ind w:left="60" w:right="339" w:firstLine="427"/>
        <w:spacing w:after="0" w:line="275" w:lineRule="auto"/>
        <w:rPr>
          <w:sz w:val="20"/>
          <w:szCs w:val="20"/>
          <w:color w:val="auto"/>
        </w:rPr>
      </w:pPr>
      <w:r>
        <w:rPr>
          <w:rFonts w:ascii="Arial" w:cs="Arial" w:eastAsia="Arial" w:hAnsi="Arial"/>
          <w:sz w:val="17"/>
          <w:szCs w:val="17"/>
          <w:color w:val="auto"/>
        </w:rPr>
        <w:t>Sales of $5.87 billion for the second quarter of fiscal 2022 were up $1.20 billion, or 25.6%, from the prior year second quarter sales of $4.67 billion. Sales in constant currency in the second quarter of fiscal 2022 increased by 27.4% year over year. Organic sales in constant currency excluding TI sales in the second quarter of fiscal 2022 were 28.8% higher than sales in the second quarter of fiscal 2021, reflecting sales growth in both operating groups across all regions driven by strong demand globally for electronic components.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firstLine="427"/>
        <w:spacing w:after="0" w:line="257" w:lineRule="auto"/>
        <w:rPr>
          <w:sz w:val="20"/>
          <w:szCs w:val="20"/>
          <w:color w:val="auto"/>
        </w:rPr>
      </w:pPr>
      <w:r>
        <w:rPr>
          <w:rFonts w:ascii="Arial" w:cs="Arial" w:eastAsia="Arial" w:hAnsi="Arial"/>
          <w:sz w:val="18"/>
          <w:szCs w:val="18"/>
          <w:color w:val="auto"/>
        </w:rPr>
        <w:t>EC sales of $5.42 billion in the second quarter of fiscal 2022 increased $1.08 billion or 24.9% from the prior year second quarter sales of $4.34 billion. On an organic basis, EC sales excluding TI increased 28.2% year over year in constant currency, reflecting sales growth in all three regions. The increase in sales in the Company’s EC operating group is primarily due to improvements in overall market demand and stronger demand, especially in the transportation and industrial sectors.</w:t>
      </w:r>
    </w:p>
    <w:p>
      <w:pPr>
        <w:spacing w:after="0" w:line="188" w:lineRule="exact"/>
        <w:rPr>
          <w:sz w:val="20"/>
          <w:szCs w:val="20"/>
          <w:color w:val="auto"/>
        </w:rPr>
      </w:pPr>
    </w:p>
    <w:p>
      <w:pPr>
        <w:ind w:left="60" w:right="199" w:firstLine="427"/>
        <w:spacing w:after="0" w:line="263" w:lineRule="auto"/>
        <w:rPr>
          <w:sz w:val="20"/>
          <w:szCs w:val="20"/>
          <w:color w:val="auto"/>
        </w:rPr>
      </w:pPr>
      <w:r>
        <w:rPr>
          <w:rFonts w:ascii="Arial" w:cs="Arial" w:eastAsia="Arial" w:hAnsi="Arial"/>
          <w:sz w:val="18"/>
          <w:szCs w:val="18"/>
          <w:color w:val="auto"/>
        </w:rPr>
        <w:t>Farnell sales for the second quarter of fiscal 2022 were $440.9 million, an increase of $115.1 million or 35.3% from the prior year second quarter sales of $325.8 million. Sales in constant currency increased 35.8% year over year. These increases were primarily a result of increased market demand in all three regions.</w:t>
      </w:r>
    </w:p>
    <w:p>
      <w:pPr>
        <w:spacing w:after="0" w:line="184" w:lineRule="exact"/>
        <w:rPr>
          <w:sz w:val="20"/>
          <w:szCs w:val="20"/>
          <w:color w:val="auto"/>
        </w:rPr>
      </w:pPr>
    </w:p>
    <w:p>
      <w:pPr>
        <w:jc w:val="both"/>
        <w:ind w:left="60" w:right="219" w:firstLine="427"/>
        <w:spacing w:after="0" w:line="286" w:lineRule="auto"/>
        <w:rPr>
          <w:sz w:val="20"/>
          <w:szCs w:val="20"/>
          <w:color w:val="auto"/>
        </w:rPr>
      </w:pPr>
      <w:r>
        <w:rPr>
          <w:rFonts w:ascii="Arial" w:cs="Arial" w:eastAsia="Arial" w:hAnsi="Arial"/>
          <w:sz w:val="17"/>
          <w:szCs w:val="17"/>
          <w:color w:val="auto"/>
        </w:rPr>
        <w:t>Sales for the first six months of fiscal 2022 were $11.45 billion, an increase of $2.06 billion as compared to sales of $9.39 billion for the first six months of fiscal 2021. The increase in sales is primarily the result of increased sales in both operating groups across all regions driven by strong demand globally for electronic components.</w:t>
      </w:r>
    </w:p>
    <w:p>
      <w:pPr>
        <w:spacing w:after="0" w:line="165" w:lineRule="exact"/>
        <w:rPr>
          <w:sz w:val="20"/>
          <w:szCs w:val="20"/>
          <w:color w:val="auto"/>
        </w:rPr>
      </w:pPr>
    </w:p>
    <w:p>
      <w:pPr>
        <w:ind w:left="60" w:right="99" w:firstLine="427"/>
        <w:spacing w:after="0" w:line="279" w:lineRule="auto"/>
        <w:rPr>
          <w:sz w:val="20"/>
          <w:szCs w:val="20"/>
          <w:color w:val="auto"/>
        </w:rPr>
      </w:pPr>
      <w:r>
        <w:rPr>
          <w:rFonts w:ascii="Arial" w:cs="Arial" w:eastAsia="Arial" w:hAnsi="Arial"/>
          <w:sz w:val="17"/>
          <w:szCs w:val="17"/>
          <w:color w:val="auto"/>
        </w:rPr>
        <w:t>As a result of the recent termination of the Company’s distribution agreement between Maxim Integrated Products, Inc. (“Maxim”) and the Electronic Components operating group, the Company may experience lower sales and gross profit in the future if the impact of the termination is not offset by sales growth, gross margin improvements or operating cost reductions. Sales from Maxim products represented approximately 3% of total sales in fiscal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60" w:right="199" w:firstLine="432"/>
        <w:spacing w:after="0" w:line="254" w:lineRule="auto"/>
        <w:rPr>
          <w:sz w:val="20"/>
          <w:szCs w:val="20"/>
          <w:color w:val="auto"/>
        </w:rPr>
      </w:pPr>
      <w:r>
        <w:rPr>
          <w:rFonts w:ascii="Arial" w:cs="Arial" w:eastAsia="Arial" w:hAnsi="Arial"/>
          <w:sz w:val="18"/>
          <w:szCs w:val="18"/>
          <w:color w:val="auto"/>
        </w:rPr>
        <w:t>Gross profit for the second quarter of fiscal 2022 was $713.0 million, an increase of $201.8 million, or 39.5%, from the second quarter of fiscal 2021 gross profit of $511.3 million. Gross profit margin increased to 12.2% (or 121 basis points) from the second quarter of fiscal 2021 gross profit margin of 11.0%, driven by increases in gross profit margin in both operating groups primarily due to strong demand for electronic components that resulted in favorable pricing environment and geographic region sales mix. Sales in the higher gross profit margin western regions represented approximately 55% of sales in the second quarter of fiscal 2022, as compared to 52% during the second quarter of fiscal 2021.</w:t>
      </w:r>
    </w:p>
    <w:p>
      <w:pPr>
        <w:spacing w:after="0" w:line="195" w:lineRule="exact"/>
        <w:rPr>
          <w:sz w:val="20"/>
          <w:szCs w:val="20"/>
          <w:color w:val="auto"/>
        </w:rPr>
      </w:pPr>
    </w:p>
    <w:p>
      <w:pPr>
        <w:ind w:left="60" w:right="139" w:firstLine="432"/>
        <w:spacing w:after="0" w:line="277" w:lineRule="auto"/>
        <w:rPr>
          <w:sz w:val="20"/>
          <w:szCs w:val="20"/>
          <w:color w:val="auto"/>
        </w:rPr>
      </w:pPr>
      <w:r>
        <w:rPr>
          <w:rFonts w:ascii="Arial" w:cs="Arial" w:eastAsia="Arial" w:hAnsi="Arial"/>
          <w:sz w:val="18"/>
          <w:szCs w:val="18"/>
          <w:color w:val="auto"/>
        </w:rPr>
        <w:t>Gross profit and gross profit margin was $1.37 billion and 12.0%, respectively, for the first six months of fiscal 2022 as compared with $1.03 billion and 10.9%, respectively, for the first six months of fiscal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left="60" w:right="79" w:firstLine="432"/>
        <w:spacing w:after="0" w:line="301" w:lineRule="auto"/>
        <w:rPr>
          <w:sz w:val="20"/>
          <w:szCs w:val="20"/>
          <w:color w:val="auto"/>
        </w:rPr>
      </w:pPr>
      <w:r>
        <w:rPr>
          <w:rFonts w:ascii="Arial" w:cs="Arial" w:eastAsia="Arial" w:hAnsi="Arial"/>
          <w:sz w:val="16"/>
          <w:szCs w:val="16"/>
          <w:color w:val="auto"/>
        </w:rPr>
        <w:t>Selling, general and administrative expenses (“SG&amp;A expenses”) were $501.4 million in the second quarter of fiscal 2022, an increase of $59.3 million, or 13.4%, from the second quarter of fiscal 2021. The year-over-year increase in SG&amp;A expenses was primarily due to increases in costs to support sales growth, increased costs related to inflation including merit pay increases for employees, and to a lesser extent the impact of foreign currency due to the weakening of the U.S. Dollar.</w:t>
      </w:r>
    </w:p>
    <w:p>
      <w:pPr>
        <w:spacing w:after="0" w:line="157" w:lineRule="exact"/>
        <w:rPr>
          <w:sz w:val="20"/>
          <w:szCs w:val="20"/>
          <w:color w:val="auto"/>
        </w:rPr>
      </w:pPr>
    </w:p>
    <w:p>
      <w:pPr>
        <w:ind w:left="60" w:right="439" w:firstLine="427"/>
        <w:spacing w:after="0" w:line="291" w:lineRule="auto"/>
        <w:rPr>
          <w:sz w:val="20"/>
          <w:szCs w:val="20"/>
          <w:color w:val="auto"/>
        </w:rPr>
      </w:pPr>
      <w:r>
        <w:rPr>
          <w:rFonts w:ascii="Arial" w:cs="Arial" w:eastAsia="Arial" w:hAnsi="Arial"/>
          <w:sz w:val="16"/>
          <w:szCs w:val="16"/>
          <w:color w:val="auto"/>
        </w:rPr>
        <w:t>Metrics that management monitors with respect to its operating expenses are SG&amp;A expenses as a percentage of sales and as a percentage of gross profit. In the second quarter of fiscal 2022, SG&amp;A expenses were 8.6% of sales and</w:t>
      </w:r>
    </w:p>
    <w:p>
      <w:pPr>
        <w:ind w:left="60" w:right="119"/>
        <w:spacing w:after="0" w:line="253" w:lineRule="auto"/>
        <w:rPr>
          <w:sz w:val="20"/>
          <w:szCs w:val="20"/>
          <w:color w:val="auto"/>
        </w:rPr>
      </w:pPr>
      <w:r>
        <w:rPr>
          <w:rFonts w:ascii="Arial" w:cs="Arial" w:eastAsia="Arial" w:hAnsi="Arial"/>
          <w:sz w:val="18"/>
          <w:szCs w:val="18"/>
          <w:color w:val="auto"/>
        </w:rPr>
        <w:t>70.3% of gross profit, as compared with 9.5% and 86.5%, respectively, in the second quarter of fiscal 2021. The decrease in SG&amp;A expenses as a percentage of gross profit primarily results from operating leverage created from higher sales, increases in gross profit margin, and lower amortization expense, partially offset by increases in SG&amp;A expenses primarily to support sales volumes.</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SG&amp;A expenses for the first six months of fiscal 2022 were $987.5 million, or 8.6% of sales, as compared with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$913.2 million, or 9.7% of sales, in the first six months of fiscal 2021. SG&amp;A expenses as a percentage of gross profit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first six months of fiscal 2022 were 71.9% as compared with 88.9% in the first six months of fiscal 2021. The decrease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SG&amp;A expenses as a percentage of gross profit primarily results from operating leverage created from higher sales,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increase in gross profit margin, and lower amortization expense.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ind w:left="60" w:right="379" w:firstLine="427"/>
        <w:spacing w:after="0" w:line="263" w:lineRule="auto"/>
        <w:rPr>
          <w:sz w:val="20"/>
          <w:szCs w:val="20"/>
          <w:color w:val="auto"/>
        </w:rPr>
      </w:pPr>
      <w:r>
        <w:rPr>
          <w:rFonts w:ascii="Arial" w:cs="Arial" w:eastAsia="Arial" w:hAnsi="Arial"/>
          <w:sz w:val="18"/>
          <w:szCs w:val="18"/>
          <w:color w:val="auto"/>
        </w:rPr>
        <w:t>The Company did not incur any restructuring, integration and other expenses during the second quarter of fiscal 2022. During the first six months of fiscal 2022, the Company recorded restructuring, integration and other expenses of $5.3 million, substantially all of which was related to integration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ind w:left="60" w:right="79" w:firstLine="427"/>
        <w:spacing w:after="0" w:line="257" w:lineRule="auto"/>
        <w:rPr>
          <w:sz w:val="20"/>
          <w:szCs w:val="20"/>
          <w:color w:val="auto"/>
        </w:rPr>
      </w:pPr>
      <w:r>
        <w:rPr>
          <w:rFonts w:ascii="Arial" w:cs="Arial" w:eastAsia="Arial" w:hAnsi="Arial"/>
          <w:sz w:val="18"/>
          <w:szCs w:val="18"/>
          <w:color w:val="auto"/>
        </w:rPr>
        <w:t>Operating income for the second quarter of fiscal 2022 was $211.7 million, an increase of $154.5 million, from the second quarter of fiscal 2021 operating income of $57.2 million. Adjusted operating income for the second quarter of fiscal 2022 was $215.5 million, an increase of $135.9 million, or 170.7%, from the second quarter of fiscal 2021. The year-over-year increase in adjusted operating income was primarily driven by the increase in sales and in gross profit margin, partially offset by an increase in SG&amp;A expenses.</w:t>
      </w:r>
    </w:p>
    <w:p>
      <w:pPr>
        <w:spacing w:after="0" w:line="188" w:lineRule="exact"/>
        <w:rPr>
          <w:sz w:val="20"/>
          <w:szCs w:val="20"/>
          <w:color w:val="auto"/>
        </w:rPr>
      </w:pPr>
    </w:p>
    <w:p>
      <w:pPr>
        <w:ind w:left="60" w:right="139" w:firstLine="427"/>
        <w:spacing w:after="0" w:line="277" w:lineRule="auto"/>
        <w:rPr>
          <w:sz w:val="20"/>
          <w:szCs w:val="20"/>
          <w:color w:val="auto"/>
        </w:rPr>
      </w:pPr>
      <w:r>
        <w:rPr>
          <w:rFonts w:ascii="Arial" w:cs="Arial" w:eastAsia="Arial" w:hAnsi="Arial"/>
          <w:sz w:val="18"/>
          <w:szCs w:val="18"/>
          <w:color w:val="auto"/>
        </w:rPr>
        <w:t>EC operating income margin increased 109 basis points year over year to 3.5% and Farnell operating income margin increased 917 basis points year over year to 13.7%.</w:t>
      </w:r>
    </w:p>
    <w:p>
      <w:pPr>
        <w:spacing w:after="0" w:line="170" w:lineRule="exact"/>
        <w:rPr>
          <w:sz w:val="20"/>
          <w:szCs w:val="20"/>
          <w:color w:val="auto"/>
        </w:rPr>
      </w:pPr>
    </w:p>
    <w:p>
      <w:pPr>
        <w:ind w:left="60" w:right="199" w:firstLine="427"/>
        <w:spacing w:after="0" w:line="257" w:lineRule="auto"/>
        <w:rPr>
          <w:sz w:val="20"/>
          <w:szCs w:val="20"/>
          <w:color w:val="auto"/>
        </w:rPr>
      </w:pPr>
      <w:r>
        <w:rPr>
          <w:rFonts w:ascii="Arial" w:cs="Arial" w:eastAsia="Arial" w:hAnsi="Arial"/>
          <w:sz w:val="18"/>
          <w:szCs w:val="18"/>
          <w:color w:val="auto"/>
        </w:rPr>
        <w:t>Operating income for the first six months of fiscal 2022 was $379.9 million, an increase of $304.2 million, from the operating income of $75.7 million during the first six months of fiscal 2021. Adjusted operating income for the first six months of fiscal 2022 was $394.2 million, an increase of $249.5 million, or 172.5%, from the first six months of fiscal 2021. The year-over-year increase in adjusted operating income was primarily driven by the increase in sales and in gross profit margin.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and Other Financing Expenses, Net and Other Income (Expense), Net</w:t>
      </w:r>
    </w:p>
    <w:p>
      <w:pPr>
        <w:spacing w:after="0" w:line="229" w:lineRule="exact"/>
        <w:rPr>
          <w:sz w:val="20"/>
          <w:szCs w:val="20"/>
          <w:color w:val="auto"/>
        </w:rPr>
      </w:pPr>
    </w:p>
    <w:p>
      <w:pPr>
        <w:ind w:left="60" w:right="259" w:firstLine="432"/>
        <w:spacing w:after="0" w:line="257" w:lineRule="auto"/>
        <w:rPr>
          <w:sz w:val="20"/>
          <w:szCs w:val="20"/>
          <w:color w:val="auto"/>
        </w:rPr>
      </w:pPr>
      <w:r>
        <w:rPr>
          <w:rFonts w:ascii="Arial" w:cs="Arial" w:eastAsia="Arial" w:hAnsi="Arial"/>
          <w:sz w:val="18"/>
          <w:szCs w:val="18"/>
          <w:color w:val="auto"/>
        </w:rPr>
        <w:t>Interest and other financing expenses in the second quarter of fiscal 2022 was $21.6 million, an increase of $0.1 million, or 0.7%, as compared with interest and other financing expenses of $21.5 million in the second quarter of fiscal 2021. Interest and other financing expenses in the first six months of fiscal 2022 was $44.5 million, a decrease of $0.7 million, or 1.6%, as compared with interest and other financing expenses of $43.8 million in the first six months of fiscal 2021.</w:t>
      </w:r>
    </w:p>
    <w:p>
      <w:pPr>
        <w:spacing w:after="0" w:line="188" w:lineRule="exact"/>
        <w:rPr>
          <w:sz w:val="20"/>
          <w:szCs w:val="20"/>
          <w:color w:val="auto"/>
        </w:rPr>
      </w:pPr>
    </w:p>
    <w:p>
      <w:pPr>
        <w:ind w:left="60" w:right="119" w:firstLine="427"/>
        <w:spacing w:after="0" w:line="273" w:lineRule="auto"/>
        <w:rPr>
          <w:sz w:val="20"/>
          <w:szCs w:val="20"/>
          <w:color w:val="auto"/>
        </w:rPr>
      </w:pPr>
      <w:r>
        <w:rPr>
          <w:rFonts w:ascii="Arial" w:cs="Arial" w:eastAsia="Arial" w:hAnsi="Arial"/>
          <w:sz w:val="17"/>
          <w:szCs w:val="17"/>
          <w:color w:val="auto"/>
        </w:rPr>
        <w:t>During the second quarter of fiscal 2022, the Company had $1.7 million of other income as compared with $1.3 million of other expense in the second quarter of fiscal 2021. During the first six months of fiscal 2022, the Company had $1.3 million of other income as compared with $20.8 million of other expense in the first six months of fiscal 2021. The year-over-year differences in other expense was primarily due to the equity investment impairment expense included in the other expense in the first six months of fiscal 2021, and differences in foreign currency exchange rates between the second quarters and first six months of fiscal 2022 and fiscal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left="60" w:right="199" w:firstLine="427"/>
        <w:spacing w:after="0" w:line="308" w:lineRule="auto"/>
        <w:rPr>
          <w:sz w:val="20"/>
          <w:szCs w:val="20"/>
          <w:color w:val="auto"/>
        </w:rPr>
      </w:pPr>
      <w:r>
        <w:rPr>
          <w:rFonts w:ascii="Arial" w:cs="Arial" w:eastAsia="Arial" w:hAnsi="Arial"/>
          <w:sz w:val="17"/>
          <w:szCs w:val="17"/>
          <w:color w:val="auto"/>
        </w:rPr>
        <w:t>The Company’s effective tax rate on its income before taxes was 21.4% in the second quarter of fiscal 2022. During the second quarter of fiscal 2022, there were no material items impacting the Company’s effective tax rate.</w:t>
      </w:r>
    </w:p>
    <w:p>
      <w:pPr>
        <w:spacing w:after="0" w:line="146" w:lineRule="exact"/>
        <w:rPr>
          <w:sz w:val="20"/>
          <w:szCs w:val="20"/>
          <w:color w:val="auto"/>
        </w:rPr>
      </w:pPr>
    </w:p>
    <w:p>
      <w:pPr>
        <w:ind w:left="60" w:right="399" w:firstLine="427"/>
        <w:spacing w:after="0" w:line="286" w:lineRule="auto"/>
        <w:rPr>
          <w:sz w:val="20"/>
          <w:szCs w:val="20"/>
          <w:color w:val="auto"/>
        </w:rPr>
      </w:pPr>
      <w:r>
        <w:rPr>
          <w:rFonts w:ascii="Arial" w:cs="Arial" w:eastAsia="Arial" w:hAnsi="Arial"/>
          <w:sz w:val="17"/>
          <w:szCs w:val="17"/>
          <w:color w:val="auto"/>
        </w:rPr>
        <w:t>During the second quarter of fiscal 2021, the Company’s effective tax rate on its income before taxes was 44.3%. During the second quarter of fiscal 2021, the Company’s effective tax rate was unfavorably impacted primarily by increases to valuation allowances, partially offset by the mix of income in lower tax jurisdictions.</w:t>
      </w:r>
    </w:p>
    <w:p>
      <w:pPr>
        <w:spacing w:after="0" w:line="165" w:lineRule="exact"/>
        <w:rPr>
          <w:sz w:val="20"/>
          <w:szCs w:val="20"/>
          <w:color w:val="auto"/>
        </w:rPr>
      </w:pPr>
    </w:p>
    <w:p>
      <w:pPr>
        <w:ind w:left="60" w:right="259" w:firstLine="427"/>
        <w:spacing w:after="0" w:line="263" w:lineRule="auto"/>
        <w:rPr>
          <w:sz w:val="20"/>
          <w:szCs w:val="20"/>
          <w:color w:val="auto"/>
        </w:rPr>
      </w:pPr>
      <w:r>
        <w:rPr>
          <w:rFonts w:ascii="Arial" w:cs="Arial" w:eastAsia="Arial" w:hAnsi="Arial"/>
          <w:sz w:val="18"/>
          <w:szCs w:val="18"/>
          <w:color w:val="auto"/>
        </w:rPr>
        <w:t>For the first six months of fiscal 2022, the Company’s effective tax rate on its income before taxes was 22.2%. The effective tax rate for the first six months of fiscal 2022 was unfavorably impacted primarily by increases to valuation allowances.</w:t>
      </w:r>
    </w:p>
    <w:p>
      <w:pPr>
        <w:spacing w:after="0" w:line="184"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During the first six months of fiscal 2021, the Company’s effective tax rate on its income before taxes was 97.5%. The effective tax rate for the first six months of fiscal 2021 was unfavorably impacted primarily by increases to valuation allowances, partially offset by the mix of income in lower tax jurisdictions.</w:t>
      </w:r>
    </w:p>
    <w:p>
      <w:pPr>
        <w:sectPr>
          <w:pgSz w:w="11900" w:h="16838" w:orient="portrait"/>
          <w:cols w:equalWidth="0" w:num="1">
            <w:col w:w="9019"/>
          </w:cols>
          <w:pgMar w:left="1440" w:top="544"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0" w:right="79" w:firstLine="432"/>
        <w:spacing w:after="0" w:line="263" w:lineRule="auto"/>
        <w:rPr>
          <w:sz w:val="20"/>
          <w:szCs w:val="20"/>
          <w:color w:val="auto"/>
        </w:rPr>
      </w:pPr>
      <w:r>
        <w:rPr>
          <w:rFonts w:ascii="Arial" w:cs="Arial" w:eastAsia="Arial" w:hAnsi="Arial"/>
          <w:sz w:val="18"/>
          <w:szCs w:val="18"/>
          <w:color w:val="auto"/>
        </w:rPr>
        <w:t>In January 2022, the U.S. Treasury published new regulations impacting foreign tax credit utilization. The Company is still evaluating this new tax regulation and the impact to income tax expense, which could have a significant impact on income expense in the third quarter of fiscal 2022.</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left="60" w:right="139" w:firstLine="427"/>
        <w:spacing w:after="0" w:line="263"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second quarter of fiscal 2022 was $150.8 million, or $1.50 per share on a diluted basis, as compared with $19.2 million, or $0.19 per share on a diluted basis, in the second quarter of fiscal 2021.</w:t>
      </w:r>
    </w:p>
    <w:p>
      <w:pPr>
        <w:spacing w:after="0" w:line="184" w:lineRule="exact"/>
        <w:rPr>
          <w:sz w:val="20"/>
          <w:szCs w:val="20"/>
          <w:color w:val="auto"/>
        </w:rPr>
      </w:pPr>
    </w:p>
    <w:p>
      <w:pPr>
        <w:ind w:left="60" w:right="239" w:firstLine="427"/>
        <w:spacing w:after="0" w:line="263"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six months of fiscal 2022 was $262.1 million, or $2.60 per share on a diluted basis, as compared with $0.3 million, or $0.00 per share on a diluted basis, in the first six months of fiscal 2021.</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ind w:left="60" w:right="79" w:firstLine="432"/>
        <w:spacing w:after="0" w:line="287" w:lineRule="auto"/>
        <w:rPr>
          <w:sz w:val="20"/>
          <w:szCs w:val="20"/>
          <w:color w:val="auto"/>
        </w:rPr>
      </w:pPr>
      <w:r>
        <w:rPr>
          <w:rFonts w:ascii="Arial" w:cs="Arial" w:eastAsia="Arial" w:hAnsi="Arial"/>
          <w:sz w:val="16"/>
          <w:szCs w:val="16"/>
          <w:color w:val="auto"/>
        </w:rPr>
        <w:t>During the first six months of fiscal 2022, the Company used $263.2 million of cash flow for operations compared to $207.4 million of cash generated from operations in the first six months of fiscal 2021. These operating cash flows were comprised of: (i) cash flow generated from net income, adjusted for the impact of non-cash and other items, which includes depreciation and amortization expenses, deferred income taxes, stock-based compensation expense, amortization of operating lease assets, and other non-cash items, and (ii) cash flows used for, or generated from, working capital and other, excluding cash and cash equivalents. Cash used for working capital and other was $631.0 million during the first six months of fiscal 2022, including increases in accounts receivable of $558.7 million and in inventories of $359.8 million both to support sales growth in the first six months of fiscal 2022, and a decrease in accrued expenses and other of $41.1 million, partially offset by an increase in accounts payable of $328.6 million. Comparatively, cash generated from working capital and other was $57.3 million during the first six months of fiscal 2021, including an increase in accounts payable of $130.8 million, and a decrease in inventories of $51.2 million, partially offset by an increase in accounts receivable of $94.8 million, and a decrease in accrued expenses and other of $29.8 million.</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ind w:left="60" w:right="679" w:firstLine="432"/>
        <w:spacing w:after="0" w:line="311" w:lineRule="auto"/>
        <w:rPr>
          <w:sz w:val="20"/>
          <w:szCs w:val="20"/>
          <w:color w:val="auto"/>
        </w:rPr>
      </w:pPr>
      <w:r>
        <w:rPr>
          <w:rFonts w:ascii="Arial" w:cs="Arial" w:eastAsia="Arial" w:hAnsi="Arial"/>
          <w:sz w:val="16"/>
          <w:szCs w:val="16"/>
          <w:color w:val="auto"/>
        </w:rPr>
        <w:t>During the first six months of fiscal 2022, the Company received net proceeds of $190.4 million under the Securitization Program, and $109.7 million under the Credit Facility. During the first six months of fiscal 2022, the Company paid dividends on common stock of $47.6 million and repurchased $45.6 million of common stock.</w:t>
      </w:r>
    </w:p>
    <w:p>
      <w:pPr>
        <w:spacing w:after="0" w:line="149" w:lineRule="exact"/>
        <w:rPr>
          <w:sz w:val="20"/>
          <w:szCs w:val="20"/>
          <w:color w:val="auto"/>
        </w:rPr>
      </w:pPr>
    </w:p>
    <w:p>
      <w:pPr>
        <w:ind w:left="60" w:right="239" w:firstLine="432"/>
        <w:spacing w:after="0" w:line="263" w:lineRule="auto"/>
        <w:rPr>
          <w:sz w:val="20"/>
          <w:szCs w:val="20"/>
          <w:color w:val="auto"/>
        </w:rPr>
      </w:pPr>
      <w:r>
        <w:rPr>
          <w:rFonts w:ascii="Arial" w:cs="Arial" w:eastAsia="Arial" w:hAnsi="Arial"/>
          <w:sz w:val="18"/>
          <w:szCs w:val="18"/>
          <w:color w:val="auto"/>
        </w:rPr>
        <w:t>During the first six months of fiscal 2021, the Company received net proceeds of $11.8 million under the Securitization Program and made a net repayment of $239.4 million under the Credit Facility. During the first six months of fiscal 2021, the Company paid dividends on common stock of $41.5 million.</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ind w:left="60" w:right="159" w:firstLine="432"/>
        <w:spacing w:after="0" w:line="257" w:lineRule="auto"/>
        <w:rPr>
          <w:sz w:val="20"/>
          <w:szCs w:val="20"/>
          <w:color w:val="auto"/>
        </w:rPr>
      </w:pPr>
      <w:r>
        <w:rPr>
          <w:rFonts w:ascii="Arial" w:cs="Arial" w:eastAsia="Arial" w:hAnsi="Arial"/>
          <w:sz w:val="18"/>
          <w:szCs w:val="18"/>
          <w:color w:val="auto"/>
        </w:rPr>
        <w:t>During the first six months of fiscal 2022, the Company used $22.1 million for capital expenditures compared to $30.0 million for capital expenditures in the first six months of fiscal 2021. Additionally, during the first six months of fiscal 2022, the $67.6 million received from other investing activities was substantially all related to the liquidation of Company owned life insurance policies. During the first six months of fiscal 2021, the Company paid $18.4 million for an asset acquisition.</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99" w:firstLine="432"/>
        <w:spacing w:after="0" w:line="296" w:lineRule="auto"/>
        <w:rPr>
          <w:sz w:val="20"/>
          <w:szCs w:val="20"/>
          <w:color w:val="auto"/>
        </w:rPr>
      </w:pPr>
      <w:r>
        <w:rPr>
          <w:rFonts w:ascii="Arial" w:cs="Arial" w:eastAsia="Arial" w:hAnsi="Arial"/>
          <w:sz w:val="16"/>
          <w:szCs w:val="16"/>
          <w:color w:val="auto"/>
        </w:rPr>
        <w:t xml:space="preserve">For a detailed description of the Company’s long-term debt and lease commitments for the next five years and thereafter, see </w:t>
      </w:r>
      <w:r>
        <w:rPr>
          <w:rFonts w:ascii="Arial" w:cs="Arial" w:eastAsia="Arial" w:hAnsi="Arial"/>
          <w:sz w:val="16"/>
          <w:szCs w:val="16"/>
          <w:i w:val="1"/>
          <w:iCs w:val="1"/>
          <w:color w:val="auto"/>
        </w:rPr>
        <w:t>Long-Term Contractual Obligations</w:t>
      </w:r>
      <w:r>
        <w:rPr>
          <w:rFonts w:ascii="Arial" w:cs="Arial" w:eastAsia="Arial" w:hAnsi="Arial"/>
          <w:sz w:val="16"/>
          <w:szCs w:val="16"/>
          <w:color w:val="auto"/>
        </w:rPr>
        <w:t xml:space="preserve"> appearing in Item 7 of the Company’s Annual Report on Form 10-K for the fiscal year ended July 3, 2021.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ind w:left="60" w:right="119" w:firstLine="432"/>
        <w:spacing w:after="0" w:line="279" w:lineRule="auto"/>
        <w:rPr>
          <w:sz w:val="20"/>
          <w:szCs w:val="20"/>
          <w:color w:val="auto"/>
        </w:rPr>
      </w:pPr>
      <w:r>
        <w:rPr>
          <w:rFonts w:ascii="Arial" w:cs="Arial" w:eastAsia="Arial" w:hAnsi="Arial"/>
          <w:sz w:val="17"/>
          <w:szCs w:val="17"/>
          <w:color w:val="auto"/>
        </w:rPr>
        <w:t>See Note 4, “Debt” to the Company’s consolidated financial statements included in this Quarterly Report on Form 10-Q for additional information on financing transactions including the Credit Facility, the Securitization Program, and other outstanding debt as of January 1, 2022. The Company was in compliance with all covenants under the Credit Facility and the Securitization Program as of January 1, 2022, and July 3, 2021.</w:t>
      </w:r>
    </w:p>
    <w:p>
      <w:pPr>
        <w:spacing w:after="0" w:line="171" w:lineRule="exact"/>
        <w:rPr>
          <w:sz w:val="20"/>
          <w:szCs w:val="20"/>
          <w:color w:val="auto"/>
        </w:rPr>
      </w:pPr>
    </w:p>
    <w:p>
      <w:pPr>
        <w:ind w:left="60" w:right="79" w:firstLine="427"/>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second quarter of fiscal 2022 was $90.2 million.</w:t>
      </w:r>
    </w:p>
    <w:p>
      <w:pPr>
        <w:spacing w:after="0" w:line="187" w:lineRule="exact"/>
        <w:rPr>
          <w:sz w:val="20"/>
          <w:szCs w:val="20"/>
          <w:color w:val="auto"/>
        </w:rPr>
      </w:pPr>
    </w:p>
    <w:p>
      <w:pPr>
        <w:ind w:left="60" w:right="339" w:firstLine="427"/>
        <w:spacing w:after="0" w:line="275" w:lineRule="auto"/>
        <w:rPr>
          <w:sz w:val="20"/>
          <w:szCs w:val="20"/>
          <w:color w:val="auto"/>
        </w:rPr>
      </w:pPr>
      <w:r>
        <w:rPr>
          <w:rFonts w:ascii="Arial" w:cs="Arial" w:eastAsia="Arial" w:hAnsi="Arial"/>
          <w:sz w:val="17"/>
          <w:szCs w:val="17"/>
          <w:color w:val="auto"/>
        </w:rPr>
        <w:t>As an alternative form of financing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79" w:firstLine="432"/>
        <w:spacing w:after="0" w:line="263" w:lineRule="auto"/>
        <w:rPr>
          <w:sz w:val="20"/>
          <w:szCs w:val="20"/>
          <w:color w:val="auto"/>
        </w:rPr>
      </w:pPr>
      <w:r>
        <w:rPr>
          <w:rFonts w:ascii="Arial" w:cs="Arial" w:eastAsia="Arial" w:hAnsi="Arial"/>
          <w:sz w:val="18"/>
          <w:szCs w:val="18"/>
          <w:color w:val="auto"/>
        </w:rPr>
        <w:t>The Company held cash and cash equivalents of $167.8 million as of January 1, 2022, of which $106.4 million was held outside the United States. As of July 3, 2021, the Company held cash and cash equivalents of $199.7 million, of which $150.5 million was held outside of the United States.</w:t>
      </w:r>
    </w:p>
    <w:p>
      <w:pPr>
        <w:spacing w:after="0" w:line="184" w:lineRule="exact"/>
        <w:rPr>
          <w:sz w:val="20"/>
          <w:szCs w:val="20"/>
          <w:color w:val="auto"/>
        </w:rPr>
      </w:pPr>
    </w:p>
    <w:p>
      <w:pPr>
        <w:ind w:left="60" w:right="99" w:firstLine="427"/>
        <w:spacing w:after="0" w:line="255" w:lineRule="auto"/>
        <w:rPr>
          <w:sz w:val="20"/>
          <w:szCs w:val="20"/>
          <w:color w:val="auto"/>
        </w:rPr>
      </w:pPr>
      <w:r>
        <w:rPr>
          <w:rFonts w:ascii="Arial" w:cs="Arial" w:eastAsia="Arial" w:hAnsi="Arial"/>
          <w:sz w:val="18"/>
          <w:szCs w:val="18"/>
          <w:color w:val="auto"/>
        </w:rPr>
        <w:t>As of the end of the second quarter of fiscal 2022, the Company had a combined total borrowing capacity of $1.70 billion under the Credit Facility and the Securitization Program. There were no borrowings outstanding and $1.2 million in letters of credit issued under the Credit Facility, and $213.3 million outstanding under the Securitization Program, resulting in approximately $1.49 billion of total availability as of January 1, 2022. Availability under the Securitization Program is subject to the Company having sufficient eligible trade accounts receivable in the United States to support desired borrowings.</w:t>
      </w:r>
    </w:p>
    <w:p>
      <w:pPr>
        <w:spacing w:after="0" w:line="192" w:lineRule="exact"/>
        <w:rPr>
          <w:sz w:val="20"/>
          <w:szCs w:val="20"/>
          <w:color w:val="auto"/>
        </w:rPr>
      </w:pPr>
    </w:p>
    <w:p>
      <w:pPr>
        <w:ind w:left="60" w:right="99" w:firstLine="432"/>
        <w:spacing w:after="0" w:line="263" w:lineRule="auto"/>
        <w:rPr>
          <w:sz w:val="20"/>
          <w:szCs w:val="20"/>
          <w:color w:val="auto"/>
        </w:rPr>
      </w:pPr>
      <w:r>
        <w:rPr>
          <w:rFonts w:ascii="Arial" w:cs="Arial" w:eastAsia="Arial" w:hAnsi="Arial"/>
          <w:sz w:val="18"/>
          <w:szCs w:val="18"/>
          <w:color w:val="auto"/>
        </w:rPr>
        <w:t>During the second quarter and first six months of fiscal 2022, the Company had an average daily balance outstanding of approximately $520.3 million and $436.7 million, respectively, under the Credit Facility and approximately $275.7 million and $207.6 million, respectively, under the Securitization Program.</w:t>
      </w:r>
    </w:p>
    <w:p>
      <w:pPr>
        <w:spacing w:after="0" w:line="184" w:lineRule="exact"/>
        <w:rPr>
          <w:sz w:val="20"/>
          <w:szCs w:val="20"/>
          <w:color w:val="auto"/>
        </w:rPr>
      </w:pPr>
    </w:p>
    <w:p>
      <w:pPr>
        <w:ind w:left="60" w:right="259" w:firstLine="432"/>
        <w:spacing w:after="0" w:line="259"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used $379.7 million in cash flows for operating activities over the trailing four fiscal quarters ended January 1, 2022.</w:t>
      </w:r>
    </w:p>
    <w:p>
      <w:pPr>
        <w:spacing w:after="0" w:line="187" w:lineRule="exact"/>
        <w:rPr>
          <w:sz w:val="20"/>
          <w:szCs w:val="20"/>
          <w:color w:val="auto"/>
        </w:rPr>
      </w:pPr>
    </w:p>
    <w:p>
      <w:pPr>
        <w:ind w:left="60" w:right="79" w:firstLine="427"/>
        <w:spacing w:after="0" w:line="296" w:lineRule="auto"/>
        <w:rPr>
          <w:sz w:val="20"/>
          <w:szCs w:val="20"/>
          <w:color w:val="auto"/>
        </w:rPr>
      </w:pPr>
      <w:r>
        <w:rPr>
          <w:rFonts w:ascii="Arial" w:cs="Arial" w:eastAsia="Arial" w:hAnsi="Arial"/>
          <w:sz w:val="16"/>
          <w:szCs w:val="16"/>
          <w:color w:val="auto"/>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expenditures and other foreign business needs. In addition, local government regulations may restrict the Company’s ability to move funds among various locations under certain circumstances.</w:t>
      </w:r>
    </w:p>
    <w:p>
      <w:pPr>
        <w:sectPr>
          <w:pgSz w:w="11900" w:h="16838" w:orient="portrait"/>
          <w:cols w:equalWidth="0" w:num="1">
            <w:col w:w="9019"/>
          </w:cols>
          <w:pgMar w:left="1440" w:top="544"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Management does not believe such restrictions would limit the Company’s ability to pursue its intended business strategy.</w:t>
      </w:r>
    </w:p>
    <w:p>
      <w:pPr>
        <w:spacing w:after="0" w:line="248" w:lineRule="exact"/>
        <w:rPr>
          <w:sz w:val="20"/>
          <w:szCs w:val="20"/>
          <w:color w:val="auto"/>
        </w:rPr>
      </w:pPr>
    </w:p>
    <w:p>
      <w:pPr>
        <w:ind w:left="60" w:right="139" w:firstLine="427"/>
        <w:spacing w:after="0" w:line="255" w:lineRule="auto"/>
        <w:rPr>
          <w:sz w:val="20"/>
          <w:szCs w:val="20"/>
          <w:color w:val="auto"/>
        </w:rPr>
      </w:pPr>
      <w:r>
        <w:rPr>
          <w:rFonts w:ascii="Arial" w:cs="Arial" w:eastAsia="Arial" w:hAnsi="Arial"/>
          <w:sz w:val="18"/>
          <w:szCs w:val="18"/>
          <w:color w:val="auto"/>
        </w:rPr>
        <w:t>The Company continually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 The Company may also renew or replace expiring debt arrangements in the future and management believes the Company will have adequate access to capital markets, if needed. The Company has historically generated operating cash flows and believes it will have the ability to do so in the future.</w:t>
      </w:r>
    </w:p>
    <w:p>
      <w:pPr>
        <w:spacing w:after="0" w:line="192" w:lineRule="exact"/>
        <w:rPr>
          <w:sz w:val="20"/>
          <w:szCs w:val="20"/>
          <w:color w:val="auto"/>
        </w:rPr>
      </w:pPr>
    </w:p>
    <w:p>
      <w:pPr>
        <w:ind w:left="60" w:right="219" w:firstLine="427"/>
        <w:spacing w:after="0" w:line="296" w:lineRule="auto"/>
        <w:rPr>
          <w:sz w:val="20"/>
          <w:szCs w:val="20"/>
          <w:color w:val="auto"/>
        </w:rPr>
      </w:pPr>
      <w:r>
        <w:rPr>
          <w:rFonts w:ascii="Arial" w:cs="Arial" w:eastAsia="Arial" w:hAnsi="Arial"/>
          <w:sz w:val="16"/>
          <w:szCs w:val="16"/>
          <w:color w:val="auto"/>
        </w:rPr>
        <w:t>As of January 1, 2022, the Company may repurchase up to an aggregate of $423.1 million of shares of the Company’s common stock through a $2.95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During the second quarter of fiscal 2022, the Company repurchased $35.3 million of common stock.</w:t>
      </w:r>
    </w:p>
    <w:p>
      <w:pPr>
        <w:spacing w:after="0" w:line="161" w:lineRule="exact"/>
        <w:rPr>
          <w:sz w:val="20"/>
          <w:szCs w:val="20"/>
          <w:color w:val="auto"/>
        </w:rPr>
      </w:pPr>
    </w:p>
    <w:p>
      <w:pPr>
        <w:jc w:val="both"/>
        <w:ind w:left="60" w:right="159" w:firstLine="427"/>
        <w:spacing w:after="0" w:line="311" w:lineRule="auto"/>
        <w:rPr>
          <w:sz w:val="20"/>
          <w:szCs w:val="20"/>
          <w:color w:val="auto"/>
        </w:rPr>
      </w:pPr>
      <w:r>
        <w:rPr>
          <w:rFonts w:ascii="Arial" w:cs="Arial" w:eastAsia="Arial" w:hAnsi="Arial"/>
          <w:sz w:val="16"/>
          <w:szCs w:val="16"/>
          <w:color w:val="auto"/>
        </w:rPr>
        <w:t>The Company has historically paid quarterly cash dividends on shares of its common stock, and future dividends are subject to approval by the Board of Directors. During the second quarter of fiscal 2022, the Board of Directors approved a dividend of $0.24 per share, which resulted in $23.7 million of dividend payments during the quarter.</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319" w:firstLine="432"/>
        <w:spacing w:after="0" w:line="263" w:lineRule="auto"/>
        <w:rPr>
          <w:sz w:val="20"/>
          <w:szCs w:val="20"/>
          <w:color w:val="auto"/>
        </w:rPr>
      </w:pPr>
      <w:r>
        <w:rPr>
          <w:rFonts w:ascii="Arial" w:cs="Arial" w:eastAsia="Arial" w:hAnsi="Arial"/>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60" w:right="399"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ind w:left="60" w:right="79" w:firstLine="427"/>
        <w:spacing w:after="0" w:line="291" w:lineRule="auto"/>
        <w:rPr>
          <w:sz w:val="20"/>
          <w:szCs w:val="20"/>
          <w:color w:val="auto"/>
        </w:rPr>
      </w:pPr>
      <w:r>
        <w:rPr>
          <w:rFonts w:ascii="Arial" w:cs="Arial" w:eastAsia="Arial" w:hAnsi="Arial"/>
          <w:sz w:val="16"/>
          <w:szCs w:val="16"/>
          <w:color w:val="auto"/>
        </w:rPr>
        <w:t xml:space="preserve">See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the Company’s Annual Report on Form 10-K for the fiscal year ended July 3, 2021, for further discussion of market risks associated with foreign currency exchange rates and interest rates. Avnet’s exposure to such risks has not changed materially since July 3, 2021,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66" w:lineRule="exact"/>
        <w:rPr>
          <w:sz w:val="20"/>
          <w:szCs w:val="20"/>
          <w:color w:val="auto"/>
        </w:rPr>
      </w:pPr>
    </w:p>
    <w:p>
      <w:pPr>
        <w:ind w:left="60" w:right="59" w:firstLine="427"/>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January 1, 2022, approximately 80% of the Company’s debt bears interest at a fixed rate and 20% of the Company’s debt bears interest at variable rates. Therefore, a hypothetical 1.0% (100 basis points) increase in interest rates would result in a $0.8 million decrease in income before income taxes in the Company’s consolidated statement of operations for the second quarter of fiscal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left="60" w:right="99" w:firstLine="432"/>
        <w:spacing w:after="0" w:line="269"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85" w:lineRule="exact"/>
        <w:rPr>
          <w:sz w:val="20"/>
          <w:szCs w:val="20"/>
          <w:color w:val="auto"/>
        </w:rPr>
      </w:pPr>
    </w:p>
    <w:p>
      <w:pPr>
        <w:ind w:left="60" w:right="59" w:firstLine="432"/>
        <w:spacing w:after="0" w:line="263" w:lineRule="auto"/>
        <w:rPr>
          <w:sz w:val="20"/>
          <w:szCs w:val="20"/>
          <w:color w:val="auto"/>
        </w:rPr>
      </w:pPr>
      <w:r>
        <w:rPr>
          <w:rFonts w:ascii="Arial" w:cs="Arial" w:eastAsia="Arial" w:hAnsi="Arial"/>
          <w:sz w:val="18"/>
          <w:szCs w:val="18"/>
          <w:color w:val="auto"/>
        </w:rPr>
        <w:t>During the second quarter of fiscal 2022,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0" w:right="239"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78" w:lineRule="exact"/>
        <w:rPr>
          <w:sz w:val="20"/>
          <w:szCs w:val="20"/>
          <w:color w:val="auto"/>
        </w:rPr>
      </w:pPr>
    </w:p>
    <w:p>
      <w:pPr>
        <w:jc w:val="both"/>
        <w:ind w:left="60" w:right="299" w:firstLine="432"/>
        <w:spacing w:after="0" w:line="301" w:lineRule="auto"/>
        <w:rPr>
          <w:sz w:val="20"/>
          <w:szCs w:val="20"/>
          <w:color w:val="auto"/>
        </w:rPr>
      </w:pPr>
      <w:r>
        <w:rPr>
          <w:rFonts w:ascii="Arial" w:cs="Arial" w:eastAsia="Arial" w:hAnsi="Arial"/>
          <w:sz w:val="16"/>
          <w:szCs w:val="16"/>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5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left="60" w:right="99" w:firstLine="432"/>
        <w:spacing w:after="0" w:line="273" w:lineRule="auto"/>
        <w:rPr>
          <w:sz w:val="20"/>
          <w:szCs w:val="20"/>
          <w:color w:val="auto"/>
        </w:rPr>
      </w:pPr>
      <w:r>
        <w:rPr>
          <w:rFonts w:ascii="Arial" w:cs="Arial" w:eastAsia="Arial" w:hAnsi="Arial"/>
          <w:sz w:val="17"/>
          <w:szCs w:val="17"/>
          <w:color w:val="auto"/>
        </w:rPr>
        <w:t>The discussion of the Company’s business and operations should be read together with the risk factors contained in Item 1A of its Annual Report on Form 10-K for the fiscal year ended July 3, 2021,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January 1, 2022, there have been no material changes to the risk factors set forth in the Company’s Annual Report on Form 10-K for the fiscal year ended July 3,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60" w:right="199" w:firstLine="432"/>
        <w:spacing w:after="0" w:line="279" w:lineRule="auto"/>
        <w:rPr>
          <w:sz w:val="20"/>
          <w:szCs w:val="20"/>
          <w:color w:val="auto"/>
        </w:rPr>
      </w:pPr>
      <w:r>
        <w:rPr>
          <w:rFonts w:ascii="Arial" w:cs="Arial" w:eastAsia="Arial" w:hAnsi="Arial"/>
          <w:sz w:val="17"/>
          <w:szCs w:val="17"/>
          <w:color w:val="auto"/>
        </w:rPr>
        <w:t>In August 2019, the Company’s Board of Directors amended the Company’s existing share repurchase program, increasing the cumulative total of authorized share repurchases to $2.95 billion of the Company’s common stock. The following table includes the Company’s monthly purchases of the Company’s common stock during the second quarter of fiscal 2022, under the share repurchase program, which is part of a publicly announced plan.</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Total Number of</w:t>
            </w:r>
          </w:p>
        </w:tc>
        <w:tc>
          <w:tcPr>
            <w:tcW w:w="17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Average</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Shares Purchased</w:t>
            </w:r>
          </w:p>
        </w:tc>
        <w:tc>
          <w:tcPr>
            <w:tcW w:w="17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of Shares</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Paid per</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w w:val="92"/>
              </w:rPr>
              <w:t>Purchased under the</w:t>
            </w:r>
          </w:p>
        </w:tc>
      </w:tr>
      <w:tr>
        <w:trPr>
          <w:trHeight w:val="241"/>
        </w:trPr>
        <w:tc>
          <w:tcPr>
            <w:tcW w:w="358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8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3 – October 30</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249,905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449,120,000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October 31 – November 27</w:t>
            </w:r>
          </w:p>
        </w:tc>
        <w:tc>
          <w:tcPr>
            <w:tcW w:w="800" w:type="dxa"/>
            <w:vAlign w:val="bottom"/>
          </w:tcPr>
          <w:p>
            <w:pPr>
              <w:jc w:val="right"/>
              <w:spacing w:after="0"/>
              <w:rPr>
                <w:sz w:val="20"/>
                <w:szCs w:val="20"/>
                <w:color w:val="auto"/>
              </w:rPr>
            </w:pPr>
            <w:r>
              <w:rPr>
                <w:rFonts w:ascii="Arial" w:cs="Arial" w:eastAsia="Arial" w:hAnsi="Arial"/>
                <w:sz w:val="18"/>
                <w:szCs w:val="18"/>
                <w:color w:val="auto"/>
              </w:rPr>
              <w:t>176,081</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39.10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176,081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442,234,000</w:t>
            </w:r>
          </w:p>
        </w:tc>
        <w:tc>
          <w:tcPr>
            <w:tcW w:w="4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28 – January 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423,148,000</w:t>
            </w:r>
          </w:p>
        </w:tc>
        <w:tc>
          <w:tcPr>
            <w:tcW w:w="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540" w:type="dxa"/>
            <w:vAlign w:val="bottom"/>
            <w:gridSpan w:val="7"/>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399"/>
        </w:trPr>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Amendment No. 2 to the Amended and Restated Credit Agreement, dated December 21, 2021, among</w:t>
              </w:r>
            </w:hyperlink>
          </w:p>
        </w:tc>
        <w:tc>
          <w:tcPr>
            <w:tcW w:w="1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Avnet, Inc., Avnet Holding Europe BVBA and Bank of America, N.A., as administrative agent.</w:t>
              </w:r>
            </w:hyperlink>
          </w:p>
        </w:tc>
        <w:tc>
          <w:tcPr>
            <w:tcW w:w="660" w:type="dxa"/>
            <w:vAlign w:val="bottom"/>
            <w:gridSpan w:val="5"/>
          </w:tcPr>
          <w:p>
            <w:pPr>
              <w:spacing w:after="0"/>
              <w:rPr>
                <w:sz w:val="17"/>
                <w:szCs w:val="17"/>
                <w:color w:val="auto"/>
              </w:rPr>
            </w:pPr>
          </w:p>
        </w:tc>
      </w:tr>
      <w:tr>
        <w:trPr>
          <w:trHeight w:val="439"/>
        </w:trPr>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7"/>
          </w:tcPr>
          <w:p>
            <w:pPr>
              <w:spacing w:after="0"/>
              <w:rPr>
                <w:rFonts w:ascii="Arial" w:cs="Arial" w:eastAsia="Arial" w:hAnsi="Arial"/>
                <w:sz w:val="18"/>
                <w:szCs w:val="18"/>
                <w:color w:val="0000EE"/>
                <w:w w:val="93"/>
              </w:rPr>
            </w:pPr>
            <w:hyperlink r:id="rId50">
              <w:r>
                <w:rPr>
                  <w:rFonts w:ascii="Arial" w:cs="Arial" w:eastAsia="Arial" w:hAnsi="Arial"/>
                  <w:sz w:val="18"/>
                  <w:szCs w:val="18"/>
                  <w:color w:val="0000EE"/>
                  <w:w w:val="93"/>
                </w:rPr>
                <w:t>Avnet, Inc. 2021 Stock Compensation and Incentive Plan (incorporated herein by reference to Exhibit</w:t>
              </w:r>
            </w:hyperlink>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on November 19, 2021).</w:t>
              </w:r>
            </w:hyperlink>
          </w:p>
        </w:tc>
        <w:tc>
          <w:tcPr>
            <w:tcW w:w="22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2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439"/>
        </w:trPr>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7"/>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Certification of Chief Executive Officer pursuant to Section 302 of the Sarbanes-Oxley Act of 2002.</w:t>
              </w:r>
            </w:hyperlink>
          </w:p>
        </w:tc>
      </w:tr>
      <w:tr>
        <w:trPr>
          <w:trHeight w:val="426"/>
        </w:trPr>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20" w:type="dxa"/>
            <w:vAlign w:val="bottom"/>
            <w:gridSpan w:val="3"/>
          </w:tcPr>
          <w:p>
            <w:pPr>
              <w:spacing w:after="0"/>
              <w:rPr>
                <w:sz w:val="24"/>
                <w:szCs w:val="24"/>
                <w:color w:val="auto"/>
              </w:rPr>
            </w:pPr>
          </w:p>
        </w:tc>
      </w:tr>
      <w:tr>
        <w:trPr>
          <w:trHeight w:val="426"/>
        </w:trPr>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7"/>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Certification of Chief Executive Officer pursuant to Section 906 of the Sarbanes-Oxley Act of 2002.</w:t>
              </w:r>
            </w:hyperlink>
          </w:p>
        </w:tc>
      </w:tr>
      <w:tr>
        <w:trPr>
          <w:trHeight w:val="425"/>
        </w:trPr>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Certification of Chief Financial Officer pursuant to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320" w:type="dxa"/>
            <w:vAlign w:val="bottom"/>
            <w:gridSpan w:val="3"/>
          </w:tcPr>
          <w:p>
            <w:pPr>
              <w:spacing w:after="0"/>
              <w:rPr>
                <w:sz w:val="24"/>
                <w:szCs w:val="24"/>
                <w:color w:val="auto"/>
              </w:rPr>
            </w:pPr>
          </w:p>
        </w:tc>
      </w:tr>
      <w:tr>
        <w:trPr>
          <w:trHeight w:val="452"/>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w w:val="92"/>
              </w:rPr>
              <w:t>XBRL -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231140</wp:posOffset>
            </wp:positionV>
            <wp:extent cx="141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 w:hanging="53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640" w:right="139" w:hanging="530"/>
        <w:spacing w:after="0" w:line="259"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60" w:right="199"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January 28, 2022</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308" w:lineRule="exact"/>
        <w:rPr>
          <w:sz w:val="20"/>
          <w:szCs w:val="20"/>
          <w:color w:val="auto"/>
        </w:rPr>
      </w:pPr>
    </w:p>
    <w:p>
      <w:pPr>
        <w:ind w:left="454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LIGUORI</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-130175</wp:posOffset>
            </wp:positionV>
            <wp:extent cx="25800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1" w:name="page32"/>
    <w:bookmarkEnd w:id="31"/>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400"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AMENDMENT NO. 2 TO AMENDED AND RESTATED CREDIT AGREEMENT</w:t>
      </w:r>
    </w:p>
    <w:p>
      <w:pPr>
        <w:spacing w:after="0" w:line="22"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(LIBOR TRANSITION)</w:t>
      </w:r>
    </w:p>
    <w:p>
      <w:pPr>
        <w:spacing w:after="0" w:line="194"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b w:val="1"/>
          <w:bCs w:val="1"/>
          <w:color w:val="auto"/>
        </w:rPr>
        <w:t xml:space="preserve">THIS AMENDMENT NO. 2 TO AMENDED AND RESTATED CREDIT AGREEMENT (LIBOR TRANSITION)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and entered into as of December 21, 2021 by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among </w:t>
      </w:r>
      <w:r>
        <w:rPr>
          <w:rFonts w:ascii="Arial" w:cs="Arial" w:eastAsia="Arial" w:hAnsi="Arial"/>
          <w:sz w:val="20"/>
          <w:szCs w:val="20"/>
          <w:b w:val="1"/>
          <w:bCs w:val="1"/>
          <w:color w:val="auto"/>
        </w:rPr>
        <w:t>AVNET, INC.</w:t>
      </w:r>
      <w:r>
        <w:rPr>
          <w:rFonts w:ascii="Arial" w:cs="Arial" w:eastAsia="Arial" w:hAnsi="Arial"/>
          <w:sz w:val="20"/>
          <w:szCs w:val="20"/>
          <w:color w:val="auto"/>
        </w:rPr>
        <w:t xml:space="preserve"> a New York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w:t>
      </w:r>
      <w:r>
        <w:rPr>
          <w:rFonts w:ascii="Arial" w:cs="Arial" w:eastAsia="Arial" w:hAnsi="Arial"/>
          <w:sz w:val="20"/>
          <w:szCs w:val="20"/>
          <w:b w:val="1"/>
          <w:bCs w:val="1"/>
          <w:color w:val="auto"/>
        </w:rPr>
        <w:t>AVNET HOLDING EUROPE BVBA</w:t>
      </w:r>
      <w:r>
        <w:rPr>
          <w:rFonts w:ascii="Arial" w:cs="Arial" w:eastAsia="Arial" w:hAnsi="Arial"/>
          <w:sz w:val="20"/>
          <w:szCs w:val="20"/>
          <w:color w:val="auto"/>
        </w:rPr>
        <w:t xml:space="preserve"> (a “</w:t>
      </w:r>
      <w:r>
        <w:rPr>
          <w:rFonts w:ascii="Arial" w:cs="Arial" w:eastAsia="Arial" w:hAnsi="Arial"/>
          <w:sz w:val="20"/>
          <w:szCs w:val="20"/>
          <w:u w:val="single" w:color="auto"/>
          <w:color w:val="auto"/>
        </w:rPr>
        <w:t>Borrower</w:t>
      </w:r>
      <w:r>
        <w:rPr>
          <w:rFonts w:ascii="Arial" w:cs="Arial" w:eastAsia="Arial" w:hAnsi="Arial"/>
          <w:sz w:val="20"/>
          <w:szCs w:val="20"/>
          <w:color w:val="auto"/>
        </w:rPr>
        <w:t>” and, together with the Company, the “</w:t>
      </w:r>
      <w:r>
        <w:rPr>
          <w:rFonts w:ascii="Arial" w:cs="Arial" w:eastAsia="Arial" w:hAnsi="Arial"/>
          <w:sz w:val="20"/>
          <w:szCs w:val="20"/>
          <w:u w:val="single" w:color="auto"/>
          <w:color w:val="auto"/>
        </w:rPr>
        <w:t>Borrowers</w:t>
      </w:r>
      <w:r>
        <w:rPr>
          <w:rFonts w:ascii="Arial" w:cs="Arial" w:eastAsia="Arial" w:hAnsi="Arial"/>
          <w:sz w:val="20"/>
          <w:szCs w:val="20"/>
          <w:color w:val="auto"/>
        </w:rPr>
        <w:t xml:space="preserve">”) and </w:t>
      </w: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WHEREAS, the Borrowers,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and Bank of America, N.A., as Administrative Agent, L/C Issuer and Swingline Lender have entered into that certain </w:t>
      </w:r>
      <w:r>
        <w:rPr>
          <w:rFonts w:ascii="Arial" w:cs="Arial" w:eastAsia="Arial" w:hAnsi="Arial"/>
          <w:sz w:val="21"/>
          <w:szCs w:val="21"/>
          <w:color w:val="auto"/>
        </w:rPr>
        <w:t xml:space="preserve">Amended and Restated Credit Agreement dated as of June 28, 2018 </w:t>
      </w:r>
      <w:r>
        <w:rPr>
          <w:rFonts w:ascii="Arial" w:cs="Arial" w:eastAsia="Arial" w:hAnsi="Arial"/>
          <w:sz w:val="19"/>
          <w:szCs w:val="19"/>
          <w:color w:val="auto"/>
        </w:rPr>
        <w:t>(as amended by that certain</w:t>
      </w:r>
      <w:r>
        <w:rPr>
          <w:rFonts w:ascii="Arial" w:cs="Arial" w:eastAsia="Arial" w:hAnsi="Arial"/>
          <w:sz w:val="21"/>
          <w:szCs w:val="21"/>
          <w:color w:val="auto"/>
        </w:rPr>
        <w:t xml:space="preserve"> </w:t>
      </w:r>
      <w:r>
        <w:rPr>
          <w:rFonts w:ascii="Arial" w:cs="Arial" w:eastAsia="Arial" w:hAnsi="Arial"/>
          <w:sz w:val="19"/>
          <w:szCs w:val="19"/>
          <w:color w:val="auto"/>
        </w:rPr>
        <w:t>Amendment No. 1 to Amended and Restated Credit Agreement, dated as of August 4, 2020, and as further amended, modified, extended, restated, replaced, or supplemented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92"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0"/>
          <w:szCs w:val="20"/>
          <w:color w:val="auto"/>
        </w:rPr>
        <w:t>WHEREAS, certain loans and/or other extensions of credit under the Credit Agreement denominated in Sterling, Japanese Yen, and Euros (collectively, the “</w:t>
      </w:r>
      <w:r>
        <w:rPr>
          <w:rFonts w:ascii="Arial" w:cs="Arial" w:eastAsia="Arial" w:hAnsi="Arial"/>
          <w:sz w:val="20"/>
          <w:szCs w:val="20"/>
          <w:u w:val="single" w:color="auto"/>
          <w:color w:val="auto"/>
        </w:rPr>
        <w:t>Impacted Currencies</w:t>
      </w:r>
      <w:r>
        <w:rPr>
          <w:rFonts w:ascii="Arial" w:cs="Arial" w:eastAsia="Arial" w:hAnsi="Arial"/>
          <w:sz w:val="20"/>
          <w:szCs w:val="20"/>
          <w:color w:val="auto"/>
        </w:rPr>
        <w:t>”) incur or are permitted to incur interest, fees, commissions or other amounts based on the London Interbank Offered Rate as administered by the ICE Benchmark Administration (“</w:t>
      </w:r>
      <w:r>
        <w:rPr>
          <w:rFonts w:ascii="Arial" w:cs="Arial" w:eastAsia="Arial" w:hAnsi="Arial"/>
          <w:sz w:val="20"/>
          <w:szCs w:val="20"/>
          <w:u w:val="single" w:color="auto"/>
          <w:color w:val="auto"/>
        </w:rPr>
        <w:t>LIBOR</w:t>
      </w:r>
      <w:r>
        <w:rPr>
          <w:rFonts w:ascii="Arial" w:cs="Arial" w:eastAsia="Arial" w:hAnsi="Arial"/>
          <w:sz w:val="20"/>
          <w:szCs w:val="20"/>
          <w:color w:val="auto"/>
        </w:rPr>
        <w:t>”) in accordance with the terms of the Credit Agreement; and</w:t>
      </w:r>
    </w:p>
    <w:p>
      <w:pPr>
        <w:spacing w:after="0" w:line="194"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0"/>
          <w:szCs w:val="20"/>
          <w:color w:val="auto"/>
        </w:rPr>
        <w:t>WHEREAS, pursuant to Section 3.03(c) of the Credit Agreement, the applicable parties under the Credit Agreement have determined in accordance with the Credit Agreement that LIBOR for the Impacted Currencies should be replaced with a successor rate in accordance with the Credit Agreement and, in connection therewith, the Administrative Agent has determined that certain conforming changes are necessary or advisable.</w:t>
      </w:r>
    </w:p>
    <w:p>
      <w:pPr>
        <w:spacing w:after="0" w:line="19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86" w:lineRule="exact"/>
        <w:rPr>
          <w:sz w:val="20"/>
          <w:szCs w:val="20"/>
          <w:color w:val="auto"/>
        </w:rPr>
      </w:pPr>
    </w:p>
    <w:p>
      <w:pPr>
        <w:jc w:val="both"/>
        <w:ind w:left="200" w:right="219" w:firstLine="657"/>
        <w:spacing w:after="0" w:line="250" w:lineRule="auto"/>
        <w:tabs>
          <w:tab w:leader="none" w:pos="149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(including on any Appendix attached hereto) shall have the meanings provided to such terms in the Credit Agreement, as amended by this Agreement.</w:t>
      </w:r>
    </w:p>
    <w:p>
      <w:pPr>
        <w:spacing w:after="0" w:line="185" w:lineRule="exact"/>
        <w:rPr>
          <w:rFonts w:ascii="Arial" w:cs="Arial" w:eastAsia="Arial" w:hAnsi="Arial"/>
          <w:sz w:val="20"/>
          <w:szCs w:val="20"/>
          <w:color w:val="auto"/>
        </w:rPr>
      </w:pPr>
    </w:p>
    <w:p>
      <w:pPr>
        <w:jc w:val="both"/>
        <w:ind w:left="200" w:right="219" w:firstLine="657"/>
        <w:spacing w:after="0" w:line="278" w:lineRule="auto"/>
        <w:tabs>
          <w:tab w:leader="none" w:pos="149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Notwithstanding any provision of the Credit Agreement or the other Loan Documents to the contrary, the parties hereto hereby agree that the terms set forth on Appendix A shall apply solely to the Impacted Currencies. For the avoidance of doubt, to the extent provisions in the Credit Agreement apply to the Impacted Currencies and such provisions are not specifically addressed by Appendix A, the provisions in the Credit Agreement shall continue to apply to the Impacted Currencies.</w:t>
      </w:r>
    </w:p>
    <w:p>
      <w:pPr>
        <w:spacing w:after="0" w:line="164" w:lineRule="exact"/>
        <w:rPr>
          <w:rFonts w:ascii="Arial" w:cs="Arial" w:eastAsia="Arial" w:hAnsi="Arial"/>
          <w:sz w:val="18"/>
          <w:szCs w:val="18"/>
          <w:color w:val="auto"/>
        </w:rPr>
      </w:pPr>
    </w:p>
    <w:p>
      <w:pPr>
        <w:jc w:val="both"/>
        <w:ind w:left="200" w:right="219" w:firstLine="657"/>
        <w:spacing w:after="0" w:line="250" w:lineRule="auto"/>
        <w:tabs>
          <w:tab w:leader="none" w:pos="149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Conflict with Loan Documents</w:t>
      </w:r>
      <w:r>
        <w:rPr>
          <w:rFonts w:ascii="Arial" w:cs="Arial" w:eastAsia="Arial" w:hAnsi="Arial"/>
          <w:sz w:val="20"/>
          <w:szCs w:val="20"/>
          <w:color w:val="auto"/>
        </w:rPr>
        <w:t>. In the event of any conflict between the terms of this Agreement and the terms of the Credit Agreement or the other Loan Documents, the terms hereof shall control.</w:t>
      </w:r>
    </w:p>
    <w:p>
      <w:pPr>
        <w:spacing w:after="0" w:line="185" w:lineRule="exact"/>
        <w:rPr>
          <w:rFonts w:ascii="Arial" w:cs="Arial" w:eastAsia="Arial" w:hAnsi="Arial"/>
          <w:sz w:val="20"/>
          <w:szCs w:val="20"/>
          <w:color w:val="auto"/>
        </w:rPr>
      </w:pPr>
    </w:p>
    <w:p>
      <w:pPr>
        <w:ind w:left="200" w:right="219" w:firstLine="657"/>
        <w:spacing w:after="0" w:line="260" w:lineRule="auto"/>
        <w:tabs>
          <w:tab w:leader="none" w:pos="149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of the Borrowers represents and warrants to the Administrative Agent and the Lenders, as of the date 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jc w:val="both"/>
        <w:ind w:left="1500" w:right="219" w:firstLine="653"/>
        <w:spacing w:after="0" w:line="259" w:lineRule="auto"/>
        <w:tabs>
          <w:tab w:leader="none" w:pos="2796" w:val="left"/>
        </w:tabs>
        <w:numPr>
          <w:ilvl w:val="2"/>
          <w:numId w:val="15"/>
        </w:numPr>
        <w:rPr>
          <w:rFonts w:ascii="Arial" w:cs="Arial" w:eastAsia="Arial" w:hAnsi="Arial"/>
          <w:sz w:val="19"/>
          <w:szCs w:val="19"/>
          <w:color w:val="auto"/>
        </w:rPr>
      </w:pPr>
      <w:r>
        <w:rPr>
          <w:rFonts w:ascii="Arial" w:cs="Arial" w:eastAsia="Arial" w:hAnsi="Arial"/>
          <w:sz w:val="19"/>
          <w:szCs w:val="19"/>
          <w:color w:val="auto"/>
        </w:rPr>
        <w:t>this Agreement has been duly executed and delivered by each Borrower, and this Agreement, the Credit Agreement and each other Loan Document (in each case, as amended hereby) constitutes a legal, valid and binding obligation of such Borrower, enforceable against such Borrower in accordance with its terms, except as may be limited by applicable Debtor Relief Laws and general principles of equity, regardless of whether considered in a proceeding in equity or at law;</w:t>
      </w:r>
    </w:p>
    <w:p>
      <w:pPr>
        <w:spacing w:after="0" w:line="179" w:lineRule="exact"/>
        <w:rPr>
          <w:rFonts w:ascii="Arial" w:cs="Arial" w:eastAsia="Arial" w:hAnsi="Arial"/>
          <w:sz w:val="19"/>
          <w:szCs w:val="19"/>
          <w:color w:val="auto"/>
        </w:rPr>
      </w:pPr>
    </w:p>
    <w:p>
      <w:pPr>
        <w:jc w:val="both"/>
        <w:ind w:left="1500" w:right="219" w:firstLine="653"/>
        <w:spacing w:after="0" w:line="269" w:lineRule="auto"/>
        <w:tabs>
          <w:tab w:leader="none" w:pos="2796"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 the Borrowers contained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the Credit Agreement and (ii) each Loan Party contained in each other Loan Document to which such Loan Party is a party or in any document furnished at any time under or in connection with the Credit Agreement or any other Loan Document (including any Designated Borrower Request and Assumption Agreement), shall be true and correct in all material respects (unless such representation or warranty is already qualified by materiality or Material Adverse Effect, in which case it shall be true and correct in all respects) on and as of the date hereof, except to the extent that such representations and warranties specifically refer to an earlier date, in which case they shall be true and correct in all material respects (unless such representation or warranty is already qualified by materiality or Material Adverse Effect, in which case it shall be true and correct in all respects) as of such earlier date, and except that the representations and warranties contained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500" w:right="239" w:firstLine="653"/>
        <w:spacing w:after="0" w:line="260" w:lineRule="auto"/>
        <w:tabs>
          <w:tab w:leader="none" w:pos="2796" w:val="left"/>
        </w:tabs>
        <w:numPr>
          <w:ilvl w:val="2"/>
          <w:numId w:val="15"/>
        </w:numPr>
        <w:rPr>
          <w:rFonts w:ascii="Arial" w:cs="Arial" w:eastAsia="Arial" w:hAnsi="Arial"/>
          <w:sz w:val="20"/>
          <w:szCs w:val="20"/>
          <w:color w:val="auto"/>
        </w:rPr>
      </w:pPr>
      <w:r>
        <w:rPr>
          <w:rFonts w:ascii="Arial" w:cs="Arial" w:eastAsia="Arial" w:hAnsi="Arial"/>
          <w:sz w:val="20"/>
          <w:szCs w:val="20"/>
          <w:color w:val="auto"/>
        </w:rPr>
        <w:t>after giving effect to this Agreement, no Default or Event of Default has occurred and is continuing.</w:t>
      </w:r>
    </w:p>
    <w:p>
      <w:pPr>
        <w:spacing w:after="0" w:line="176" w:lineRule="exact"/>
        <w:rPr>
          <w:rFonts w:ascii="Arial" w:cs="Arial" w:eastAsia="Arial" w:hAnsi="Arial"/>
          <w:sz w:val="20"/>
          <w:szCs w:val="20"/>
          <w:color w:val="auto"/>
        </w:rPr>
      </w:pPr>
    </w:p>
    <w:p>
      <w:pPr>
        <w:jc w:val="both"/>
        <w:ind w:left="200" w:right="219" w:firstLine="657"/>
        <w:spacing w:after="0" w:line="250" w:lineRule="auto"/>
        <w:tabs>
          <w:tab w:leader="none" w:pos="149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Agreement shall become effective upon receipt by the Administrative Agent of counterparts of this Agreement, properly executed by the Borrowers and the Administrative Agent.</w:t>
      </w:r>
    </w:p>
    <w:p>
      <w:pPr>
        <w:spacing w:after="0" w:line="185" w:lineRule="exact"/>
        <w:rPr>
          <w:rFonts w:ascii="Arial" w:cs="Arial" w:eastAsia="Arial" w:hAnsi="Arial"/>
          <w:sz w:val="20"/>
          <w:szCs w:val="20"/>
          <w:color w:val="auto"/>
        </w:rPr>
      </w:pPr>
    </w:p>
    <w:p>
      <w:pPr>
        <w:jc w:val="both"/>
        <w:ind w:left="200" w:right="219" w:firstLine="657"/>
        <w:spacing w:after="0" w:line="263" w:lineRule="auto"/>
        <w:tabs>
          <w:tab w:leader="none" w:pos="149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xml:space="preserve">. The Borrowers agree to pay, in accordance with and subject to the limitations in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of the Credit Agreement, all reasonable and documented out-of-pocket expenses incurred by the Administrative Agent in connection with the preparation, execution, delivery and administration of this Agreement and the other related Loan Documents.</w:t>
      </w:r>
    </w:p>
    <w:p>
      <w:pPr>
        <w:spacing w:after="0" w:line="176" w:lineRule="exact"/>
        <w:rPr>
          <w:rFonts w:ascii="Arial" w:cs="Arial" w:eastAsia="Arial" w:hAnsi="Arial"/>
          <w:sz w:val="19"/>
          <w:szCs w:val="19"/>
          <w:color w:val="auto"/>
        </w:rPr>
      </w:pPr>
    </w:p>
    <w:p>
      <w:pPr>
        <w:ind w:left="1500" w:hanging="643"/>
        <w:spacing w:after="0"/>
        <w:tabs>
          <w:tab w:leader="none" w:pos="150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60" w:right="219" w:firstLine="645"/>
        <w:spacing w:after="0" w:line="250" w:lineRule="auto"/>
        <w:tabs>
          <w:tab w:leader="none" w:pos="2156"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Loan Documents, and the obligations of the Borrowers under the Loan Documents, are hereby ratified and confirmed and shall remain in full force and effect according to their terms. This Agreement is a Loan Document.</w:t>
      </w:r>
    </w:p>
    <w:p>
      <w:pPr>
        <w:spacing w:after="0" w:line="185" w:lineRule="exact"/>
        <w:rPr>
          <w:rFonts w:ascii="Arial" w:cs="Arial" w:eastAsia="Arial" w:hAnsi="Arial"/>
          <w:sz w:val="20"/>
          <w:szCs w:val="20"/>
          <w:color w:val="auto"/>
        </w:rPr>
      </w:pPr>
    </w:p>
    <w:p>
      <w:pPr>
        <w:jc w:val="both"/>
        <w:ind w:left="860" w:right="219" w:firstLine="645"/>
        <w:spacing w:after="0" w:line="328" w:lineRule="auto"/>
        <w:tabs>
          <w:tab w:leader="none" w:pos="2156" w:val="left"/>
        </w:tabs>
        <w:numPr>
          <w:ilvl w:val="1"/>
          <w:numId w:val="16"/>
        </w:numPr>
        <w:rPr>
          <w:rFonts w:ascii="Arial" w:cs="Arial" w:eastAsia="Arial" w:hAnsi="Arial"/>
          <w:sz w:val="16"/>
          <w:szCs w:val="16"/>
          <w:color w:val="auto"/>
        </w:rPr>
      </w:pPr>
      <w:r>
        <w:rPr>
          <w:rFonts w:ascii="Arial" w:cs="Arial" w:eastAsia="Arial" w:hAnsi="Arial"/>
          <w:sz w:val="16"/>
          <w:szCs w:val="16"/>
          <w:color w:val="auto"/>
        </w:rPr>
        <w:t>Each Borrower (i) acknowledges and consents to all of the terms and conditions of this Agreement, (ii) affirms all of its obligations under the Loan Documents and (iii) agrees that this Agreement and all documents executed in connection herewith do not operate to reduce or discharge its obligations under the Loan Documents, in each case except as specifically set forth herein</w:t>
      </w:r>
      <w:r>
        <w:rPr>
          <w:rFonts w:ascii="Arial" w:cs="Arial" w:eastAsia="Arial" w:hAnsi="Arial"/>
          <w:sz w:val="16"/>
          <w:szCs w:val="16"/>
          <w:b w:val="1"/>
          <w:bCs w:val="1"/>
          <w:color w:val="auto"/>
        </w:rPr>
        <w:t>.</w:t>
      </w:r>
    </w:p>
    <w:p>
      <w:pPr>
        <w:spacing w:after="0" w:line="128" w:lineRule="exact"/>
        <w:rPr>
          <w:rFonts w:ascii="Arial" w:cs="Arial" w:eastAsia="Arial" w:hAnsi="Arial"/>
          <w:sz w:val="16"/>
          <w:szCs w:val="16"/>
          <w:color w:val="auto"/>
        </w:rPr>
      </w:pPr>
    </w:p>
    <w:p>
      <w:pPr>
        <w:jc w:val="both"/>
        <w:ind w:left="860" w:right="219" w:firstLine="645"/>
        <w:spacing w:after="0" w:line="278" w:lineRule="auto"/>
        <w:tabs>
          <w:tab w:leader="none" w:pos="215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jc w:val="both"/>
        <w:ind w:left="860" w:right="219"/>
        <w:spacing w:after="0" w:line="245" w:lineRule="auto"/>
        <w:rPr>
          <w:sz w:val="20"/>
          <w:szCs w:val="20"/>
          <w:color w:val="auto"/>
        </w:rPr>
      </w:pPr>
      <w:r>
        <w:rPr>
          <w:rFonts w:ascii="Arial" w:cs="Arial" w:eastAsia="Arial" w:hAnsi="Arial"/>
          <w:sz w:val="20"/>
          <w:szCs w:val="20"/>
          <w:color w:val="auto"/>
        </w:rPr>
        <w:t>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191" w:lineRule="exact"/>
        <w:rPr>
          <w:sz w:val="20"/>
          <w:szCs w:val="20"/>
          <w:color w:val="auto"/>
        </w:rPr>
      </w:pPr>
    </w:p>
    <w:p>
      <w:pPr>
        <w:jc w:val="both"/>
        <w:ind w:left="860" w:right="219" w:firstLine="645"/>
        <w:spacing w:after="0" w:line="278" w:lineRule="auto"/>
        <w:tabs>
          <w:tab w:leader="none" w:pos="21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64" w:lineRule="exact"/>
        <w:rPr>
          <w:rFonts w:ascii="Arial" w:cs="Arial" w:eastAsia="Arial" w:hAnsi="Arial"/>
          <w:sz w:val="18"/>
          <w:szCs w:val="18"/>
          <w:color w:val="auto"/>
        </w:rPr>
      </w:pPr>
    </w:p>
    <w:p>
      <w:pPr>
        <w:jc w:val="both"/>
        <w:ind w:left="860" w:right="219" w:firstLine="645"/>
        <w:spacing w:after="0" w:line="250" w:lineRule="auto"/>
        <w:tabs>
          <w:tab w:leader="none" w:pos="2156"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The terms of the Credit Agreement with respect to governing law, submission to jurisdiction, waiver of venue and waiver of jury trial are incorporated herein by reference, </w:t>
      </w:r>
      <w:r>
        <w:rPr>
          <w:rFonts w:ascii="Arial" w:cs="Arial" w:eastAsia="Arial" w:hAnsi="Arial"/>
          <w:sz w:val="20"/>
          <w:szCs w:val="20"/>
          <w:i w:val="1"/>
          <w:iCs w:val="1"/>
          <w:color w:val="auto"/>
        </w:rPr>
        <w:t>mutatis</w:t>
      </w:r>
      <w:r>
        <w:rPr>
          <w:rFonts w:ascii="Arial" w:cs="Arial" w:eastAsia="Arial" w:hAnsi="Arial"/>
          <w:sz w:val="20"/>
          <w:szCs w:val="20"/>
          <w:color w:val="auto"/>
        </w:rPr>
        <w:t xml:space="preserve"> </w:t>
      </w:r>
      <w:r>
        <w:rPr>
          <w:rFonts w:ascii="Arial" w:cs="Arial" w:eastAsia="Arial" w:hAnsi="Arial"/>
          <w:sz w:val="20"/>
          <w:szCs w:val="20"/>
          <w:i w:val="1"/>
          <w:iCs w:val="1"/>
          <w:color w:val="auto"/>
        </w:rPr>
        <w:t>mutandis</w:t>
      </w:r>
      <w:r>
        <w:rPr>
          <w:rFonts w:ascii="Arial" w:cs="Arial" w:eastAsia="Arial" w:hAnsi="Arial"/>
          <w:sz w:val="20"/>
          <w:szCs w:val="20"/>
          <w:color w:val="auto"/>
        </w:rPr>
        <w:t>, and the parties hereto agree to such terms.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200" w:right="239" w:firstLine="648"/>
        <w:spacing w:after="0" w:line="260" w:lineRule="auto"/>
        <w:rPr>
          <w:sz w:val="20"/>
          <w:szCs w:val="20"/>
          <w:color w:val="auto"/>
        </w:rPr>
      </w:pPr>
      <w:r>
        <w:rPr>
          <w:rFonts w:ascii="Arial" w:cs="Arial" w:eastAsia="Arial" w:hAnsi="Arial"/>
          <w:sz w:val="20"/>
          <w:szCs w:val="20"/>
          <w:color w:val="auto"/>
        </w:rPr>
        <w:t>Each of the parties hereto has caused a counterpart of this Agreement to be duly executed and delivered as of the date first above written.</w:t>
      </w:r>
    </w:p>
    <w:p>
      <w:pPr>
        <w:spacing w:after="0" w:line="184" w:lineRule="exact"/>
        <w:rPr>
          <w:sz w:val="20"/>
          <w:szCs w:val="20"/>
          <w:color w:val="auto"/>
        </w:rPr>
      </w:pPr>
    </w:p>
    <w:p>
      <w:pPr>
        <w:ind w:left="3420"/>
        <w:spacing w:after="0"/>
        <w:rPr>
          <w:sz w:val="20"/>
          <w:szCs w:val="20"/>
          <w:color w:val="auto"/>
        </w:rPr>
      </w:pPr>
      <w:r>
        <w:rPr>
          <w:rFonts w:ascii="Arial" w:cs="Arial" w:eastAsia="Arial" w:hAnsi="Arial"/>
          <w:sz w:val="20"/>
          <w:szCs w:val="20"/>
          <w:b w:val="1"/>
          <w:bCs w:val="1"/>
          <w:u w:val="single" w:color="auto"/>
          <w:color w:val="auto"/>
        </w:rPr>
        <w:t>BORROWERS</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59"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AVNET, INC</w:t>
      </w:r>
      <w:r>
        <w:rPr>
          <w:rFonts w:ascii="Arial" w:cs="Arial" w:eastAsia="Arial" w:hAnsi="Arial"/>
          <w:sz w:val="20"/>
          <w:szCs w:val="20"/>
          <w:color w:val="auto"/>
        </w:rPr>
        <w:t>.</w:t>
      </w:r>
    </w:p>
    <w:p>
      <w:pPr>
        <w:spacing w:after="0" w:line="235" w:lineRule="exact"/>
        <w:rPr>
          <w:sz w:val="20"/>
          <w:szCs w:val="20"/>
          <w:color w:val="auto"/>
        </w:rPr>
      </w:pPr>
    </w:p>
    <w:tbl>
      <w:tblPr>
        <w:tblLayout w:type="fixed"/>
        <w:tblInd w:w="3420" w:type="dxa"/>
        <w:tblCellMar>
          <w:top w:w="0" w:type="dxa"/>
          <w:left w:w="0" w:type="dxa"/>
          <w:bottom w:w="0" w:type="dxa"/>
          <w:right w:w="0" w:type="dxa"/>
        </w:tblCellMar>
      </w:tblPr>
      <w:tr>
        <w:trPr>
          <w:trHeight w:val="24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Joseph L. Burke</w:t>
            </w:r>
          </w:p>
        </w:tc>
      </w:tr>
      <w:tr>
        <w:trPr>
          <w:trHeight w:val="213"/>
        </w:trPr>
        <w:tc>
          <w:tcPr>
            <w:tcW w:w="82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560" w:type="dxa"/>
            <w:vAlign w:val="bottom"/>
          </w:tcPr>
          <w:p>
            <w:pPr>
              <w:ind w:left="100"/>
              <w:spacing w:after="0" w:line="212" w:lineRule="exact"/>
              <w:rPr>
                <w:sz w:val="20"/>
                <w:szCs w:val="20"/>
                <w:color w:val="auto"/>
              </w:rPr>
            </w:pPr>
            <w:r>
              <w:rPr>
                <w:rFonts w:ascii="Arial" w:cs="Arial" w:eastAsia="Arial" w:hAnsi="Arial"/>
                <w:sz w:val="20"/>
                <w:szCs w:val="20"/>
                <w:color w:val="auto"/>
              </w:rPr>
              <w:t>Joseph L. Burke</w:t>
            </w:r>
          </w:p>
        </w:tc>
      </w:t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Pr>
          <w:p>
            <w:pPr>
              <w:ind w:left="100"/>
              <w:spacing w:after="0"/>
              <w:rPr>
                <w:sz w:val="20"/>
                <w:szCs w:val="20"/>
                <w:color w:val="auto"/>
              </w:rPr>
            </w:pPr>
            <w:r>
              <w:rPr>
                <w:rFonts w:ascii="Arial" w:cs="Arial" w:eastAsia="Arial" w:hAnsi="Arial"/>
                <w:sz w:val="20"/>
                <w:szCs w:val="20"/>
                <w:color w:val="auto"/>
              </w:rPr>
              <w:t>VP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AVNET HOLDING EUROPE BVBA</w:t>
      </w:r>
    </w:p>
    <w:p>
      <w:pPr>
        <w:spacing w:after="0" w:line="200" w:lineRule="exact"/>
        <w:rPr>
          <w:sz w:val="20"/>
          <w:szCs w:val="20"/>
          <w:color w:val="auto"/>
        </w:rPr>
      </w:pPr>
    </w:p>
    <w:p>
      <w:pPr>
        <w:spacing w:after="0" w:line="259" w:lineRule="exact"/>
        <w:rPr>
          <w:sz w:val="20"/>
          <w:szCs w:val="20"/>
          <w:color w:val="auto"/>
        </w:rPr>
      </w:pPr>
    </w:p>
    <w:tbl>
      <w:tblPr>
        <w:tblLayout w:type="fixed"/>
        <w:tblInd w:w="3420" w:type="dxa"/>
        <w:tblCellMar>
          <w:top w:w="0" w:type="dxa"/>
          <w:left w:w="0" w:type="dxa"/>
          <w:bottom w:w="0" w:type="dxa"/>
          <w:right w:w="0" w:type="dxa"/>
        </w:tblCellMar>
      </w:tblPr>
      <w:tr>
        <w:trPr>
          <w:trHeight w:val="24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Joseph L. Burke</w:t>
            </w:r>
          </w:p>
        </w:tc>
      </w:tr>
      <w:tr>
        <w:trPr>
          <w:trHeight w:val="213"/>
        </w:trPr>
        <w:tc>
          <w:tcPr>
            <w:tcW w:w="82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560" w:type="dxa"/>
            <w:vAlign w:val="bottom"/>
          </w:tcPr>
          <w:p>
            <w:pPr>
              <w:ind w:left="100"/>
              <w:spacing w:after="0" w:line="212" w:lineRule="exact"/>
              <w:rPr>
                <w:sz w:val="20"/>
                <w:szCs w:val="20"/>
                <w:color w:val="auto"/>
              </w:rPr>
            </w:pPr>
            <w:r>
              <w:rPr>
                <w:rFonts w:ascii="Arial" w:cs="Arial" w:eastAsia="Arial" w:hAnsi="Arial"/>
                <w:sz w:val="20"/>
                <w:szCs w:val="20"/>
                <w:color w:val="auto"/>
              </w:rPr>
              <w:t>Joseph L. Burke</w:t>
            </w:r>
          </w:p>
        </w:tc>
      </w:t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Pr>
          <w:p>
            <w:pPr>
              <w:ind w:left="100"/>
              <w:spacing w:after="0"/>
              <w:rPr>
                <w:sz w:val="20"/>
                <w:szCs w:val="20"/>
                <w:color w:val="auto"/>
              </w:rPr>
            </w:pPr>
            <w:r>
              <w:rPr>
                <w:rFonts w:ascii="Arial" w:cs="Arial" w:eastAsia="Arial" w:hAnsi="Arial"/>
                <w:sz w:val="20"/>
                <w:szCs w:val="20"/>
                <w:color w:val="auto"/>
              </w:rPr>
              <w:t>VP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35" w:name="page36"/>
    <w:bookmarkEnd w:id="35"/>
    <w:tbl>
      <w:tblPr>
        <w:tblLayout w:type="fixed"/>
        <w:tblInd w:w="20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5740" w:type="dxa"/>
            <w:vAlign w:val="bottom"/>
            <w:gridSpan w:val="2"/>
          </w:tcPr>
          <w:p>
            <w:pPr>
              <w:ind w:left="420"/>
              <w:spacing w:after="0"/>
              <w:rPr>
                <w:sz w:val="20"/>
                <w:szCs w:val="20"/>
                <w:color w:val="auto"/>
              </w:rPr>
            </w:pPr>
            <w:r>
              <w:rPr>
                <w:rFonts w:ascii="Arial" w:cs="Arial" w:eastAsia="Arial" w:hAnsi="Arial"/>
                <w:sz w:val="20"/>
                <w:szCs w:val="20"/>
                <w:color w:val="auto"/>
              </w:rPr>
              <w:t>BANK OF AMERICA, N.A.,</w:t>
            </w:r>
          </w:p>
        </w:tc>
      </w:tr>
      <w:tr>
        <w:trPr>
          <w:trHeight w:val="254"/>
        </w:trPr>
        <w:tc>
          <w:tcPr>
            <w:tcW w:w="240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5740" w:type="dxa"/>
            <w:vAlign w:val="bottom"/>
            <w:gridSpan w:val="2"/>
          </w:tcPr>
          <w:p>
            <w:pPr>
              <w:ind w:left="420"/>
              <w:spacing w:after="0"/>
              <w:rPr>
                <w:sz w:val="20"/>
                <w:szCs w:val="20"/>
                <w:color w:val="auto"/>
              </w:rPr>
            </w:pPr>
            <w:r>
              <w:rPr>
                <w:rFonts w:ascii="Arial" w:cs="Arial" w:eastAsia="Arial" w:hAnsi="Arial"/>
                <w:sz w:val="20"/>
                <w:szCs w:val="20"/>
                <w:color w:val="auto"/>
              </w:rPr>
              <w:t>as Administrative Agent</w:t>
            </w:r>
          </w:p>
        </w:tc>
      </w:tr>
      <w:tr>
        <w:trPr>
          <w:trHeight w:val="678"/>
        </w:trPr>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20"/>
                <w:szCs w:val="20"/>
                <w:color w:val="auto"/>
              </w:rPr>
              <w:t>By:</w:t>
            </w:r>
          </w:p>
        </w:tc>
        <w:tc>
          <w:tcPr>
            <w:tcW w:w="46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Ronaldo Naval</w:t>
            </w:r>
          </w:p>
        </w:tc>
      </w:tr>
      <w:tr>
        <w:trPr>
          <w:trHeight w:val="213"/>
        </w:trPr>
        <w:tc>
          <w:tcPr>
            <w:tcW w:w="2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ind w:left="420"/>
              <w:spacing w:after="0" w:line="212" w:lineRule="exact"/>
              <w:rPr>
                <w:sz w:val="20"/>
                <w:szCs w:val="20"/>
                <w:color w:val="auto"/>
              </w:rPr>
            </w:pPr>
            <w:r>
              <w:rPr>
                <w:rFonts w:ascii="Arial" w:cs="Arial" w:eastAsia="Arial" w:hAnsi="Arial"/>
                <w:sz w:val="20"/>
                <w:szCs w:val="20"/>
                <w:color w:val="auto"/>
              </w:rPr>
              <w:t>Name:</w:t>
            </w:r>
          </w:p>
        </w:tc>
        <w:tc>
          <w:tcPr>
            <w:tcW w:w="4600" w:type="dxa"/>
            <w:vAlign w:val="bottom"/>
          </w:tcPr>
          <w:p>
            <w:pPr>
              <w:ind w:left="80"/>
              <w:spacing w:after="0" w:line="212" w:lineRule="exact"/>
              <w:rPr>
                <w:sz w:val="20"/>
                <w:szCs w:val="20"/>
                <w:color w:val="auto"/>
              </w:rPr>
            </w:pPr>
            <w:r>
              <w:rPr>
                <w:rFonts w:ascii="Arial" w:cs="Arial" w:eastAsia="Arial" w:hAnsi="Arial"/>
                <w:sz w:val="20"/>
                <w:szCs w:val="20"/>
                <w:color w:val="auto"/>
              </w:rPr>
              <w:t>Ronaldo Naval</w:t>
            </w:r>
          </w:p>
        </w:tc>
      </w:tr>
      <w:tr>
        <w:trPr>
          <w:trHeight w:val="250"/>
        </w:trPr>
        <w:tc>
          <w:tcPr>
            <w:tcW w:w="2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ind w:left="420"/>
              <w:spacing w:after="0"/>
              <w:rPr>
                <w:sz w:val="20"/>
                <w:szCs w:val="20"/>
                <w:color w:val="auto"/>
              </w:rPr>
            </w:pPr>
            <w:r>
              <w:rPr>
                <w:rFonts w:ascii="Arial" w:cs="Arial" w:eastAsia="Arial" w:hAnsi="Arial"/>
                <w:sz w:val="20"/>
                <w:szCs w:val="20"/>
                <w:color w:val="auto"/>
              </w:rPr>
              <w:t>Title:</w:t>
            </w:r>
          </w:p>
        </w:tc>
        <w:tc>
          <w:tcPr>
            <w:tcW w:w="4600" w:type="dxa"/>
            <w:vAlign w:val="bottom"/>
          </w:tcPr>
          <w:p>
            <w:pPr>
              <w:ind w:left="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u w:val="single" w:color="auto"/>
          <w:color w:val="auto"/>
        </w:rPr>
        <w:t>Appendix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TERMS APPLICABLE TO AFFECTED ALTERNATIVE CURRENCY LOANS</w:t>
      </w:r>
    </w:p>
    <w:p>
      <w:pPr>
        <w:spacing w:after="0" w:line="229" w:lineRule="exact"/>
        <w:rPr>
          <w:sz w:val="20"/>
          <w:szCs w:val="20"/>
          <w:color w:val="auto"/>
        </w:rPr>
      </w:pPr>
    </w:p>
    <w:p>
      <w:pPr>
        <w:ind w:left="1500" w:hanging="643"/>
        <w:spacing w:after="0"/>
        <w:tabs>
          <w:tab w:leader="none" w:pos="150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The following terms shall have the meanings set forth below:</w:t>
      </w:r>
    </w:p>
    <w:p>
      <w:pPr>
        <w:spacing w:after="0" w:line="216" w:lineRule="exact"/>
        <w:rPr>
          <w:sz w:val="20"/>
          <w:szCs w:val="20"/>
          <w:color w:val="auto"/>
        </w:rPr>
      </w:pPr>
    </w:p>
    <w:p>
      <w:pPr>
        <w:jc w:val="both"/>
        <w:ind w:left="860" w:right="219"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means, with respect to any currency, the Administrative Agent’s address and, as appropriate, account specified in the Credit Agreement with respect to such currency, or such other address or account with respect to such currency as the Administrative Agent may from time to time notify the Borrowers and the Lenders.</w:t>
      </w:r>
    </w:p>
    <w:p>
      <w:pPr>
        <w:spacing w:after="0" w:line="176" w:lineRule="exact"/>
        <w:rPr>
          <w:sz w:val="20"/>
          <w:szCs w:val="20"/>
          <w:color w:val="auto"/>
        </w:rPr>
      </w:pPr>
    </w:p>
    <w:p>
      <w:pPr>
        <w:jc w:val="both"/>
        <w:ind w:left="86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Alternative Currency</w:t>
      </w:r>
      <w:r>
        <w:rPr>
          <w:rFonts w:ascii="Arial" w:cs="Arial" w:eastAsia="Arial" w:hAnsi="Arial"/>
          <w:sz w:val="20"/>
          <w:szCs w:val="20"/>
          <w:color w:val="auto"/>
        </w:rPr>
        <w:t>” means each of the following currencies: Sterling, Japanese Yen, and Euros.</w:t>
      </w:r>
    </w:p>
    <w:p>
      <w:pPr>
        <w:spacing w:after="0" w:line="177" w:lineRule="exact"/>
        <w:rPr>
          <w:sz w:val="20"/>
          <w:szCs w:val="20"/>
          <w:color w:val="auto"/>
        </w:rPr>
      </w:pPr>
    </w:p>
    <w:p>
      <w:pPr>
        <w:jc w:val="both"/>
        <w:ind w:left="860" w:right="219"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Alternative Currency Daily Rate</w:t>
      </w:r>
      <w:r>
        <w:rPr>
          <w:rFonts w:ascii="Arial" w:cs="Arial" w:eastAsia="Arial" w:hAnsi="Arial"/>
          <w:sz w:val="18"/>
          <w:szCs w:val="18"/>
          <w:color w:val="auto"/>
        </w:rPr>
        <w:t xml:space="preserve">” means, for any day, with respect to any extension of credit under the Credit Agreement denominated in Sterling, the rate per annum equal to SONIA determined pursuant to the definition thereof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SONIA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any Affected Alternative Currency Daily Rate shall be less than zero, such rate shall be deemed zero for purposes of this Agreement. Any change in an Affected Alternative Currency Daily Rate shall be effective from and including the date of such change without further notice.</w:t>
      </w:r>
    </w:p>
    <w:p>
      <w:pPr>
        <w:spacing w:after="0" w:line="165" w:lineRule="exact"/>
        <w:rPr>
          <w:sz w:val="20"/>
          <w:szCs w:val="20"/>
          <w:color w:val="auto"/>
        </w:rPr>
      </w:pPr>
    </w:p>
    <w:p>
      <w:pPr>
        <w:jc w:val="both"/>
        <w:ind w:left="860" w:right="219"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Alternative Currency Daily Rate Loan</w:t>
      </w:r>
      <w:r>
        <w:rPr>
          <w:rFonts w:ascii="Arial" w:cs="Arial" w:eastAsia="Arial" w:hAnsi="Arial"/>
          <w:sz w:val="18"/>
          <w:szCs w:val="18"/>
          <w:color w:val="auto"/>
        </w:rPr>
        <w:t>” means a Loan that bears interest at a rate based on the definition of “Affected Alternative Currency Daily Rate.” All Affected Alternative Currency Daily Rate Loans must be denominated in an Affected Alternative Currency.</w:t>
      </w:r>
    </w:p>
    <w:p>
      <w:pPr>
        <w:spacing w:after="0" w:line="152" w:lineRule="exact"/>
        <w:rPr>
          <w:sz w:val="20"/>
          <w:szCs w:val="20"/>
          <w:color w:val="auto"/>
        </w:rPr>
      </w:pPr>
    </w:p>
    <w:p>
      <w:pPr>
        <w:jc w:val="both"/>
        <w:ind w:left="86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Alternative Currency Loan</w:t>
      </w:r>
      <w:r>
        <w:rPr>
          <w:rFonts w:ascii="Arial" w:cs="Arial" w:eastAsia="Arial" w:hAnsi="Arial"/>
          <w:sz w:val="20"/>
          <w:szCs w:val="20"/>
          <w:color w:val="auto"/>
        </w:rPr>
        <w:t>” means an Affected Alternative Currency Daily Rate Loan or an Affected Alternative Currency Term Rate Loan, as applicable.</w:t>
      </w:r>
    </w:p>
    <w:p>
      <w:pPr>
        <w:spacing w:after="0" w:line="177" w:lineRule="exact"/>
        <w:rPr>
          <w:sz w:val="20"/>
          <w:szCs w:val="20"/>
          <w:color w:val="auto"/>
        </w:rPr>
      </w:pPr>
    </w:p>
    <w:p>
      <w:pPr>
        <w:jc w:val="both"/>
        <w:ind w:left="86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Alternative Currency Term Rate</w:t>
      </w:r>
      <w:r>
        <w:rPr>
          <w:rFonts w:ascii="Arial" w:cs="Arial" w:eastAsia="Arial" w:hAnsi="Arial"/>
          <w:sz w:val="20"/>
          <w:szCs w:val="20"/>
          <w:color w:val="auto"/>
        </w:rPr>
        <w:t>” means, for any Interest Period, with respect to any extension of credit under the Credit Agreement:</w:t>
      </w:r>
    </w:p>
    <w:p>
      <w:pPr>
        <w:spacing w:after="0" w:line="190" w:lineRule="exact"/>
        <w:rPr>
          <w:sz w:val="20"/>
          <w:szCs w:val="20"/>
          <w:color w:val="auto"/>
        </w:rPr>
      </w:pPr>
    </w:p>
    <w:p>
      <w:pPr>
        <w:jc w:val="both"/>
        <w:ind w:left="1500" w:right="219" w:firstLine="653"/>
        <w:spacing w:after="0" w:line="274" w:lineRule="auto"/>
        <w:tabs>
          <w:tab w:leader="none" w:pos="2796" w:val="left"/>
        </w:tabs>
        <w:numPr>
          <w:ilvl w:val="0"/>
          <w:numId w:val="19"/>
        </w:numPr>
        <w:rPr>
          <w:rFonts w:ascii="Arial" w:cs="Arial" w:eastAsia="Arial" w:hAnsi="Arial"/>
          <w:sz w:val="19"/>
          <w:szCs w:val="19"/>
          <w:color w:val="auto"/>
        </w:rPr>
      </w:pPr>
      <w:r>
        <w:rPr>
          <w:rFonts w:ascii="Arial" w:cs="Arial" w:eastAsia="Arial" w:hAnsi="Arial"/>
          <w:sz w:val="18"/>
          <w:szCs w:val="18"/>
          <w:color w:val="auto"/>
        </w:rPr>
        <w:t>denominated in Euros, the rate per annum equal to the Euro Interbank Offered Rate (“</w:t>
      </w:r>
      <w:r>
        <w:rPr>
          <w:rFonts w:ascii="Arial" w:cs="Arial" w:eastAsia="Arial" w:hAnsi="Arial"/>
          <w:sz w:val="18"/>
          <w:szCs w:val="18"/>
          <w:u w:val="single" w:color="auto"/>
          <w:color w:val="auto"/>
        </w:rPr>
        <w:t>EURIBOR</w:t>
      </w:r>
      <w:r>
        <w:rPr>
          <w:rFonts w:ascii="Arial" w:cs="Arial" w:eastAsia="Arial" w:hAnsi="Arial"/>
          <w:sz w:val="18"/>
          <w:szCs w:val="18"/>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w:t>
      </w:r>
    </w:p>
    <w:p>
      <w:pPr>
        <w:spacing w:after="0" w:line="182" w:lineRule="exact"/>
        <w:rPr>
          <w:rFonts w:ascii="Arial" w:cs="Arial" w:eastAsia="Arial" w:hAnsi="Arial"/>
          <w:sz w:val="19"/>
          <w:szCs w:val="19"/>
          <w:color w:val="auto"/>
        </w:rPr>
      </w:pPr>
    </w:p>
    <w:p>
      <w:pPr>
        <w:jc w:val="both"/>
        <w:ind w:left="1500" w:right="219" w:firstLine="653"/>
        <w:spacing w:after="0" w:line="253" w:lineRule="auto"/>
        <w:tabs>
          <w:tab w:leader="none" w:pos="2796" w:val="left"/>
        </w:tabs>
        <w:numPr>
          <w:ilvl w:val="0"/>
          <w:numId w:val="19"/>
        </w:numPr>
        <w:rPr>
          <w:rFonts w:ascii="Arial" w:cs="Arial" w:eastAsia="Arial" w:hAnsi="Arial"/>
          <w:sz w:val="21"/>
          <w:szCs w:val="21"/>
          <w:color w:val="auto"/>
        </w:rPr>
      </w:pPr>
      <w:r>
        <w:rPr>
          <w:rFonts w:ascii="Arial" w:cs="Arial" w:eastAsia="Arial" w:hAnsi="Arial"/>
          <w:sz w:val="19"/>
          <w:szCs w:val="19"/>
          <w:color w:val="auto"/>
        </w:rPr>
        <w:t>denominated in Japanese Yen, the rate per annum equal to the Tokyo Interbank Offer Rate (“</w:t>
      </w:r>
      <w:r>
        <w:rPr>
          <w:rFonts w:ascii="Arial" w:cs="Arial" w:eastAsia="Arial" w:hAnsi="Arial"/>
          <w:sz w:val="19"/>
          <w:szCs w:val="19"/>
          <w:u w:val="single" w:color="auto"/>
          <w:color w:val="auto"/>
        </w:rPr>
        <w:t>TIBOR</w:t>
      </w:r>
      <w:r>
        <w:rPr>
          <w:rFonts w:ascii="Arial" w:cs="Arial" w:eastAsia="Arial" w:hAnsi="Arial"/>
          <w:sz w:val="19"/>
          <w:szCs w:val="19"/>
          <w:color w:val="auto"/>
        </w:rPr>
        <w:t xml:space="preserve">”), as published on the applicable Reuters screen page (or such other commercially available source providing such quotations as may be designated by the Administrative Agent from time to time) on the day that is two Business Days preceding the first day of such Interest Period (or such other day as is generally treated as the rate fixing day by market practice in such interbank market, as determined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market practice is not administratively feasible for the Administrative Agent, then such date shall be such other day as otherwise reasonably determined by the Administrative Agent) with a term equivalent to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555625</wp:posOffset>
            </wp:positionV>
            <wp:extent cx="5452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7" w:name="page38"/>
    <w:bookmarkEnd w:id="37"/>
    <w:p>
      <w:pPr>
        <w:jc w:val="both"/>
        <w:ind w:left="860" w:right="219"/>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any Affected Alternative Currency Term Rate shall be less than zero, such rate shall be deemed zero for purposes of this Agreement.</w:t>
      </w:r>
    </w:p>
    <w:p>
      <w:pPr>
        <w:spacing w:after="0" w:line="177" w:lineRule="exact"/>
        <w:rPr>
          <w:sz w:val="20"/>
          <w:szCs w:val="20"/>
          <w:color w:val="auto"/>
        </w:rPr>
      </w:pPr>
    </w:p>
    <w:p>
      <w:pPr>
        <w:jc w:val="both"/>
        <w:ind w:left="860" w:right="219"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Alternative Currency Term Rate Loan</w:t>
      </w:r>
      <w:r>
        <w:rPr>
          <w:rFonts w:ascii="Arial" w:cs="Arial" w:eastAsia="Arial" w:hAnsi="Arial"/>
          <w:sz w:val="18"/>
          <w:szCs w:val="18"/>
          <w:color w:val="auto"/>
        </w:rPr>
        <w:t>” means a Loan that bears interest at a rate based on the definition of “Affected Alternative Currency Term Rate.” All Affected Alternative Currency Term Rate Loans must be denominated in an Affected Alternative Currency.</w:t>
      </w:r>
    </w:p>
    <w:p>
      <w:pPr>
        <w:spacing w:after="0" w:line="165" w:lineRule="exact"/>
        <w:rPr>
          <w:sz w:val="20"/>
          <w:szCs w:val="20"/>
          <w:color w:val="auto"/>
        </w:rPr>
      </w:pPr>
    </w:p>
    <w:p>
      <w:pPr>
        <w:jc w:val="both"/>
        <w:ind w:left="860" w:right="219"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other than a Saturday, Sunday or other day on which commercial banks are authorized to close under the Laws of, or are in fact closed in, the state where the Administrative Agent’s Office is located;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6" w:lineRule="exact"/>
        <w:rPr>
          <w:sz w:val="20"/>
          <w:szCs w:val="20"/>
          <w:color w:val="auto"/>
        </w:rPr>
      </w:pPr>
    </w:p>
    <w:p>
      <w:pPr>
        <w:jc w:val="both"/>
        <w:ind w:left="1500" w:right="219" w:firstLine="653"/>
        <w:spacing w:after="0" w:line="278" w:lineRule="auto"/>
        <w:tabs>
          <w:tab w:leader="none" w:pos="27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an Affected Alternative Currency Loan denominated in Euro, any fundings, disbursements, settlements and payments in Euro in respect of any such Affected Alternative Currency Loan, or any other dealings in Euro to be carried out pursuant to this Agreement in respect of any such Affected Alternative Currency Loan, means a Business Day that is also a TARGET Day;</w:t>
      </w:r>
    </w:p>
    <w:p>
      <w:pPr>
        <w:spacing w:after="0" w:line="164" w:lineRule="exact"/>
        <w:rPr>
          <w:rFonts w:ascii="Arial" w:cs="Arial" w:eastAsia="Arial" w:hAnsi="Arial"/>
          <w:sz w:val="18"/>
          <w:szCs w:val="18"/>
          <w:color w:val="auto"/>
        </w:rPr>
      </w:pPr>
    </w:p>
    <w:p>
      <w:pPr>
        <w:jc w:val="both"/>
        <w:ind w:left="1500" w:right="219" w:firstLine="653"/>
        <w:spacing w:after="0" w:line="278" w:lineRule="auto"/>
        <w:tabs>
          <w:tab w:leader="none" w:pos="27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an Affected Alternative Currency Loan denominated in (i) Sterling, means a day other than a day banks are closed for general business in London because such day is a Saturday, Sunday or a legal holiday under the Laws of the United Kingdom; and (ii) Japanese Yen, means a day other than when banks are closed for general business in Japan; and</w:t>
      </w:r>
    </w:p>
    <w:p>
      <w:pPr>
        <w:spacing w:after="0" w:line="164" w:lineRule="exact"/>
        <w:rPr>
          <w:rFonts w:ascii="Arial" w:cs="Arial" w:eastAsia="Arial" w:hAnsi="Arial"/>
          <w:sz w:val="18"/>
          <w:szCs w:val="18"/>
          <w:color w:val="auto"/>
        </w:rPr>
      </w:pPr>
    </w:p>
    <w:p>
      <w:pPr>
        <w:jc w:val="both"/>
        <w:ind w:left="1500" w:right="219" w:firstLine="653"/>
        <w:spacing w:after="0" w:line="243" w:lineRule="auto"/>
        <w:tabs>
          <w:tab w:leader="none" w:pos="2796" w:val="left"/>
        </w:tabs>
        <w:numPr>
          <w:ilvl w:val="0"/>
          <w:numId w:val="20"/>
        </w:numPr>
        <w:rPr>
          <w:rFonts w:ascii="Arial" w:cs="Arial" w:eastAsia="Arial" w:hAnsi="Arial"/>
          <w:sz w:val="20"/>
          <w:szCs w:val="20"/>
          <w:color w:val="auto"/>
        </w:rPr>
      </w:pPr>
      <w:r>
        <w:rPr>
          <w:rFonts w:ascii="Arial" w:cs="Arial" w:eastAsia="Arial" w:hAnsi="Arial"/>
          <w:sz w:val="20"/>
          <w:szCs w:val="20"/>
          <w:color w:val="auto"/>
        </w:rPr>
        <w:t>if such day relates to any fundings, disbursements, settlements and payments in a currency other than Euro in respect of an Affected Alternative Currency Loan denominated in a currency other than Euro, or any other dealings in any currency other than Euro to be carried out pursuant to this Agreement in respect of any such Affected Alternative Currency Loan (other than any interest rate settings), means any such day on which banks are open for foreign exchange business in the principal financial center of the country of such currency.</w:t>
      </w:r>
    </w:p>
    <w:p>
      <w:pPr>
        <w:spacing w:after="0" w:line="193" w:lineRule="exact"/>
        <w:rPr>
          <w:sz w:val="20"/>
          <w:szCs w:val="20"/>
          <w:color w:val="auto"/>
        </w:rPr>
      </w:pPr>
    </w:p>
    <w:p>
      <w:pPr>
        <w:jc w:val="both"/>
        <w:ind w:left="860" w:right="219"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means, with respect to the use, administration of or any conventions associated with SONIA, EURIBOR, TIBOR or any proposed successor rate for any currency, any conforming changes to the definitions of “SONIA”, “EURIBOR”, “TIBOR”, “Interest Period”, timing and frequency of determining rates and making payments of interest and other technical or administrative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in consultation with the Company is reasonably necessary in connection with the administration of this Agreement and any other Loan Document).</w:t>
      </w:r>
    </w:p>
    <w:p>
      <w:pPr>
        <w:spacing w:after="0" w:line="181" w:lineRule="exact"/>
        <w:rPr>
          <w:sz w:val="20"/>
          <w:szCs w:val="20"/>
          <w:color w:val="auto"/>
        </w:rPr>
      </w:pPr>
    </w:p>
    <w:p>
      <w:pPr>
        <w:jc w:val="both"/>
        <w:ind w:left="86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Loans</w:t>
      </w:r>
      <w:r>
        <w:rPr>
          <w:rFonts w:ascii="Arial" w:cs="Arial" w:eastAsia="Arial" w:hAnsi="Arial"/>
          <w:sz w:val="20"/>
          <w:szCs w:val="20"/>
          <w:color w:val="auto"/>
        </w:rPr>
        <w:t>” means a Loan that bears interest at a rate based on the Eurocurrency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551815</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8" w:name="page39"/>
    <w:bookmarkEnd w:id="38"/>
    <w:p>
      <w:pPr>
        <w:jc w:val="both"/>
        <w:ind w:left="860" w:right="219"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Affected Alternative Currency Daily Rate Loan, the last Business Day of each calendar month and the applicable maturity date set forth in the Credit Agreement and (b) as to any Affected Alternative Currency Term Rate Loan, the last day of each Interest Period applicable to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an Affected Alternative Currency Term Rate Loan exceeds three months, the respective dates that fall every three months after the beginning of such Interest Period shall be Interest Payment Dates.</w:t>
      </w:r>
    </w:p>
    <w:p>
      <w:pPr>
        <w:spacing w:after="0" w:line="165" w:lineRule="exact"/>
        <w:rPr>
          <w:sz w:val="20"/>
          <w:szCs w:val="20"/>
          <w:color w:val="auto"/>
        </w:rPr>
      </w:pPr>
    </w:p>
    <w:p>
      <w:pPr>
        <w:jc w:val="both"/>
        <w:ind w:left="860" w:right="219"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each Affected Alternative Currency Term Rate Loan, the period commencing on the date such Affected Alternative Currency Term Rate Loan is disbursed or converted to or continued as an Affected Alternative Currency Term Rate Loan and ending on the date one, three or six months thereafter (in each case, subject to availability for the interest rate applicable to the relevant currency), as selected by the applicable Borrower in its Committed Loan Notice, or such other period that is twelve months or less requested by the applicable Borrower and consented to by all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5" w:lineRule="exact"/>
        <w:rPr>
          <w:sz w:val="20"/>
          <w:szCs w:val="20"/>
          <w:color w:val="auto"/>
        </w:rPr>
      </w:pPr>
    </w:p>
    <w:p>
      <w:pPr>
        <w:jc w:val="both"/>
        <w:ind w:left="1500" w:right="219" w:firstLine="653"/>
        <w:spacing w:after="0" w:line="244" w:lineRule="auto"/>
        <w:tabs>
          <w:tab w:leader="none" w:pos="2796"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in the case of an Affected Alternative Currency Term Rate Loan, such Business Day falls in another calendar month, in which case such Interest Period shall end on the next preceding Business Day;</w:t>
      </w:r>
    </w:p>
    <w:p>
      <w:pPr>
        <w:spacing w:after="0" w:line="194" w:lineRule="exact"/>
        <w:rPr>
          <w:rFonts w:ascii="Arial" w:cs="Arial" w:eastAsia="Arial" w:hAnsi="Arial"/>
          <w:sz w:val="20"/>
          <w:szCs w:val="20"/>
          <w:color w:val="auto"/>
        </w:rPr>
      </w:pPr>
    </w:p>
    <w:p>
      <w:pPr>
        <w:jc w:val="both"/>
        <w:ind w:left="1500" w:right="219" w:firstLine="653"/>
        <w:spacing w:after="0" w:line="244" w:lineRule="auto"/>
        <w:tabs>
          <w:tab w:leader="none" w:pos="2796"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any Interest Period pertaining to an Affected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94" w:lineRule="exact"/>
        <w:rPr>
          <w:rFonts w:ascii="Arial" w:cs="Arial" w:eastAsia="Arial" w:hAnsi="Arial"/>
          <w:sz w:val="20"/>
          <w:szCs w:val="20"/>
          <w:color w:val="auto"/>
        </w:rPr>
      </w:pPr>
    </w:p>
    <w:p>
      <w:pPr>
        <w:ind w:left="2800" w:hanging="647"/>
        <w:spacing w:after="0"/>
        <w:tabs>
          <w:tab w:leader="none" w:pos="2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216" w:lineRule="exact"/>
        <w:rPr>
          <w:sz w:val="20"/>
          <w:szCs w:val="20"/>
          <w:color w:val="auto"/>
        </w:rPr>
      </w:pPr>
    </w:p>
    <w:p>
      <w:pPr>
        <w:jc w:val="both"/>
        <w:ind w:left="860" w:right="219"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Revaluation Date</w:t>
      </w:r>
      <w:r>
        <w:rPr>
          <w:rFonts w:ascii="Arial" w:cs="Arial" w:eastAsia="Arial" w:hAnsi="Arial"/>
          <w:sz w:val="20"/>
          <w:szCs w:val="20"/>
          <w:color w:val="auto"/>
        </w:rPr>
        <w:t>” means, with respect to any Loan, each of the following: (a) each date of a Committed Borrowing of an Affected Alternative Currency Loan, (b) with respect to an Affected Alternative Currency Daily Rate Loan, each Interest Payment Date, (c) each date of a continuation of an Affected Alternative Currency Term Rate Loan pursuant to the terms of the Credit Agreement, and (d) such additional dates as the Administrative Agent shall determine or the Required Lenders shall require.</w:t>
      </w:r>
    </w:p>
    <w:p>
      <w:pPr>
        <w:spacing w:after="0" w:line="196" w:lineRule="exact"/>
        <w:rPr>
          <w:sz w:val="20"/>
          <w:szCs w:val="20"/>
          <w:color w:val="auto"/>
        </w:rPr>
      </w:pPr>
    </w:p>
    <w:p>
      <w:pPr>
        <w:jc w:val="both"/>
        <w:ind w:left="860" w:right="219"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w:t>
      </w:r>
      <w:r>
        <w:rPr>
          <w:rFonts w:ascii="Arial" w:cs="Arial" w:eastAsia="Arial" w:hAnsi="Arial"/>
          <w:sz w:val="20"/>
          <w:szCs w:val="20"/>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however that if such determination date is not a Business Day, SONIA means such rate that applied on the first Business Day immediately prior thereto.</w:t>
      </w:r>
    </w:p>
    <w:p>
      <w:pPr>
        <w:spacing w:after="0" w:line="19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Adjustment</w:t>
      </w:r>
      <w:r>
        <w:rPr>
          <w:rFonts w:ascii="Arial" w:cs="Arial" w:eastAsia="Arial" w:hAnsi="Arial"/>
          <w:sz w:val="20"/>
          <w:szCs w:val="20"/>
          <w:color w:val="auto"/>
        </w:rPr>
        <w:t>” means, with respect to SONIA, 0.0326% per annum.</w:t>
      </w:r>
    </w:p>
    <w:p>
      <w:pPr>
        <w:spacing w:after="0" w:line="216" w:lineRule="exact"/>
        <w:rPr>
          <w:sz w:val="20"/>
          <w:szCs w:val="20"/>
          <w:color w:val="auto"/>
        </w:rPr>
      </w:pPr>
    </w:p>
    <w:p>
      <w:pPr>
        <w:jc w:val="both"/>
        <w:ind w:left="860" w:right="219"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Committed Loan, its character as a Base Rate Loan, a Eurocurrency Rate Loan, an Affected Alternative Currency Daily Rate Loan or an Affected Alternative Currency Term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557530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9" w:name="page40"/>
    <w:bookmarkEnd w:id="39"/>
    <w:p>
      <w:pPr>
        <w:ind w:left="200" w:right="219" w:firstLine="657"/>
        <w:spacing w:after="0" w:line="260" w:lineRule="auto"/>
        <w:tabs>
          <w:tab w:leader="none" w:pos="1496"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Terms Applicable to Affected Alternative Currency Loans</w:t>
      </w:r>
      <w:r>
        <w:rPr>
          <w:rFonts w:ascii="Arial" w:cs="Arial" w:eastAsia="Arial" w:hAnsi="Arial"/>
          <w:sz w:val="20"/>
          <w:szCs w:val="20"/>
          <w:color w:val="auto"/>
        </w:rPr>
        <w:t>. From and after the date hereof, the parties hereto agree as follows:</w:t>
      </w:r>
    </w:p>
    <w:p>
      <w:pPr>
        <w:spacing w:after="0" w:line="176" w:lineRule="exact"/>
        <w:rPr>
          <w:rFonts w:ascii="Arial" w:cs="Arial" w:eastAsia="Arial" w:hAnsi="Arial"/>
          <w:sz w:val="20"/>
          <w:szCs w:val="20"/>
          <w:color w:val="auto"/>
        </w:rPr>
      </w:pPr>
    </w:p>
    <w:p>
      <w:pPr>
        <w:jc w:val="both"/>
        <w:ind w:left="860" w:right="219" w:firstLine="645"/>
        <w:spacing w:after="0" w:line="308" w:lineRule="auto"/>
        <w:tabs>
          <w:tab w:leader="none" w:pos="2156"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Affected Alternative Currencies</w:t>
      </w:r>
      <w:r>
        <w:rPr>
          <w:rFonts w:ascii="Arial" w:cs="Arial" w:eastAsia="Arial" w:hAnsi="Arial"/>
          <w:sz w:val="16"/>
          <w:szCs w:val="16"/>
          <w:color w:val="auto"/>
        </w:rPr>
        <w:t xml:space="preserve">. (i) No Affected Alternative Currency shall be considered a currency for which there is a published LIBOR rate, and (ii) any request for a new Loan denominated in an Affected Alternative Currency, or to continue an existing Loan denominated in an Affected Alternative Currency, shall be deemed to be a request for a new Loan bearing interest at the Affected Alternative Currency Daily Rate or Affected Alternative Currency Term Rate,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to the extent any Loan bearing interest at the Eurocurrency Rate is outstanding on the date hereof, such Loan shall continue to bear interest at the Eurocurrency Rate until the end of the current Interest Period or payment period applicable to such Loan unless, in the case of a Loan that bears interest at a daily floating rate, such daily floating rate is no longer representative or being made available, in which case such Loan shall bear interest at the applicable Affected Alternative Currency Rate immediately upon the effectiveness of this Agreement.</w:t>
      </w:r>
    </w:p>
    <w:p>
      <w:pPr>
        <w:spacing w:after="0" w:line="379" w:lineRule="exact"/>
        <w:rPr>
          <w:rFonts w:ascii="Arial" w:cs="Arial" w:eastAsia="Arial" w:hAnsi="Arial"/>
          <w:sz w:val="16"/>
          <w:szCs w:val="16"/>
          <w:color w:val="auto"/>
        </w:rPr>
      </w:pPr>
    </w:p>
    <w:p>
      <w:pPr>
        <w:ind w:left="860" w:right="219" w:firstLine="645"/>
        <w:spacing w:after="0" w:line="260" w:lineRule="auto"/>
        <w:tabs>
          <w:tab w:leader="none" w:pos="2156"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References to Eurocurrency Rate and Eurocurrency Rate Loans in the Credit Agreement and Loan Documents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1500" w:right="219" w:firstLine="653"/>
        <w:spacing w:after="0" w:line="278" w:lineRule="auto"/>
        <w:tabs>
          <w:tab w:leader="none" w:pos="2836"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References to the Eurocurrency Rate and Eurocurrency Rate Loans in provisions of the Credit Agreement and the other Loan Documents that are not specifically addressed herein (other than the definitions of Eurocurrency Rate and Eurocurrency Rate Loan) shall be deemed to include Affected Alternative Currency Daily Rates, Affected Alternative Currency Term Rates, and Affected Alternative Currency Loans, as applicable.</w:t>
      </w:r>
    </w:p>
    <w:p>
      <w:pPr>
        <w:spacing w:after="0" w:line="164" w:lineRule="exact"/>
        <w:rPr>
          <w:rFonts w:ascii="Arial" w:cs="Arial" w:eastAsia="Arial" w:hAnsi="Arial"/>
          <w:sz w:val="18"/>
          <w:szCs w:val="18"/>
          <w:color w:val="auto"/>
        </w:rPr>
      </w:pPr>
    </w:p>
    <w:p>
      <w:pPr>
        <w:jc w:val="both"/>
        <w:ind w:left="1500" w:right="219" w:firstLine="653"/>
        <w:spacing w:after="0" w:line="276" w:lineRule="auto"/>
        <w:tabs>
          <w:tab w:leader="none" w:pos="2796" w:val="left"/>
        </w:tabs>
        <w:numPr>
          <w:ilvl w:val="2"/>
          <w:numId w:val="22"/>
        </w:numPr>
        <w:rPr>
          <w:rFonts w:ascii="Arial" w:cs="Arial" w:eastAsia="Arial" w:hAnsi="Arial"/>
          <w:sz w:val="18"/>
          <w:szCs w:val="18"/>
          <w:color w:val="auto"/>
        </w:rPr>
      </w:pPr>
      <w:r>
        <w:rPr>
          <w:rFonts w:ascii="Arial" w:cs="Arial" w:eastAsia="Arial" w:hAnsi="Arial"/>
          <w:sz w:val="18"/>
          <w:szCs w:val="18"/>
          <w:color w:val="auto"/>
        </w:rPr>
        <w:t>For purposes of any requirement for any Borrower to compensate Lenders for losses in the Credit Agreement resulting from any continuation, conversion, payment or prepayment of any Affected Alternative Currency Loan on a day other than the last day of any Interest Period (as defined in the Credit Agreement), references to the Interest Period (as defined in the Credit Agreement) shall be deemed to include any relevant interest payment date or payment period for an Affected Alternative Currency Loan.</w:t>
      </w:r>
    </w:p>
    <w:p>
      <w:pPr>
        <w:spacing w:after="0" w:line="164" w:lineRule="exact"/>
        <w:rPr>
          <w:rFonts w:ascii="Arial" w:cs="Arial" w:eastAsia="Arial" w:hAnsi="Arial"/>
          <w:sz w:val="18"/>
          <w:szCs w:val="18"/>
          <w:color w:val="auto"/>
        </w:rPr>
      </w:pPr>
    </w:p>
    <w:p>
      <w:pPr>
        <w:jc w:val="both"/>
        <w:ind w:left="860" w:right="219" w:firstLine="645"/>
        <w:spacing w:after="0" w:line="256" w:lineRule="auto"/>
        <w:tabs>
          <w:tab w:leader="none" w:pos="2156"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Interest Rates</w:t>
      </w:r>
      <w:r>
        <w:rPr>
          <w:rFonts w:ascii="Arial" w:cs="Arial" w:eastAsia="Arial" w:hAnsi="Arial"/>
          <w:sz w:val="19"/>
          <w:szCs w:val="19"/>
          <w:color w:val="auto"/>
        </w:rPr>
        <w:t>. The Administrative Agent does not warrant, nor accept responsibility, nor shall the Administrative Agent have any liability with respect to the administration, submission or any other matter related to the rates in the definition of “Affected Alternative Currency Daily Rate”, “Affected Alternative Currency Term Rate” or with respect to any rate (including, for the avoidance of doubt, the selection of such rate and any related spread or other adjustment) that is an alternative or replacement for or successor to any such rate or the effect of any of the foregoing, or of any Conforming Changes, in each case in the absence of the Administrative Agent’s own gross negligence or willful misconduct as determined by a court of competent jurisdiction by final and nonappealable judgment.</w:t>
      </w:r>
    </w:p>
    <w:p>
      <w:pPr>
        <w:spacing w:after="0" w:line="184" w:lineRule="exact"/>
        <w:rPr>
          <w:rFonts w:ascii="Arial" w:cs="Arial" w:eastAsia="Arial" w:hAnsi="Arial"/>
          <w:sz w:val="19"/>
          <w:szCs w:val="19"/>
          <w:color w:val="auto"/>
        </w:rPr>
      </w:pPr>
    </w:p>
    <w:p>
      <w:pPr>
        <w:jc w:val="both"/>
        <w:ind w:left="860" w:right="219" w:firstLine="645"/>
        <w:spacing w:after="0" w:line="263" w:lineRule="auto"/>
        <w:tabs>
          <w:tab w:leader="none" w:pos="2156"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Revaluation Dates</w:t>
      </w:r>
      <w:r>
        <w:rPr>
          <w:rFonts w:ascii="Arial" w:cs="Arial" w:eastAsia="Arial" w:hAnsi="Arial"/>
          <w:sz w:val="19"/>
          <w:szCs w:val="19"/>
          <w:color w:val="auto"/>
        </w:rPr>
        <w:t>. The Administrative Agent shall determine the Dollar Equivalent amounts of Committed Borrowings and Loans denominated in Affected Alternative Currencies. Such Dollar Equivalent shall become effective as of such Revaluation Date and shall be the Dollar Equivalent of such amounts until the next Revaluation Date to occur.</w:t>
      </w:r>
    </w:p>
    <w:p>
      <w:pPr>
        <w:spacing w:after="0" w:line="176" w:lineRule="exact"/>
        <w:rPr>
          <w:rFonts w:ascii="Arial" w:cs="Arial" w:eastAsia="Arial" w:hAnsi="Arial"/>
          <w:sz w:val="19"/>
          <w:szCs w:val="19"/>
          <w:color w:val="auto"/>
        </w:rPr>
      </w:pPr>
    </w:p>
    <w:p>
      <w:pPr>
        <w:ind w:left="900" w:right="219" w:firstLine="605"/>
        <w:spacing w:after="0" w:line="260" w:lineRule="auto"/>
        <w:tabs>
          <w:tab w:leader="none" w:pos="2146"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Committed Borrowings and Continuations of Affected Alternative Currency Loans</w:t>
      </w:r>
      <w:r>
        <w:rPr>
          <w:rFonts w:ascii="Arial" w:cs="Arial" w:eastAsia="Arial" w:hAnsi="Arial"/>
          <w:sz w:val="20"/>
          <w:szCs w:val="20"/>
          <w:color w:val="auto"/>
        </w:rPr>
        <w:t>. In addition to any other borrowing requirements set forth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551815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40" w:name="page41"/>
    <w:bookmarkEnd w:id="40"/>
    <w:p>
      <w:pPr>
        <w:jc w:val="both"/>
        <w:ind w:left="1500" w:right="219" w:firstLine="653"/>
        <w:spacing w:after="0" w:line="267" w:lineRule="auto"/>
        <w:tabs>
          <w:tab w:leader="none" w:pos="279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Affected Alternative Currency Loans</w:t>
      </w:r>
      <w:r>
        <w:rPr>
          <w:rFonts w:ascii="Arial" w:cs="Arial" w:eastAsia="Arial" w:hAnsi="Arial"/>
          <w:sz w:val="18"/>
          <w:szCs w:val="18"/>
          <w:color w:val="auto"/>
        </w:rPr>
        <w:t xml:space="preserve">. Each Committed Borrowing of Affected Alternative Currency Loans, and each continuation of an Affected Alternative Currency Term Rate Loan shall be made upon the applicable Borrower’s irrevocable notice to the Administrative Agent, which may be given by (A) telephone or (B) a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the Administrative Agent of a Committed Loan Notice. Each such Committed Loan Notice must be received by the Administrative Agent not later than 9:00 a.m. (Pacific time) three Business Days (or four Business Days in the case of a Special Notice Currency) prior to the requested date of any Committed Borrowing or, in the case of Affected Alternative Currency Term Rate Loans, any continuation. Each Committed Borrowing of or continuation of Affected Alternative Currency Loans shall be in a principal amount of the Dollar Equivalent of $5,000,000 or a whole multiple of the Dollar Equivalent of $1,000,000 in excess thereof. Each Committed Loan Notice shall specify (i) the name of the applicable Borrower, (ii) whether the applicable Borrower is requesting a Committed Borrowing or a continuation of Affected Alternative Currency Term Rate Loans, (iii) the requested date of the Committed Borrowing or continuation, as the case may be (which shall be a Business Day), (iv) the currency and principal amount of Loans to be borrowed or continued, (v) the Type of Loans to be borrowed, and (vi) if applicable, the duration of the Interest Period with respect thereto. If the applicable Borrower fails to specify a currency in a Committed Loan Notice requesting a Committed Borrowing, then the Loans so requested shall be made in Dollars. If the applicable Borrower fails to specify a Type of Loan in a Committed Loan Notice or if such Borrower fails to give a timely notice requesting a continuation, then the applicable Loans shall be made as Base Rate Loans denominated in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failure to timely request a continuation of Affected Alternative Currency Term Rate Loans, such Loans shall be continued as Affected Alternative Currency Term Rate Loans in their original currency with an Interest Period of one (1) month. If the applicable Borrower requests a Committed Borrowing of or continuation of Affected Alternative Currency Term Rate Loans in any such Committed Loan Notice, but fails to specify an Interest Period, it will be deemed to have specified an Interest Period of one month. Except as otherwise specified in the Credit Agreement, no Affected Alternative Currency Loan may be converted into or continued as a Loan denominated in a different currency, but instead must be repaid in the original currency of such Affected Alternative Currency Loan and reborrowed in the other currency.</w:t>
      </w:r>
    </w:p>
    <w:p>
      <w:pPr>
        <w:spacing w:after="0" w:line="190" w:lineRule="exact"/>
        <w:rPr>
          <w:rFonts w:ascii="Arial" w:cs="Arial" w:eastAsia="Arial" w:hAnsi="Arial"/>
          <w:sz w:val="18"/>
          <w:szCs w:val="18"/>
          <w:color w:val="auto"/>
        </w:rPr>
      </w:pPr>
    </w:p>
    <w:p>
      <w:pPr>
        <w:jc w:val="both"/>
        <w:ind w:left="1500" w:right="219" w:firstLine="653"/>
        <w:spacing w:after="0" w:line="272" w:lineRule="auto"/>
        <w:tabs>
          <w:tab w:leader="none" w:pos="279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Conforming Changes</w:t>
      </w:r>
      <w:r>
        <w:rPr>
          <w:rFonts w:ascii="Arial" w:cs="Arial" w:eastAsia="Arial" w:hAnsi="Arial"/>
          <w:sz w:val="18"/>
          <w:szCs w:val="18"/>
          <w:color w:val="auto"/>
        </w:rPr>
        <w:t xml:space="preserve">. With respect to any Affected Alternative Currency Rate the Administrative Agent will have the right to make Conforming Changes from time to time and, notwithstanding anything to the contrary herein, in the Credit Agreement or in any other Loan Document, any amendments implementing such Conforming Changes will become effective without any further action or consent of any other party to this Agreement, the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such amendment effected, the Administrative Agent shall post each such amendment implementing such Conforming Changes to the Borrowers and the Lenders reasonably promptly after such amendment becomes effective.</w:t>
      </w:r>
    </w:p>
    <w:p>
      <w:pPr>
        <w:spacing w:after="0" w:line="170" w:lineRule="exact"/>
        <w:rPr>
          <w:rFonts w:ascii="Arial" w:cs="Arial" w:eastAsia="Arial" w:hAnsi="Arial"/>
          <w:sz w:val="18"/>
          <w:szCs w:val="18"/>
          <w:color w:val="auto"/>
        </w:rPr>
      </w:pPr>
    </w:p>
    <w:p>
      <w:pPr>
        <w:jc w:val="both"/>
        <w:ind w:left="1500" w:right="219" w:firstLine="653"/>
        <w:spacing w:after="0" w:line="246" w:lineRule="auto"/>
        <w:tabs>
          <w:tab w:leader="none" w:pos="2796"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Committed Loan Notice</w:t>
      </w:r>
      <w:r>
        <w:rPr>
          <w:rFonts w:ascii="Arial" w:cs="Arial" w:eastAsia="Arial" w:hAnsi="Arial"/>
          <w:sz w:val="20"/>
          <w:szCs w:val="20"/>
          <w:color w:val="auto"/>
        </w:rPr>
        <w:t>. For purposes of a Committed Borrowing of Affected Alternative Currency Loans, or a continuation of and Affected Alternative Currency Term Rate Loan, the Borrowers shall use the Committed Loan Notice attached hereto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560705</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41" w:name="page42"/>
    <w:bookmarkEnd w:id="41"/>
    <w:p>
      <w:pPr>
        <w:ind w:left="2160" w:hanging="655"/>
        <w:spacing w:after="0"/>
        <w:tabs>
          <w:tab w:leader="none" w:pos="2160" w:val="left"/>
        </w:tabs>
        <w:numPr>
          <w:ilvl w:val="1"/>
          <w:numId w:val="24"/>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500" w:right="219" w:firstLine="653"/>
        <w:spacing w:after="0" w:line="242" w:lineRule="auto"/>
        <w:tabs>
          <w:tab w:leader="none" w:pos="2796" w:val="left"/>
        </w:tabs>
        <w:numPr>
          <w:ilvl w:val="2"/>
          <w:numId w:val="24"/>
        </w:numPr>
        <w:rPr>
          <w:rFonts w:ascii="Arial" w:cs="Arial" w:eastAsia="Arial" w:hAnsi="Arial"/>
          <w:sz w:val="20"/>
          <w:szCs w:val="20"/>
          <w:color w:val="auto"/>
        </w:rPr>
      </w:pPr>
      <w:r>
        <w:rPr>
          <w:rFonts w:ascii="Arial" w:cs="Arial" w:eastAsia="Arial" w:hAnsi="Arial"/>
          <w:sz w:val="20"/>
          <w:szCs w:val="20"/>
          <w:color w:val="auto"/>
        </w:rPr>
        <w:t xml:space="preserve">Subject to the provisions of the Credit Agreement with respect to interest at the Default Rate, (x) each Affected Alternative Currency Daily Rate Loan shall bear interest on the outstanding principal amount thereof from the applicable borrowing date at a rate per annum equal to the Affected Alternative Currency Daily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and (y) each Affected Alternative Currency Term Rate Loan shall bear interest on the outstanding principal amount thereof for each Interest Period at a rate per annum equal to the Affected Alternative Currency Term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w:t>
      </w:r>
    </w:p>
    <w:p>
      <w:pPr>
        <w:spacing w:after="0" w:line="196" w:lineRule="exact"/>
        <w:rPr>
          <w:rFonts w:ascii="Arial" w:cs="Arial" w:eastAsia="Arial" w:hAnsi="Arial"/>
          <w:sz w:val="20"/>
          <w:szCs w:val="20"/>
          <w:color w:val="auto"/>
        </w:rPr>
      </w:pPr>
    </w:p>
    <w:p>
      <w:pPr>
        <w:jc w:val="both"/>
        <w:ind w:left="1500" w:right="219" w:firstLine="653"/>
        <w:spacing w:after="0" w:line="260" w:lineRule="auto"/>
        <w:tabs>
          <w:tab w:leader="none" w:pos="2796" w:val="left"/>
        </w:tabs>
        <w:numPr>
          <w:ilvl w:val="2"/>
          <w:numId w:val="24"/>
        </w:numPr>
        <w:rPr>
          <w:rFonts w:ascii="Arial" w:cs="Arial" w:eastAsia="Arial" w:hAnsi="Arial"/>
          <w:sz w:val="19"/>
          <w:szCs w:val="19"/>
          <w:color w:val="auto"/>
        </w:rPr>
      </w:pPr>
      <w:r>
        <w:rPr>
          <w:rFonts w:ascii="Arial" w:cs="Arial" w:eastAsia="Arial" w:hAnsi="Arial"/>
          <w:sz w:val="19"/>
          <w:szCs w:val="19"/>
          <w:color w:val="auto"/>
        </w:rPr>
        <w:t>Interest on each Affected Alternative Currency Loan shall be due and payable in arrears on each Interest Payment Date applicable thereto and at such other times as may be specified the Credit Agreement. Interest hereunder shall be due and payable in accordance with the terms hereof before and after judgment, and before and after the commencement of any proceeding under any Debtor Relief Law.</w:t>
      </w:r>
    </w:p>
    <w:p>
      <w:pPr>
        <w:spacing w:after="0" w:line="180" w:lineRule="exact"/>
        <w:rPr>
          <w:rFonts w:ascii="Arial" w:cs="Arial" w:eastAsia="Arial" w:hAnsi="Arial"/>
          <w:sz w:val="19"/>
          <w:szCs w:val="19"/>
          <w:color w:val="auto"/>
        </w:rPr>
      </w:pPr>
    </w:p>
    <w:p>
      <w:pPr>
        <w:jc w:val="both"/>
        <w:ind w:left="860" w:right="219" w:firstLine="645"/>
        <w:spacing w:after="0" w:line="271" w:lineRule="auto"/>
        <w:tabs>
          <w:tab w:leader="none" w:pos="215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Computations</w:t>
      </w:r>
      <w:r>
        <w:rPr>
          <w:rFonts w:ascii="Arial" w:cs="Arial" w:eastAsia="Arial" w:hAnsi="Arial"/>
          <w:sz w:val="18"/>
          <w:szCs w:val="18"/>
          <w:color w:val="auto"/>
        </w:rPr>
        <w:t xml:space="preserve">. All computations of interest for Affected Alternative Currency Loans shall be made on the basis of a year of 365 or 366 days, as the case may be, and actual days elapsed, or, in the case of interest in respect of Affected Alternative Currency Loans as to which market practice differs from the foregoing, in accordance with such market practice. Interest shall accrue on each Affected Alternative Currency Loans for the day on which the Affected Alternative Currency Loans is made, and shall not accrue on an Affected Alternative Currency Loans, or any portion thereof, for the day on which the Affected Alternative Currency Loans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Affected Alternative Currency Loans that is repaid on the same day on which it is made shall, subject to the terms of the Credit Agreement, bear interest for one day. Each determination by the Administrative Agent of an interest rate or fee hereunder shall be conclusive and binding for all purposes, absent manifest error.</w:t>
      </w:r>
    </w:p>
    <w:p>
      <w:pPr>
        <w:spacing w:after="0" w:line="169" w:lineRule="exact"/>
        <w:rPr>
          <w:rFonts w:ascii="Arial" w:cs="Arial" w:eastAsia="Arial" w:hAnsi="Arial"/>
          <w:sz w:val="18"/>
          <w:szCs w:val="18"/>
          <w:color w:val="auto"/>
        </w:rPr>
      </w:pPr>
    </w:p>
    <w:p>
      <w:pPr>
        <w:jc w:val="both"/>
        <w:ind w:left="540" w:right="219" w:firstLine="641"/>
        <w:spacing w:after="0" w:line="282" w:lineRule="auto"/>
        <w:tabs>
          <w:tab w:leader="none" w:pos="151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Successor Rates</w:t>
      </w:r>
      <w:r>
        <w:rPr>
          <w:rFonts w:ascii="Arial" w:cs="Arial" w:eastAsia="Arial" w:hAnsi="Arial"/>
          <w:sz w:val="18"/>
          <w:szCs w:val="18"/>
          <w:color w:val="auto"/>
        </w:rPr>
        <w:t>. The provisions in the Credit Agreement addressing the replacement of a current successor rate for a currency shall be deemed to apply to Affected Alternative Currency Loans and SONIA, TIBOR and EURIBOR, as applicable, and the related defined terms shall be deemed to include Sterling, Japanese Yen and Euros and SONIA, TIBOR and EURIBOR,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824865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20"/>
          <w:szCs w:val="20"/>
          <w:u w:val="single" w:color="auto"/>
          <w:color w:val="auto"/>
        </w:rPr>
        <w:t>Exhibit A</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 COMMITTED LOAN NOTICE</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(Affected Alternative Currency Loans)</w:t>
      </w:r>
    </w:p>
    <w:p>
      <w:pPr>
        <w:spacing w:after="0" w:line="341" w:lineRule="exact"/>
        <w:rPr>
          <w:sz w:val="20"/>
          <w:szCs w:val="20"/>
          <w:color w:val="auto"/>
        </w:rPr>
      </w:pPr>
    </w:p>
    <w:p>
      <w:pPr>
        <w:ind w:left="6800"/>
        <w:spacing w:after="0"/>
        <w:rPr>
          <w:rFonts w:ascii="Arial" w:cs="Arial" w:eastAsia="Arial" w:hAnsi="Arial"/>
          <w:sz w:val="20"/>
          <w:szCs w:val="20"/>
          <w:color w:val="auto"/>
        </w:rPr>
      </w:pPr>
      <w:r>
        <w:rPr>
          <w:rFonts w:ascii="Arial" w:cs="Arial" w:eastAsia="Arial" w:hAnsi="Arial"/>
          <w:sz w:val="20"/>
          <w:szCs w:val="20"/>
          <w:color w:val="auto"/>
        </w:rPr>
        <w:t>Date: ___________, _____</w:t>
      </w:r>
      <w:hyperlink w:anchor="page43">
        <w:r>
          <w:rPr>
            <w:rFonts w:ascii="Arial" w:cs="Arial" w:eastAsia="Arial" w:hAnsi="Arial"/>
            <w:sz w:val="29"/>
            <w:szCs w:val="29"/>
            <w:u w:val="single" w:color="auto"/>
            <w:color w:val="0000EE"/>
            <w:vertAlign w:val="superscript"/>
          </w:rPr>
          <w:t>1</w:t>
        </w:r>
      </w:hyperlink>
    </w:p>
    <w:p>
      <w:pPr>
        <w:ind w:left="480"/>
        <w:spacing w:after="0"/>
        <w:tabs>
          <w:tab w:leader="none" w:pos="11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Administrative Agent</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left="480" w:right="500"/>
        <w:spacing w:after="0" w:line="257" w:lineRule="auto"/>
        <w:rPr>
          <w:sz w:val="20"/>
          <w:szCs w:val="20"/>
          <w:color w:val="auto"/>
        </w:rPr>
      </w:pPr>
      <w:r>
        <w:rPr>
          <w:rFonts w:ascii="Arial" w:cs="Arial" w:eastAsia="Arial" w:hAnsi="Arial"/>
          <w:sz w:val="19"/>
          <w:szCs w:val="19"/>
          <w:color w:val="auto"/>
        </w:rPr>
        <w:t>Reference is made to that certain Amended and Restated Credit Agreement, dated as of June 28, 2018 (as amended by that certain Amendment No. 1 to Amended and Restated Credit Agreement, dated as of August 4, 2020, and as further amended, restated, extended, supplemented or 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Avnet, Inc. a New York corporation, the Designated Borrowers from time to time party thereto, the Lenders from time to time party thereto, and Bank of America, N.A., as Administrative Agent, L/C Issuer and Swingline Lender.</w:t>
      </w:r>
    </w:p>
    <w:p>
      <w:pPr>
        <w:spacing w:after="0" w:line="206" w:lineRule="exact"/>
        <w:rPr>
          <w:sz w:val="20"/>
          <w:szCs w:val="20"/>
          <w:color w:val="auto"/>
        </w:rPr>
      </w:pPr>
    </w:p>
    <w:p>
      <w:pPr>
        <w:ind w:left="480"/>
        <w:spacing w:after="0"/>
        <w:rPr>
          <w:rFonts w:ascii="Arial" w:cs="Arial" w:eastAsia="Arial" w:hAnsi="Arial"/>
          <w:sz w:val="20"/>
          <w:szCs w:val="20"/>
          <w:color w:val="auto"/>
        </w:rPr>
      </w:pPr>
      <w:r>
        <w:rPr>
          <w:rFonts w:ascii="Arial" w:cs="Arial" w:eastAsia="Arial" w:hAnsi="Arial"/>
          <w:sz w:val="20"/>
          <w:szCs w:val="20"/>
          <w:color w:val="auto"/>
        </w:rPr>
        <w:t>The undersigned hereby requests (select one)</w:t>
      </w:r>
      <w:hyperlink w:anchor="page43">
        <w:r>
          <w:rPr>
            <w:rFonts w:ascii="Arial" w:cs="Arial" w:eastAsia="Arial" w:hAnsi="Arial"/>
            <w:sz w:val="29"/>
            <w:szCs w:val="29"/>
            <w:u w:val="single" w:color="auto"/>
            <w:color w:val="0000EE"/>
            <w:vertAlign w:val="superscript"/>
          </w:rPr>
          <w:t>2</w:t>
        </w:r>
      </w:hyperlink>
      <w:r>
        <w:rPr>
          <w:rFonts w:ascii="Arial" w:cs="Arial" w:eastAsia="Arial" w:hAnsi="Arial"/>
          <w:sz w:val="20"/>
          <w:szCs w:val="20"/>
          <w:color w:val="auto"/>
        </w:rPr>
        <w:t>:</w:t>
      </w: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20" w:type="dxa"/>
            <w:vAlign w:val="bottom"/>
            <w:tcBorders>
              <w:top w:val="single" w:sz="8" w:color="auto"/>
              <w:left w:val="single" w:sz="8" w:color="auto"/>
            </w:tcBorders>
          </w:tcPr>
          <w:p>
            <w:pPr>
              <w:spacing w:after="0"/>
              <w:rPr>
                <w:sz w:val="17"/>
                <w:szCs w:val="17"/>
                <w:color w:val="auto"/>
              </w:rPr>
            </w:pPr>
          </w:p>
        </w:tc>
        <w:tc>
          <w:tcPr>
            <w:tcW w:w="1080" w:type="dxa"/>
            <w:vAlign w:val="bottom"/>
            <w:tcBorders>
              <w:top w:val="single" w:sz="8" w:color="auto"/>
              <w:right w:val="single" w:sz="8" w:color="auto"/>
            </w:tcBorders>
            <w:gridSpan w:val="2"/>
          </w:tcPr>
          <w:p>
            <w:pPr>
              <w:jc w:val="center"/>
              <w:ind w:right="340"/>
              <w:spacing w:after="0" w:line="203" w:lineRule="exact"/>
              <w:rPr>
                <w:sz w:val="20"/>
                <w:szCs w:val="20"/>
                <w:color w:val="auto"/>
              </w:rPr>
            </w:pPr>
            <w:r>
              <w:rPr>
                <w:rFonts w:ascii="Arial" w:cs="Arial" w:eastAsia="Arial" w:hAnsi="Arial"/>
                <w:sz w:val="20"/>
                <w:szCs w:val="20"/>
                <w:b w:val="1"/>
                <w:bCs w:val="1"/>
                <w:color w:val="auto"/>
                <w:w w:val="91"/>
              </w:rPr>
              <w:t>Indicate</w:t>
            </w:r>
            <w:r>
              <w:rPr>
                <w:rFonts w:ascii="Arial" w:cs="Arial" w:eastAsia="Arial" w:hAnsi="Arial"/>
                <w:sz w:val="20"/>
                <w:szCs w:val="20"/>
                <w:color w:val="auto"/>
                <w:w w:val="91"/>
              </w:rPr>
              <w:t>:</w:t>
            </w: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right w:val="single" w:sz="8" w:color="auto"/>
            </w:tcBorders>
            <w:gridSpan w:val="2"/>
          </w:tcPr>
          <w:p>
            <w:pPr>
              <w:jc w:val="center"/>
              <w:ind w:right="340"/>
              <w:spacing w:after="0" w:line="203" w:lineRule="exact"/>
              <w:rPr>
                <w:sz w:val="20"/>
                <w:szCs w:val="20"/>
                <w:color w:val="auto"/>
              </w:rPr>
            </w:pPr>
            <w:r>
              <w:rPr>
                <w:rFonts w:ascii="Arial" w:cs="Arial" w:eastAsia="Arial" w:hAnsi="Arial"/>
                <w:sz w:val="20"/>
                <w:szCs w:val="20"/>
                <w:b w:val="1"/>
                <w:bCs w:val="1"/>
                <w:color w:val="auto"/>
                <w:w w:val="92"/>
              </w:rPr>
              <w:t>Indicate:</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gridSpan w:val="2"/>
          </w:tcPr>
          <w:p>
            <w:pPr>
              <w:jc w:val="center"/>
              <w:ind w:right="220"/>
              <w:spacing w:after="0" w:line="203" w:lineRule="exact"/>
              <w:rPr>
                <w:sz w:val="20"/>
                <w:szCs w:val="20"/>
                <w:color w:val="auto"/>
              </w:rPr>
            </w:pPr>
            <w:r>
              <w:rPr>
                <w:rFonts w:ascii="Arial" w:cs="Arial" w:eastAsia="Arial" w:hAnsi="Arial"/>
                <w:sz w:val="20"/>
                <w:szCs w:val="20"/>
                <w:b w:val="1"/>
                <w:bCs w:val="1"/>
                <w:color w:val="auto"/>
                <w:w w:val="92"/>
              </w:rPr>
              <w:t>Indicate:</w:t>
            </w:r>
          </w:p>
        </w:tc>
        <w:tc>
          <w:tcPr>
            <w:tcW w:w="114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2"/>
              </w:rPr>
              <w:t>Indicate:</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gridSpan w:val="2"/>
          </w:tcPr>
          <w:p>
            <w:pPr>
              <w:ind w:left="20"/>
              <w:spacing w:after="0" w:line="203" w:lineRule="exact"/>
              <w:rPr>
                <w:sz w:val="20"/>
                <w:szCs w:val="20"/>
                <w:color w:val="auto"/>
              </w:rPr>
            </w:pPr>
            <w:r>
              <w:rPr>
                <w:rFonts w:ascii="Arial" w:cs="Arial" w:eastAsia="Arial" w:hAnsi="Arial"/>
                <w:sz w:val="20"/>
                <w:szCs w:val="20"/>
                <w:b w:val="1"/>
                <w:bCs w:val="1"/>
                <w:color w:val="auto"/>
              </w:rPr>
              <w:t>Indicate:</w:t>
            </w: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gridSpan w:val="2"/>
          </w:tcPr>
          <w:p>
            <w:pPr>
              <w:jc w:val="center"/>
              <w:ind w:right="420"/>
              <w:spacing w:after="0" w:line="203" w:lineRule="exact"/>
              <w:rPr>
                <w:sz w:val="20"/>
                <w:szCs w:val="20"/>
                <w:color w:val="auto"/>
              </w:rPr>
            </w:pPr>
            <w:r>
              <w:rPr>
                <w:rFonts w:ascii="Arial" w:cs="Arial" w:eastAsia="Arial" w:hAnsi="Arial"/>
                <w:sz w:val="20"/>
                <w:szCs w:val="20"/>
                <w:b w:val="1"/>
                <w:bCs w:val="1"/>
                <w:color w:val="auto"/>
                <w:w w:val="92"/>
              </w:rPr>
              <w:t>Indicate:</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right w:val="single" w:sz="8" w:color="auto"/>
            </w:tcBorders>
            <w:gridSpan w:val="5"/>
          </w:tcPr>
          <w:p>
            <w:pPr>
              <w:jc w:val="center"/>
              <w:ind w:right="280"/>
              <w:spacing w:after="0" w:line="203" w:lineRule="exact"/>
              <w:rPr>
                <w:sz w:val="20"/>
                <w:szCs w:val="20"/>
                <w:color w:val="auto"/>
              </w:rPr>
            </w:pPr>
            <w:r>
              <w:rPr>
                <w:rFonts w:ascii="Arial" w:cs="Arial" w:eastAsia="Arial" w:hAnsi="Arial"/>
                <w:sz w:val="20"/>
                <w:szCs w:val="20"/>
                <w:b w:val="1"/>
                <w:bCs w:val="1"/>
                <w:color w:val="auto"/>
                <w:w w:val="86"/>
              </w:rPr>
              <w:t>For Affected</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Arial" w:cs="Arial" w:eastAsia="Arial" w:hAnsi="Arial"/>
                <w:sz w:val="20"/>
                <w:szCs w:val="20"/>
                <w:b w:val="1"/>
                <w:bCs w:val="1"/>
                <w:color w:val="auto"/>
                <w:w w:val="89"/>
              </w:rPr>
              <w:t>Effective Date</w:t>
            </w:r>
          </w:p>
        </w:tc>
        <w:tc>
          <w:tcPr>
            <w:tcW w:w="1400" w:type="dxa"/>
            <w:vAlign w:val="bottom"/>
            <w:tcBorders>
              <w:right w:val="single" w:sz="8" w:color="auto"/>
            </w:tcBorders>
            <w:gridSpan w:val="3"/>
          </w:tcPr>
          <w:p>
            <w:pPr>
              <w:jc w:val="center"/>
              <w:ind w:right="40"/>
              <w:spacing w:after="0" w:line="209" w:lineRule="exact"/>
              <w:rPr>
                <w:sz w:val="20"/>
                <w:szCs w:val="20"/>
                <w:color w:val="auto"/>
              </w:rPr>
            </w:pPr>
            <w:r>
              <w:rPr>
                <w:rFonts w:ascii="Arial" w:cs="Arial" w:eastAsia="Arial" w:hAnsi="Arial"/>
                <w:sz w:val="20"/>
                <w:szCs w:val="20"/>
                <w:b w:val="1"/>
                <w:bCs w:val="1"/>
                <w:color w:val="auto"/>
                <w:w w:val="91"/>
              </w:rPr>
              <w:t>Committed</w:t>
            </w:r>
          </w:p>
        </w:tc>
        <w:tc>
          <w:tcPr>
            <w:tcW w:w="1140" w:type="dxa"/>
            <w:vAlign w:val="bottom"/>
            <w:tcBorders>
              <w:right w:val="single" w:sz="8" w:color="auto"/>
            </w:tcBorders>
            <w:gridSpan w:val="3"/>
          </w:tcPr>
          <w:p>
            <w:pPr>
              <w:jc w:val="center"/>
              <w:ind w:right="40"/>
              <w:spacing w:after="0" w:line="209" w:lineRule="exact"/>
              <w:rPr>
                <w:sz w:val="20"/>
                <w:szCs w:val="20"/>
                <w:color w:val="auto"/>
              </w:rPr>
            </w:pPr>
            <w:r>
              <w:rPr>
                <w:rFonts w:ascii="Arial" w:cs="Arial" w:eastAsia="Arial" w:hAnsi="Arial"/>
                <w:sz w:val="20"/>
                <w:szCs w:val="20"/>
                <w:b w:val="1"/>
                <w:bCs w:val="1"/>
                <w:color w:val="auto"/>
                <w:w w:val="92"/>
              </w:rPr>
              <w:t>Borrower</w:t>
            </w:r>
          </w:p>
        </w:tc>
        <w:tc>
          <w:tcPr>
            <w:tcW w:w="1140" w:type="dxa"/>
            <w:vAlign w:val="bottom"/>
            <w:tcBorders>
              <w:right w:val="single" w:sz="8" w:color="auto"/>
            </w:tcBorders>
            <w:gridSpan w:val="3"/>
          </w:tcPr>
          <w:p>
            <w:pPr>
              <w:jc w:val="center"/>
              <w:ind w:right="20"/>
              <w:spacing w:after="0" w:line="209" w:lineRule="exact"/>
              <w:rPr>
                <w:sz w:val="20"/>
                <w:szCs w:val="20"/>
                <w:color w:val="auto"/>
              </w:rPr>
            </w:pPr>
            <w:r>
              <w:rPr>
                <w:rFonts w:ascii="Arial" w:cs="Arial" w:eastAsia="Arial" w:hAnsi="Arial"/>
                <w:sz w:val="20"/>
                <w:szCs w:val="20"/>
                <w:b w:val="1"/>
                <w:bCs w:val="1"/>
                <w:color w:val="auto"/>
                <w:w w:val="86"/>
              </w:rPr>
              <w:t>Requested</w:t>
            </w:r>
          </w:p>
        </w:tc>
        <w:tc>
          <w:tcPr>
            <w:tcW w:w="1340" w:type="dxa"/>
            <w:vAlign w:val="bottom"/>
            <w:tcBorders>
              <w:right w:val="single" w:sz="8" w:color="auto"/>
            </w:tcBorders>
            <w:gridSpan w:val="3"/>
          </w:tcPr>
          <w:p>
            <w:pPr>
              <w:ind w:left="240"/>
              <w:spacing w:after="0" w:line="209" w:lineRule="exact"/>
              <w:rPr>
                <w:sz w:val="20"/>
                <w:szCs w:val="20"/>
                <w:color w:val="auto"/>
              </w:rPr>
            </w:pPr>
            <w:r>
              <w:rPr>
                <w:rFonts w:ascii="Arial" w:cs="Arial" w:eastAsia="Arial" w:hAnsi="Arial"/>
                <w:sz w:val="20"/>
                <w:szCs w:val="20"/>
                <w:b w:val="1"/>
                <w:bCs w:val="1"/>
                <w:color w:val="auto"/>
              </w:rPr>
              <w:t>Currency</w:t>
            </w:r>
          </w:p>
        </w:tc>
        <w:tc>
          <w:tcPr>
            <w:tcW w:w="38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420"/>
              <w:spacing w:after="0" w:line="209" w:lineRule="exact"/>
              <w:rPr>
                <w:sz w:val="20"/>
                <w:szCs w:val="20"/>
                <w:color w:val="auto"/>
              </w:rPr>
            </w:pPr>
            <w:r>
              <w:rPr>
                <w:rFonts w:ascii="Arial" w:cs="Arial" w:eastAsia="Arial" w:hAnsi="Arial"/>
                <w:sz w:val="20"/>
                <w:szCs w:val="20"/>
                <w:b w:val="1"/>
                <w:bCs w:val="1"/>
                <w:color w:val="auto"/>
                <w:w w:val="89"/>
              </w:rPr>
              <w:t>Affected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right w:val="single" w:sz="8" w:color="auto"/>
            </w:tcBorders>
            <w:gridSpan w:val="5"/>
          </w:tcPr>
          <w:p>
            <w:pPr>
              <w:jc w:val="center"/>
              <w:ind w:right="340"/>
              <w:spacing w:after="0" w:line="209" w:lineRule="exact"/>
              <w:rPr>
                <w:sz w:val="20"/>
                <w:szCs w:val="20"/>
                <w:color w:val="auto"/>
              </w:rPr>
            </w:pPr>
            <w:r>
              <w:rPr>
                <w:rFonts w:ascii="Arial" w:cs="Arial" w:eastAsia="Arial" w:hAnsi="Arial"/>
                <w:sz w:val="20"/>
                <w:szCs w:val="20"/>
                <w:b w:val="1"/>
                <w:bCs w:val="1"/>
                <w:color w:val="auto"/>
                <w:w w:val="92"/>
              </w:rPr>
              <w:t>Alternative</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b w:val="1"/>
                <w:bCs w:val="1"/>
                <w:color w:val="auto"/>
                <w:w w:val="90"/>
              </w:rPr>
              <w:t>Borrowing,</w:t>
            </w:r>
          </w:p>
        </w:tc>
        <w:tc>
          <w:tcPr>
            <w:tcW w:w="160" w:type="dxa"/>
            <w:vAlign w:val="bottom"/>
          </w:tcPr>
          <w:p>
            <w:pPr>
              <w:spacing w:after="0" w:line="20" w:lineRule="exact"/>
              <w:rPr>
                <w:sz w:val="1"/>
                <w:szCs w:val="1"/>
                <w:color w:val="auto"/>
              </w:rPr>
            </w:pPr>
          </w:p>
        </w:tc>
        <w:tc>
          <w:tcPr>
            <w:tcW w:w="98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20"/>
                <w:szCs w:val="20"/>
                <w:b w:val="1"/>
                <w:bCs w:val="1"/>
                <w:color w:val="auto"/>
                <w:w w:val="91"/>
              </w:rPr>
              <w:t>Name</w:t>
            </w:r>
          </w:p>
        </w:tc>
        <w:tc>
          <w:tcPr>
            <w:tcW w:w="180" w:type="dxa"/>
            <w:vAlign w:val="bottom"/>
          </w:tcPr>
          <w:p>
            <w:pPr>
              <w:spacing w:after="0" w:line="20" w:lineRule="exact"/>
              <w:rPr>
                <w:sz w:val="1"/>
                <w:szCs w:val="1"/>
                <w:color w:val="auto"/>
              </w:rPr>
            </w:pPr>
          </w:p>
        </w:tc>
        <w:tc>
          <w:tcPr>
            <w:tcW w:w="96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20"/>
                <w:szCs w:val="20"/>
                <w:b w:val="1"/>
                <w:bCs w:val="1"/>
                <w:color w:val="auto"/>
                <w:w w:val="92"/>
              </w:rPr>
              <w:t>Amount</w:t>
            </w: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56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b w:val="1"/>
                <w:bCs w:val="1"/>
                <w:color w:val="auto"/>
                <w:w w:val="92"/>
              </w:rPr>
              <w:t>Alternative</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gridSpan w:val="3"/>
            <w:vMerge w:val="continue"/>
          </w:tcPr>
          <w:p>
            <w:pPr>
              <w:spacing w:after="0"/>
              <w:rPr>
                <w:sz w:val="18"/>
                <w:szCs w:val="18"/>
                <w:color w:val="auto"/>
              </w:rPr>
            </w:pPr>
          </w:p>
        </w:tc>
        <w:tc>
          <w:tcPr>
            <w:tcW w:w="1600" w:type="dxa"/>
            <w:vAlign w:val="bottom"/>
            <w:tcBorders>
              <w:right w:val="single" w:sz="8" w:color="auto"/>
            </w:tcBorders>
            <w:gridSpan w:val="7"/>
          </w:tcPr>
          <w:p>
            <w:pPr>
              <w:jc w:val="center"/>
              <w:ind w:right="20"/>
              <w:spacing w:after="0" w:line="209" w:lineRule="exact"/>
              <w:rPr>
                <w:sz w:val="20"/>
                <w:szCs w:val="20"/>
                <w:color w:val="auto"/>
              </w:rPr>
            </w:pPr>
            <w:r>
              <w:rPr>
                <w:rFonts w:ascii="Arial" w:cs="Arial" w:eastAsia="Arial" w:hAnsi="Arial"/>
                <w:sz w:val="20"/>
                <w:szCs w:val="20"/>
                <w:b w:val="1"/>
                <w:bCs w:val="1"/>
                <w:color w:val="auto"/>
                <w:w w:val="91"/>
              </w:rPr>
              <w:t>Currency Term</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right="40"/>
              <w:spacing w:after="0" w:line="209" w:lineRule="exact"/>
              <w:rPr>
                <w:sz w:val="20"/>
                <w:szCs w:val="20"/>
                <w:color w:val="auto"/>
              </w:rPr>
            </w:pPr>
            <w:r>
              <w:rPr>
                <w:rFonts w:ascii="Arial" w:cs="Arial" w:eastAsia="Arial" w:hAnsi="Arial"/>
                <w:sz w:val="20"/>
                <w:szCs w:val="20"/>
                <w:b w:val="1"/>
                <w:bCs w:val="1"/>
                <w:color w:val="auto"/>
                <w:w w:val="88"/>
              </w:rPr>
              <w:t>Conversion or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gridSpan w:val="3"/>
          </w:tcPr>
          <w:p>
            <w:pPr>
              <w:jc w:val="center"/>
              <w:ind w:right="40"/>
              <w:spacing w:after="0" w:line="209" w:lineRule="exact"/>
              <w:rPr>
                <w:sz w:val="20"/>
                <w:szCs w:val="20"/>
                <w:color w:val="auto"/>
              </w:rPr>
            </w:pPr>
            <w:r>
              <w:rPr>
                <w:rFonts w:ascii="Arial" w:cs="Arial" w:eastAsia="Arial" w:hAnsi="Arial"/>
                <w:sz w:val="20"/>
                <w:szCs w:val="20"/>
                <w:b w:val="1"/>
                <w:bCs w:val="1"/>
                <w:color w:val="auto"/>
                <w:w w:val="93"/>
              </w:rPr>
              <w:t>Currency Daily</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4"/>
          </w:tcPr>
          <w:p>
            <w:pPr>
              <w:jc w:val="center"/>
              <w:ind w:right="180"/>
              <w:spacing w:after="0" w:line="209" w:lineRule="exact"/>
              <w:rPr>
                <w:sz w:val="20"/>
                <w:szCs w:val="20"/>
                <w:color w:val="auto"/>
              </w:rPr>
            </w:pPr>
            <w:r>
              <w:rPr>
                <w:rFonts w:ascii="Arial" w:cs="Arial" w:eastAsia="Arial" w:hAnsi="Arial"/>
                <w:sz w:val="20"/>
                <w:szCs w:val="20"/>
                <w:b w:val="1"/>
                <w:bCs w:val="1"/>
                <w:color w:val="auto"/>
                <w:w w:val="89"/>
              </w:rPr>
              <w:t>Rate Loans</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right="40"/>
              <w:spacing w:after="0" w:line="209" w:lineRule="exact"/>
              <w:rPr>
                <w:sz w:val="20"/>
                <w:szCs w:val="20"/>
                <w:color w:val="auto"/>
              </w:rPr>
            </w:pPr>
            <w:r>
              <w:rPr>
                <w:rFonts w:ascii="Arial" w:cs="Arial" w:eastAsia="Arial" w:hAnsi="Arial"/>
                <w:sz w:val="20"/>
                <w:szCs w:val="20"/>
                <w:b w:val="1"/>
                <w:bCs w:val="1"/>
                <w:color w:val="auto"/>
                <w:w w:val="90"/>
              </w:rPr>
              <w:t>Continuation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gridSpan w:val="3"/>
          </w:tcPr>
          <w:p>
            <w:pPr>
              <w:jc w:val="center"/>
              <w:ind w:right="40"/>
              <w:spacing w:after="0" w:line="209" w:lineRule="exact"/>
              <w:rPr>
                <w:sz w:val="20"/>
                <w:szCs w:val="20"/>
                <w:color w:val="auto"/>
              </w:rPr>
            </w:pPr>
            <w:r>
              <w:rPr>
                <w:rFonts w:ascii="Arial" w:cs="Arial" w:eastAsia="Arial" w:hAnsi="Arial"/>
                <w:sz w:val="20"/>
                <w:szCs w:val="20"/>
                <w:b w:val="1"/>
                <w:bCs w:val="1"/>
                <w:color w:val="auto"/>
                <w:w w:val="91"/>
              </w:rPr>
              <w:t>Rate Loan or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gridSpan w:val="3"/>
          </w:tcPr>
          <w:p>
            <w:pPr>
              <w:jc w:val="center"/>
              <w:spacing w:after="0" w:line="209" w:lineRule="exact"/>
              <w:rPr>
                <w:sz w:val="20"/>
                <w:szCs w:val="20"/>
                <w:color w:val="auto"/>
              </w:rPr>
            </w:pPr>
            <w:r>
              <w:rPr>
                <w:rFonts w:ascii="Arial" w:cs="Arial" w:eastAsia="Arial" w:hAnsi="Arial"/>
                <w:sz w:val="20"/>
                <w:szCs w:val="20"/>
                <w:b w:val="1"/>
                <w:bCs w:val="1"/>
                <w:color w:val="auto"/>
                <w:w w:val="92"/>
              </w:rPr>
              <w:t>Indicate:</w:t>
            </w:r>
          </w:p>
        </w:tc>
        <w:tc>
          <w:tcPr>
            <w:tcW w:w="340" w:type="dxa"/>
            <w:vAlign w:val="bottom"/>
            <w:tcBorders>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0" w:type="dxa"/>
            <w:vAlign w:val="bottom"/>
            <w:tcBorders>
              <w:lef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420"/>
              <w:spacing w:after="0" w:line="228" w:lineRule="exact"/>
              <w:rPr>
                <w:sz w:val="20"/>
                <w:szCs w:val="20"/>
                <w:color w:val="auto"/>
              </w:rPr>
            </w:pPr>
            <w:r>
              <w:rPr>
                <w:rFonts w:ascii="Arial" w:cs="Arial" w:eastAsia="Arial" w:hAnsi="Arial"/>
                <w:sz w:val="20"/>
                <w:szCs w:val="20"/>
                <w:b w:val="1"/>
                <w:bCs w:val="1"/>
                <w:color w:val="auto"/>
                <w:w w:val="89"/>
              </w:rPr>
              <w:t>Affected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92"/>
              </w:rPr>
              <w:t>Alternative</w:t>
            </w:r>
          </w:p>
        </w:tc>
        <w:tc>
          <w:tcPr>
            <w:tcW w:w="140" w:type="dxa"/>
            <w:vAlign w:val="bottom"/>
          </w:tcPr>
          <w:p>
            <w:pPr>
              <w:spacing w:after="0"/>
              <w:rPr>
                <w:sz w:val="19"/>
                <w:szCs w:val="19"/>
                <w:color w:val="auto"/>
              </w:rPr>
            </w:pPr>
          </w:p>
        </w:tc>
        <w:tc>
          <w:tcPr>
            <w:tcW w:w="146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20"/>
                <w:szCs w:val="20"/>
                <w:b w:val="1"/>
                <w:bCs w:val="1"/>
                <w:color w:val="auto"/>
                <w:w w:val="89"/>
              </w:rPr>
              <w:t>Interest Period</w:t>
            </w:r>
          </w:p>
        </w:tc>
        <w:tc>
          <w:tcPr>
            <w:tcW w:w="0" w:type="dxa"/>
            <w:vAlign w:val="bottom"/>
          </w:tcPr>
          <w:p>
            <w:pPr>
              <w:spacing w:after="0"/>
              <w:rPr>
                <w:sz w:val="1"/>
                <w:szCs w:val="1"/>
                <w:color w:val="auto"/>
              </w:rPr>
            </w:pPr>
          </w:p>
        </w:tc>
      </w:tr>
      <w:tr>
        <w:trPr>
          <w:trHeight w:val="229"/>
        </w:trPr>
        <w:tc>
          <w:tcPr>
            <w:tcW w:w="320" w:type="dxa"/>
            <w:vAlign w:val="bottom"/>
            <w:tcBorders>
              <w:lef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92"/>
              </w:rPr>
              <w:t>Currency Term</w:t>
            </w:r>
          </w:p>
        </w:tc>
        <w:tc>
          <w:tcPr>
            <w:tcW w:w="140" w:type="dxa"/>
            <w:vAlign w:val="bottom"/>
          </w:tcPr>
          <w:p>
            <w:pPr>
              <w:spacing w:after="0"/>
              <w:rPr>
                <w:sz w:val="19"/>
                <w:szCs w:val="19"/>
                <w:color w:val="auto"/>
              </w:rPr>
            </w:pPr>
          </w:p>
        </w:tc>
        <w:tc>
          <w:tcPr>
            <w:tcW w:w="146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20"/>
                <w:szCs w:val="20"/>
                <w:b w:val="1"/>
                <w:bCs w:val="1"/>
                <w:color w:val="auto"/>
                <w:w w:val="89"/>
              </w:rPr>
              <w:t>(e.g., 1, 3 or 6</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90"/>
              </w:rPr>
              <w:t>Rate Loan</w:t>
            </w:r>
          </w:p>
        </w:tc>
        <w:tc>
          <w:tcPr>
            <w:tcW w:w="140" w:type="dxa"/>
            <w:vAlign w:val="bottom"/>
          </w:tcPr>
          <w:p>
            <w:pPr>
              <w:spacing w:after="0"/>
              <w:rPr>
                <w:sz w:val="19"/>
                <w:szCs w:val="19"/>
                <w:color w:val="auto"/>
              </w:rPr>
            </w:pPr>
          </w:p>
        </w:tc>
        <w:tc>
          <w:tcPr>
            <w:tcW w:w="146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20"/>
                <w:szCs w:val="20"/>
                <w:b w:val="1"/>
                <w:bCs w:val="1"/>
                <w:color w:val="auto"/>
                <w:w w:val="87"/>
              </w:rPr>
              <w:t>month interest</w:t>
            </w:r>
          </w:p>
        </w:tc>
        <w:tc>
          <w:tcPr>
            <w:tcW w:w="0" w:type="dxa"/>
            <w:vAlign w:val="bottom"/>
          </w:tcPr>
          <w:p>
            <w:pPr>
              <w:spacing w:after="0"/>
              <w:rPr>
                <w:sz w:val="1"/>
                <w:szCs w:val="1"/>
                <w:color w:val="auto"/>
              </w:rPr>
            </w:pPr>
          </w:p>
        </w:tc>
      </w:tr>
      <w:tr>
        <w:trPr>
          <w:trHeight w:val="252"/>
        </w:trPr>
        <w:tc>
          <w:tcPr>
            <w:tcW w:w="32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gridSpan w:val="4"/>
          </w:tcPr>
          <w:p>
            <w:pPr>
              <w:jc w:val="center"/>
              <w:ind w:right="420"/>
              <w:spacing w:after="0"/>
              <w:rPr>
                <w:sz w:val="20"/>
                <w:szCs w:val="20"/>
                <w:color w:val="auto"/>
              </w:rPr>
            </w:pPr>
            <w:r>
              <w:rPr>
                <w:rFonts w:ascii="Arial" w:cs="Arial" w:eastAsia="Arial" w:hAnsi="Arial"/>
                <w:sz w:val="20"/>
                <w:szCs w:val="20"/>
                <w:b w:val="1"/>
                <w:bCs w:val="1"/>
                <w:color w:val="auto"/>
                <w:w w:val="91"/>
              </w:rPr>
              <w:t>period)</w:t>
            </w:r>
          </w:p>
        </w:tc>
        <w:tc>
          <w:tcPr>
            <w:tcW w:w="0" w:type="dxa"/>
            <w:vAlign w:val="bottom"/>
          </w:tcPr>
          <w:p>
            <w:pPr>
              <w:spacing w:after="0"/>
              <w:rPr>
                <w:sz w:val="1"/>
                <w:szCs w:val="1"/>
                <w:color w:val="auto"/>
              </w:rPr>
            </w:pPr>
          </w:p>
        </w:tc>
      </w:tr>
      <w:tr>
        <w:trPr>
          <w:trHeight w:val="331"/>
        </w:trPr>
        <w:tc>
          <w:tcPr>
            <w:tcW w:w="32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2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2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0" w:right="720"/>
        <w:spacing w:after="0" w:line="260" w:lineRule="auto"/>
        <w:rPr>
          <w:sz w:val="20"/>
          <w:szCs w:val="20"/>
          <w:color w:val="auto"/>
        </w:rPr>
      </w:pPr>
      <w:r>
        <w:rPr>
          <w:rFonts w:ascii="Arial" w:cs="Arial" w:eastAsia="Arial" w:hAnsi="Arial"/>
          <w:sz w:val="20"/>
          <w:szCs w:val="20"/>
          <w:color w:val="auto"/>
        </w:rPr>
        <w:t>The Committed Borrowing, if any, requested herein complies with the requirements set forth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2779395</wp:posOffset>
            </wp:positionH>
            <wp:positionV relativeFrom="paragraph">
              <wp:posOffset>174625</wp:posOffset>
            </wp:positionV>
            <wp:extent cx="28771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386" w:lineRule="exact"/>
        <w:rPr>
          <w:sz w:val="20"/>
          <w:szCs w:val="20"/>
          <w:color w:val="auto"/>
        </w:rPr>
      </w:pPr>
    </w:p>
    <w:p>
      <w:pPr>
        <w:ind w:left="4380"/>
        <w:spacing w:after="0"/>
        <w:rPr>
          <w:sz w:val="20"/>
          <w:szCs w:val="20"/>
          <w:color w:val="auto"/>
        </w:rPr>
      </w:pPr>
      <w:r>
        <w:rPr>
          <w:rFonts w:ascii="Arial" w:cs="Arial" w:eastAsia="Arial" w:hAnsi="Arial"/>
          <w:sz w:val="20"/>
          <w:szCs w:val="20"/>
          <w:i w:val="1"/>
          <w:iCs w:val="1"/>
          <w:color w:val="auto"/>
        </w:rPr>
        <w:t>[Insert name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344805</wp:posOffset>
            </wp:positionV>
            <wp:extent cx="13627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0" w:right="540" w:firstLine="9"/>
        <w:spacing w:after="0" w:line="232" w:lineRule="auto"/>
        <w:tabs>
          <w:tab w:leader="none" w:pos="593" w:val="left"/>
        </w:tabs>
        <w:numPr>
          <w:ilvl w:val="0"/>
          <w:numId w:val="26"/>
        </w:numPr>
        <w:rPr>
          <w:rFonts w:ascii="Arial" w:cs="Arial" w:eastAsia="Arial" w:hAnsi="Arial"/>
          <w:sz w:val="24"/>
          <w:szCs w:val="24"/>
          <w:color w:val="auto"/>
          <w:vertAlign w:val="superscript"/>
        </w:rPr>
      </w:pPr>
      <w:r>
        <w:rPr>
          <w:rFonts w:ascii="Arial" w:cs="Arial" w:eastAsia="Arial" w:hAnsi="Arial"/>
          <w:sz w:val="16"/>
          <w:szCs w:val="16"/>
          <w:u w:val="single" w:color="auto"/>
          <w:color w:val="auto"/>
        </w:rPr>
        <w:t>Note to Borrower</w:t>
      </w:r>
      <w:r>
        <w:rPr>
          <w:rFonts w:ascii="Arial" w:cs="Arial" w:eastAsia="Arial" w:hAnsi="Arial"/>
          <w:sz w:val="16"/>
          <w:szCs w:val="16"/>
          <w:color w:val="auto"/>
        </w:rPr>
        <w:t>. All requests submitted under a single Committed Loan Notice must be effective on the same date. If multiple effective dates are needed, multiple Committed Loan Notices will need to be prepared and signed.</w:t>
      </w:r>
    </w:p>
    <w:p>
      <w:pPr>
        <w:spacing w:after="0" w:line="1" w:lineRule="exact"/>
        <w:rPr>
          <w:rFonts w:ascii="Arial" w:cs="Arial" w:eastAsia="Arial" w:hAnsi="Arial"/>
          <w:sz w:val="24"/>
          <w:szCs w:val="24"/>
          <w:color w:val="auto"/>
          <w:vertAlign w:val="superscript"/>
        </w:rPr>
      </w:pPr>
    </w:p>
    <w:p>
      <w:pPr>
        <w:ind w:left="480" w:right="1340"/>
        <w:spacing w:after="0" w:line="204" w:lineRule="auto"/>
        <w:rPr>
          <w:rFonts w:ascii="Arial" w:cs="Arial" w:eastAsia="Arial" w:hAnsi="Arial"/>
          <w:sz w:val="24"/>
          <w:szCs w:val="24"/>
          <w:color w:val="auto"/>
          <w:vertAlign w:val="superscript"/>
        </w:rPr>
      </w:pPr>
      <w:r>
        <w:rPr>
          <w:rFonts w:ascii="Arial" w:cs="Arial" w:eastAsia="Arial" w:hAnsi="Arial"/>
          <w:sz w:val="26"/>
          <w:szCs w:val="26"/>
          <w:color w:val="auto"/>
          <w:vertAlign w:val="superscript"/>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Note to Borrower</w:t>
      </w:r>
      <w:r>
        <w:rPr>
          <w:rFonts w:ascii="Arial" w:cs="Arial" w:eastAsia="Arial" w:hAnsi="Arial"/>
          <w:sz w:val="18"/>
          <w:szCs w:val="18"/>
          <w:color w:val="auto"/>
        </w:rPr>
        <w:t>. For multiple borrowings, conversions and/or continuations, fill out a new row for each borrowing/conversion and/or continuation.</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348615</wp:posOffset>
            </wp:positionV>
            <wp:extent cx="54521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580"/>
          </w:cols>
          <w:pgMar w:left="1160" w:top="906" w:right="1159" w:bottom="1440" w:gutter="0" w:footer="0" w:header="0"/>
        </w:sectPr>
      </w:pPr>
    </w:p>
    <w:bookmarkStart w:id="43" w:name="page44"/>
    <w:bookmarkEnd w:id="43"/>
    <w:tbl>
      <w:tblPr>
        <w:tblLayout w:type="fixed"/>
        <w:tblInd w:w="220" w:type="dxa"/>
        <w:tblCellMar>
          <w:top w:w="0" w:type="dxa"/>
          <w:left w:w="0" w:type="dxa"/>
          <w:bottom w:w="0" w:type="dxa"/>
          <w:right w:w="0" w:type="dxa"/>
        </w:tblCellMar>
      </w:tblPr>
      <w:tr>
        <w:trPr>
          <w:trHeight w:val="230"/>
        </w:trPr>
        <w:tc>
          <w:tcPr>
            <w:tcW w:w="4980" w:type="dxa"/>
            <w:vAlign w:val="bottom"/>
          </w:tcPr>
          <w:p>
            <w:pPr>
              <w:ind w:left="4280"/>
              <w:spacing w:after="0"/>
              <w:rPr>
                <w:sz w:val="20"/>
                <w:szCs w:val="20"/>
                <w:color w:val="auto"/>
              </w:rPr>
            </w:pPr>
            <w:r>
              <w:rPr>
                <w:rFonts w:ascii="Arial" w:cs="Arial" w:eastAsia="Arial" w:hAnsi="Arial"/>
                <w:sz w:val="20"/>
                <w:szCs w:val="20"/>
                <w:color w:val="auto"/>
              </w:rPr>
              <w:t>By:</w:t>
            </w:r>
          </w:p>
        </w:tc>
        <w:tc>
          <w:tcPr>
            <w:tcW w:w="3600" w:type="dxa"/>
            <w:vAlign w:val="bottom"/>
          </w:tcPr>
          <w:p>
            <w:pPr>
              <w:jc w:val="right"/>
              <w:ind w:right="161"/>
              <w:spacing w:after="0"/>
              <w:rPr>
                <w:sz w:val="20"/>
                <w:szCs w:val="20"/>
                <w:color w:val="auto"/>
              </w:rPr>
            </w:pPr>
            <w:r>
              <w:rPr>
                <w:rFonts w:ascii="Arial" w:cs="Arial" w:eastAsia="Arial" w:hAnsi="Arial"/>
                <w:sz w:val="20"/>
                <w:szCs w:val="20"/>
                <w:color w:val="auto"/>
                <w:w w:val="93"/>
              </w:rPr>
              <w:t>________________________________</w:t>
            </w:r>
          </w:p>
        </w:tc>
      </w:tr>
      <w:tr>
        <w:trPr>
          <w:trHeight w:val="229"/>
        </w:trPr>
        <w:tc>
          <w:tcPr>
            <w:tcW w:w="4980" w:type="dxa"/>
            <w:vAlign w:val="bottom"/>
          </w:tcPr>
          <w:p>
            <w:pPr>
              <w:ind w:left="4280"/>
              <w:spacing w:after="0"/>
              <w:rPr>
                <w:sz w:val="20"/>
                <w:szCs w:val="20"/>
                <w:color w:val="auto"/>
              </w:rPr>
            </w:pPr>
            <w:r>
              <w:rPr>
                <w:rFonts w:ascii="Arial" w:cs="Arial" w:eastAsia="Arial" w:hAnsi="Arial"/>
                <w:sz w:val="20"/>
                <w:szCs w:val="20"/>
                <w:color w:val="auto"/>
              </w:rPr>
              <w:t>Name:</w:t>
            </w:r>
          </w:p>
        </w:tc>
        <w:tc>
          <w:tcPr>
            <w:tcW w:w="3600" w:type="dxa"/>
            <w:vAlign w:val="bottom"/>
          </w:tcPr>
          <w:p>
            <w:pPr>
              <w:jc w:val="right"/>
              <w:ind w:right="161"/>
              <w:spacing w:after="0"/>
              <w:rPr>
                <w:sz w:val="20"/>
                <w:szCs w:val="20"/>
                <w:color w:val="auto"/>
              </w:rPr>
            </w:pPr>
            <w:r>
              <w:rPr>
                <w:rFonts w:ascii="Arial" w:cs="Arial" w:eastAsia="Arial" w:hAnsi="Arial"/>
                <w:sz w:val="20"/>
                <w:szCs w:val="20"/>
                <w:color w:val="auto"/>
                <w:w w:val="93"/>
              </w:rPr>
              <w:t>________________________________</w:t>
            </w:r>
          </w:p>
        </w:tc>
      </w:tr>
      <w:tr>
        <w:trPr>
          <w:trHeight w:val="250"/>
        </w:trPr>
        <w:tc>
          <w:tcPr>
            <w:tcW w:w="4980" w:type="dxa"/>
            <w:vAlign w:val="bottom"/>
          </w:tcPr>
          <w:p>
            <w:pPr>
              <w:ind w:left="4280"/>
              <w:spacing w:after="0"/>
              <w:rPr>
                <w:sz w:val="20"/>
                <w:szCs w:val="20"/>
                <w:color w:val="auto"/>
              </w:rPr>
            </w:pPr>
            <w:r>
              <w:rPr>
                <w:rFonts w:ascii="Arial" w:cs="Arial" w:eastAsia="Arial" w:hAnsi="Arial"/>
                <w:sz w:val="20"/>
                <w:szCs w:val="20"/>
                <w:color w:val="auto"/>
              </w:rPr>
              <w:t>Title:</w:t>
            </w:r>
          </w:p>
        </w:tc>
        <w:tc>
          <w:tcPr>
            <w:tcW w:w="3600" w:type="dxa"/>
            <w:vAlign w:val="bottom"/>
          </w:tcPr>
          <w:p>
            <w:pPr>
              <w:jc w:val="right"/>
              <w:ind w:right="161"/>
              <w:spacing w:after="0"/>
              <w:rPr>
                <w:sz w:val="20"/>
                <w:szCs w:val="20"/>
                <w:color w:val="auto"/>
              </w:rPr>
            </w:pPr>
            <w:r>
              <w:rPr>
                <w:rFonts w:ascii="Arial" w:cs="Arial" w:eastAsia="Arial" w:hAnsi="Arial"/>
                <w:sz w:val="20"/>
                <w:szCs w:val="20"/>
                <w:color w:val="auto"/>
                <w:w w:val="93"/>
              </w:rPr>
              <w:t>________________________________</w:t>
            </w:r>
          </w:p>
        </w:tc>
      </w:tr>
      <w:tr>
        <w:trPr>
          <w:trHeight w:val="934"/>
        </w:trPr>
        <w:tc>
          <w:tcPr>
            <w:tcW w:w="49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5"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40" w:right="60" w:hanging="326"/>
        <w:spacing w:after="0" w:line="31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322"/>
        <w:spacing w:after="0" w:line="336" w:lineRule="auto"/>
        <w:tabs>
          <w:tab w:leader="none" w:pos="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960" w:right="220" w:hanging="322"/>
        <w:spacing w:after="0" w:line="336" w:lineRule="auto"/>
        <w:tabs>
          <w:tab w:leader="none" w:pos="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left="960" w:right="320" w:hanging="322"/>
        <w:spacing w:after="0" w:line="310"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60" w:right="340" w:hanging="322"/>
        <w:spacing w:after="0" w:line="364" w:lineRule="auto"/>
        <w:tabs>
          <w:tab w:leader="none" w:pos="9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jc w:val="both"/>
        <w:ind w:left="640" w:right="20" w:hanging="326"/>
        <w:spacing w:after="0" w:line="31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60" w:right="80" w:hanging="322"/>
        <w:spacing w:after="0" w:line="310"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322"/>
        <w:spacing w:after="0" w:line="324"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2022</w:t>
      </w:r>
    </w:p>
    <w:p>
      <w:pPr>
        <w:spacing w:after="0" w:line="30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31750</wp:posOffset>
            </wp:positionV>
            <wp:extent cx="32404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Philip R. Gallagher</w:t>
      </w:r>
    </w:p>
    <w:p>
      <w:pPr>
        <w:spacing w:after="0" w:line="7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657860</wp:posOffset>
            </wp:positionV>
            <wp:extent cx="649795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158" w:lineRule="exact"/>
        <w:rPr>
          <w:sz w:val="20"/>
          <w:szCs w:val="20"/>
          <w:color w:val="auto"/>
        </w:rPr>
      </w:pPr>
    </w:p>
    <w:p>
      <w:pPr>
        <w:ind w:left="640" w:hanging="32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40" w:right="60" w:hanging="326"/>
        <w:spacing w:after="0" w:line="31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322"/>
        <w:spacing w:after="0" w:line="336" w:lineRule="auto"/>
        <w:tabs>
          <w:tab w:leader="none" w:pos="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960" w:right="220" w:hanging="322"/>
        <w:spacing w:after="0" w:line="336" w:lineRule="auto"/>
        <w:tabs>
          <w:tab w:leader="none" w:pos="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left="960" w:right="320" w:hanging="322"/>
        <w:spacing w:after="0" w:line="310"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60" w:right="340" w:hanging="322"/>
        <w:spacing w:after="0" w:line="364" w:lineRule="auto"/>
        <w:tabs>
          <w:tab w:leader="none" w:pos="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jc w:val="both"/>
        <w:ind w:left="640" w:right="20" w:hanging="326"/>
        <w:spacing w:after="0" w:line="31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60" w:right="80" w:hanging="322"/>
        <w:spacing w:after="0" w:line="310"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322"/>
        <w:spacing w:after="0" w:line="324"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2022</w:t>
      </w: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14605</wp:posOffset>
            </wp:positionV>
            <wp:extent cx="32150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Thomas Liguori</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675005</wp:posOffset>
            </wp:positionV>
            <wp:extent cx="649795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46" w:name="page47"/>
    <w:bookmarkEnd w:id="4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connection with the Quarterly Report on Form 10-Q for the period ended January 1, 2022 (the “Report”), I, Philip R.</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32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January 28, 2022</w:t>
      </w:r>
    </w:p>
    <w:p>
      <w:pPr>
        <w:spacing w:after="0" w:line="25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27857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47" w:name="page48"/>
    <w:bookmarkEnd w:id="4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2" w:lineRule="exact"/>
        <w:rPr>
          <w:sz w:val="20"/>
          <w:szCs w:val="20"/>
          <w:color w:val="auto"/>
        </w:rPr>
      </w:pPr>
    </w:p>
    <w:p>
      <w:pPr>
        <w:ind w:left="40" w:right="439"/>
        <w:spacing w:after="0" w:line="324" w:lineRule="auto"/>
        <w:rPr>
          <w:sz w:val="20"/>
          <w:szCs w:val="20"/>
          <w:color w:val="auto"/>
        </w:rPr>
      </w:pPr>
      <w:r>
        <w:rPr>
          <w:rFonts w:ascii="Arial" w:cs="Arial" w:eastAsia="Arial" w:hAnsi="Arial"/>
          <w:sz w:val="18"/>
          <w:szCs w:val="18"/>
          <w:color w:val="auto"/>
        </w:rPr>
        <w:t>In connection with the Quarterly Report on Form 10-Q for the period ended January 1, 2022 (the “Report”), I, Thomas Liguori, Chief Financial Officer of Avnet, Inc. (the “Company”) hereby certify that:</w:t>
      </w:r>
    </w:p>
    <w:p>
      <w:pPr>
        <w:spacing w:after="0" w:line="62" w:lineRule="exact"/>
        <w:rPr>
          <w:sz w:val="20"/>
          <w:szCs w:val="20"/>
          <w:color w:val="auto"/>
        </w:rPr>
      </w:pPr>
    </w:p>
    <w:p>
      <w:pPr>
        <w:ind w:left="700" w:right="699" w:hanging="332"/>
        <w:spacing w:after="0" w:line="32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32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January 28, 2022</w:t>
      </w: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802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Thomas Liguori</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0"/>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2D1D5AE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6">
    <w:nsid w:val="6763845E"/>
    <w:multiLevelType w:val="hybridMultilevel"/>
    <w:lvl w:ilvl="0">
      <w:lvlJc w:val="left"/>
      <w:lvlText w:val="(%1)"/>
      <w:numFmt w:val="lowerLetter"/>
      <w:start w:val="4"/>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
    <w:nsid w:val="189A769B"/>
    <w:multiLevelType w:val="hybridMultilevel"/>
    <w:lvl w:ilvl="0">
      <w:lvlJc w:val="left"/>
      <w:lvlText w:val="(%1)"/>
      <w:numFmt w:val="lowerRoman"/>
      <w:start w:val="1"/>
    </w:lvl>
  </w:abstractNum>
  <w:abstractNum w:abstractNumId="23">
    <w:nsid w:val="54E49EB4"/>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24">
    <w:nsid w:val="71F32454"/>
    <w:multiLevelType w:val="hybridMultilevel"/>
    <w:lvl w:ilvl="0">
      <w:lvlJc w:val="left"/>
      <w:lvlText w:val="(%1)"/>
      <w:numFmt w:val="lowerLetter"/>
      <w:start w:val="8"/>
    </w:lvl>
    <w:lvl w:ilvl="1">
      <w:lvlJc w:val="left"/>
      <w:lvlText w:val="%2"/>
      <w:numFmt w:val="lowerLetter"/>
      <w:start w:val="1"/>
    </w:lvl>
    <w:lvl w:ilvl="2">
      <w:lvlJc w:val="left"/>
      <w:lvlText w:val="%3"/>
      <w:numFmt w:val="lowerRoman"/>
      <w:start w:val="1"/>
    </w:lvl>
  </w:abstractNum>
  <w:abstractNum w:abstractNumId="25">
    <w:nsid w:val="2CA88611"/>
    <w:multiLevelType w:val="hybridMultilevel"/>
    <w:lvl w:ilvl="0">
      <w:lvlJc w:val="left"/>
      <w:lvlText w:val="1"/>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50" Type="http://schemas.openxmlformats.org/officeDocument/2006/relationships/hyperlink" Target="https://www.sec.gov/Archives/edgar/data/8858/000110465921141870/tm213346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2022-01-28T05:23:39Z</dcterms:created>
  <dcterms:modified xsi:type="dcterms:W3CDTF">2022-01-28T05:23:39Z</dcterms:modified>
</cp:coreProperties>
</file>