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rPr>
      </w:pPr>
    </w:p>
    <w:p>
      <w:pPr>
        <w:ind w:left="32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January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-94615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88265</wp:posOffset>
            </wp:positionV>
            <wp:extent cx="1611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74295</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4"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5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4"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4"/>
          <w:szCs w:val="24"/>
          <w:color w:val="auto"/>
        </w:rPr>
      </w:pPr>
    </w:p>
    <w:p>
      <w:pPr>
        <w:ind w:right="560" w:firstLine="427"/>
        <w:spacing w:after="0" w:line="282" w:lineRule="auto"/>
        <w:rPr>
          <w:sz w:val="20"/>
          <w:szCs w:val="20"/>
          <w:color w:val="auto"/>
        </w:rPr>
      </w:pPr>
      <w:r>
        <w:rPr>
          <w:rFonts w:ascii="Times New Roman" w:cs="Times New Roman" w:eastAsia="Times New Roman" w:hAnsi="Times New Roman"/>
          <w:sz w:val="18"/>
          <w:szCs w:val="18"/>
          <w:color w:val="auto"/>
        </w:rPr>
        <w:t>As of January 20, 2021, the total number of shares outstanding of the registrant’s Common Stock was 99,455,396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64636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80010</wp:posOffset>
            </wp:positionV>
            <wp:extent cx="6463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7980" w:type="dxa"/>
            <w:vAlign w:val="bottom"/>
            <w:gridSpan w:val="1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6"/>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5"/>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760" w:type="dxa"/>
            <w:vAlign w:val="bottom"/>
            <w:gridSpan w:val="7"/>
            <w:vMerge w:val="restart"/>
          </w:tcPr>
          <w:p>
            <w:pPr>
              <w:jc w:val="center"/>
              <w:ind w:right="2240"/>
              <w:spacing w:after="0"/>
              <w:rPr>
                <w:rFonts w:ascii="Times New Roman" w:cs="Times New Roman" w:eastAsia="Times New Roman" w:hAnsi="Times New Roman"/>
                <w:sz w:val="18"/>
                <w:szCs w:val="18"/>
                <w:u w:val="single" w:color="auto"/>
                <w:color w:val="0000EE"/>
                <w:w w:val="98"/>
              </w:rPr>
            </w:pPr>
            <w:hyperlink w:anchor="page3">
              <w:r>
                <w:rPr>
                  <w:rFonts w:ascii="Times New Roman" w:cs="Times New Roman" w:eastAsia="Times New Roman" w:hAnsi="Times New Roman"/>
                  <w:sz w:val="18"/>
                  <w:szCs w:val="18"/>
                  <w:u w:val="single" w:color="auto"/>
                  <w:color w:val="0000EE"/>
                  <w:w w:val="98"/>
                </w:rPr>
                <w:t>PART I. FINANCIAL INFORMATION</w:t>
              </w:r>
            </w:hyperlink>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760" w:type="dxa"/>
            <w:vAlign w:val="bottom"/>
            <w:gridSpan w:val="7"/>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7600" w:type="dxa"/>
            <w:vAlign w:val="bottom"/>
            <w:gridSpan w:val="11"/>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Balance Sheets at January 2, 2021 and June 27, 2020</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7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for the second quarters and six months ended January 2, 2021</w:t>
              </w:r>
            </w:hyperlink>
          </w:p>
        </w:tc>
        <w:tc>
          <w:tcPr>
            <w:tcW w:w="3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December 28, 2019</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0" w:type="dxa"/>
            <w:vAlign w:val="bottom"/>
          </w:tcPr>
          <w:p>
            <w:pPr>
              <w:spacing w:after="0"/>
              <w:rPr>
                <w:sz w:val="24"/>
                <w:szCs w:val="24"/>
                <w:color w:val="auto"/>
              </w:rPr>
            </w:pPr>
          </w:p>
        </w:tc>
        <w:tc>
          <w:tcPr>
            <w:tcW w:w="7600" w:type="dxa"/>
            <w:vAlign w:val="bottom"/>
            <w:gridSpan w:val="1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for the second quarters and six months ended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January 2, 2021 and December 28, 2019</w:t>
              </w:r>
            </w:hyperlink>
          </w:p>
        </w:tc>
        <w:tc>
          <w:tcPr>
            <w:tcW w:w="3980" w:type="dxa"/>
            <w:vAlign w:val="bottom"/>
            <w:tcBorders>
              <w:top w:val="single" w:sz="8" w:color="0000EE"/>
            </w:tcBorders>
          </w:tcPr>
          <w:p>
            <w:pPr>
              <w:spacing w:after="0"/>
              <w:rPr>
                <w:sz w:val="17"/>
                <w:szCs w:val="17"/>
                <w:color w:val="auto"/>
              </w:rPr>
            </w:pPr>
          </w:p>
        </w:tc>
        <w:tc>
          <w:tcPr>
            <w:tcW w:w="58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Shareholders’ Equity for the second quarters and six months ended January</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 2021 and December 28, 2019</w:t>
              </w:r>
            </w:hyperlink>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for the six months ended January 2, 2021 and December 28,</w:t>
              </w:r>
            </w:hyperlink>
          </w:p>
        </w:tc>
        <w:tc>
          <w:tcPr>
            <w:tcW w:w="3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3"/>
              </w:rPr>
            </w:pPr>
            <w:hyperlink w:anchor="page7">
              <w:r>
                <w:rPr>
                  <w:rFonts w:ascii="Times New Roman" w:cs="Times New Roman" w:eastAsia="Times New Roman" w:hAnsi="Times New Roman"/>
                  <w:sz w:val="18"/>
                  <w:szCs w:val="18"/>
                  <w:color w:val="0000EE"/>
                  <w:w w:val="83"/>
                </w:rPr>
                <w:t>2019</w:t>
              </w:r>
            </w:hyperlink>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7600" w:type="dxa"/>
            <w:vAlign w:val="bottom"/>
            <w:gridSpan w:val="11"/>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Financial Statements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4. Controls and Procedures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760" w:type="dxa"/>
            <w:vAlign w:val="bottom"/>
            <w:gridSpan w:val="7"/>
          </w:tcPr>
          <w:p>
            <w:pPr>
              <w:jc w:val="center"/>
              <w:ind w:right="2220"/>
              <w:spacing w:after="0"/>
              <w:rPr>
                <w:rFonts w:ascii="Times New Roman" w:cs="Times New Roman" w:eastAsia="Times New Roman" w:hAnsi="Times New Roman"/>
                <w:sz w:val="18"/>
                <w:szCs w:val="18"/>
                <w:u w:val="single" w:color="auto"/>
                <w:color w:val="0000EE"/>
                <w:w w:val="98"/>
              </w:rPr>
            </w:pPr>
            <w:hyperlink w:anchor="page31">
              <w:r>
                <w:rPr>
                  <w:rFonts w:ascii="Times New Roman" w:cs="Times New Roman" w:eastAsia="Times New Roman" w:hAnsi="Times New Roman"/>
                  <w:sz w:val="18"/>
                  <w:szCs w:val="18"/>
                  <w:u w:val="single" w:color="auto"/>
                  <w:color w:val="0000EE"/>
                  <w:w w:val="98"/>
                </w:rPr>
                <w:t>PART II. 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1. Legal Proceedings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1A. Risk Factors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6. Exhibits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2"/>
        </w:trPr>
        <w:tc>
          <w:tcPr>
            <w:tcW w:w="7980" w:type="dxa"/>
            <w:vAlign w:val="bottom"/>
            <w:gridSpan w:val="12"/>
          </w:tcPr>
          <w:p>
            <w:pPr>
              <w:ind w:left="4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Signature Page</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40" w:type="dxa"/>
            <w:vAlign w:val="bottom"/>
          </w:tcPr>
          <w:p>
            <w:pPr>
              <w:spacing w:after="0"/>
              <w:rPr>
                <w:sz w:val="21"/>
                <w:szCs w:val="21"/>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(Thousands, except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376,333</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3,105,317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2,816,421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156,375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191,394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6,454,446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256,696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8,264,313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vMerge w:val="restart"/>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311,800</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2,826,324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2,280,366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372,018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4,353,580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4,378,799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98,861,933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98,792,542 shares,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(388,380)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3,910,733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3,726,398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8,264,313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8,105,197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180" w:type="dxa"/>
            <w:vAlign w:val="bottom"/>
          </w:tcPr>
          <w:p>
            <w:pPr>
              <w:spacing w:after="0"/>
              <w:rPr>
                <w:sz w:val="16"/>
                <w:szCs w:val="16"/>
                <w:color w:val="auto"/>
              </w:rPr>
            </w:pPr>
          </w:p>
        </w:tc>
        <w:tc>
          <w:tcPr>
            <w:tcW w:w="1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9"/>
          </w:tcPr>
          <w:p>
            <w:pPr>
              <w:ind w:left="820"/>
              <w:spacing w:after="0" w:line="202" w:lineRule="exact"/>
              <w:rPr>
                <w:sz w:val="20"/>
                <w:szCs w:val="20"/>
                <w:color w:val="auto"/>
              </w:rPr>
            </w:pPr>
            <w:r>
              <w:rPr>
                <w:rFonts w:ascii="Times New Roman" w:cs="Times New Roman" w:eastAsia="Times New Roman" w:hAnsi="Times New Roman"/>
                <w:sz w:val="18"/>
                <w:szCs w:val="18"/>
                <w:b w:val="1"/>
                <w:bCs w:val="1"/>
                <w:color w:val="auto"/>
                <w:w w:val="94"/>
              </w:rPr>
              <w:t>(Thousands, except per share amounts)</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4,668,172</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4,534,806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9,391,232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4,156,919</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4,009,193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8,363,899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57,221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46,475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75,723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(33,904)</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98,937</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100,431</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99,932</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101,302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99,897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102,839</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4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3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12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220" w:type="dxa"/>
            <w:vAlign w:val="bottom"/>
          </w:tcPr>
          <w:p>
            <w:pPr>
              <w:spacing w:after="0"/>
              <w:rPr>
                <w:sz w:val="16"/>
                <w:szCs w:val="16"/>
                <w:color w:val="auto"/>
              </w:rPr>
            </w:pPr>
          </w:p>
        </w:tc>
        <w:tc>
          <w:tcPr>
            <w:tcW w:w="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2,</w:t>
            </w:r>
          </w:p>
        </w:tc>
        <w:tc>
          <w:tcPr>
            <w:tcW w:w="12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3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3"/>
        </w:trPr>
        <w:tc>
          <w:tcPr>
            <w:tcW w:w="3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r>
      <w:tr>
        <w:trPr>
          <w:trHeight w:val="223"/>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Pension adjustments, net</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r>
      <w:tr>
        <w:trPr>
          <w:trHeight w:val="216"/>
        </w:trPr>
        <w:tc>
          <w:tcPr>
            <w:tcW w:w="3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w:t>
            </w:r>
          </w:p>
        </w:tc>
      </w:tr>
      <w:tr>
        <w:trPr>
          <w:trHeight w:val="20"/>
        </w:trPr>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 w:type="dxa"/>
            <w:vAlign w:val="bottom"/>
          </w:tcPr>
          <w:p>
            <w:pPr>
              <w:spacing w:after="0"/>
              <w:rPr>
                <w:sz w:val="16"/>
                <w:szCs w:val="16"/>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6"/>
                <w:szCs w:val="16"/>
                <w:color w:val="auto"/>
              </w:rPr>
            </w:pPr>
          </w:p>
        </w:tc>
        <w:tc>
          <w:tcPr>
            <w:tcW w:w="7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9"/>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6"/>
                <w:szCs w:val="16"/>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r>
      <w:tr>
        <w:trPr>
          <w:trHeight w:val="212"/>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18"/>
                <w:szCs w:val="18"/>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240" w:type="dxa"/>
            <w:vAlign w:val="bottom"/>
          </w:tcPr>
          <w:p>
            <w:pPr>
              <w:spacing w:after="0"/>
              <w:rPr>
                <w:sz w:val="18"/>
                <w:szCs w:val="18"/>
                <w:color w:val="auto"/>
              </w:rPr>
            </w:pPr>
          </w:p>
        </w:tc>
        <w:tc>
          <w:tcPr>
            <w:tcW w:w="7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75"/>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w w:val="84"/>
              </w:rPr>
              <w:t>(Thousands)</w:t>
            </w: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27, 2020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98,793</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$ 98,793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$ 1,594,140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$ 2,421,845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(388,380)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3,726,398</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(18,889)</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90,373</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liability adjustments, net</w:t>
            </w:r>
          </w:p>
        </w:tc>
        <w:tc>
          <w:tcPr>
            <w:tcW w:w="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(20,756)</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(20,756)</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new accounting principles, net</w:t>
            </w:r>
          </w:p>
        </w:tc>
        <w:tc>
          <w:tcPr>
            <w:tcW w:w="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(14,480)</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(14,480)</w:t>
            </w:r>
          </w:p>
        </w:tc>
      </w:tr>
      <w:tr>
        <w:trPr>
          <w:trHeight w:val="20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r>
      <w:tr>
        <w:trPr>
          <w:trHeight w:val="176"/>
        </w:trPr>
        <w:tc>
          <w:tcPr>
            <w:tcW w:w="296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Balance, October 3, 2020</w:t>
            </w:r>
          </w:p>
        </w:tc>
        <w:tc>
          <w:tcPr>
            <w:tcW w:w="2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98,844</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$ 98,844</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$ 1,599,331</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$ 2,367,720</w:t>
            </w: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(288,384)</w:t>
            </w: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3,777,511</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19,163</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liability adjustments, net</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(20,756)</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(20,756)</w:t>
            </w:r>
          </w:p>
        </w:tc>
      </w:tr>
      <w:tr>
        <w:trPr>
          <w:trHeight w:val="20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176"/>
        </w:trPr>
        <w:tc>
          <w:tcPr>
            <w:tcW w:w="296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Balance, January 2, 2021</w:t>
            </w:r>
          </w:p>
        </w:tc>
        <w:tc>
          <w:tcPr>
            <w:tcW w:w="20" w:type="dxa"/>
            <w:vAlign w:val="bottom"/>
            <w:tcBorders>
              <w:top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98,862</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$ 98,862</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2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$ 1,610,145</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$ 2,366,127</w:t>
            </w: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(164,401)</w:t>
            </w: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3,910,733</w:t>
            </w: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83"/>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9"/>
        </w:trPr>
        <w:tc>
          <w:tcPr>
            <w:tcW w:w="296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0" w:type="dxa"/>
            <w:vAlign w:val="bottom"/>
          </w:tcPr>
          <w:p>
            <w:pPr>
              <w:spacing w:after="0"/>
              <w:rPr>
                <w:sz w:val="16"/>
                <w:szCs w:val="16"/>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6"/>
                <w:szCs w:val="16"/>
                <w:color w:val="auto"/>
              </w:rPr>
            </w:pPr>
          </w:p>
        </w:tc>
        <w:tc>
          <w:tcPr>
            <w:tcW w:w="7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9"/>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r>
      <w:tr>
        <w:trPr>
          <w:trHeight w:val="212"/>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240" w:type="dxa"/>
            <w:vAlign w:val="bottom"/>
          </w:tcPr>
          <w:p>
            <w:pPr>
              <w:spacing w:after="0"/>
              <w:rPr>
                <w:sz w:val="18"/>
                <w:szCs w:val="18"/>
                <w:color w:val="auto"/>
              </w:rPr>
            </w:pPr>
          </w:p>
        </w:tc>
        <w:tc>
          <w:tcPr>
            <w:tcW w:w="7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76"/>
        </w:trPr>
        <w:tc>
          <w:tcPr>
            <w:tcW w:w="29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20" w:type="dxa"/>
            <w:vAlign w:val="bottom"/>
            <w:tcBorders>
              <w:top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w w:val="81"/>
              </w:rPr>
              <w:t>(Thousands)</w:t>
            </w: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29, 2019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104,038</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$ 104,038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$ 1,573,005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$ 2,767,469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(304,039)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4,140,473</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41,752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41,752</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(102,146)</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(102,146)</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liability adjustments, net</w:t>
            </w:r>
          </w:p>
        </w:tc>
        <w:tc>
          <w:tcPr>
            <w:tcW w:w="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(21,451)</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(21,451)</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60" w:type="dxa"/>
            <w:vAlign w:val="bottom"/>
          </w:tcPr>
          <w:p>
            <w:pPr>
              <w:spacing w:after="0"/>
              <w:rPr>
                <w:sz w:val="16"/>
                <w:szCs w:val="16"/>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(2,631)</w:t>
            </w:r>
          </w:p>
        </w:tc>
        <w:tc>
          <w:tcPr>
            <w:tcW w:w="20" w:type="dxa"/>
            <w:vAlign w:val="bottom"/>
          </w:tcPr>
          <w:p>
            <w:pPr>
              <w:spacing w:after="0"/>
              <w:rPr>
                <w:sz w:val="16"/>
                <w:szCs w:val="16"/>
                <w:color w:val="auto"/>
              </w:rPr>
            </w:pPr>
          </w:p>
        </w:tc>
        <w:tc>
          <w:tcPr>
            <w:tcW w:w="84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(109,504)</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(112,135)</w:t>
            </w:r>
          </w:p>
        </w:tc>
      </w:tr>
      <w:tr>
        <w:trPr>
          <w:trHeight w:val="20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r>
      <w:tr>
        <w:trPr>
          <w:trHeight w:val="176"/>
        </w:trPr>
        <w:tc>
          <w:tcPr>
            <w:tcW w:w="296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Balance, September 28, 2019</w:t>
            </w:r>
          </w:p>
        </w:tc>
        <w:tc>
          <w:tcPr>
            <w:tcW w:w="66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101,471</w:t>
            </w:r>
          </w:p>
        </w:tc>
        <w:tc>
          <w:tcPr>
            <w:tcW w:w="16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w w:val="96"/>
              </w:rPr>
              <w:t>$ 101,471</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$ 1,580,706</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8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97"/>
              </w:rPr>
              <w:t>$ 2,678,266</w:t>
            </w: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(402,372)</w:t>
            </w: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3,958,071</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93,186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93,186</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liability adjustments, net</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4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(20,975)</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(20,975)</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6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(2,135)</w:t>
            </w: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(85,423)</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(87,558)</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w:t>
            </w:r>
          </w:p>
        </w:tc>
      </w:tr>
      <w:tr>
        <w:trPr>
          <w:trHeight w:val="189"/>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28, 2019</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99,349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$ 1,588,466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$ 2,575,536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(306,018)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3,957,333</w:t>
            </w: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79"/>
              <w:spacing w:after="0" w:line="173" w:lineRule="exact"/>
              <w:rPr>
                <w:sz w:val="20"/>
                <w:szCs w:val="20"/>
                <w:color w:val="auto"/>
              </w:rPr>
            </w:pPr>
            <w:r>
              <w:rPr>
                <w:rFonts w:ascii="Times New Roman" w:cs="Times New Roman" w:eastAsia="Times New Roman" w:hAnsi="Times New Roman"/>
                <w:sz w:val="16"/>
                <w:szCs w:val="16"/>
                <w:b w:val="1"/>
                <w:bCs w:val="1"/>
                <w:color w:val="auto"/>
              </w:rPr>
              <w:t>January 2,</w:t>
            </w:r>
          </w:p>
        </w:tc>
        <w:tc>
          <w:tcPr>
            <w:tcW w:w="160" w:type="dxa"/>
            <w:vAlign w:val="bottom"/>
          </w:tcPr>
          <w:p>
            <w:pPr>
              <w:spacing w:after="0"/>
              <w:rPr>
                <w:sz w:val="15"/>
                <w:szCs w:val="15"/>
                <w:color w:val="auto"/>
              </w:rPr>
            </w:pPr>
          </w:p>
        </w:tc>
        <w:tc>
          <w:tcPr>
            <w:tcW w:w="10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500" w:type="dxa"/>
            <w:vAlign w:val="bottom"/>
            <w:gridSpan w:val="2"/>
          </w:tcPr>
          <w:p>
            <w:pPr>
              <w:jc w:val="right"/>
              <w:ind w:right="21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and other reconciling items: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44,002</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Asset impairment expense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(net of effects from businesses acquired and divested):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51,185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130,768</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Accrued expenses and other, net</w:t>
            </w: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(29,779)</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207,394</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344,206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Borrowings (repayments) under accounts receivable securitization, net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Repayments under senior unsecured credit facility, net</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(239,430)</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Repayments under bank credit facilities and other debt, net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Borders>
              <w:bottom w:val="single" w:sz="8" w:color="CCEEFF"/>
            </w:tcBorders>
          </w:tcPr>
          <w:p>
            <w:pPr>
              <w:ind w:left="400"/>
              <w:spacing w:after="0" w:line="176" w:lineRule="exact"/>
              <w:rPr>
                <w:sz w:val="20"/>
                <w:szCs w:val="20"/>
                <w:color w:val="auto"/>
              </w:rPr>
            </w:pPr>
            <w:r>
              <w:rPr>
                <w:rFonts w:ascii="Times New Roman" w:cs="Times New Roman" w:eastAsia="Times New Roman" w:hAnsi="Times New Roman"/>
                <w:sz w:val="16"/>
                <w:szCs w:val="16"/>
                <w:color w:val="auto"/>
              </w:rPr>
              <w:t>Net cash flows used for financing activities</w:t>
            </w: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(272,923)</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(284,020)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(30,022)</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Acquisitions of assets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Borders>
              <w:bottom w:val="single" w:sz="8" w:color="CCEEFF"/>
            </w:tcBorders>
          </w:tcPr>
          <w:p>
            <w:pPr>
              <w:ind w:left="400"/>
              <w:spacing w:after="0" w:line="176" w:lineRule="exact"/>
              <w:rPr>
                <w:sz w:val="20"/>
                <w:szCs w:val="20"/>
                <w:color w:val="auto"/>
              </w:rPr>
            </w:pPr>
            <w:r>
              <w:rPr>
                <w:rFonts w:ascii="Times New Roman" w:cs="Times New Roman" w:eastAsia="Times New Roman" w:hAnsi="Times New Roman"/>
                <w:sz w:val="16"/>
                <w:szCs w:val="16"/>
                <w:color w:val="auto"/>
              </w:rPr>
              <w:t>Net cash flows used for investing activities</w:t>
            </w: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(47,668)</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(108,859)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exchange rate changes on cash and cash equivalents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decrease</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(100,705)</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 at beginning of period</w:t>
            </w: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477,038</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at end of period</w:t>
            </w: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376,333</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520" w:right="2060"/>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229" w:lineRule="exact"/>
        <w:rPr>
          <w:sz w:val="20"/>
          <w:szCs w:val="20"/>
          <w:color w:val="auto"/>
        </w:rPr>
      </w:pPr>
    </w:p>
    <w:p>
      <w:pPr>
        <w:ind w:left="60" w:right="419" w:firstLine="427"/>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0" w:lineRule="exact"/>
        <w:rPr>
          <w:sz w:val="20"/>
          <w:szCs w:val="20"/>
          <w:color w:val="auto"/>
        </w:rPr>
      </w:pPr>
    </w:p>
    <w:p>
      <w:pPr>
        <w:ind w:left="60" w:right="359" w:firstLine="427"/>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33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2020.</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reclassifications have been made in prior periods to conform to the current period presentation.</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ind w:left="60" w:right="319" w:firstLine="427"/>
        <w:spacing w:after="0" w:line="266" w:lineRule="auto"/>
        <w:rPr>
          <w:sz w:val="20"/>
          <w:szCs w:val="20"/>
          <w:color w:val="auto"/>
        </w:rPr>
      </w:pPr>
      <w:r>
        <w:rPr>
          <w:rFonts w:ascii="Times New Roman" w:cs="Times New Roman" w:eastAsia="Times New Roman" w:hAnsi="Times New Roman"/>
          <w:sz w:val="18"/>
          <w:szCs w:val="18"/>
          <w:color w:val="auto"/>
        </w:rPr>
        <w:t>The Company operates on a “52/53 week” fiscal year, and fiscal 2021 contains 53 weeks compared to fiscal 2020, which contained 52 weeks. As a result, the first six months of fiscal 2021 ended January 2, 2021 contained 27 weeks compared to the first six months of fiscal 2020 ended December 28, 2019, which contained 26 weeks.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("ASU No. 2018-15"). ASU No. 2018-15 aligns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requirements for capitalizing implementation costs incurred in a hosting arrangement that is a service contract with the requirements for capitalizing implementation costs incurred to develop internal-use software. The adoption of ASU No. 2018-15 in the first quarter of fiscal 2021 did not have a material impact on the Company’s consolidated financial statements.</w:t>
      </w:r>
    </w:p>
    <w:p>
      <w:pPr>
        <w:spacing w:after="0" w:line="183"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on Financial Instruments </w:t>
      </w:r>
      <w:r>
        <w:rPr>
          <w:rFonts w:ascii="Times New Roman" w:cs="Times New Roman" w:eastAsia="Times New Roman" w:hAnsi="Times New Roman"/>
          <w:sz w:val="18"/>
          <w:szCs w:val="18"/>
          <w:color w:val="auto"/>
        </w:rPr>
        <w:t>("ASU No. 2016-13") and also issued subsequent amendments to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ASU No. 2018-19, ASU No. 2019-04, ASU No. 2019-05, and ASU No. 2019-11 (collectively, Topic 326). Topic 326 revises the methodology for measuring credit losses on financial instruments and the timing of when such losses are recorded. On June 28, 2020, the Company adopted Topic 326 using a modified retrospective approach with a cumulative effect adjustment to the opening balance of retained earnings, which increased the allowance for credit losses by $17.2 million ($14.5 million, net of tax of $2.7 million). Increases in the allowance for credit losses relate to the required change from an incurred loss model to an expected loss model, and the related change in timing of loss recognition where an allowance for credit losses is now applied at the time the asset, or pool of assets, is recognized.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left="60" w:right="7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Rate Reform on Financial Reporting </w:t>
      </w:r>
      <w:r>
        <w:rPr>
          <w:rFonts w:ascii="Times New Roman" w:cs="Times New Roman" w:eastAsia="Times New Roman" w:hAnsi="Times New Roman"/>
          <w:sz w:val="18"/>
          <w:szCs w:val="18"/>
          <w:color w:val="auto"/>
        </w:rPr>
        <w:t>(“ASU No. 2020-04”), which provides optional guidance to 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burden in accounting for reference rate reform on financial reporting. The new guidance provides optional expedients and exceptions for applying generally accepted accounting principles to transactions affected by reference rate reform if certain criteria are met. This guidance is effective upon issuance through December 31, 2022. The Company is currently evaluating the potential effects of adopting the provisions of ASU No. 2020-04.</w:t>
      </w:r>
    </w:p>
    <w:p>
      <w:pPr>
        <w:spacing w:after="0" w:line="182" w:lineRule="exact"/>
        <w:rPr>
          <w:sz w:val="20"/>
          <w:szCs w:val="20"/>
          <w:color w:val="auto"/>
        </w:rPr>
      </w:pPr>
    </w:p>
    <w:p>
      <w:pPr>
        <w:ind w:left="60" w:right="29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 (Topic 740)</w:t>
      </w:r>
      <w:r>
        <w:rPr>
          <w:rFonts w:ascii="Times New Roman" w:cs="Times New Roman" w:eastAsia="Times New Roman" w:hAnsi="Times New Roman"/>
          <w:sz w:val="18"/>
          <w:szCs w:val="18"/>
          <w:color w:val="auto"/>
        </w:rPr>
        <w:t>, (“ASU No. 2019-12”) which removes certain exceptions to the general principles in Topic 740 and also clarifies and amends existing guidance to improve consistent application. ASU No. 2019-12 will be effective for the Company in the first quarter of fiscal 2022, and early adoption is permitted. Depending on the amendment, adoption may be applied on a retrospective, modified retrospective or prospective basis. The Company is currently evaluating the potential effects of adopting the provisions of ASU No. 2019-12.</w:t>
      </w:r>
    </w:p>
    <w:p>
      <w:pPr>
        <w:spacing w:after="0" w:line="182" w:lineRule="exact"/>
        <w:rPr>
          <w:sz w:val="20"/>
          <w:szCs w:val="20"/>
          <w:color w:val="auto"/>
        </w:rPr>
      </w:pPr>
    </w:p>
    <w:p>
      <w:pPr>
        <w:ind w:left="60" w:right="139" w:firstLine="427"/>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 xml:space="preserve">Compensation-Retirement Benefits-Defined Benefit Plans-General (Subtopic 715-20): Disclosure Framework-Changes to the Disclosure Requirements for Defined Benefit Plans </w:t>
      </w:r>
      <w:r>
        <w:rPr>
          <w:rFonts w:ascii="Times New Roman" w:cs="Times New Roman" w:eastAsia="Times New Roman" w:hAnsi="Times New Roman"/>
          <w:sz w:val="18"/>
          <w:szCs w:val="18"/>
          <w:color w:val="auto"/>
        </w:rPr>
        <w:t>(“ASU No. 2018-14”).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ASU No. 2018-14 will be effective for the Company in the first quarter of fiscal 2022, and early adoption is permitted. The Company’s planned adoption of ASU No. 2018-14 is not expected to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Except for the changes below, no material changes have been made to the Company’s significant accounting policies as disclosed in Note 1, Summary of Significant Accounting Policies, in its Annual Report on Form 10-K filed on August 14, 2020 for the year ended June 27, 2020.</w:t>
      </w:r>
    </w:p>
    <w:p>
      <w:pPr>
        <w:spacing w:after="0" w:line="174"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Receivables, predominately comprised of trade accounts and notes receivable, are reported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net 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receivable-specific risk characteristics such as changes in customer behavior, economic and industry changes, or other relevant factors. Expected credit losses are estimated on a pooled basis, when similar risk characteristics exist.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9" w:lineRule="exact"/>
        <w:rPr>
          <w:sz w:val="20"/>
          <w:szCs w:val="20"/>
          <w:color w:val="auto"/>
        </w:rPr>
      </w:pPr>
    </w:p>
    <w:p>
      <w:pPr>
        <w:ind w:left="60" w:right="279" w:firstLine="427"/>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2021, the Company completed an asset acquisition. The impact of this asset acquisition was not material to the Company’s consolidated balance sheets or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 Receivables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receivables and allowance for credit losses were as follows: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20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r>
      <w:tr>
        <w:trPr>
          <w:trHeight w:val="203"/>
        </w:trPr>
        <w:tc>
          <w:tcPr>
            <w:tcW w:w="6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right"/>
              <w:ind w:right="7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2,993,404</w:t>
            </w:r>
          </w:p>
        </w:tc>
        <w:tc>
          <w:tcPr>
            <w:tcW w:w="20" w:type="dxa"/>
            <w:vAlign w:val="bottom"/>
          </w:tcPr>
          <w:p>
            <w:pPr>
              <w:spacing w:after="0"/>
              <w:rPr>
                <w:sz w:val="18"/>
                <w:szCs w:val="18"/>
                <w:color w:val="auto"/>
              </w:rPr>
            </w:pP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(85,450)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six months of fiscal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January 2,</w:t>
            </w:r>
          </w:p>
        </w:tc>
      </w:tr>
      <w:tr>
        <w:trPr>
          <w:trHeight w:val="245"/>
        </w:trPr>
        <w:tc>
          <w:tcPr>
            <w:tcW w:w="7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r>
      <w:tr>
        <w:trPr>
          <w:trHeight w:val="216"/>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27,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20" w:type="dxa"/>
            <w:vAlign w:val="bottom"/>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adoption of ASU No. 2016-12 (Note 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Provision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0" w:type="dxa"/>
            <w:vAlign w:val="bottom"/>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 offs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8"/>
                <w:szCs w:val="18"/>
                <w:color w:val="auto"/>
              </w:rPr>
            </w:pPr>
          </w:p>
        </w:tc>
      </w:tr>
      <w:tr>
        <w:trPr>
          <w:trHeight w:val="223"/>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0" w:type="dxa"/>
            <w:vAlign w:val="bottom"/>
          </w:tcPr>
          <w:p>
            <w:pPr>
              <w:spacing w:after="0"/>
              <w:rPr>
                <w:sz w:val="19"/>
                <w:szCs w:val="19"/>
                <w:color w:val="auto"/>
              </w:rPr>
            </w:pPr>
          </w:p>
        </w:tc>
      </w:tr>
      <w:tr>
        <w:trPr>
          <w:trHeight w:val="21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2,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85,450</w:t>
            </w:r>
          </w:p>
        </w:tc>
        <w:tc>
          <w:tcPr>
            <w:tcW w:w="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left="480" w:right="6459" w:hanging="430"/>
        <w:spacing w:after="0" w:line="503" w:lineRule="auto"/>
        <w:tabs>
          <w:tab w:leader="none" w:pos="2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i w:val="1"/>
          <w:iCs w:val="1"/>
          <w:color w:val="auto"/>
        </w:rPr>
        <w:t>Goodwill</w:t>
      </w: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 in goodwill by reportable segment for the six months ended January 2,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27, 2020 </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475,898</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773,734</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61,061</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January 2, 2021 </w:t>
            </w:r>
            <w:r>
              <w:rPr>
                <w:rFonts w:ascii="Times New Roman" w:cs="Times New Roman" w:eastAsia="Times New Roman" w:hAnsi="Times New Roman"/>
                <w:sz w:val="25"/>
                <w:szCs w:val="25"/>
                <w:color w:val="auto"/>
                <w:vertAlign w:val="superscript"/>
              </w:rPr>
              <w:t>(1)</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834,795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67" w:lineRule="exact"/>
        <w:rPr>
          <w:sz w:val="20"/>
          <w:szCs w:val="20"/>
          <w:color w:val="auto"/>
        </w:rPr>
      </w:pPr>
    </w:p>
    <w:p>
      <w:pPr>
        <w:ind w:left="300" w:right="599" w:hanging="250"/>
        <w:spacing w:after="0" w:line="245" w:lineRule="auto"/>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 of $1,045,110 from fiscal 2009, $181,440 from fiscal 2018, $137,396 from fiscal 2019 and $118,731 from fiscal 2020.</w:t>
      </w:r>
    </w:p>
    <w:p>
      <w:pPr>
        <w:spacing w:after="0" w:line="173" w:lineRule="exact"/>
        <w:rPr>
          <w:sz w:val="20"/>
          <w:szCs w:val="20"/>
          <w:color w:val="auto"/>
        </w:rPr>
      </w:pPr>
    </w:p>
    <w:p>
      <w:pPr>
        <w:ind w:left="60" w:right="139" w:firstLine="427"/>
        <w:spacing w:after="0" w:line="273" w:lineRule="auto"/>
        <w:rPr>
          <w:sz w:val="20"/>
          <w:szCs w:val="20"/>
          <w:color w:val="auto"/>
        </w:rPr>
      </w:pPr>
      <w:r>
        <w:rPr>
          <w:rFonts w:ascii="Times New Roman" w:cs="Times New Roman" w:eastAsia="Times New Roman" w:hAnsi="Times New Roman"/>
          <w:sz w:val="17"/>
          <w:szCs w:val="17"/>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 During the second quarter of fiscal 2021, the Company concluded that an interim goodwill impairment test was not required.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699" w:firstLine="427"/>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acquired intangible assets at January 2, 2021 and June 27, 2020, respectively.</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 2021</w:t>
            </w: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27, 2020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Acquired</w:t>
            </w:r>
          </w:p>
        </w:tc>
        <w:tc>
          <w:tcPr>
            <w:tcW w:w="1320" w:type="dxa"/>
            <w:vAlign w:val="bottom"/>
            <w:gridSpan w:val="4"/>
          </w:tcPr>
          <w:p>
            <w:pPr>
              <w:ind w:left="180"/>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180" w:type="dxa"/>
            <w:vAlign w:val="bottom"/>
          </w:tcPr>
          <w:p>
            <w:pPr>
              <w:spacing w:after="0"/>
              <w:rPr>
                <w:sz w:val="16"/>
                <w:szCs w:val="16"/>
                <w:color w:val="auto"/>
              </w:rPr>
            </w:pPr>
          </w:p>
        </w:tc>
        <w:tc>
          <w:tcPr>
            <w:tcW w:w="82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Acquired</w:t>
            </w:r>
          </w:p>
        </w:tc>
        <w:tc>
          <w:tcPr>
            <w:tcW w:w="200" w:type="dxa"/>
            <w:vAlign w:val="bottom"/>
          </w:tcPr>
          <w:p>
            <w:pPr>
              <w:spacing w:after="0"/>
              <w:rPr>
                <w:sz w:val="16"/>
                <w:szCs w:val="16"/>
                <w:color w:val="auto"/>
              </w:rPr>
            </w:pPr>
          </w:p>
        </w:tc>
        <w:tc>
          <w:tcPr>
            <w:tcW w:w="12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c>
          <w:tcPr>
            <w:tcW w:w="82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60" w:type="dxa"/>
            <w:vAlign w:val="bottom"/>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1"/>
                <w:szCs w:val="21"/>
                <w:color w:val="auto"/>
              </w:rPr>
            </w:pPr>
          </w:p>
        </w:tc>
        <w:tc>
          <w:tcPr>
            <w:tcW w:w="82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w w:val="93"/>
              </w:rPr>
              <w:t>Amount</w:t>
            </w:r>
            <w:r>
              <w:rPr>
                <w:rFonts w:ascii="Times New Roman" w:cs="Times New Roman" w:eastAsia="Times New Roman" w:hAnsi="Times New Roman"/>
                <w:sz w:val="26"/>
                <w:szCs w:val="26"/>
                <w:b w:val="1"/>
                <w:bCs w:val="1"/>
                <w:color w:val="auto"/>
                <w:w w:val="93"/>
                <w:vertAlign w:val="superscript"/>
              </w:rPr>
              <w:t>(1)</w:t>
            </w:r>
          </w:p>
        </w:tc>
        <w:tc>
          <w:tcPr>
            <w:tcW w:w="20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4"/>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$ 325,799</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(312,345)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300,937</w:t>
            </w:r>
          </w:p>
        </w:tc>
        <w:tc>
          <w:tcPr>
            <w:tcW w:w="4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(40,161)</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(49,614)</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$ 440,932</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(402,120)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$ 38,812</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406,276</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(340,839)</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65,437</w:t>
            </w:r>
          </w:p>
        </w:tc>
        <w:tc>
          <w:tcPr>
            <w:tcW w:w="6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Acquired amount reduced by impairment of $17,473 from fiscal 2020.</w:t>
      </w:r>
    </w:p>
    <w:p>
      <w:pPr>
        <w:spacing w:after="0" w:line="177" w:lineRule="exact"/>
        <w:rPr>
          <w:sz w:val="20"/>
          <w:szCs w:val="20"/>
          <w:color w:val="auto"/>
        </w:rPr>
      </w:pPr>
    </w:p>
    <w:p>
      <w:pPr>
        <w:ind w:left="60" w:right="159" w:firstLine="427"/>
        <w:spacing w:after="0" w:line="261" w:lineRule="auto"/>
        <w:rPr>
          <w:sz w:val="20"/>
          <w:szCs w:val="20"/>
          <w:color w:val="auto"/>
        </w:rPr>
      </w:pPr>
      <w:r>
        <w:rPr>
          <w:rFonts w:ascii="Times New Roman" w:cs="Times New Roman" w:eastAsia="Times New Roman" w:hAnsi="Times New Roman"/>
          <w:sz w:val="18"/>
          <w:szCs w:val="18"/>
          <w:color w:val="auto"/>
        </w:rPr>
        <w:t>Intangible asset amortization expense was $10.4 million and $21.3 million for the second quarters of fiscal 2021 and 2020, respectively, and $30.5 million and $41.3 million for the first six months of fiscal 2021 and 2020, respectively. Intangible assets have a weighted average remaining useful life of approximately 3 years. The following table presents the estimated future amortization expense for the remainder of fiscal 2021 and the next five fiscal years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2021</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January 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27,</w:t>
            </w:r>
          </w:p>
        </w:tc>
        <w:tc>
          <w:tcPr>
            <w:tcW w:w="14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5180" w:type="dxa"/>
            <w:vAlign w:val="bottom"/>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Pr>
          <w:p>
            <w:pPr>
              <w:spacing w:after="0"/>
              <w:rPr>
                <w:sz w:val="21"/>
                <w:szCs w:val="21"/>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3"/>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72"/>
              </w:rPr>
              <w:t>Balance</w:t>
            </w:r>
          </w:p>
        </w:tc>
        <w:tc>
          <w:tcPr>
            <w:tcW w:w="80" w:type="dxa"/>
            <w:vAlign w:val="bottom"/>
            <w:tcBorders>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facilities and other</w:t>
            </w:r>
          </w:p>
        </w:tc>
        <w:tc>
          <w:tcPr>
            <w:tcW w:w="11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10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1.20 %</w:t>
            </w:r>
          </w:p>
        </w:tc>
        <w:tc>
          <w:tcPr>
            <w:tcW w:w="1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 December 2021</w:t>
            </w:r>
          </w:p>
        </w:tc>
        <w:tc>
          <w:tcPr>
            <w:tcW w:w="10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3.75 %</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18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10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311,800</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tcBorders>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432"/>
        <w:spacing w:after="0" w:line="266" w:lineRule="auto"/>
        <w:rPr>
          <w:sz w:val="20"/>
          <w:szCs w:val="20"/>
          <w:color w:val="auto"/>
        </w:rPr>
      </w:pPr>
      <w:r>
        <w:rPr>
          <w:rFonts w:ascii="Times New Roman" w:cs="Times New Roman" w:eastAsia="Times New Roman" w:hAnsi="Times New Roman"/>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19" w:firstLine="427"/>
        <w:spacing w:after="0" w:line="253" w:lineRule="auto"/>
        <w:rPr>
          <w:sz w:val="20"/>
          <w:szCs w:val="20"/>
          <w:color w:val="auto"/>
        </w:rPr>
      </w:pPr>
      <w:r>
        <w:rPr>
          <w:rFonts w:ascii="Times New Roman" w:cs="Times New Roman" w:eastAsia="Times New Roman" w:hAnsi="Times New Roman"/>
          <w:sz w:val="18"/>
          <w:szCs w:val="18"/>
          <w:color w:val="auto"/>
        </w:rPr>
        <w:t>In July 2020, the Company amended and extended for one year, its trade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$450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$661.2 million and $703.8 million at January 2, 2021 and June 27, 2020, respectively. The Securitization Program contains certain covenants relating to the quality of the receivables sold. Interest on borrowings is calculated using a one-month LIBOR rate plus a spread of 1.05%. The facility fee on the unused balance of the facility is up to 0.40%.</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June 27,</w:t>
            </w:r>
          </w:p>
        </w:tc>
        <w:tc>
          <w:tcPr>
            <w:tcW w:w="1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4620" w:type="dxa"/>
            <w:vAlign w:val="bottom"/>
          </w:tcPr>
          <w:p>
            <w:pPr>
              <w:spacing w:after="0"/>
              <w:rPr>
                <w:sz w:val="21"/>
                <w:szCs w:val="21"/>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1"/>
                <w:szCs w:val="21"/>
                <w:color w:val="auto"/>
              </w:rPr>
            </w:pPr>
          </w:p>
        </w:tc>
      </w:tr>
      <w:tr>
        <w:trPr>
          <w:trHeight w:val="209"/>
        </w:trPr>
        <w:tc>
          <w:tcPr>
            <w:tcW w:w="46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20" w:type="dxa"/>
            <w:vAlign w:val="bottom"/>
            <w:tcBorders>
              <w:bottom w:val="single" w:sz="8" w:color="auto"/>
            </w:tcBorders>
            <w:gridSpan w:val="2"/>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Facility (due June 2023)</w:t>
            </w:r>
          </w:p>
        </w:tc>
        <w:tc>
          <w:tcPr>
            <w:tcW w:w="6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2021</w:t>
            </w:r>
          </w:p>
        </w:tc>
        <w:tc>
          <w:tcPr>
            <w:tcW w:w="6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2022</w:t>
            </w:r>
          </w:p>
        </w:tc>
        <w:tc>
          <w:tcPr>
            <w:tcW w:w="142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4.88 %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2026</w:t>
            </w:r>
          </w:p>
        </w:tc>
        <w:tc>
          <w:tcPr>
            <w:tcW w:w="142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4.63 %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420" w:type="dxa"/>
            <w:vAlign w:val="bottom"/>
            <w:tcBorders>
              <w:bottom w:val="single" w:sz="8" w:color="CCEEFF"/>
            </w:tcBorders>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1.17 %</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901,522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1,431,491</w:t>
            </w:r>
          </w:p>
        </w:tc>
        <w:tc>
          <w:tcPr>
            <w:tcW w:w="60" w:type="dxa"/>
            <w:vAlign w:val="bottom"/>
          </w:tcPr>
          <w:p>
            <w:pPr>
              <w:spacing w:after="0"/>
              <w:rPr>
                <w:sz w:val="17"/>
                <w:szCs w:val="17"/>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6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895,639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1,424,791</w:t>
            </w:r>
          </w:p>
        </w:tc>
        <w:tc>
          <w:tcPr>
            <w:tcW w:w="6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432"/>
        <w:spacing w:after="0" w:line="254" w:lineRule="auto"/>
        <w:rPr>
          <w:sz w:val="20"/>
          <w:szCs w:val="20"/>
          <w:color w:val="auto"/>
        </w:rPr>
      </w:pPr>
      <w:r>
        <w:rPr>
          <w:rFonts w:ascii="Times New Roman" w:cs="Times New Roman" w:eastAsia="Times New Roman" w:hAnsi="Times New Roman"/>
          <w:sz w:val="18"/>
          <w:szCs w:val="18"/>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which were amended during the first quarter of fiscal 2021, requiring the Company to maintain minimum interest coverage and leverage ratios, which the Company was in compliance with as of January 2, 2021 and June 27, 2020.</w:t>
      </w:r>
    </w:p>
    <w:p>
      <w:pPr>
        <w:spacing w:after="0" w:line="188" w:lineRule="exact"/>
        <w:rPr>
          <w:sz w:val="20"/>
          <w:szCs w:val="20"/>
          <w:color w:val="auto"/>
        </w:rPr>
      </w:pPr>
    </w:p>
    <w:p>
      <w:pPr>
        <w:ind w:left="60" w:right="279" w:firstLine="432"/>
        <w:spacing w:after="0" w:line="282" w:lineRule="auto"/>
        <w:rPr>
          <w:sz w:val="20"/>
          <w:szCs w:val="20"/>
          <w:color w:val="auto"/>
        </w:rPr>
      </w:pPr>
      <w:r>
        <w:rPr>
          <w:rFonts w:ascii="Times New Roman" w:cs="Times New Roman" w:eastAsia="Times New Roman" w:hAnsi="Times New Roman"/>
          <w:sz w:val="18"/>
          <w:szCs w:val="18"/>
          <w:color w:val="auto"/>
        </w:rPr>
        <w:t>As of January 2, 2021 and June 27, 2020, there were $1.3 million and $1.6 million, respectively, in letters of credit issued under the Credit Facility.</w:t>
      </w:r>
    </w:p>
    <w:p>
      <w:pPr>
        <w:spacing w:after="0" w:line="162"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As of January 2, 2021, the carrying value and fair value of the Company’s total debt was $1.21 billion and $1.32 billion, respectively. At June 27, 2020, the carrying value and fair value of the Company’s total debt was $1.42 billion and $1.52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Substantially all the Company’s leases are classified as operating leases and are predominately related to real property for distribution centers, office space and integration facilities with a lease term of up to 17 years. The Company’s equipment leases are primarily for automobiles and equipment, and are not material to the consolidated financial statements.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180" w:type="dxa"/>
            <w:vAlign w:val="bottom"/>
          </w:tcPr>
          <w:p>
            <w:pPr>
              <w:spacing w:after="0"/>
              <w:rPr>
                <w:sz w:val="21"/>
                <w:szCs w:val="21"/>
                <w:color w:val="auto"/>
              </w:rPr>
            </w:pPr>
          </w:p>
        </w:tc>
        <w:tc>
          <w:tcPr>
            <w:tcW w:w="19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40" w:type="dxa"/>
            <w:vAlign w:val="bottom"/>
            <w:tcBorders>
              <w:top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06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6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37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38,376</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72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Future minimum operating lease payments as of January 2, 2021 are as follows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162,937</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operating lease payments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imputed interest on operating lease liabilities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(66,809)</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10"/>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pertaining to operating leases as of January 2, 2021 consists of the following:</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720" w:type="dxa"/>
            <w:vAlign w:val="bottom"/>
            <w:gridSpan w:val="10"/>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Term and Discount Rate</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6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20" w:type="dxa"/>
            <w:vAlign w:val="bottom"/>
          </w:tcPr>
          <w:p>
            <w:pPr>
              <w:spacing w:after="0"/>
              <w:rPr>
                <w:sz w:val="16"/>
                <w:szCs w:val="16"/>
                <w:color w:val="auto"/>
              </w:rPr>
            </w:pPr>
          </w:p>
        </w:tc>
      </w:tr>
      <w:tr>
        <w:trPr>
          <w:trHeight w:val="245"/>
        </w:trPr>
        <w:tc>
          <w:tcPr>
            <w:tcW w:w="6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33,044</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from new operating lease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20" w:type="dxa"/>
            <w:vAlign w:val="bottom"/>
          </w:tcPr>
          <w:p>
            <w:pPr>
              <w:spacing w:after="0"/>
              <w:rPr>
                <w:sz w:val="18"/>
                <w:szCs w:val="18"/>
                <w:color w:val="auto"/>
              </w:rPr>
            </w:pPr>
          </w:p>
        </w:tc>
      </w:tr>
      <w:tr>
        <w:trPr>
          <w:trHeight w:val="675"/>
        </w:trPr>
        <w:tc>
          <w:tcPr>
            <w:tcW w:w="61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Derivative financial instruments</w:t>
      </w:r>
    </w:p>
    <w:p>
      <w:pPr>
        <w:spacing w:after="0" w:line="229"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(expense)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January 2, 2021 and June 27, 2020.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87" w:lineRule="exact"/>
        <w:rPr>
          <w:sz w:val="20"/>
          <w:szCs w:val="20"/>
          <w:color w:val="auto"/>
        </w:rPr>
      </w:pPr>
    </w:p>
    <w:p>
      <w:pPr>
        <w:ind w:left="60" w:right="179" w:firstLine="427"/>
        <w:spacing w:after="0" w:line="266" w:lineRule="auto"/>
        <w:rPr>
          <w:sz w:val="20"/>
          <w:szCs w:val="20"/>
          <w:color w:val="auto"/>
        </w:rPr>
      </w:pPr>
      <w:r>
        <w:rPr>
          <w:rFonts w:ascii="Times New Roman" w:cs="Times New Roman" w:eastAsia="Times New Roman" w:hAnsi="Times New Roman"/>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6"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 foreign currencies.</w:t>
      </w:r>
    </w:p>
    <w:p>
      <w:pPr>
        <w:spacing w:after="0" w:line="183" w:lineRule="exact"/>
        <w:rPr>
          <w:sz w:val="20"/>
          <w:szCs w:val="20"/>
          <w:color w:val="auto"/>
        </w:rPr>
      </w:pPr>
    </w:p>
    <w:p>
      <w:pPr>
        <w:ind w:left="60" w:right="119" w:firstLine="427"/>
        <w:spacing w:after="0" w:line="282" w:lineRule="auto"/>
        <w:rPr>
          <w:sz w:val="20"/>
          <w:szCs w:val="20"/>
          <w:color w:val="auto"/>
        </w:rPr>
      </w:pPr>
      <w:r>
        <w:rPr>
          <w:rFonts w:ascii="Times New Roman" w:cs="Times New Roman" w:eastAsia="Times New Roman" w:hAnsi="Times New Roman"/>
          <w:sz w:val="18"/>
          <w:szCs w:val="18"/>
          <w:color w:val="auto"/>
        </w:rPr>
        <w:t>The fair values of forward foreign currency exchange contracts not receiving hedge accounting treatment recorded in the Company’s consolidated balance sheets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1"/>
                <w:szCs w:val="21"/>
                <w:color w:val="auto"/>
              </w:rPr>
            </w:pPr>
          </w:p>
        </w:tc>
      </w:t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7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40" w:type="dxa"/>
            <w:vAlign w:val="bottom"/>
            <w:shd w:val="clear" w:color="auto" w:fill="CCEEFF"/>
          </w:tcPr>
          <w:p>
            <w:pPr>
              <w:spacing w:after="0"/>
              <w:rPr>
                <w:sz w:val="18"/>
                <w:szCs w:val="18"/>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40" w:type="dxa"/>
            <w:vAlign w:val="bottom"/>
          </w:tcPr>
          <w:p>
            <w:pPr>
              <w:spacing w:after="0"/>
              <w:rPr>
                <w:sz w:val="20"/>
                <w:szCs w:val="20"/>
                <w:color w:val="auto"/>
              </w:rPr>
            </w:pPr>
          </w:p>
        </w:tc>
      </w:tr>
    </w:tbl>
    <w:p>
      <w:pPr>
        <w:spacing w:after="0" w:line="179" w:lineRule="exact"/>
        <w:rPr>
          <w:sz w:val="20"/>
          <w:szCs w:val="20"/>
          <w:color w:val="auto"/>
        </w:rPr>
      </w:pPr>
    </w:p>
    <w:p>
      <w:pPr>
        <w:jc w:val="both"/>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amounts recorded to other (expense) income, net, related to derivative financial instruments for economic hedges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21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540" w:type="dxa"/>
            <w:vAlign w:val="bottom"/>
          </w:tcPr>
          <w:p>
            <w:pPr>
              <w:spacing w:after="0"/>
              <w:rPr>
                <w:sz w:val="16"/>
                <w:szCs w:val="16"/>
                <w:color w:val="auto"/>
              </w:rPr>
            </w:pPr>
          </w:p>
        </w:tc>
        <w:tc>
          <w:tcPr>
            <w:tcW w:w="106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0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60" w:type="dxa"/>
            <w:vAlign w:val="bottom"/>
          </w:tcPr>
          <w:p>
            <w:pPr>
              <w:spacing w:after="0"/>
              <w:rPr>
                <w:sz w:val="16"/>
                <w:szCs w:val="16"/>
                <w:color w:val="auto"/>
              </w:rPr>
            </w:pPr>
          </w:p>
        </w:tc>
        <w:tc>
          <w:tcPr>
            <w:tcW w:w="118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0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4540" w:type="dxa"/>
            <w:vAlign w:val="bottom"/>
          </w:tcPr>
          <w:p>
            <w:pPr>
              <w:spacing w:after="0"/>
              <w:rPr>
                <w:sz w:val="21"/>
                <w:szCs w:val="21"/>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3"/>
        </w:trPr>
        <w:tc>
          <w:tcPr>
            <w:tcW w:w="4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ind w:left="46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financial instrument (loss) gain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(10,627)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r>
    </w:tbl>
    <w:p>
      <w:pPr>
        <w:spacing w:after="0" w:line="198"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As of January 2, 2021 and June 27, 2020, the Company had aggregate estimated liabilities of $17.9 million and $18.8 million, respectively, classified within accrued expenses and other for such compliance-related matters that were reasonably estimable as of such dates.</w:t>
      </w:r>
    </w:p>
    <w:p>
      <w:pPr>
        <w:spacing w:after="0" w:line="176"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2021, the Company recorded a gain on legal settlement of $8.2 million, which is classified as a component of Restructuring, integration and other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44.3% in the second quarter of fiscal 2021. During the second quarter of fiscal 2021, the Company’s effective tax rate was unfavorably impacted primarily by increases to valuation allowances, partially offset by the mix of income in lower tax jurisdictions.</w:t>
      </w:r>
    </w:p>
    <w:p>
      <w:pPr>
        <w:spacing w:after="0" w:line="176" w:lineRule="exact"/>
        <w:rPr>
          <w:sz w:val="20"/>
          <w:szCs w:val="20"/>
          <w:color w:val="auto"/>
        </w:rPr>
      </w:pPr>
    </w:p>
    <w:p>
      <w:pPr>
        <w:ind w:left="60" w:right="399" w:firstLine="427"/>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2020, the Company’s effective tax rate on its income before taxes was 65.4%. During the second quarter of fiscal 2020, the Company’s effective tax rate was unfavorably impacted primarily by a valuation allowance against interest deduction deferred tax assets, partially offset by the mix of income in lower tax jurisdictions.</w:t>
      </w:r>
    </w:p>
    <w:p>
      <w:pPr>
        <w:spacing w:after="0" w:line="180"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2021, the Company’s effective tax rate on its income before taxes was 97.5%. The effective tax rate for the first six months of fiscal 2021 was unfavorably impacted primarily by increases to valuation allowances, partially offset by the mix of income in lower tax jurisdictions.</w:t>
      </w:r>
    </w:p>
    <w:p>
      <w:pPr>
        <w:spacing w:after="0" w:line="176" w:lineRule="exact"/>
        <w:rPr>
          <w:sz w:val="20"/>
          <w:szCs w:val="20"/>
          <w:color w:val="auto"/>
        </w:rPr>
      </w:pPr>
    </w:p>
    <w:p>
      <w:pPr>
        <w:jc w:val="both"/>
        <w:ind w:left="60" w:right="99" w:firstLine="427"/>
        <w:spacing w:after="0" w:line="272" w:lineRule="auto"/>
        <w:rPr>
          <w:sz w:val="20"/>
          <w:szCs w:val="20"/>
          <w:color w:val="auto"/>
        </w:rPr>
      </w:pPr>
      <w:r>
        <w:rPr>
          <w:rFonts w:ascii="Times New Roman" w:cs="Times New Roman" w:eastAsia="Times New Roman" w:hAnsi="Times New Roman"/>
          <w:sz w:val="17"/>
          <w:szCs w:val="17"/>
          <w:color w:val="auto"/>
        </w:rPr>
        <w:t>During the first six months of fiscal 2020, the Company’s effective tax rate on its income before taxes was a benefit of 1.7%. The effective tax rate for the first six months of fiscal 2020 was favorably impacted primarily by (i) the release of unrecognized tax benefit reserves net of settlements and (ii) the mix of income in lower tax jurisdictions, partially offset by</w:t>
      </w:r>
    </w:p>
    <w:p>
      <w:pPr>
        <w:spacing w:after="0" w:line="2"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valuation allowance against interest deduction deferred tax assets.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Pension plan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or former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employees (the “Plan”). Components of net periodic pension cost for the Plan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140" w:type="dxa"/>
            <w:vAlign w:val="bottom"/>
          </w:tcPr>
          <w:p>
            <w:pPr>
              <w:spacing w:after="0"/>
              <w:rPr>
                <w:sz w:val="21"/>
                <w:szCs w:val="21"/>
                <w:color w:val="auto"/>
              </w:rPr>
            </w:pPr>
          </w:p>
        </w:tc>
        <w:tc>
          <w:tcPr>
            <w:tcW w:w="23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3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10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20" w:type="dxa"/>
            <w:vAlign w:val="bottom"/>
          </w:tcPr>
          <w:p>
            <w:pPr>
              <w:spacing w:after="0"/>
              <w:rPr>
                <w:sz w:val="16"/>
                <w:szCs w:val="16"/>
                <w:color w:val="auto"/>
              </w:rPr>
            </w:pPr>
          </w:p>
        </w:tc>
      </w:tr>
      <w:tr>
        <w:trPr>
          <w:trHeight w:val="245"/>
        </w:trPr>
        <w:tc>
          <w:tcPr>
            <w:tcW w:w="3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0" w:type="dxa"/>
            <w:vAlign w:val="bottom"/>
          </w:tcPr>
          <w:p>
            <w:pPr>
              <w:spacing w:after="0"/>
              <w:rPr>
                <w:sz w:val="20"/>
                <w:szCs w:val="20"/>
                <w:color w:val="auto"/>
              </w:rPr>
            </w:pPr>
          </w:p>
        </w:tc>
      </w:tr>
      <w:tr>
        <w:trPr>
          <w:trHeight w:val="171"/>
        </w:trPr>
        <w:tc>
          <w:tcPr>
            <w:tcW w:w="364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net periodic pension cost within selling,</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0" w:type="dxa"/>
            <w:vAlign w:val="bottom"/>
          </w:tcPr>
          <w:p>
            <w:pPr>
              <w:spacing w:after="0"/>
              <w:rPr>
                <w:sz w:val="20"/>
                <w:szCs w:val="20"/>
                <w:color w:val="auto"/>
              </w:rPr>
            </w:pPr>
          </w:p>
        </w:tc>
      </w:tr>
      <w:tr>
        <w:trPr>
          <w:trHeight w:val="216"/>
        </w:trPr>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(12,420)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Pr>
          <w:p>
            <w:pPr>
              <w:spacing w:after="0"/>
              <w:rPr>
                <w:sz w:val="18"/>
                <w:szCs w:val="18"/>
                <w:color w:val="auto"/>
              </w:rPr>
            </w:pP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20" w:type="dxa"/>
            <w:vAlign w:val="bottom"/>
          </w:tcPr>
          <w:p>
            <w:pPr>
              <w:spacing w:after="0"/>
              <w:rPr>
                <w:sz w:val="20"/>
                <w:szCs w:val="20"/>
                <w:color w:val="auto"/>
              </w:rPr>
            </w:pPr>
          </w:p>
        </w:tc>
      </w:tr>
      <w:tr>
        <w:trPr>
          <w:trHeight w:val="171"/>
        </w:trPr>
        <w:tc>
          <w:tcPr>
            <w:tcW w:w="364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net periodic pension benefit within other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 income, net</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(6,435)</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(5,676)</w:t>
            </w: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36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cost</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1,896</w:t>
            </w:r>
          </w:p>
        </w:tc>
        <w:tc>
          <w:tcPr>
            <w:tcW w:w="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$8.0 million of contributions during the first six months of fiscal 2021 and expects to make additional contributions to the Plan of $8.0 million in the remainder of fiscal 2021.</w:t>
      </w:r>
    </w:p>
    <w:p>
      <w:pPr>
        <w:spacing w:after="0" w:line="158" w:lineRule="exact"/>
        <w:rPr>
          <w:sz w:val="20"/>
          <w:szCs w:val="20"/>
          <w:color w:val="auto"/>
        </w:rPr>
      </w:pPr>
    </w:p>
    <w:p>
      <w:pPr>
        <w:ind w:left="480" w:right="6619" w:hanging="430"/>
        <w:spacing w:after="0" w:line="503" w:lineRule="auto"/>
        <w:tabs>
          <w:tab w:leader="none" w:pos="32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i w:val="1"/>
          <w:iCs w:val="1"/>
          <w:color w:val="auto"/>
        </w:rPr>
        <w:t>Share repurchase program</w:t>
      </w: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second quarter ended January 2, 2021, the Company did not repurchase any shares under this program. As of January 2, 2021, the Company had $469.0 million remaining under its share repurchase authorization.</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ind w:left="60" w:right="99" w:firstLine="432"/>
        <w:spacing w:after="0" w:line="282"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 dividend of $0.21 per common share and dividend payments of $20.8 million were made in December 2020.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ectPr>
          <w:pgSz w:w="11900" w:h="16838" w:orient="portrait"/>
          <w:cols w:equalWidth="0" w:num="1">
            <w:col w:w="9019"/>
          </w:cols>
          <w:pgMar w:left="1440" w:top="540" w:right="1440" w:bottom="1440" w:gutter="0" w:footer="0" w:header="0"/>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effect of dilutive stock 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common shares for diluted earnings per share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7" w:lineRule="exact"/>
        <w:rPr>
          <w:sz w:val="20"/>
          <w:szCs w:val="20"/>
          <w:color w:val="auto"/>
        </w:rPr>
      </w:pPr>
    </w:p>
    <w:p>
      <w:pPr>
        <w:ind w:left="20" w:right="40"/>
        <w:spacing w:after="0" w:line="260" w:lineRule="auto"/>
        <w:rPr>
          <w:sz w:val="20"/>
          <w:szCs w:val="20"/>
          <w:color w:val="auto"/>
        </w:rPr>
      </w:pPr>
      <w:r>
        <w:rPr>
          <w:rFonts w:ascii="Times New Roman" w:cs="Times New Roman" w:eastAsia="Times New Roman" w:hAnsi="Times New Roman"/>
          <w:sz w:val="18"/>
          <w:szCs w:val="18"/>
          <w:color w:val="auto"/>
        </w:rPr>
        <w:t>Stock options excluded from earnings per share calculation due to anti-dilutive effect</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00" w:type="dxa"/>
            <w:vAlign w:val="bottom"/>
          </w:tcPr>
          <w:p>
            <w:pPr>
              <w:spacing w:after="0"/>
              <w:rPr>
                <w:sz w:val="21"/>
                <w:szCs w:val="21"/>
                <w:color w:val="auto"/>
              </w:rPr>
            </w:pP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180" w:type="dxa"/>
            <w:vAlign w:val="bottom"/>
          </w:tcPr>
          <w:p>
            <w:pPr>
              <w:spacing w:after="0"/>
              <w:rPr>
                <w:sz w:val="21"/>
                <w:szCs w:val="21"/>
                <w:color w:val="auto"/>
              </w:rPr>
            </w:pPr>
          </w:p>
        </w:tc>
        <w:tc>
          <w:tcPr>
            <w:tcW w:w="18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06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06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r>
      <w:tr>
        <w:trPr>
          <w:trHeight w:val="245"/>
        </w:trPr>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38"/>
        </w:trPr>
        <w:tc>
          <w:tcPr>
            <w:tcW w:w="100" w:type="dxa"/>
            <w:vAlign w:val="bottom"/>
          </w:tcPr>
          <w:p>
            <w:pPr>
              <w:spacing w:after="0"/>
              <w:rPr>
                <w:sz w:val="20"/>
                <w:szCs w:val="20"/>
                <w:color w:val="auto"/>
              </w:rPr>
            </w:pPr>
          </w:p>
        </w:tc>
        <w:tc>
          <w:tcPr>
            <w:tcW w:w="20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w w:val="94"/>
              </w:rPr>
              <w:t>(Thousands, except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9"/>
              </w:rPr>
              <w:t>data)</w:t>
            </w:r>
          </w:p>
        </w:tc>
        <w:tc>
          <w:tcPr>
            <w:tcW w:w="720" w:type="dxa"/>
            <w:vAlign w:val="bottom"/>
          </w:tcPr>
          <w:p>
            <w:pPr>
              <w:spacing w:after="0"/>
              <w:rPr>
                <w:sz w:val="20"/>
                <w:szCs w:val="20"/>
                <w:color w:val="auto"/>
              </w:rPr>
            </w:pPr>
          </w:p>
        </w:tc>
      </w:tr>
      <w:tr>
        <w:trPr>
          <w:trHeight w:val="396"/>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2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101,781</w:t>
            </w:r>
          </w:p>
        </w:tc>
      </w:tr>
      <w:tr>
        <w:trPr>
          <w:trHeight w:val="241"/>
        </w:trPr>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16"/>
        </w:trPr>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102,839</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7"/>
                <w:szCs w:val="17"/>
                <w:color w:val="auto"/>
              </w:rPr>
            </w:pPr>
          </w:p>
        </w:tc>
        <w:tc>
          <w:tcPr>
            <w:tcW w:w="2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7"/>
                <w:szCs w:val="17"/>
                <w:color w:val="auto"/>
              </w:rPr>
            </w:pPr>
          </w:p>
        </w:tc>
        <w:tc>
          <w:tcPr>
            <w:tcW w:w="2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85"/>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830" w:lineRule="exact"/>
        <w:rPr>
          <w:sz w:val="20"/>
          <w:szCs w:val="20"/>
          <w:color w:val="auto"/>
        </w:rPr>
      </w:pPr>
    </w:p>
    <w:p>
      <w:pPr>
        <w:sectPr>
          <w:pgSz w:w="11900" w:h="16838" w:orient="portrait"/>
          <w:cols w:equalWidth="0" w:num="2">
            <w:col w:w="4620" w:space="200"/>
            <w:col w:w="4199"/>
          </w:cols>
          <w:pgMar w:left="1440" w:top="540" w:right="1440" w:bottom="1440" w:gutter="0" w:footer="0" w:header="0"/>
          <w:type w:val="continuous"/>
        </w:sectPr>
      </w:pP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40" w:type="dxa"/>
            <w:vAlign w:val="bottom"/>
          </w:tcPr>
          <w:p>
            <w:pPr>
              <w:spacing w:after="0"/>
              <w:rPr>
                <w:sz w:val="20"/>
                <w:szCs w:val="20"/>
                <w:color w:val="auto"/>
              </w:rPr>
            </w:pPr>
          </w:p>
        </w:tc>
      </w:tr>
      <w:tr>
        <w:trPr>
          <w:trHeight w:val="259"/>
        </w:trPr>
        <w:tc>
          <w:tcPr>
            <w:tcW w:w="4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22"/>
                <w:szCs w:val="22"/>
                <w:color w:val="auto"/>
              </w:rPr>
            </w:pPr>
          </w:p>
        </w:tc>
      </w:tr>
      <w:tr>
        <w:trPr>
          <w:trHeight w:val="230"/>
        </w:trPr>
        <w:tc>
          <w:tcPr>
            <w:tcW w:w="4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40" w:type="dxa"/>
            <w:vAlign w:val="bottom"/>
          </w:tcPr>
          <w:p>
            <w:pPr>
              <w:spacing w:after="0"/>
              <w:rPr>
                <w:sz w:val="20"/>
                <w:szCs w:val="20"/>
                <w:color w:val="auto"/>
              </w:rPr>
            </w:pPr>
          </w:p>
        </w:tc>
      </w:tr>
      <w:tr>
        <w:trPr>
          <w:trHeight w:val="2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40" w:type="dxa"/>
            <w:vAlign w:val="bottom"/>
          </w:tcPr>
          <w:p>
            <w:pPr>
              <w:spacing w:after="0"/>
              <w:rPr>
                <w:sz w:val="20"/>
                <w:szCs w:val="20"/>
                <w:color w:val="auto"/>
              </w:rPr>
            </w:pPr>
          </w:p>
        </w:tc>
      </w:tr>
      <w:tr>
        <w:trPr>
          <w:trHeight w:val="2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72,203</w:t>
            </w:r>
          </w:p>
        </w:tc>
        <w:tc>
          <w:tcPr>
            <w:tcW w:w="40" w:type="dxa"/>
            <w:vAlign w:val="bottom"/>
          </w:tcPr>
          <w:p>
            <w:pPr>
              <w:spacing w:after="0"/>
              <w:rPr>
                <w:sz w:val="20"/>
                <w:szCs w:val="20"/>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net payments (refunds)</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51,835</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40" w:type="dxa"/>
            <w:vAlign w:val="bottom"/>
            <w:shd w:val="clear" w:color="auto" w:fill="CCEEFF"/>
          </w:tcPr>
          <w:p>
            <w:pPr>
              <w:spacing w:after="0"/>
              <w:rPr>
                <w:sz w:val="21"/>
                <w:szCs w:val="21"/>
                <w:color w:val="auto"/>
              </w:rPr>
            </w:pPr>
          </w:p>
        </w:tc>
      </w:tr>
    </w:tbl>
    <w:p>
      <w:pPr>
        <w:spacing w:after="0" w:line="198" w:lineRule="exact"/>
        <w:rPr>
          <w:sz w:val="20"/>
          <w:szCs w:val="20"/>
          <w:color w:val="auto"/>
        </w:rPr>
      </w:pPr>
    </w:p>
    <w:p>
      <w:pPr>
        <w:jc w:val="both"/>
        <w:ind w:left="60" w:right="23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January 2, 2021 and June 27, 2020 was $3.9 million and $20.9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left="60" w:right="99" w:firstLine="427"/>
        <w:spacing w:after="0" w:line="261" w:lineRule="auto"/>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80" w:type="dxa"/>
            <w:vAlign w:val="bottom"/>
          </w:tcPr>
          <w:p>
            <w:pPr>
              <w:spacing w:after="0"/>
              <w:rPr>
                <w:sz w:val="16"/>
                <w:szCs w:val="16"/>
                <w:color w:val="auto"/>
              </w:rPr>
            </w:pPr>
          </w:p>
        </w:tc>
        <w:tc>
          <w:tcPr>
            <w:tcW w:w="1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80" w:type="dxa"/>
            <w:vAlign w:val="bottom"/>
          </w:tcPr>
          <w:p>
            <w:pPr>
              <w:spacing w:after="0"/>
              <w:rPr>
                <w:sz w:val="16"/>
                <w:szCs w:val="16"/>
                <w:color w:val="auto"/>
              </w:rPr>
            </w:pPr>
          </w:p>
        </w:tc>
        <w:tc>
          <w:tcPr>
            <w:tcW w:w="110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Pr>
          <w:p>
            <w:pPr>
              <w:spacing w:after="0"/>
              <w:rPr>
                <w:sz w:val="16"/>
                <w:szCs w:val="16"/>
                <w:color w:val="auto"/>
              </w:rPr>
            </w:pP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4,342,386</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8,724,535</w:t>
            </w:r>
          </w:p>
        </w:tc>
        <w:tc>
          <w:tcPr>
            <w:tcW w:w="180" w:type="dxa"/>
            <w:vAlign w:val="bottom"/>
          </w:tcPr>
          <w:p>
            <w:pPr>
              <w:spacing w:after="0"/>
              <w:rPr>
                <w:sz w:val="18"/>
                <w:szCs w:val="18"/>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325,786</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331,177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666,697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4,668,172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9,391,232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188,362</w:t>
            </w:r>
          </w:p>
        </w:tc>
        <w:tc>
          <w:tcPr>
            <w:tcW w:w="180" w:type="dxa"/>
            <w:vAlign w:val="bottom"/>
          </w:tcPr>
          <w:p>
            <w:pPr>
              <w:spacing w:after="0"/>
              <w:rPr>
                <w:sz w:val="18"/>
                <w:szCs w:val="18"/>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57,221</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46,475</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1,101,450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1,186,582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2,307,145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EMEA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1,346,347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2,827,020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2,896,782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Asia/Pacific </w:t>
            </w:r>
            <w:r>
              <w:rPr>
                <w:rFonts w:ascii="Times New Roman" w:cs="Times New Roman" w:eastAsia="Times New Roman" w:hAnsi="Times New Roman"/>
                <w:sz w:val="25"/>
                <w:szCs w:val="25"/>
                <w:color w:val="auto"/>
                <w:vertAlign w:val="superscript"/>
              </w:rPr>
              <w:t>(3)</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2,220,375</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1,922,365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4,257,067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3,865,693</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4,668,172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4,534,806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9,391,232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9,164,814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3" w:lineRule="exact"/>
        <w:rPr>
          <w:sz w:val="20"/>
          <w:szCs w:val="20"/>
          <w:color w:val="auto"/>
        </w:rPr>
      </w:pPr>
    </w:p>
    <w:p>
      <w:pPr>
        <w:ind w:left="380" w:right="199" w:hanging="330"/>
        <w:spacing w:after="0" w:line="220" w:lineRule="auto"/>
        <w:tabs>
          <w:tab w:leader="none" w:pos="38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sales from the United States of $1.03 billion and $1.12 billion for the second quarters ended January 2, 2021 and December 28, 2019, respectively. Includes sales from the United States of $2.16 billion and $2.26 billion for the first six months of fiscal 2021 and 2020, respectively.</w:t>
      </w:r>
    </w:p>
    <w:p>
      <w:pPr>
        <w:spacing w:after="0" w:line="199" w:lineRule="exact"/>
        <w:rPr>
          <w:rFonts w:ascii="Times New Roman" w:cs="Times New Roman" w:eastAsia="Times New Roman" w:hAnsi="Times New Roman"/>
          <w:sz w:val="27"/>
          <w:szCs w:val="27"/>
          <w:color w:val="auto"/>
          <w:vertAlign w:val="superscript"/>
        </w:rPr>
      </w:pPr>
    </w:p>
    <w:p>
      <w:pPr>
        <w:ind w:left="380" w:right="239" w:hanging="330"/>
        <w:spacing w:after="0" w:line="239" w:lineRule="auto"/>
        <w:tabs>
          <w:tab w:leader="none" w:pos="38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sales from Germany and Belgium of $520.8 million and $255.0 million, respectively, for the second quarter ended January 2, 2021; and $1.10 billion and $549.4 million, respectively, for the first six months of fiscal 2021. Includes sales from Germany and Belgium of $537.6 million and $281.6 million, respectively, for the second quarter ended December 28, 2019; and $1.12 billion and $559.4 million, respectively, for the first six months of fiscal 2020.</w:t>
      </w:r>
    </w:p>
    <w:p>
      <w:pPr>
        <w:spacing w:after="0" w:line="198" w:lineRule="exact"/>
        <w:rPr>
          <w:rFonts w:ascii="Times New Roman" w:cs="Times New Roman" w:eastAsia="Times New Roman" w:hAnsi="Times New Roman"/>
          <w:sz w:val="26"/>
          <w:szCs w:val="26"/>
          <w:color w:val="auto"/>
          <w:vertAlign w:val="superscript"/>
        </w:rPr>
      </w:pPr>
    </w:p>
    <w:p>
      <w:pPr>
        <w:ind w:left="380" w:right="99" w:hanging="330"/>
        <w:spacing w:after="0" w:line="234" w:lineRule="auto"/>
        <w:tabs>
          <w:tab w:leader="none" w:pos="38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sales from China (including Hong Kong), Taiwan and Singapore of $666.0 million, $1.07 billion and $252.6 million, respectively, for the second quarter ended January 2, 2021; and $1.30 billion, $1.99 billion and $524.6 million, respectively, for the first six months of fiscal 2021. Includes sales from China (including Hong Kong), Taiwan and Singapore of $611.8 million, $867.8 million and $243.8 million, respectively, for the second quarter ended December 28, 2019; and $1.24 billion, $1.74 billion and $483.4 million, respectively, for the first six months of fiscal 2020.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tbl>
      <w:tblPr>
        <w:tblLayout w:type="fixed"/>
        <w:tblInd w:w="100" w:type="dxa"/>
        <w:tblCellMar>
          <w:top w:w="0" w:type="dxa"/>
          <w:left w:w="0" w:type="dxa"/>
          <w:bottom w:w="0" w:type="dxa"/>
          <w:right w:w="0" w:type="dxa"/>
        </w:tblCellMar>
      </w:tblPr>
      <w:tr>
        <w:trPr>
          <w:trHeight w:val="234"/>
        </w:trPr>
        <w:tc>
          <w:tcPr>
            <w:tcW w:w="618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97"/>
        </w:trPr>
        <w:tc>
          <w:tcPr>
            <w:tcW w:w="6180" w:type="dxa"/>
            <w:vAlign w:val="bottom"/>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7640" w:type="dxa"/>
            <w:vAlign w:val="bottom"/>
            <w:gridSpan w:val="4"/>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37"/>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r>
      <w:tr>
        <w:trPr>
          <w:trHeight w:val="203"/>
        </w:trPr>
        <w:tc>
          <w:tcPr>
            <w:tcW w:w="6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500"/>
              <w:spacing w:after="0" w:line="202" w:lineRule="exact"/>
              <w:rPr>
                <w:sz w:val="20"/>
                <w:szCs w:val="20"/>
                <w:color w:val="auto"/>
              </w:rPr>
            </w:pPr>
            <w:r>
              <w:rPr>
                <w:rFonts w:ascii="Times New Roman" w:cs="Times New Roman" w:eastAsia="Times New Roman" w:hAnsi="Times New Roman"/>
                <w:sz w:val="18"/>
                <w:szCs w:val="18"/>
                <w:b w:val="1"/>
                <w:bCs w:val="1"/>
                <w:color w:val="auto"/>
                <w:w w:val="77"/>
              </w:rPr>
              <w:t>(Thousands)</w:t>
            </w:r>
          </w:p>
        </w:tc>
        <w:tc>
          <w:tcPr>
            <w:tcW w:w="8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183,892</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EMEA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183,382</w:t>
            </w:r>
          </w:p>
        </w:tc>
        <w:tc>
          <w:tcPr>
            <w:tcW w:w="18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Asia/Pacific</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80" w:type="dxa"/>
            <w:vAlign w:val="bottom"/>
            <w:tcBorders>
              <w:bottom w:val="single" w:sz="8" w:color="CCEEFF"/>
            </w:tcBorders>
          </w:tcPr>
          <w:p>
            <w:pPr>
              <w:spacing w:after="0"/>
              <w:rPr>
                <w:sz w:val="19"/>
                <w:szCs w:val="19"/>
                <w:color w:val="auto"/>
              </w:rPr>
            </w:pPr>
          </w:p>
        </w:tc>
      </w:tr>
      <w:tr>
        <w:trPr>
          <w:trHeight w:val="216"/>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403,270</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404,607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41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3" w:lineRule="exact"/>
        <w:rPr>
          <w:sz w:val="20"/>
          <w:szCs w:val="20"/>
          <w:color w:val="auto"/>
        </w:rPr>
      </w:pPr>
    </w:p>
    <w:p>
      <w:pPr>
        <w:ind w:left="420" w:right="260" w:hanging="330"/>
        <w:spacing w:after="0" w:line="208" w:lineRule="auto"/>
        <w:tabs>
          <w:tab w:leader="none" w:pos="4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of $160.9 million and $179.4 million as of January 2, 2021 and June 27, 2020, respectively, in the United States.</w:t>
      </w:r>
    </w:p>
    <w:p>
      <w:pPr>
        <w:spacing w:after="0" w:line="199" w:lineRule="exact"/>
        <w:rPr>
          <w:rFonts w:ascii="Times New Roman" w:cs="Times New Roman" w:eastAsia="Times New Roman" w:hAnsi="Times New Roman"/>
          <w:sz w:val="27"/>
          <w:szCs w:val="27"/>
          <w:color w:val="auto"/>
          <w:vertAlign w:val="superscript"/>
        </w:rPr>
      </w:pPr>
    </w:p>
    <w:p>
      <w:pPr>
        <w:ind w:left="420" w:right="180" w:hanging="330"/>
        <w:spacing w:after="0" w:line="220" w:lineRule="auto"/>
        <w:tabs>
          <w:tab w:leader="none" w:pos="4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of $87.5 million, $84.8 million and $22.9 million in Germany, the United Kingdom and Belgium, respectively, as of January 2, 2021; and $84.9 million, $72.7 million and $22.4 million in Germany, the United Kingdom and Belgium, respectively, as of June 27, 2020.</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16. Restructuring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Fiscal 2021</w:t>
      </w:r>
    </w:p>
    <w:p>
      <w:pPr>
        <w:spacing w:after="0" w:line="227" w:lineRule="exact"/>
        <w:rPr>
          <w:sz w:val="20"/>
          <w:szCs w:val="20"/>
          <w:color w:val="auto"/>
        </w:rPr>
      </w:pPr>
    </w:p>
    <w:p>
      <w:pPr>
        <w:ind w:left="100" w:right="380" w:firstLine="432"/>
        <w:spacing w:after="0" w:line="261" w:lineRule="auto"/>
        <w:rPr>
          <w:sz w:val="20"/>
          <w:szCs w:val="20"/>
          <w:color w:val="auto"/>
        </w:rPr>
      </w:pPr>
      <w:r>
        <w:rPr>
          <w:rFonts w:ascii="Times New Roman" w:cs="Times New Roman" w:eastAsia="Times New Roman" w:hAnsi="Times New Roman"/>
          <w:sz w:val="18"/>
          <w:szCs w:val="18"/>
          <w:color w:val="auto"/>
        </w:rPr>
        <w:t>During fiscal 2021, the Company undertook restructuring actions in order to improve operating efficiencies and reduce operating expenses. Restructuring expenses are included as a component of restructuring, integration and other expenses in the consolidated statements of operations. The activity related to the restructuring liabilities associated with restructuring activities established during fiscal 2021 is presented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Contract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4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4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 restructuring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(13,645)</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Non-cash amounts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00" w:right="120" w:firstLine="427"/>
        <w:spacing w:after="0" w:line="258" w:lineRule="auto"/>
        <w:rPr>
          <w:sz w:val="20"/>
          <w:szCs w:val="20"/>
          <w:color w:val="auto"/>
        </w:rPr>
      </w:pPr>
      <w:r>
        <w:rPr>
          <w:rFonts w:ascii="Times New Roman" w:cs="Times New Roman" w:eastAsia="Times New Roman" w:hAnsi="Times New Roman"/>
          <w:sz w:val="18"/>
          <w:szCs w:val="18"/>
          <w:color w:val="auto"/>
        </w:rPr>
        <w:t>Severance expense recorded in the first six months of fiscal 2021 related to the reduction, or planned reduction, of approximately 250 employees, primarily in executive management, operations, information technology, warehouse, sales and business support functions. Of the $34.5 million in restructuring expenses recorded during the first six months of fiscal 2021, $18.0 million related to EC, $9.1 million related to Farnell and $7.4 million related to Corporate. The Company expects the majority of the remaining severance amounts to be paid by the end of fiscal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0" w:right="1419" w:bottom="1440" w:gutter="0" w:footer="0" w:header="0"/>
        </w:sectPr>
      </w:pPr>
    </w:p>
    <w:bookmarkStart w:id="19" w:name="page20"/>
    <w:bookmarkEnd w:id="19"/>
    <w:p>
      <w:pPr>
        <w:ind w:left="10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Fiscal 2020 and prior</w:t>
      </w:r>
    </w:p>
    <w:p>
      <w:pPr>
        <w:spacing w:after="0" w:line="227" w:lineRule="exact"/>
        <w:rPr>
          <w:sz w:val="20"/>
          <w:szCs w:val="20"/>
          <w:color w:val="auto"/>
        </w:rPr>
      </w:pPr>
    </w:p>
    <w:p>
      <w:pPr>
        <w:ind w:left="100" w:right="340" w:firstLine="432"/>
        <w:spacing w:after="0" w:line="261" w:lineRule="auto"/>
        <w:rPr>
          <w:sz w:val="20"/>
          <w:szCs w:val="20"/>
          <w:color w:val="auto"/>
        </w:rPr>
      </w:pPr>
      <w:r>
        <w:rPr>
          <w:rFonts w:ascii="Times New Roman" w:cs="Times New Roman" w:eastAsia="Times New Roman" w:hAnsi="Times New Roman"/>
          <w:sz w:val="18"/>
          <w:szCs w:val="18"/>
          <w:color w:val="auto"/>
        </w:rPr>
        <w:t>During fiscal 2020 and prior, the Company incurred restructuring expenses related to various restructuring actions intended to achieve planned synergies from acquired businesses and to reduce future operating expenses. The following table presents the activity during the first six months of fiscal 2021 related to the remaining restructuring liabilities established during fiscal 2020 and prior: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and Contract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4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30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27, 2020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w:t>
            </w: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(4,487)</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23"/>
        </w:trPr>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 2021</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expects the majority of the remaining amounts to be paid by the end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0" w:right="1419"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the Company’s Quarterly Report on Form 10-Q for the fiscal quarter ended October 3, 2020 and the Company’s Annual Report on Form 10-K for the fiscal year ended June 27, 2020, could affect the Company’s future results of operations, and could cause those results or other outcomes to differ materially from those expressed or implied in the forward-looking statements: the scope and duration of the COVID-19 pandemic and its impact on global economic systems, access to financial markets and the Company’s employees, operations, customers, and supply chain;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natural and weather-related disasters, pandemics and health related crisis, social unrest or warehouse modernization and relocation efforts; risks related to cyber-attacks and the Company’s information systems, including related to current or future implementations; general economic and business conditions (domestic, foreign and global) affecting the Company’s operations and financial performance and, indirectly, the Company’s credit ratings, debt covenant compliance, and liquidity and access to financing; geopolitical events, including the uncertainty caused by the United Kingdom’s exit from, and agreement for a new partnership with, the European Union; and legislative or regulatory changes affecting the Company’s businesses.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the significant factors that influenced the Company’s performance during the quarter ended January 2, 2021, this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(“MD&amp;A”) should be read in conjunction with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including the related notes, appearing in Item 1 of this Quarterly Report on Form 10-Q, as well as the Company’s Quarterly Report on Form 10-Q for the fiscal quarter ended October 3, 2020 and Annual Report on Form 10-K for the fiscal year ended June 27, 2020. The Company operates on a “52/53 week” fiscal year and fiscal 2021 contains 53 weeks compared to 52 weeks in fiscal 2020. As a result, the first six months of fiscal 2021 ended January 2, 2021, contained 27 weeks and the first six months of fiscal 2020 ended December 28, 2019 contained 26 weeks. This extra week in the first six months of fiscal 2021, which occurred in the first quarter of fiscal 2021, impacts the year-over-year analysis in this MD&amp;A.</w:t>
      </w:r>
    </w:p>
    <w:p>
      <w:pPr>
        <w:spacing w:after="0" w:line="194" w:lineRule="exact"/>
        <w:rPr>
          <w:sz w:val="20"/>
          <w:szCs w:val="20"/>
          <w:color w:val="auto"/>
        </w:rPr>
      </w:pPr>
    </w:p>
    <w:p>
      <w:pPr>
        <w:ind w:left="60" w:right="279" w:firstLine="432"/>
        <w:spacing w:after="0" w:line="254" w:lineRule="auto"/>
        <w:rPr>
          <w:sz w:val="20"/>
          <w:szCs w:val="20"/>
          <w:color w:val="auto"/>
        </w:rPr>
      </w:pPr>
      <w:r>
        <w:rPr>
          <w:rFonts w:ascii="Times New Roman" w:cs="Times New Roman" w:eastAsia="Times New Roman" w:hAnsi="Times New Roman"/>
          <w:sz w:val="18"/>
          <w:szCs w:val="18"/>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39" w:firstLine="432"/>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0" w:lineRule="exact"/>
        <w:rPr>
          <w:sz w:val="20"/>
          <w:szCs w:val="20"/>
          <w:color w:val="auto"/>
        </w:rPr>
      </w:pPr>
    </w:p>
    <w:p>
      <w:pPr>
        <w:ind w:left="720" w:right="15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due to it being a 14-week quarter, as discussed above. Sales taking into account these adjustments are referred to as “organic sales.” Additionally, the Company has adjusted sales for the impact of the termination of the Texas Instruments (“TI”) distribution agreement between fiscal years.</w:t>
      </w:r>
    </w:p>
    <w:p>
      <w:pPr>
        <w:spacing w:after="0" w:line="186" w:lineRule="exact"/>
        <w:rPr>
          <w:rFonts w:ascii="Times New Roman" w:cs="Times New Roman" w:eastAsia="Times New Roman" w:hAnsi="Times New Roman"/>
          <w:sz w:val="18"/>
          <w:szCs w:val="18"/>
          <w:color w:val="auto"/>
        </w:rPr>
      </w:pPr>
    </w:p>
    <w:p>
      <w:pPr>
        <w:ind w:left="720" w:right="159" w:hanging="319"/>
        <w:spacing w:after="0" w:line="267"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income excluding (i) restructuring, integration and other expenses, (see </w:t>
      </w:r>
      <w:r>
        <w:rPr>
          <w:rFonts w:ascii="Times New Roman" w:cs="Times New Roman" w:eastAsia="Times New Roman" w:hAnsi="Times New Roman"/>
          <w:sz w:val="18"/>
          <w:szCs w:val="18"/>
          <w:i w:val="1"/>
          <w:iCs w:val="1"/>
          <w:color w:val="auto"/>
        </w:rPr>
        <w:t>Restructuring, Integration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in this MD&amp;A) and (ii) amortization of acquired intangible assets. Operating income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is referred to as “adjusted operating income.”</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Second Quarters Ended</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5"/>
              </w:rPr>
              <w:t>January 2,</w:t>
            </w:r>
          </w:p>
        </w:tc>
        <w:tc>
          <w:tcPr>
            <w:tcW w:w="124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80" w:type="dxa"/>
            <w:vAlign w:val="bottom"/>
          </w:tcPr>
          <w:p>
            <w:pPr>
              <w:spacing w:after="0"/>
              <w:rPr>
                <w:sz w:val="16"/>
                <w:szCs w:val="16"/>
                <w:color w:val="auto"/>
              </w:rPr>
            </w:pPr>
          </w:p>
        </w:tc>
        <w:tc>
          <w:tcPr>
            <w:tcW w:w="10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3"/>
        </w:trPr>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57,221</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46,475</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109,212</w:t>
            </w: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38,863</w:t>
            </w:r>
          </w:p>
        </w:tc>
      </w:tr>
      <w:tr>
        <w:trPr>
          <w:trHeight w:val="236"/>
        </w:trPr>
        <w:tc>
          <w:tcPr>
            <w:tcW w:w="4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w:t>
            </w: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3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79,586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82,194</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144,684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189,607</w:t>
            </w:r>
          </w:p>
        </w:tc>
      </w:tr>
      <w:tr>
        <w:trPr>
          <w:trHeight w:val="20"/>
        </w:trPr>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60" w:right="119" w:firstLine="432"/>
        <w:spacing w:after="0" w:line="277" w:lineRule="auto"/>
        <w:rPr>
          <w:sz w:val="20"/>
          <w:szCs w:val="20"/>
          <w:color w:val="auto"/>
        </w:rPr>
      </w:pPr>
      <w:r>
        <w:rPr>
          <w:rFonts w:ascii="Times New Roman" w:cs="Times New Roman" w:eastAsia="Times New Roman" w:hAnsi="Times New Roman"/>
          <w:sz w:val="17"/>
          <w:szCs w:val="17"/>
          <w:color w:val="auto"/>
        </w:rPr>
        <w:t>Avnet, Inc. and its consolidated subsidiaries’ (collectively,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68" w:lineRule="exact"/>
        <w:rPr>
          <w:sz w:val="20"/>
          <w:szCs w:val="20"/>
          <w:color w:val="auto"/>
        </w:rPr>
      </w:pPr>
    </w:p>
    <w:p>
      <w:pPr>
        <w:ind w:left="60" w:right="239" w:firstLine="432"/>
        <w:spacing w:after="0" w:line="261"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15, “Segment information” to the Company’s consolidated financial statements included in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left="60" w:right="79" w:firstLine="432"/>
        <w:spacing w:after="0" w:line="254"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global supply chains, constrained work force participation, disrupted logistics and distribution systems, and created significant volatility and disruption of financial markets. As the scope and duration of the COVID-19 pandemic is unknown and the extent of its economic impact continues to evolve globally, there is significant uncertainty related to the ultimate impact it will have on the Company’s business, its employees, results of operations and financial condition, and to what extent the Company’s actions to mitigate such impacts will be successful and sufficient. Accordingly, current results and financial condition discussed herein may not be indicative of future operating results and trends. See the risk factors regarding the impacts of the COVID-19 pandemic included in the Company’s Annual Report on Form 10-K for the fiscal year ended June 27, 2020 and Quarterly Report on Form 10-Q for the fiscal quarter ended October 3, 2020.</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Sales of $4.67 billion were up 2.9% year over year as compared to prior year sales of $4.53 billion. Organic sales increased 2.9% and increased 0.7% in constant currency year-over-year. The organic sales increase is the result of the sales improvement in the Asia region, partially offset primarily by lower sales of TI products due to the termination of the Company’s TI distribution agreement.</w:t>
      </w:r>
    </w:p>
    <w:p>
      <w:pPr>
        <w:spacing w:after="0" w:line="180" w:lineRule="exact"/>
        <w:rPr>
          <w:sz w:val="20"/>
          <w:szCs w:val="20"/>
          <w:color w:val="auto"/>
        </w:rPr>
      </w:pPr>
    </w:p>
    <w:p>
      <w:pPr>
        <w:ind w:left="60" w:right="13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of 11.0% decreased 64 basis points compared to 11.6% in the second quarter of fiscal 2020 primarily due to a combination of geographical market mix, product and customer mix, and overall declines in gross profit margin due to the negative impacts from the COVID-19 pandemic.</w:t>
      </w:r>
    </w:p>
    <w:p>
      <w:pPr>
        <w:spacing w:after="0" w:line="176" w:lineRule="exact"/>
        <w:rPr>
          <w:sz w:val="20"/>
          <w:szCs w:val="20"/>
          <w:color w:val="auto"/>
        </w:rPr>
      </w:pPr>
    </w:p>
    <w:p>
      <w:pPr>
        <w:ind w:left="60" w:right="199" w:firstLine="432"/>
        <w:spacing w:after="0" w:line="256" w:lineRule="auto"/>
        <w:rPr>
          <w:sz w:val="20"/>
          <w:szCs w:val="20"/>
          <w:color w:val="auto"/>
        </w:rPr>
      </w:pPr>
      <w:r>
        <w:rPr>
          <w:rFonts w:ascii="Times New Roman" w:cs="Times New Roman" w:eastAsia="Times New Roman" w:hAnsi="Times New Roman"/>
          <w:sz w:val="18"/>
          <w:szCs w:val="18"/>
          <w:color w:val="auto"/>
        </w:rPr>
        <w:t>Operating income of $57.2 million increased $10.7 million or 23.1% as compared to second quarter of fiscal 2020 operating income. Operating income margin was 1.2% in the second quarter of fiscal 2021 as compared to 1.0% in the second quarter of fiscal 2020. Adjusted operating income margin was 1.7% in the second quarter of fiscal 2021 as compared to 1.8% in the second quarter of fiscal 2020, a decline of 11 basis points. The decrease in adjusted operating income margin is primarily due to the decrease in gross profit margin, partially offset by reductions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16" w:lineRule="exact"/>
        <w:rPr>
          <w:sz w:val="20"/>
          <w:szCs w:val="20"/>
          <w:color w:val="auto"/>
        </w:rPr>
      </w:pPr>
    </w:p>
    <w:p>
      <w:pPr>
        <w:ind w:left="60" w:right="279" w:firstLine="427"/>
        <w:spacing w:after="0" w:line="236" w:lineRule="auto"/>
        <w:rPr>
          <w:sz w:val="20"/>
          <w:szCs w:val="20"/>
          <w:color w:val="auto"/>
        </w:rPr>
      </w:pPr>
      <w:r>
        <w:rPr>
          <w:rFonts w:ascii="Times New Roman" w:cs="Times New Roman" w:eastAsia="Times New Roman" w:hAnsi="Times New Roman"/>
          <w:sz w:val="18"/>
          <w:szCs w:val="18"/>
          <w:color w:val="auto"/>
        </w:rPr>
        <w:t>The following table presents the reconciliation of reported sales to organic sales for the second quarter and first six months of fiscal 2021 by region and by operating group. Reported sales were the same as organic sales in the second quarter and first six months of fiscal 2020.</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7"/>
          </w:tcPr>
          <w:p>
            <w:pPr>
              <w:ind w:left="7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5"/>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3"/>
        </w:trPr>
        <w:tc>
          <w:tcPr>
            <w:tcW w:w="1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60"/>
              <w:spacing w:after="0" w:line="173" w:lineRule="exact"/>
              <w:rPr>
                <w:sz w:val="20"/>
                <w:szCs w:val="20"/>
                <w:color w:val="auto"/>
              </w:rPr>
            </w:pPr>
            <w:r>
              <w:rPr>
                <w:rFonts w:ascii="Times New Roman" w:cs="Times New Roman" w:eastAsia="Times New Roman" w:hAnsi="Times New Roman"/>
                <w:sz w:val="16"/>
                <w:szCs w:val="16"/>
                <w:b w:val="1"/>
                <w:bCs w:val="1"/>
                <w:color w:val="auto"/>
              </w:rPr>
              <w:t>Sales</w:t>
            </w: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Organic</w:t>
            </w:r>
          </w:p>
        </w:tc>
      </w:tr>
      <w:tr>
        <w:trPr>
          <w:trHeight w:val="189"/>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r>
      <w:tr>
        <w:trPr>
          <w:trHeight w:val="189"/>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TI Sales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 for TI</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TI Sales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Adj for TI</w:t>
            </w:r>
          </w:p>
        </w:tc>
      </w:tr>
      <w:tr>
        <w:trPr>
          <w:trHeight w:val="175"/>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Q2-Fiscal</w:t>
            </w:r>
          </w:p>
        </w:tc>
        <w:tc>
          <w:tcPr>
            <w:tcW w:w="18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Q2-Fiscal   Q2-Fiscal</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Q2-Fiscal</w:t>
            </w:r>
          </w:p>
        </w:tc>
        <w:tc>
          <w:tcPr>
            <w:tcW w:w="80" w:type="dxa"/>
            <w:vAlign w:val="bottom"/>
          </w:tcPr>
          <w:p>
            <w:pPr>
              <w:spacing w:after="0"/>
              <w:rPr>
                <w:sz w:val="15"/>
                <w:szCs w:val="15"/>
                <w:color w:val="auto"/>
              </w:rPr>
            </w:pPr>
          </w:p>
        </w:tc>
        <w:tc>
          <w:tcPr>
            <w:tcW w:w="80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Extra</w:t>
            </w:r>
          </w:p>
        </w:tc>
        <w:tc>
          <w:tcPr>
            <w:tcW w:w="102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Q2-Fiscal</w:t>
            </w:r>
          </w:p>
        </w:tc>
        <w:tc>
          <w:tcPr>
            <w:tcW w:w="8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Q2-Fiscal</w:t>
            </w:r>
          </w:p>
        </w:tc>
        <w:tc>
          <w:tcPr>
            <w:tcW w:w="100" w:type="dxa"/>
            <w:vAlign w:val="bottom"/>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Q2-Fiscal</w:t>
            </w:r>
          </w:p>
        </w:tc>
      </w:tr>
      <w:tr>
        <w:trPr>
          <w:trHeight w:val="226"/>
        </w:trPr>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
              <w:spacing w:after="0" w:line="219" w:lineRule="exact"/>
              <w:rPr>
                <w:sz w:val="20"/>
                <w:szCs w:val="20"/>
                <w:color w:val="auto"/>
              </w:rPr>
            </w:pPr>
            <w:r>
              <w:rPr>
                <w:rFonts w:ascii="Times New Roman" w:cs="Times New Roman" w:eastAsia="Times New Roman" w:hAnsi="Times New Roman"/>
                <w:sz w:val="16"/>
                <w:szCs w:val="16"/>
                <w:b w:val="1"/>
                <w:bCs w:val="1"/>
                <w:color w:val="auto"/>
                <w:w w:val="90"/>
              </w:rPr>
              <w:t>2021</w:t>
            </w:r>
            <w:r>
              <w:rPr>
                <w:rFonts w:ascii="Times New Roman" w:cs="Times New Roman" w:eastAsia="Times New Roman" w:hAnsi="Times New Roman"/>
                <w:sz w:val="24"/>
                <w:szCs w:val="24"/>
                <w:b w:val="1"/>
                <w:bCs w:val="1"/>
                <w:color w:val="auto"/>
                <w:w w:val="90"/>
                <w:vertAlign w:val="superscript"/>
              </w:rPr>
              <w:t>(1)</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w w:val="94"/>
              </w:rPr>
              <w:t>2021</w:t>
            </w:r>
            <w:r>
              <w:rPr>
                <w:rFonts w:ascii="Times New Roman" w:cs="Times New Roman" w:eastAsia="Times New Roman" w:hAnsi="Times New Roman"/>
                <w:sz w:val="24"/>
                <w:szCs w:val="24"/>
                <w:b w:val="1"/>
                <w:bCs w:val="1"/>
                <w:color w:val="auto"/>
                <w:w w:val="94"/>
                <w:vertAlign w:val="superscript"/>
              </w:rPr>
              <w:t>(1)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line="219" w:lineRule="exact"/>
              <w:rPr>
                <w:sz w:val="20"/>
                <w:szCs w:val="20"/>
                <w:color w:val="auto"/>
              </w:rPr>
            </w:pPr>
            <w:r>
              <w:rPr>
                <w:rFonts w:ascii="Times New Roman" w:cs="Times New Roman" w:eastAsia="Times New Roman" w:hAnsi="Times New Roman"/>
                <w:sz w:val="16"/>
                <w:szCs w:val="16"/>
                <w:b w:val="1"/>
                <w:bCs w:val="1"/>
                <w:color w:val="auto"/>
                <w:w w:val="89"/>
              </w:rPr>
              <w:t>Week</w:t>
            </w:r>
            <w:r>
              <w:rPr>
                <w:rFonts w:ascii="Times New Roman" w:cs="Times New Roman" w:eastAsia="Times New Roman" w:hAnsi="Times New Roman"/>
                <w:sz w:val="24"/>
                <w:szCs w:val="24"/>
                <w:b w:val="1"/>
                <w:bCs w:val="1"/>
                <w:color w:val="auto"/>
                <w:w w:val="89"/>
                <w:vertAlign w:val="superscript"/>
              </w:rPr>
              <w:t>(2)</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line="219" w:lineRule="exact"/>
              <w:rPr>
                <w:sz w:val="20"/>
                <w:szCs w:val="20"/>
                <w:color w:val="auto"/>
              </w:rPr>
            </w:pPr>
            <w:r>
              <w:rPr>
                <w:rFonts w:ascii="Times New Roman" w:cs="Times New Roman" w:eastAsia="Times New Roman" w:hAnsi="Times New Roman"/>
                <w:sz w:val="16"/>
                <w:szCs w:val="16"/>
                <w:b w:val="1"/>
                <w:bCs w:val="1"/>
                <w:color w:val="auto"/>
                <w:w w:val="90"/>
              </w:rPr>
              <w:t>2021</w:t>
            </w:r>
            <w:r>
              <w:rPr>
                <w:rFonts w:ascii="Times New Roman" w:cs="Times New Roman" w:eastAsia="Times New Roman" w:hAnsi="Times New Roman"/>
                <w:sz w:val="24"/>
                <w:szCs w:val="24"/>
                <w:b w:val="1"/>
                <w:bCs w:val="1"/>
                <w:color w:val="auto"/>
                <w:w w:val="90"/>
                <w:vertAlign w:val="superscript"/>
              </w:rPr>
              <w:t>(1)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w w:val="90"/>
              </w:rPr>
              <w:t>2021</w:t>
            </w:r>
            <w:r>
              <w:rPr>
                <w:rFonts w:ascii="Times New Roman" w:cs="Times New Roman" w:eastAsia="Times New Roman" w:hAnsi="Times New Roman"/>
                <w:sz w:val="24"/>
                <w:szCs w:val="24"/>
                <w:b w:val="1"/>
                <w:bCs w:val="1"/>
                <w:color w:val="auto"/>
                <w:w w:val="90"/>
                <w:vertAlign w:val="superscript"/>
              </w:rPr>
              <w:t>(1)</w:t>
            </w:r>
          </w:p>
        </w:tc>
      </w:tr>
      <w:tr>
        <w:trPr>
          <w:trHeight w:val="176"/>
        </w:trPr>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4"/>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Avnet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4,668,172</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49,568</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$ 4,618,604</w:t>
            </w:r>
          </w:p>
        </w:tc>
        <w:tc>
          <w:tcPr>
            <w:tcW w:w="1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9,391,232</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306,000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$ 9,085,232</w:t>
            </w:r>
          </w:p>
        </w:tc>
        <w:tc>
          <w:tcPr>
            <w:tcW w:w="1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290,552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8,794,680</w:t>
            </w:r>
          </w:p>
        </w:tc>
      </w:tr>
      <w:tr>
        <w:trPr>
          <w:trHeight w:val="189"/>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Avnet by region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1,101,450</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13,969</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$ 1,087,481</w:t>
            </w:r>
          </w:p>
        </w:tc>
        <w:tc>
          <w:tcPr>
            <w:tcW w:w="1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2,307,145</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$ 2,230,145</w:t>
            </w:r>
          </w:p>
        </w:tc>
        <w:tc>
          <w:tcPr>
            <w:tcW w:w="1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82,469</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2,147,676</w:t>
            </w:r>
          </w:p>
        </w:tc>
      </w:tr>
      <w:tr>
        <w:trPr>
          <w:trHeight w:val="189"/>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EMEA</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1,346,347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20,839</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1,325,508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2,827,020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2,730,020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123,749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2,606,271</w:t>
            </w:r>
          </w:p>
        </w:tc>
      </w:tr>
      <w:tr>
        <w:trPr>
          <w:trHeight w:val="189"/>
        </w:trPr>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2,220,375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2,205,615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4,257,067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4,125,067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84,334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4,040,733</w:t>
            </w:r>
          </w:p>
        </w:tc>
      </w:tr>
      <w:tr>
        <w:trPr>
          <w:trHeight w:val="189"/>
        </w:trPr>
        <w:tc>
          <w:tcPr>
            <w:tcW w:w="2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Avnet by operating group</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EC</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4,342,386</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49,568</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$ 4,292,818</w:t>
            </w:r>
          </w:p>
        </w:tc>
        <w:tc>
          <w:tcPr>
            <w:tcW w:w="1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8,724,535</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284,000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$ 8,440,535</w:t>
            </w:r>
          </w:p>
        </w:tc>
        <w:tc>
          <w:tcPr>
            <w:tcW w:w="1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290,552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8,149,983</w:t>
            </w:r>
          </w:p>
        </w:tc>
      </w:tr>
      <w:tr>
        <w:trPr>
          <w:trHeight w:val="189"/>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Farnell</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325,786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325,786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666,697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644,697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644,697</w:t>
            </w:r>
          </w:p>
        </w:tc>
      </w:tr>
      <w:tr>
        <w:trPr>
          <w:trHeight w:val="2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jc w:val="both"/>
        <w:ind w:left="420" w:right="459" w:hanging="329"/>
        <w:spacing w:after="0" w:line="259" w:lineRule="auto"/>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adjusted for the impact of the termination of the Texas Instruments (“TI”) distribution contract, which was completed in December 2020. Sales of TI products were $50 million and $399 million in the second quarter of fiscal 2021 and fiscal 2020, respectively; and $291 million and $843 million in the first six months of fiscal 2021 and fiscal 2020, respectively.</w:t>
      </w:r>
    </w:p>
    <w:p>
      <w:pPr>
        <w:spacing w:after="0" w:line="1" w:lineRule="exact"/>
        <w:rPr>
          <w:rFonts w:ascii="Times New Roman" w:cs="Times New Roman" w:eastAsia="Times New Roman" w:hAnsi="Times New Roman"/>
          <w:sz w:val="16"/>
          <w:szCs w:val="16"/>
          <w:color w:val="auto"/>
        </w:rPr>
      </w:pPr>
    </w:p>
    <w:p>
      <w:pPr>
        <w:ind w:left="420" w:hanging="329"/>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additional week of sales in the first quarter of fiscal 2021 is estimated.</w:t>
      </w:r>
    </w:p>
    <w:p>
      <w:pPr>
        <w:spacing w:after="0" w:line="222" w:lineRule="exact"/>
        <w:rPr>
          <w:sz w:val="20"/>
          <w:szCs w:val="20"/>
          <w:color w:val="auto"/>
        </w:rPr>
      </w:pPr>
    </w:p>
    <w:p>
      <w:pPr>
        <w:ind w:left="60" w:right="339" w:firstLine="427"/>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reported and organic sales growth rates for the second quarter and first six months of fiscal 2021 as compared to fiscal 2020 by region and by operating group.</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19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w w:val="99"/>
              </w:rPr>
              <w:t>Quarter Ended</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r>
      <w:tr>
        <w:trPr>
          <w:trHeight w:val="173"/>
        </w:trPr>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Organic</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Organic</w:t>
            </w:r>
          </w:p>
        </w:tc>
      </w:tr>
      <w:tr>
        <w:trPr>
          <w:trHeight w:val="189"/>
        </w:trPr>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r>
      <w:tr>
        <w:trPr>
          <w:trHeight w:val="189"/>
        </w:trPr>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Adj for TI</w:t>
            </w:r>
          </w:p>
        </w:tc>
        <w:tc>
          <w:tcPr>
            <w:tcW w:w="8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Adj for TI</w:t>
            </w:r>
          </w:p>
        </w:tc>
      </w:tr>
      <w:tr>
        <w:trPr>
          <w:trHeight w:val="189"/>
        </w:trPr>
        <w:tc>
          <w:tcPr>
            <w:tcW w:w="14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9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Year-Year % Year-Year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8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Year-Year %  Organic</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Year-Year %</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Year-Year %</w:t>
            </w:r>
          </w:p>
        </w:tc>
      </w:tr>
      <w:tr>
        <w:trPr>
          <w:trHeight w:val="189"/>
        </w:trPr>
        <w:tc>
          <w:tcPr>
            <w:tcW w:w="14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r>
      <w:tr>
        <w:trPr>
          <w:trHeight w:val="175"/>
        </w:trPr>
        <w:tc>
          <w:tcPr>
            <w:tcW w:w="140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3"/>
              </w:rPr>
              <w:t>Year-Year</w:t>
            </w:r>
          </w:p>
        </w:tc>
        <w:tc>
          <w:tcPr>
            <w:tcW w:w="1040" w:type="dxa"/>
            <w:vAlign w:val="bottom"/>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9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Year-Year</w:t>
            </w:r>
          </w:p>
        </w:tc>
        <w:tc>
          <w:tcPr>
            <w:tcW w:w="10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82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6"/>
              </w:rPr>
              <w:t>Year-Year</w:t>
            </w:r>
          </w:p>
        </w:tc>
        <w:tc>
          <w:tcPr>
            <w:tcW w:w="1000" w:type="dxa"/>
            <w:vAlign w:val="bottom"/>
            <w:gridSpan w:val="2"/>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26"/>
        </w:trPr>
        <w:tc>
          <w:tcPr>
            <w:tcW w:w="14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20" w:type="dxa"/>
            <w:vAlign w:val="bottom"/>
            <w:gridSpan w:val="2"/>
          </w:tcPr>
          <w:p>
            <w:pPr>
              <w:jc w:val="center"/>
              <w:ind w:right="120"/>
              <w:spacing w:after="0" w:line="219" w:lineRule="exact"/>
              <w:rPr>
                <w:sz w:val="20"/>
                <w:szCs w:val="20"/>
                <w:color w:val="auto"/>
              </w:rPr>
            </w:pPr>
            <w:r>
              <w:rPr>
                <w:rFonts w:ascii="Times New Roman" w:cs="Times New Roman" w:eastAsia="Times New Roman" w:hAnsi="Times New Roman"/>
                <w:sz w:val="16"/>
                <w:szCs w:val="16"/>
                <w:b w:val="1"/>
                <w:bCs w:val="1"/>
                <w:color w:val="auto"/>
                <w:w w:val="94"/>
              </w:rPr>
              <w:t>Currency</w:t>
            </w:r>
            <w:r>
              <w:rPr>
                <w:rFonts w:ascii="Times New Roman" w:cs="Times New Roman" w:eastAsia="Times New Roman" w:hAnsi="Times New Roman"/>
                <w:sz w:val="24"/>
                <w:szCs w:val="24"/>
                <w:b w:val="1"/>
                <w:bCs w:val="1"/>
                <w:color w:val="auto"/>
                <w:w w:val="94"/>
                <w:vertAlign w:val="superscript"/>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60" w:type="dxa"/>
            <w:vAlign w:val="bottom"/>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w w:val="97"/>
              </w:rPr>
              <w:t>Currency</w:t>
            </w:r>
            <w:r>
              <w:rPr>
                <w:rFonts w:ascii="Times New Roman" w:cs="Times New Roman" w:eastAsia="Times New Roman" w:hAnsi="Times New Roman"/>
                <w:sz w:val="24"/>
                <w:szCs w:val="24"/>
                <w:b w:val="1"/>
                <w:bCs w:val="1"/>
                <w:color w:val="auto"/>
                <w:w w:val="97"/>
                <w:vertAlign w:val="superscript"/>
              </w:rPr>
              <w:t>(1)</w:t>
            </w:r>
          </w:p>
        </w:tc>
      </w:tr>
      <w:tr>
        <w:trPr>
          <w:trHeight w:val="189"/>
        </w:trPr>
        <w:tc>
          <w:tcPr>
            <w:tcW w:w="1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Avnet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189"/>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Avnet by region</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89"/>
        </w:trPr>
        <w:tc>
          <w:tcPr>
            <w:tcW w:w="1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EMEA</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r>
      <w:tr>
        <w:trPr>
          <w:trHeight w:val="189"/>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r>
      <w:tr>
        <w:trPr>
          <w:trHeight w:val="189"/>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Avnet by operating group</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171"/>
        </w:trPr>
        <w:tc>
          <w:tcPr>
            <w:tcW w:w="140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Farnell</w:t>
            </w:r>
          </w:p>
        </w:tc>
        <w:tc>
          <w:tcPr>
            <w:tcW w:w="880" w:type="dxa"/>
            <w:vAlign w:val="bottom"/>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rPr>
              <w:t>(1.6)</w:t>
            </w:r>
          </w:p>
        </w:tc>
        <w:tc>
          <w:tcPr>
            <w:tcW w:w="900" w:type="dxa"/>
            <w:vAlign w:val="bottom"/>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4"/>
                <w:szCs w:val="14"/>
                <w:color w:val="auto"/>
              </w:rPr>
            </w:pPr>
          </w:p>
        </w:tc>
        <w:tc>
          <w:tcPr>
            <w:tcW w:w="880" w:type="dxa"/>
            <w:vAlign w:val="bottom"/>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rPr>
              <w:t>(0.1)</w:t>
            </w:r>
          </w:p>
        </w:tc>
        <w:tc>
          <w:tcPr>
            <w:tcW w:w="900" w:type="dxa"/>
            <w:vAlign w:val="bottom"/>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740" w:type="dxa"/>
            <w:vAlign w:val="bottom"/>
          </w:tcPr>
          <w:p>
            <w:pPr>
              <w:jc w:val="right"/>
              <w:ind w:right="39"/>
              <w:spacing w:after="0" w:line="171" w:lineRule="exact"/>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4"/>
                <w:szCs w:val="14"/>
                <w:color w:val="auto"/>
              </w:rPr>
            </w:pPr>
          </w:p>
        </w:tc>
        <w:tc>
          <w:tcPr>
            <w:tcW w:w="920" w:type="dxa"/>
            <w:vAlign w:val="bottom"/>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4"/>
                <w:szCs w:val="14"/>
                <w:color w:val="auto"/>
              </w:rPr>
            </w:pPr>
          </w:p>
        </w:tc>
        <w:tc>
          <w:tcPr>
            <w:tcW w:w="960" w:type="dxa"/>
            <w:vAlign w:val="bottom"/>
          </w:tcPr>
          <w:p>
            <w:pPr>
              <w:jc w:val="right"/>
              <w:ind w:right="79"/>
              <w:spacing w:after="0" w:line="171" w:lineRule="exact"/>
              <w:rPr>
                <w:sz w:val="20"/>
                <w:szCs w:val="20"/>
                <w:color w:val="auto"/>
              </w:rPr>
            </w:pPr>
            <w:r>
              <w:rPr>
                <w:rFonts w:ascii="Times New Roman" w:cs="Times New Roman" w:eastAsia="Times New Roman" w:hAnsi="Times New Roman"/>
                <w:sz w:val="16"/>
                <w:szCs w:val="16"/>
                <w:color w:val="auto"/>
              </w:rPr>
              <w:t>(5.8)</w:t>
            </w:r>
          </w:p>
        </w:tc>
      </w:t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w:t>
            </w: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ind w:left="420" w:right="339" w:hanging="329"/>
        <w:spacing w:after="0" w:line="298"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growth rates excluding the impact of the termination of the TI distribution agreement, which was completed in December 2020.</w:t>
      </w:r>
    </w:p>
    <w:p>
      <w:pPr>
        <w:spacing w:after="0" w:line="159" w:lineRule="exact"/>
        <w:rPr>
          <w:sz w:val="20"/>
          <w:szCs w:val="20"/>
          <w:color w:val="auto"/>
        </w:rPr>
      </w:pPr>
    </w:p>
    <w:p>
      <w:pPr>
        <w:ind w:left="60" w:right="259" w:firstLine="427"/>
        <w:spacing w:after="0" w:line="276" w:lineRule="auto"/>
        <w:rPr>
          <w:sz w:val="20"/>
          <w:szCs w:val="20"/>
          <w:color w:val="auto"/>
        </w:rPr>
      </w:pPr>
      <w:r>
        <w:rPr>
          <w:rFonts w:ascii="Times New Roman" w:cs="Times New Roman" w:eastAsia="Times New Roman" w:hAnsi="Times New Roman"/>
          <w:sz w:val="17"/>
          <w:szCs w:val="17"/>
          <w:color w:val="auto"/>
        </w:rPr>
        <w:t>Sales of $4.67 billion for the second quarter of fiscal 2021 were up $133.4 million, or 2.9%, from the prior year second quarter sales of $4.53 billion. Organic sales in constant currency in the second quarter of fiscal 2021 increased by</w:t>
      </w:r>
    </w:p>
    <w:p>
      <w:pPr>
        <w:spacing w:after="0" w:line="1"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0.7% over the prior year second quarter as a result of increased sales in the Asia region, partially offset by the decline in TI sales year over year and to a lesser extent the negative impacts of COVID-19.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319" w:firstLine="432"/>
        <w:spacing w:after="0" w:line="261" w:lineRule="auto"/>
        <w:rPr>
          <w:sz w:val="20"/>
          <w:szCs w:val="20"/>
          <w:color w:val="auto"/>
        </w:rPr>
      </w:pPr>
      <w:r>
        <w:rPr>
          <w:rFonts w:ascii="Times New Roman" w:cs="Times New Roman" w:eastAsia="Times New Roman" w:hAnsi="Times New Roman"/>
          <w:sz w:val="18"/>
          <w:szCs w:val="18"/>
          <w:color w:val="auto"/>
        </w:rPr>
        <w:t>EC sales of $4.34 billion in the second quarter of fiscal 2021 increased $138.8 million or 3.3% from the prior year second quarter sales of $4.20 billion. On an organic basis, EC sales increased 3.3% year over year and 1.1% in constant currency. This increase was due to sales growth in the Asia region, partially offset by lower sales of TI products and the negative impacts of COVID-19 and the related impacts on market demand.</w:t>
      </w:r>
    </w:p>
    <w:p>
      <w:pPr>
        <w:spacing w:after="0" w:line="180" w:lineRule="exact"/>
        <w:rPr>
          <w:sz w:val="20"/>
          <w:szCs w:val="20"/>
          <w:color w:val="auto"/>
        </w:rPr>
      </w:pPr>
    </w:p>
    <w:p>
      <w:pPr>
        <w:ind w:left="60" w:right="79" w:firstLine="472"/>
        <w:spacing w:after="0" w:line="261" w:lineRule="auto"/>
        <w:rPr>
          <w:sz w:val="20"/>
          <w:szCs w:val="20"/>
          <w:color w:val="auto"/>
        </w:rPr>
      </w:pPr>
      <w:r>
        <w:rPr>
          <w:rFonts w:ascii="Times New Roman" w:cs="Times New Roman" w:eastAsia="Times New Roman" w:hAnsi="Times New Roman"/>
          <w:sz w:val="18"/>
          <w:szCs w:val="18"/>
          <w:color w:val="auto"/>
        </w:rPr>
        <w:t>Farnell sales for the second quarter of fiscal 2021 were $325.8 million, a decrease of $5.4 million or 1.6% from the prior year second quarter sales of $331.2 million. Organic sales decreased $5.4 million or 1.6% year over year and decreased 4.5% in constant currency. These decreases were primarily a result of the negative impacts of COVID-19 and the related impact on market demand.</w:t>
      </w:r>
    </w:p>
    <w:p>
      <w:pPr>
        <w:spacing w:after="0" w:line="180" w:lineRule="exact"/>
        <w:rPr>
          <w:sz w:val="20"/>
          <w:szCs w:val="20"/>
          <w:color w:val="auto"/>
        </w:rPr>
      </w:pPr>
    </w:p>
    <w:p>
      <w:pPr>
        <w:ind w:left="60" w:right="519" w:firstLine="477"/>
        <w:spacing w:after="0" w:line="282" w:lineRule="auto"/>
        <w:rPr>
          <w:sz w:val="20"/>
          <w:szCs w:val="20"/>
          <w:color w:val="auto"/>
        </w:rPr>
      </w:pPr>
      <w:r>
        <w:rPr>
          <w:rFonts w:ascii="Times New Roman" w:cs="Times New Roman" w:eastAsia="Times New Roman" w:hAnsi="Times New Roman"/>
          <w:sz w:val="18"/>
          <w:szCs w:val="18"/>
          <w:color w:val="auto"/>
        </w:rPr>
        <w:t>On a regional basis, organic sales in the second quarter of fiscal 2021 declined 7.2% in the Americas, 11.4% in EMEA in constant currency and increased 14.6% in Asia in constant currency.</w:t>
      </w:r>
    </w:p>
    <w:p>
      <w:pPr>
        <w:spacing w:after="0" w:line="162" w:lineRule="exact"/>
        <w:rPr>
          <w:sz w:val="20"/>
          <w:szCs w:val="20"/>
          <w:color w:val="auto"/>
        </w:rPr>
      </w:pPr>
    </w:p>
    <w:p>
      <w:pPr>
        <w:ind w:left="60" w:right="159" w:firstLine="432"/>
        <w:spacing w:after="0" w:line="261" w:lineRule="auto"/>
        <w:rPr>
          <w:sz w:val="20"/>
          <w:szCs w:val="20"/>
          <w:color w:val="auto"/>
        </w:rPr>
      </w:pPr>
      <w:r>
        <w:rPr>
          <w:rFonts w:ascii="Times New Roman" w:cs="Times New Roman" w:eastAsia="Times New Roman" w:hAnsi="Times New Roman"/>
          <w:sz w:val="18"/>
          <w:szCs w:val="18"/>
          <w:color w:val="auto"/>
        </w:rPr>
        <w:t>Sales for the first six months of fiscal 2021 were $9.39 billion, an increase of $226.4 million as compared to sales of $9.16 billion for the first six months of fiscal 2020. The increase in sales was primarily due to growth in the Asia region and the global benefit of an extra week of sales in the first quarter of fiscal 2021, partially offset by the decline in TI sales and to a lesser extent the negative impacts of COVID-19 and the related impacts on market demand.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 and Gross Profit Margins</w:t>
      </w:r>
    </w:p>
    <w:p>
      <w:pPr>
        <w:spacing w:after="0" w:line="229" w:lineRule="exact"/>
        <w:rPr>
          <w:sz w:val="20"/>
          <w:szCs w:val="20"/>
          <w:color w:val="auto"/>
        </w:rPr>
      </w:pPr>
    </w:p>
    <w:p>
      <w:pPr>
        <w:ind w:left="60" w:right="79" w:firstLine="432"/>
        <w:spacing w:after="0" w:line="255" w:lineRule="auto"/>
        <w:rPr>
          <w:sz w:val="20"/>
          <w:szCs w:val="20"/>
          <w:color w:val="auto"/>
        </w:rPr>
      </w:pPr>
      <w:r>
        <w:rPr>
          <w:rFonts w:ascii="Times New Roman" w:cs="Times New Roman" w:eastAsia="Times New Roman" w:hAnsi="Times New Roman"/>
          <w:sz w:val="18"/>
          <w:szCs w:val="18"/>
          <w:color w:val="auto"/>
        </w:rPr>
        <w:t>Gross profit for the second quarter of fiscal 2021 was $511.3 million, a decrease of $14.4 million, or 2.7%, from the second quarter of fiscal 2020 gross profit of $525.6 million. Gross profit margin decreased to 11.0% or 64 basis points from the second quarter of fiscal 2020 gross profit margin of 11.6% driven by declines in gross profit margin in both operating groups. The declines in gross profit margin in both operating groups are primarily due to a combination of geographical market mix, unfavorable changes in product and customer mix, and overall declines in gross profit margin due to current market conditions. Sales in the higher gross profit margin western regions represented approximately 52% of sales in the second quarter of fiscal 2021 as compared to 58% during the second quarter of fiscal 2020.</w:t>
      </w:r>
    </w:p>
    <w:p>
      <w:pPr>
        <w:spacing w:after="0" w:line="189" w:lineRule="exact"/>
        <w:rPr>
          <w:sz w:val="20"/>
          <w:szCs w:val="20"/>
          <w:color w:val="auto"/>
        </w:rPr>
      </w:pPr>
    </w:p>
    <w:p>
      <w:pPr>
        <w:ind w:left="60" w:right="139" w:firstLine="432"/>
        <w:spacing w:after="0" w:line="258" w:lineRule="auto"/>
        <w:rPr>
          <w:sz w:val="20"/>
          <w:szCs w:val="20"/>
          <w:color w:val="auto"/>
        </w:rPr>
      </w:pPr>
      <w:r>
        <w:rPr>
          <w:rFonts w:ascii="Times New Roman" w:cs="Times New Roman" w:eastAsia="Times New Roman" w:hAnsi="Times New Roman"/>
          <w:sz w:val="18"/>
          <w:szCs w:val="18"/>
          <w:color w:val="auto"/>
        </w:rPr>
        <w:t>Gross profit and gross profit margin was $1.03 billion and 10.9%, respectively, for the first six months of fiscal 2021 as compared with $1.07 billion and 11.7%, respectively, for the first six months of fiscal 2020. The decline in gross profit margin during the first six months of fiscal 2021 compared to the first six months of fiscal 2020 is primarily due to a combination of geographical market mix, unfavorable changes in product and customer mix, and overall declines in gross profit margin due to current market conditions.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were $442.1 million in the second quarter of fiscal 2021, a decrease of $22.8 million, or 4.9%, from the second quarter of fiscal 2020. The year-over-year decrease in SG&amp;A expenses was primarily due to the cost savings from restructuring activities and lower amortization expense, partially offset by the impact of foreign currency due to the weakening of the U.S. Dollar.</w:t>
      </w:r>
    </w:p>
    <w:p>
      <w:pPr>
        <w:spacing w:after="0" w:line="180"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Metrics that management monitors with respect to its operating expenses are SG&amp;A expenses as a percentage of sales and as a percentage of gross profit. In the second quarter of fiscal 2021, SG&amp;A expenses as a percentage of sales were 9.5% and as a percentage of gross profit were 86.5%, as compared with 10.3% and 88.4%, respectively, in the second quarter of fiscal 2020. The decrease in SG&amp;A expenses as a percentage of gross profit is primarily the result of the cost savings from restructuring activities and lower amortization expense, partially offset by foreign currency due to the weakening of the U.S. Dollar and from the decrease in gross profit margin.</w:t>
      </w:r>
    </w:p>
    <w:p>
      <w:pPr>
        <w:spacing w:after="0" w:line="187" w:lineRule="exact"/>
        <w:rPr>
          <w:sz w:val="20"/>
          <w:szCs w:val="20"/>
          <w:color w:val="auto"/>
        </w:rPr>
      </w:pPr>
    </w:p>
    <w:p>
      <w:pPr>
        <w:ind w:left="60" w:right="59" w:firstLine="427"/>
        <w:spacing w:after="0" w:line="256" w:lineRule="auto"/>
        <w:rPr>
          <w:sz w:val="20"/>
          <w:szCs w:val="20"/>
          <w:color w:val="auto"/>
        </w:rPr>
      </w:pPr>
      <w:r>
        <w:rPr>
          <w:rFonts w:ascii="Times New Roman" w:cs="Times New Roman" w:eastAsia="Times New Roman" w:hAnsi="Times New Roman"/>
          <w:sz w:val="18"/>
          <w:szCs w:val="18"/>
          <w:color w:val="auto"/>
        </w:rPr>
        <w:t>SG&amp;A expenses for the first six months of fiscal 2021 were $913.2 million, or 9.7% of sales, as compared with $921.4 million, or 10.1% of sales, in the first six months of fiscal 2020. The year-over-year decrease in SG&amp;A expenses was primarily due to the cost savings from restructuring activities and lower amortization expense, partially offset by the impact of foreign currency due to the weakening of the U.S. Dollar and from the decrease in gross profit margin. SG&amp;A expenses were 88.9% of gross profit in the first six months of 2021 as compared with 86.2% in the first six months of fiscal 2020.</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229" w:lineRule="exact"/>
        <w:rPr>
          <w:sz w:val="20"/>
          <w:szCs w:val="20"/>
          <w:color w:val="auto"/>
        </w:rPr>
      </w:pPr>
    </w:p>
    <w:p>
      <w:pPr>
        <w:ind w:left="60" w:right="59" w:firstLine="432"/>
        <w:spacing w:after="0" w:line="254" w:lineRule="auto"/>
        <w:rPr>
          <w:sz w:val="20"/>
          <w:szCs w:val="20"/>
          <w:color w:val="auto"/>
        </w:rPr>
      </w:pPr>
      <w:r>
        <w:rPr>
          <w:rFonts w:ascii="Times New Roman" w:cs="Times New Roman" w:eastAsia="Times New Roman" w:hAnsi="Times New Roman"/>
          <w:sz w:val="18"/>
          <w:szCs w:val="18"/>
          <w:color w:val="auto"/>
        </w:rPr>
        <w:t>As a result of management’s focus on improving operating efficiencies and reducing operating costs, the Company has incurred certain restructuring costs. These costs also relate to the restructuring of the Company’s information technology, distribution center footprint and business operations. In addition, the Company incurred integration and other costs and benefitted from a gain on a legal settlement. Integration costs are primarily related to the integration of certain regional and global businesses and incremental costs incurred as part of the consolidation, relocation, sale and closure of distribution centers and office facilities. Other costs consist primarily of any other miscellaneous costs that relate to restructuring, integration and other expenses, including acquisition related costs and specific and incremental costs incurred associated with the impacts of the COVID-19 pandemic. Included in restructuring, integration and other expenses in the first six months of fiscal 2021 is a gain of $8.2 million resulting from a legal settlement.</w:t>
      </w:r>
    </w:p>
    <w:p>
      <w:pPr>
        <w:spacing w:after="0" w:line="188"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The Company recorded restructuring, integration and other expenses of $11.9 million during the second quarter of fiscal 2021. The Company recorded $7.6 million of restructuring costs in the second quarter of fiscal 2021, which are expected to provide approximately $12.0 million in annual operating expense savings once such restructuring actions are completed. During the second quarter of fiscal 2021, the Company also incurred integration costs of $7.3 million, partially offset by a net reversal of other expenses of $1.2 million and a reversal of $1.8 million for changes in estimates for costs associated with prior year restructuring actions. The after-tax impact of restructuring, integration and other expenses were $9.4 million and $0.09 per share on a diluted basis.</w:t>
      </w:r>
    </w:p>
    <w:p>
      <w:pPr>
        <w:spacing w:after="0" w:line="189"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During the first six months of fiscal 2021, the Company incurred restructuring costs of $34.5 million, integration costs of $14.6 million, which was offset by a gain on legal settlement of $8.2 million, a reversal of $2.1 million for changes in estimates for costs associated with prior year restructuring actions and a net reversal of other expenses of $0.4 million. The after tax impact of restructuring, integration and other expenses for the first six months of fiscal 2021 was $31.2 million and $0.31 per share on a diluted basis.</w:t>
      </w:r>
    </w:p>
    <w:p>
      <w:pPr>
        <w:spacing w:after="0" w:line="183"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See Note 16 “Restructuring expenses” to the Company’s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ind w:left="60" w:right="119" w:firstLine="427"/>
        <w:spacing w:after="0" w:line="255" w:lineRule="auto"/>
        <w:rPr>
          <w:sz w:val="20"/>
          <w:szCs w:val="20"/>
          <w:color w:val="auto"/>
        </w:rPr>
      </w:pPr>
      <w:r>
        <w:rPr>
          <w:rFonts w:ascii="Times New Roman" w:cs="Times New Roman" w:eastAsia="Times New Roman" w:hAnsi="Times New Roman"/>
          <w:sz w:val="18"/>
          <w:szCs w:val="18"/>
          <w:color w:val="auto"/>
        </w:rPr>
        <w:t>Operating income for the second quarter of fiscal 2021 was $57.2 million, an increase of $10.7 million, or 23.1%, from the second quarter of fiscal 2020 operating income of $46.5 million. The year-over-year increase in operating income was primarily driven by lower SG&amp;A expenses, partially offset by a decline in gross profit margin as compared to the second quarter of fiscal 2020. Adjusted operating income for the second quarter of fiscal 2021 was $79.6 million, a decrease of $2.6 million, or 3.2%, from the second quarter of fiscal 2020. The year-over-year decrease in adjusted operating income was primarily driven by the decline in gross profit margin discussed further above, partially offset by the reduction in SG&amp;A expenses.</w:t>
      </w:r>
    </w:p>
    <w:p>
      <w:pPr>
        <w:spacing w:after="0" w:line="189" w:lineRule="exact"/>
        <w:rPr>
          <w:sz w:val="20"/>
          <w:szCs w:val="20"/>
          <w:color w:val="auto"/>
        </w:rPr>
      </w:pPr>
    </w:p>
    <w:p>
      <w:pPr>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EC operating income margin increased 17 basis points year over year to 2.4% and Farnell operating income margin decreased 155 basis points year over year to 4.5%. The decline in Farnell was primarily driven by the decline in gross profit margin.</w:t>
      </w:r>
    </w:p>
    <w:p>
      <w:pPr>
        <w:spacing w:after="0" w:line="176" w:lineRule="exact"/>
        <w:rPr>
          <w:sz w:val="20"/>
          <w:szCs w:val="20"/>
          <w:color w:val="auto"/>
        </w:rPr>
      </w:pPr>
    </w:p>
    <w:p>
      <w:pPr>
        <w:jc w:val="both"/>
        <w:ind w:left="60" w:right="59" w:firstLine="427"/>
        <w:spacing w:after="0" w:line="258" w:lineRule="auto"/>
        <w:rPr>
          <w:sz w:val="20"/>
          <w:szCs w:val="20"/>
          <w:color w:val="auto"/>
        </w:rPr>
      </w:pPr>
      <w:r>
        <w:rPr>
          <w:rFonts w:ascii="Times New Roman" w:cs="Times New Roman" w:eastAsia="Times New Roman" w:hAnsi="Times New Roman"/>
          <w:sz w:val="18"/>
          <w:szCs w:val="18"/>
          <w:color w:val="auto"/>
        </w:rPr>
        <w:t>Operating income for the first six months of fiscal 2021 was $75.7 million, or 0.8% of consolidated sales, as compared with operating income of $109.2 million, or 1.2% of consolidated sales in the first six months of fiscal 2020. Adjusted operating income for the first six months of fiscal 2021 was $144.7 million, a decrease of $44.9 million, or 23.7%, from the first six months of fiscal 2020. The year over year decrease in adjusted operating income was primarily driven by the decline in gross profit margin, partially offset by the reduction in SG&amp;A expenses.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 and Other (Expense) Income, Net</w:t>
      </w:r>
    </w:p>
    <w:p>
      <w:pPr>
        <w:spacing w:after="0" w:line="229" w:lineRule="exact"/>
        <w:rPr>
          <w:sz w:val="20"/>
          <w:szCs w:val="20"/>
          <w:color w:val="auto"/>
        </w:rPr>
      </w:pPr>
    </w:p>
    <w:p>
      <w:pPr>
        <w:ind w:left="60" w:right="179" w:firstLine="432"/>
        <w:spacing w:after="0" w:line="274" w:lineRule="auto"/>
        <w:rPr>
          <w:sz w:val="20"/>
          <w:szCs w:val="20"/>
          <w:color w:val="auto"/>
        </w:rPr>
      </w:pPr>
      <w:r>
        <w:rPr>
          <w:rFonts w:ascii="Times New Roman" w:cs="Times New Roman" w:eastAsia="Times New Roman" w:hAnsi="Times New Roman"/>
          <w:sz w:val="17"/>
          <w:szCs w:val="17"/>
          <w:color w:val="auto"/>
        </w:rPr>
        <w:t>Interest and other financing expenses in the second quarter of fiscal 2021 was $21.5 million, a decrease of $12.4 million, or 36.6%, as compared with interest and other financing expenses of $33.9 million in the second quarter of fiscal 2020. Interest and other financing expenses in the first six months of fiscal 2021 was $43.8 million, a decrease of $23.7 million, or 35.2%, as compared with interest and other financing expenses of $67.5 million in the first six months of fiscal 2020. The decrease in interest and other financing expenses in the first six months of fiscal 2021 compared to the first six months of fiscal 2020 was primarily related to lower outstanding borrowings in the first six months of fiscal 2021.</w:t>
      </w:r>
    </w:p>
    <w:p>
      <w:pPr>
        <w:spacing w:after="0" w:line="173" w:lineRule="exact"/>
        <w:rPr>
          <w:sz w:val="20"/>
          <w:szCs w:val="20"/>
          <w:color w:val="auto"/>
        </w:rPr>
      </w:pPr>
    </w:p>
    <w:p>
      <w:pPr>
        <w:ind w:left="60" w:right="179" w:firstLine="427"/>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2021, the Company had $1.3 million of other expense as compared with $2.0 million of other expense in the second quarter of fiscal 2020. During the first six months of fiscal 2021, the Company had $20.8 million of other expense as compared with $3.0 million of other income in the first six months of fiscal 2020. The year-over-year differences in other (expense) income was primarily due to $15.2 million of equity investment impairment expense included in other expense in the first six months of fiscal 2021 and differences in foreign currency exchange rates between the first six months of fiscal 2021 and fiscal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44.3% in the second quarter of fiscal 2021. During the second quarter of fiscal 2021, the Company’s effective tax rate was unfavorably impacted primarily by increases to valuation allowances, partially offset by the mix of income in lower tax jurisdictions.</w:t>
      </w:r>
    </w:p>
    <w:p>
      <w:pPr>
        <w:spacing w:after="0" w:line="176"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2021, the Company’s effective tax rate on its income before taxes was 97.5%. The effective tax rate for the first six months of fiscal 2021 was unfavorably impacted primarily by increases to valuation allowances, partially offset by the mix of income in lower tax jurisdictions.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for the second quarter of fiscal 2021 was $19.2 million, or $0.19 per share on a diluted basis, as compared with net income of $3.7 million, or $0.04 per share on a diluted basis, in the second quarter of fiscal 2020.</w:t>
      </w:r>
    </w:p>
    <w:p>
      <w:pPr>
        <w:spacing w:after="0" w:line="176" w:lineRule="exact"/>
        <w:rPr>
          <w:sz w:val="20"/>
          <w:szCs w:val="20"/>
          <w:color w:val="auto"/>
        </w:rPr>
      </w:pPr>
    </w:p>
    <w:p>
      <w:pPr>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for the first six months of fiscal 2021 was $0.3 million, or $0.00 per share on a diluted basis, as compared with net income of $45.4 million, or $0.44 per share on a diluted basis, in the first six months of fiscal 2020.</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227" w:lineRule="exact"/>
        <w:rPr>
          <w:sz w:val="20"/>
          <w:szCs w:val="20"/>
          <w:color w:val="auto"/>
        </w:rPr>
      </w:pPr>
    </w:p>
    <w:p>
      <w:pPr>
        <w:ind w:left="60" w:right="79" w:firstLine="432"/>
        <w:spacing w:after="0" w:line="253" w:lineRule="auto"/>
        <w:rPr>
          <w:sz w:val="20"/>
          <w:szCs w:val="20"/>
          <w:color w:val="auto"/>
        </w:rPr>
      </w:pPr>
      <w:r>
        <w:rPr>
          <w:rFonts w:ascii="Times New Roman" w:cs="Times New Roman" w:eastAsia="Times New Roman" w:hAnsi="Times New Roman"/>
          <w:sz w:val="18"/>
          <w:szCs w:val="18"/>
          <w:color w:val="auto"/>
        </w:rPr>
        <w:t>During the first six months of fiscal 2021, the Company generated $207.4 million of cash flow from operations compared to $344.2 million of cash generated in the first six months of fiscal 2020.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or generated from, working capital and other, excluding cash and cash equivalents. Cash generated from working capital and other was $57.3 million during the first six months of fiscal 2021, including an increase in accounts payable of $130.8 million and decrease in inventories of $51.2 million, offset by an increase in accounts receivable of $94.8 million and a decrease in accrued expenses and other of $29.8 million. Comparatively, cash generated from working capital and other was $155.2 million during the first six months of fiscal 2020, including decreases in accounts receivable of $185.6 million and inventories of $94.2 million, offset by decreases in accounts payable of $52.7 million and accrued expenses and other of $71.9 million.</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ind w:left="60" w:right="239" w:firstLine="432"/>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2021, the Company received net proceeds of $11.8 million under the Securitization Program and made a net repayment of $239.4 million under the Credit Facility. During the first six months of fiscal 2021, the Company paid dividends on common stock of $41.5 million.</w:t>
      </w:r>
    </w:p>
    <w:p>
      <w:pPr>
        <w:spacing w:after="0" w:line="176"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2020, the Company made net repayments of $35.4 million under the Securitization Program. During the first six months of fiscal 2020, the Company paid dividends on common stock of $42.4 million and repurchased $198.6 million of common stock.</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227"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During the first six months of fiscal 2021, the Company used $30.0 million for capital expenditures primarily related to warehouse and facilities, and information technology hardware and software costs compared to $44.3 million for capital expenditures in the first six months of fiscal 2020. During the first six months of fiscal 2021, the Company paid $18.4 million for an asset acquisition. The Company used $51.5 million of cash for acquisitions, which is net of the cash acquired, and paid $13.1 million for other investing activities during the first six months of fiscal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27, 2020.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See Note 6, “Debt” to the Company’s consolidated financial statements included in this Quarterly Report on Form 10-Q for additional information on financing transactions including the Credit Facility, the Securitization Program, and other outstanding debt as of January 2, 2021. The Company was in compliance with all covenants under the Credit Facility and the Securitization Program as of January 2, 2021 and June 27, 2020.</w:t>
      </w:r>
    </w:p>
    <w:p>
      <w:pPr>
        <w:spacing w:after="0" w:line="180"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second quarter of fiscal 2021 was $1.5 million.</w:t>
      </w:r>
    </w:p>
    <w:p>
      <w:pPr>
        <w:spacing w:after="0" w:line="180" w:lineRule="exact"/>
        <w:rPr>
          <w:sz w:val="20"/>
          <w:szCs w:val="20"/>
          <w:color w:val="auto"/>
        </w:rPr>
      </w:pPr>
    </w:p>
    <w:p>
      <w:pPr>
        <w:ind w:left="60" w:right="5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21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$376.3 million as of January 2, 2021, of which $332.7 million was held outside the United States. As of June 27, 2020, the Company held cash and cash equivalents of $477.0 million, of which $411.2 million was held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As of the end of the second quarter of fiscal 2021, the Company had a combined total borrowing capacity of $1.70 billion under the Credit Facility and the Securitization Program. There were no borrowings outstanding and $1.3 million in letters of credit issued under the Credit Facility and $11.8 million in borrowings outstanding under the Securitization Program, resulting in approximately $1.57 billion of total availability as of January 2, 2021. Availability under the Securitization Program is subject to the Company having sufficient eligible trade accounts receivable in the Americas to support desired borrowings.</w:t>
      </w:r>
    </w:p>
    <w:p>
      <w:pPr>
        <w:spacing w:after="0" w:line="187" w:lineRule="exact"/>
        <w:rPr>
          <w:sz w:val="20"/>
          <w:szCs w:val="20"/>
          <w:color w:val="auto"/>
        </w:rPr>
      </w:pPr>
    </w:p>
    <w:p>
      <w:pPr>
        <w:jc w:val="both"/>
        <w:ind w:left="60" w:right="139" w:firstLine="432"/>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require the Company to maintain certain financial and other covenants and the Securitization has cross default provisions associated with the covenants in the Credit Facility. The Credit Facility requires the Company to maintain minimum interest coverage and leverage ratios, which were amended in the first quarter of fiscal 2021. All other forms of debt and financing do not include financial or other covenants. The Company was in compliance with all covenants under the Credit Facility as of January 2, 2021.</w:t>
      </w:r>
    </w:p>
    <w:p>
      <w:pPr>
        <w:spacing w:after="0" w:line="183" w:lineRule="exact"/>
        <w:rPr>
          <w:sz w:val="20"/>
          <w:szCs w:val="20"/>
          <w:color w:val="auto"/>
        </w:rPr>
      </w:pPr>
    </w:p>
    <w:p>
      <w:pPr>
        <w:jc w:val="both"/>
        <w:ind w:left="60" w:right="99"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2021, the Company had an average daily balance outstanding of approximately $77.6 million and $82.0 million, respectively, under the Credit Facility and approximately $222.3 million and $257.4 million, respectively, under the Securitization Program.</w:t>
      </w:r>
    </w:p>
    <w:p>
      <w:pPr>
        <w:spacing w:after="0" w:line="176" w:lineRule="exact"/>
        <w:rPr>
          <w:sz w:val="20"/>
          <w:szCs w:val="20"/>
          <w:color w:val="auto"/>
        </w:rPr>
      </w:pPr>
    </w:p>
    <w:p>
      <w:pPr>
        <w:ind w:left="60" w:right="25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$593.4 million in cash flows from operating activities over the trailing four fiscal quarters ended January 2, 2021.</w:t>
      </w:r>
    </w:p>
    <w:p>
      <w:pPr>
        <w:spacing w:after="0" w:line="180"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as well as general economic, financial, competitive, legislative, and regulatory factors that are beyond the Company’s control. This includes the potential impact on liquidity and related compliance with debt covenants as a result of the uncertain future impacts of the COVID-19 pandemic.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92" w:lineRule="exact"/>
        <w:rPr>
          <w:sz w:val="20"/>
          <w:szCs w:val="20"/>
          <w:color w:val="auto"/>
        </w:rPr>
      </w:pPr>
    </w:p>
    <w:p>
      <w:pPr>
        <w:ind w:left="60" w:right="119" w:firstLine="427"/>
        <w:spacing w:after="0" w:line="255" w:lineRule="auto"/>
        <w:rPr>
          <w:sz w:val="20"/>
          <w:szCs w:val="20"/>
          <w:color w:val="auto"/>
        </w:rPr>
      </w:pPr>
      <w:r>
        <w:rPr>
          <w:rFonts w:ascii="Times New Roman" w:cs="Times New Roman" w:eastAsia="Times New Roman" w:hAnsi="Times New Roman"/>
          <w:sz w:val="18"/>
          <w:szCs w:val="18"/>
          <w:color w:val="auto"/>
        </w:rPr>
        <w:t>The Company continuously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including the $300.0 million of 3.75% Notes due in December 2021. Management believes the Company will have adequate access to the capital markets, if needed. The Company has historically and believes it will have the ability in the future to generate operating cash flows in periods of declining sales.</w:t>
      </w:r>
    </w:p>
    <w:p>
      <w:pPr>
        <w:spacing w:after="0" w:line="189" w:lineRule="exact"/>
        <w:rPr>
          <w:sz w:val="20"/>
          <w:szCs w:val="20"/>
          <w:color w:val="auto"/>
        </w:rPr>
      </w:pPr>
    </w:p>
    <w:p>
      <w:pPr>
        <w:jc w:val="both"/>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evolving impacts of the COVID-19 pandemic and the related uncertain future business conditions, the Company is unlikely to make near-term strategic investments through material acquisitions. The Company also expects to use cash for restructuring, integration and other expenses.</w:t>
      </w:r>
    </w:p>
    <w:p>
      <w:pPr>
        <w:spacing w:after="0" w:line="176"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As of January 2, 2021, the Company may repurchase up to an aggregate of $469.0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As a result of the impacts of the COVID-19 pandemic and the corresponding need to manage liquidity and leverage, the Company has temporarily suspended share repurchases.</w:t>
      </w:r>
    </w:p>
    <w:p>
      <w:pPr>
        <w:spacing w:after="0" w:line="187" w:lineRule="exact"/>
        <w:rPr>
          <w:sz w:val="20"/>
          <w:szCs w:val="20"/>
          <w:color w:val="auto"/>
        </w:rPr>
      </w:pPr>
    </w:p>
    <w:p>
      <w:pPr>
        <w:jc w:val="both"/>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second quarter of fiscal 2021, the Board of Directors approved a dividend of $0.21 per share, which resulted in $20.8 million of dividend payments during the quarter.</w:t>
      </w:r>
    </w:p>
    <w:p>
      <w:pPr>
        <w:sectPr>
          <w:pgSz w:w="11900" w:h="16838" w:orient="portrait"/>
          <w:cols w:equalWidth="0" w:num="1">
            <w:col w:w="9019"/>
          </w:cols>
          <w:pgMar w:left="1440" w:top="54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27, 2020, for further discussion of market risks associated with foreign currency exchange rates and interest rates. Avnet’s exposure to such risks has not changed materially since June 27, 2020,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83" w:lineRule="exact"/>
        <w:rPr>
          <w:sz w:val="20"/>
          <w:szCs w:val="20"/>
          <w:color w:val="auto"/>
        </w:rPr>
      </w:pPr>
    </w:p>
    <w:p>
      <w:pPr>
        <w:ind w:left="60" w:right="59" w:firstLine="427"/>
        <w:spacing w:after="0" w:line="25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January 2, 2021, 99% of the Company’s debt bears interest at a fixed rate and 1% of the Company’s debt bears interest at variable rates. Therefore, a hypothetical 1.0% (100 basis points) increase in interest rates would result in an insignificant decrease in income before income taxes in the Company’s consolidated statement of operations for the second quarter of fiscal 2021.</w:t>
      </w:r>
    </w:p>
    <w:p>
      <w:pPr>
        <w:spacing w:after="0" w:line="18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left="60" w:right="59" w:firstLine="432"/>
        <w:spacing w:after="0" w:line="271" w:lineRule="auto"/>
        <w:rPr>
          <w:sz w:val="20"/>
          <w:szCs w:val="20"/>
          <w:color w:val="auto"/>
        </w:rPr>
      </w:pPr>
      <w:r>
        <w:rPr>
          <w:rFonts w:ascii="Times New Roman" w:cs="Times New Roman" w:eastAsia="Times New Roman" w:hAnsi="Times New Roman"/>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3" w:lineRule="exact"/>
        <w:rPr>
          <w:sz w:val="20"/>
          <w:szCs w:val="20"/>
          <w:color w:val="auto"/>
        </w:rPr>
      </w:pPr>
    </w:p>
    <w:p>
      <w:pPr>
        <w:ind w:left="60" w:right="59"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2021,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7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99" w:firstLine="432"/>
        <w:spacing w:after="0" w:line="254"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June 27, 2020 and the revised risk factors contained in Item 1A of its Quarterly Report on Form 10-Q for the fiscal quarter ended October 3, 2020,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January 2, 2021, there have been no material changes to the risk factors set forth in the Company’s Annual Report on Form 10-K for the fiscal year ended June 27, 2020 other than as revised by those risk factors contained in the Company’s Quarterly Report on Form 10-Q for the fiscal quarter ended October 3, 2020.</w:t>
      </w:r>
    </w:p>
    <w:p>
      <w:pPr>
        <w:spacing w:after="0" w:line="18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60" w:right="99" w:firstLine="432"/>
        <w:spacing w:after="0" w:line="261" w:lineRule="auto"/>
        <w:rPr>
          <w:sz w:val="20"/>
          <w:szCs w:val="20"/>
          <w:color w:val="auto"/>
        </w:rPr>
      </w:pPr>
      <w:r>
        <w:rPr>
          <w:rFonts w:ascii="Times New Roman" w:cs="Times New Roman" w:eastAsia="Times New Roman" w:hAnsi="Times New Roman"/>
          <w:sz w:val="18"/>
          <w:szCs w:val="18"/>
          <w:color w:val="auto"/>
        </w:rPr>
        <w:t>In August 2019, the Company’s Board of Directors amended the Company’s existing share repurchase program, increasing the cumulative total of authorized share repurchases to $2.95 billion of the Company’s common stock. During the second quarter of fiscal 2021, the Company did not repurchase any shares under the share repurchase program resulting in $469.0 million of availability under the share repurchase program as of January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9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Second Amendment to and Termination of the May 8, 2018 Amended and Restated Avnet Deferred</w:t>
              </w:r>
            </w:hyperlink>
          </w:p>
        </w:tc>
        <w:tc>
          <w:tcPr>
            <w:tcW w:w="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gridSpan w:val="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Compensation Plan, dated November 17, 2020.</w:t>
              </w:r>
            </w:hyperlink>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r>
      <w:tr>
        <w:trPr>
          <w:trHeight w:val="47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Letter Agreement between the Company and Philip R. Gallagher dated November 17, 2020.</w:t>
              </w:r>
            </w:hyperlink>
          </w:p>
        </w:tc>
      </w:tr>
      <w:tr>
        <w:trPr>
          <w:trHeight w:val="45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List of subsidiaries of the Company as of June 27, 2020.</w:t>
              </w:r>
            </w:hyperlink>
          </w:p>
        </w:tc>
      </w:tr>
      <w:tr>
        <w:trPr>
          <w:trHeight w:val="45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hyperlink>
          </w:p>
        </w:tc>
      </w:tr>
      <w:tr>
        <w:trPr>
          <w:trHeight w:val="445"/>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hyperlink>
          </w:p>
        </w:tc>
      </w:tr>
      <w:tr>
        <w:trPr>
          <w:trHeight w:val="44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hyperlink>
          </w:p>
        </w:tc>
      </w:tr>
      <w:tr>
        <w:trPr>
          <w:trHeight w:val="44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Certification of Chief Financial Officer pursuant to Section 906 of the Sarbanes-Oxley Act of 2002.</w:t>
              </w:r>
            </w:hyperlink>
          </w:p>
        </w:tc>
      </w:tr>
      <w:tr>
        <w:trPr>
          <w:trHeight w:val="427"/>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6"/>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LIGUORI</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jc w:val="right"/>
        <w:ind w:right="219"/>
        <w:spacing w:after="0"/>
        <w:rPr>
          <w:sz w:val="20"/>
          <w:szCs w:val="20"/>
          <w:color w:val="auto"/>
        </w:rPr>
      </w:pPr>
      <w:r>
        <w:rPr>
          <w:rFonts w:ascii="Times New Roman" w:cs="Times New Roman" w:eastAsia="Times New Roman" w:hAnsi="Times New Roman"/>
          <w:sz w:val="22"/>
          <w:szCs w:val="22"/>
          <w:color w:val="auto"/>
        </w:rPr>
        <w:t>Exhibit 10.1</w:t>
      </w:r>
    </w:p>
    <w:p>
      <w:pPr>
        <w:spacing w:after="0" w:line="283" w:lineRule="exact"/>
        <w:rPr>
          <w:sz w:val="20"/>
          <w:szCs w:val="20"/>
          <w:color w:val="auto"/>
        </w:rPr>
      </w:pPr>
    </w:p>
    <w:p>
      <w:pPr>
        <w:jc w:val="center"/>
        <w:ind w:left="1660" w:right="1240"/>
        <w:spacing w:after="0" w:line="259" w:lineRule="auto"/>
        <w:rPr>
          <w:sz w:val="20"/>
          <w:szCs w:val="20"/>
          <w:color w:val="auto"/>
        </w:rPr>
      </w:pPr>
      <w:r>
        <w:rPr>
          <w:rFonts w:ascii="Times New Roman" w:cs="Times New Roman" w:eastAsia="Times New Roman" w:hAnsi="Times New Roman"/>
          <w:sz w:val="22"/>
          <w:szCs w:val="22"/>
          <w:b w:val="1"/>
          <w:bCs w:val="1"/>
          <w:color w:val="auto"/>
        </w:rPr>
        <w:t>SECOND AMENDMENT TO AND TERMINATION OF THE MAY 8, 2018 AMENDED AND RESTATED AVNET DEFERRED COMPENSATION PLAN</w:t>
      </w:r>
    </w:p>
    <w:p>
      <w:pPr>
        <w:spacing w:after="0" w:line="200" w:lineRule="exact"/>
        <w:rPr>
          <w:sz w:val="20"/>
          <w:szCs w:val="20"/>
          <w:color w:val="auto"/>
        </w:rPr>
      </w:pPr>
    </w:p>
    <w:p>
      <w:pPr>
        <w:spacing w:after="0" w:line="25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This Second Amendment and Termination (“Termination”) to the Amended and Restated Avnet Deferred Compensation Plan as of May 8, 2018, as amended on February 6, 2020 (“Plan”), shall be effective as of November 17, 2020. Avnet, Inc. (the “Company”) first established the Avnet Deferred Compensation Plan effective as of February 1, 1997 and amended and restated it on January 1, 2009 and most recently on May 8, 2018, as amended by the First Amendment dated February 6, 2020.</w:t>
      </w:r>
    </w:p>
    <w:p>
      <w:pPr>
        <w:spacing w:after="0" w:line="18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1.  This Termination hereby terminates the Plan in whole.</w:t>
      </w:r>
    </w:p>
    <w:p>
      <w:pPr>
        <w:spacing w:after="0" w:line="220"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I, Darrel S. Jackson, being the duly elected and qualified Secretary of Avnet, Inc., hereby certify that the foregoing is a true and complete copy of the Second Amendment to and Termination of the Amended and Restated Avnet Deferred Compensation Plan, as approved by the Board of Directors on November 17, 2020. I have executed this document as of November 17, 2020.</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u w:val="single" w:color="auto"/>
          <w:color w:val="auto"/>
        </w:rPr>
        <w:t>/s/ Darrel S. Jackson</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Darrel Jackson</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1399540</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4" w:name="page35"/>
    <w:bookmarkEnd w:id="3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November 17, 2020</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Philip R. Gallagher</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11749 N. 129</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Way</w:t>
      </w:r>
    </w:p>
    <w:p>
      <w:pPr>
        <w:ind w:left="200"/>
        <w:spacing w:after="0"/>
        <w:rPr>
          <w:sz w:val="20"/>
          <w:szCs w:val="20"/>
          <w:color w:val="auto"/>
        </w:rPr>
      </w:pPr>
      <w:r>
        <w:rPr>
          <w:rFonts w:ascii="Times New Roman" w:cs="Times New Roman" w:eastAsia="Times New Roman" w:hAnsi="Times New Roman"/>
          <w:sz w:val="22"/>
          <w:szCs w:val="22"/>
          <w:color w:val="auto"/>
        </w:rPr>
        <w:t>Scottsdale, AZ 85259</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Dear Phil:</w:t>
      </w:r>
    </w:p>
    <w:p>
      <w:pPr>
        <w:spacing w:after="0" w:line="206" w:lineRule="exact"/>
        <w:rPr>
          <w:sz w:val="20"/>
          <w:szCs w:val="20"/>
          <w:color w:val="auto"/>
        </w:rPr>
      </w:pPr>
    </w:p>
    <w:p>
      <w:pPr>
        <w:jc w:val="both"/>
        <w:ind w:left="200" w:right="539"/>
        <w:spacing w:after="0" w:line="239" w:lineRule="auto"/>
        <w:rPr>
          <w:sz w:val="20"/>
          <w:szCs w:val="20"/>
          <w:color w:val="auto"/>
        </w:rPr>
      </w:pPr>
      <w:r>
        <w:rPr>
          <w:rFonts w:ascii="Times New Roman" w:cs="Times New Roman" w:eastAsia="Times New Roman" w:hAnsi="Times New Roman"/>
          <w:sz w:val="22"/>
          <w:szCs w:val="22"/>
          <w:color w:val="auto"/>
        </w:rPr>
        <w:t>We are pleased that you have agreed to serve as the Chief Executive Officer of Avnet,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This letter agreement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sets forth the terms and conditions of your employment as an officer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of the Company, and replaces in its entirety the letter agreement between yourself and the Company dated April 3, 2017.</w:t>
      </w:r>
    </w:p>
    <w:p>
      <w:pPr>
        <w:spacing w:after="0" w:line="180" w:lineRule="exact"/>
        <w:rPr>
          <w:sz w:val="20"/>
          <w:szCs w:val="20"/>
          <w:color w:val="auto"/>
        </w:rPr>
      </w:pPr>
    </w:p>
    <w:p>
      <w:pPr>
        <w:ind w:left="200" w:right="239" w:firstLine="9"/>
        <w:spacing w:after="0" w:line="236"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Term</w:t>
      </w:r>
      <w:r>
        <w:rPr>
          <w:rFonts w:ascii="Times New Roman" w:cs="Times New Roman" w:eastAsia="Times New Roman" w:hAnsi="Times New Roman"/>
          <w:sz w:val="22"/>
          <w:szCs w:val="22"/>
          <w:color w:val="auto"/>
        </w:rPr>
        <w:t>. On and after the date hereof, you shall serve as Chief Executive Officer of the Company. In addition, you will serve without additional compensation as a member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Except with respect to the restrictive covenants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 this Letter Agreement may be cancelled by either party upon written notice at any time. The period for which you will serve as the Chief Executive Officer of the Company is referred to herein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00" w:right="379" w:firstLine="9"/>
        <w:spacing w:after="0" w:line="258"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your base salary shall be at least $1,000,000 per year. The base salary will be paid in accordance with the Company’s standard payroll procedures.</w:t>
      </w:r>
    </w:p>
    <w:p>
      <w:pPr>
        <w:spacing w:after="0" w:line="158" w:lineRule="exact"/>
        <w:rPr>
          <w:rFonts w:ascii="Times New Roman" w:cs="Times New Roman" w:eastAsia="Times New Roman" w:hAnsi="Times New Roman"/>
          <w:sz w:val="22"/>
          <w:szCs w:val="22"/>
          <w:color w:val="auto"/>
        </w:rPr>
      </w:pPr>
    </w:p>
    <w:p>
      <w:pPr>
        <w:ind w:left="200" w:right="279" w:firstLine="9"/>
        <w:spacing w:after="0" w:line="239"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During the Term, the target amount for your annual cash incentive award shall be no less than 150% of your base salary. Any bonus will be determined based upon the achievement of specific financial and strategic targets in the sole discretion of the Compensation Committee of the Board.</w:t>
      </w:r>
    </w:p>
    <w:p>
      <w:pPr>
        <w:spacing w:after="0" w:line="180" w:lineRule="exact"/>
        <w:rPr>
          <w:rFonts w:ascii="Times New Roman" w:cs="Times New Roman" w:eastAsia="Times New Roman" w:hAnsi="Times New Roman"/>
          <w:sz w:val="22"/>
          <w:szCs w:val="22"/>
          <w:color w:val="auto"/>
        </w:rPr>
      </w:pPr>
    </w:p>
    <w:p>
      <w:pPr>
        <w:ind w:left="200" w:right="559" w:firstLine="9"/>
        <w:spacing w:after="0" w:line="238"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Grants</w:t>
      </w:r>
      <w:r>
        <w:rPr>
          <w:rFonts w:ascii="Times New Roman" w:cs="Times New Roman" w:eastAsia="Times New Roman" w:hAnsi="Times New Roman"/>
          <w:sz w:val="22"/>
          <w:szCs w:val="22"/>
          <w:color w:val="auto"/>
        </w:rPr>
        <w:t>. During the Term, the target amount for your long-term equity incentive award shall be no less than 350% of your base salary. Such equity awards are typically a mix of performance share units, stock options and restricted stock units, in the sole discretion of the Compensation Committee of the Board, and are subject to the terms of the Company’s equity incentive plan, standard grant agreements and vesting schedule.</w:t>
      </w:r>
    </w:p>
    <w:p>
      <w:pPr>
        <w:spacing w:after="0" w:line="176" w:lineRule="exact"/>
        <w:rPr>
          <w:rFonts w:ascii="Times New Roman" w:cs="Times New Roman" w:eastAsia="Times New Roman" w:hAnsi="Times New Roman"/>
          <w:sz w:val="22"/>
          <w:szCs w:val="22"/>
          <w:color w:val="auto"/>
        </w:rPr>
      </w:pPr>
    </w:p>
    <w:p>
      <w:pPr>
        <w:ind w:left="200" w:right="279" w:firstLine="9"/>
        <w:spacing w:after="0" w:line="238"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You will be eligible to participate in the Company’s employee benefit plans on the same basis as other senior executives, in accordance with the terms of such plans as they may be amended from time-to-time. You will also receive the retirement benefits that you previously accrued under Avnet’s Supplemental Executive Retirement Plan, subject to the terms of that plan and applicable law.</w:t>
      </w:r>
    </w:p>
    <w:p>
      <w:pPr>
        <w:spacing w:after="0" w:line="176" w:lineRule="exact"/>
        <w:rPr>
          <w:rFonts w:ascii="Times New Roman" w:cs="Times New Roman" w:eastAsia="Times New Roman" w:hAnsi="Times New Roman"/>
          <w:sz w:val="22"/>
          <w:szCs w:val="22"/>
          <w:color w:val="auto"/>
        </w:rPr>
      </w:pPr>
    </w:p>
    <w:p>
      <w:pPr>
        <w:ind w:left="200" w:right="219" w:firstLine="9"/>
        <w:spacing w:after="0" w:line="238"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If the Company terminates your employment without Cause, you will receive a lump sum payment equal to your base annual salary and your target bonus for the year in which the termination occurs. For purposes hereof,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includes, but is not limited to, your gross misconduct, breach of any material term of this Letter Agreement, willful breach, habitual neglect or wanton disregard of your duties, or conviction of any criminal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ind w:left="200" w:right="379" w:firstLine="9"/>
        <w:spacing w:after="0" w:line="259"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You agree to the restrictive covenants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which is attached hereto and incorporated herein by reference.</w:t>
      </w:r>
    </w:p>
    <w:p>
      <w:pPr>
        <w:spacing w:after="0" w:line="156" w:lineRule="exact"/>
        <w:rPr>
          <w:rFonts w:ascii="Times New Roman" w:cs="Times New Roman" w:eastAsia="Times New Roman" w:hAnsi="Times New Roman"/>
          <w:sz w:val="22"/>
          <w:szCs w:val="22"/>
          <w:color w:val="auto"/>
        </w:rPr>
      </w:pPr>
    </w:p>
    <w:p>
      <w:pPr>
        <w:ind w:left="200" w:right="219" w:firstLine="9"/>
        <w:spacing w:after="0" w:line="238"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amounts payable to you by the Company are subject to all applicable tax withholdings. In addition, you acknowledge that this Letter Agreement shall be interpreted consistent with the intent to comply with the requirements of Section 409A of the Internal Revenue Code of 1986, as amended, such that there are no adverse tax consequences, interest, or penalties as a result of any amount paid or payable pursuant to this Letter Agreement.</w:t>
      </w:r>
    </w:p>
    <w:p>
      <w:pPr>
        <w:spacing w:after="0" w:line="176" w:lineRule="exact"/>
        <w:rPr>
          <w:rFonts w:ascii="Times New Roman" w:cs="Times New Roman" w:eastAsia="Times New Roman" w:hAnsi="Times New Roman"/>
          <w:sz w:val="22"/>
          <w:szCs w:val="22"/>
          <w:color w:val="auto"/>
        </w:rPr>
      </w:pPr>
    </w:p>
    <w:p>
      <w:pPr>
        <w:ind w:left="200" w:right="499" w:firstLine="9"/>
        <w:spacing w:after="0" w:line="239"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Any incentive or bonus payment made to you shall be subject to the terms and conditions of the Company’s recoupment or clawback policy, as in effect and as may be amended from time to time, including disgorgement or repayment to the extent required by such policy.</w:t>
      </w:r>
    </w:p>
    <w:p>
      <w:pPr>
        <w:spacing w:after="0" w:line="180" w:lineRule="exact"/>
        <w:rPr>
          <w:rFonts w:ascii="Times New Roman" w:cs="Times New Roman" w:eastAsia="Times New Roman" w:hAnsi="Times New Roman"/>
          <w:sz w:val="22"/>
          <w:szCs w:val="22"/>
          <w:color w:val="auto"/>
        </w:rPr>
      </w:pPr>
    </w:p>
    <w:p>
      <w:pPr>
        <w:ind w:left="200" w:right="439" w:firstLine="9"/>
        <w:spacing w:after="0" w:line="258"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You agree to comply with the Company’s Stock Ownership Guidelines for Officers, as may be amended from time to time.</w:t>
      </w:r>
    </w:p>
    <w:p>
      <w:pPr>
        <w:spacing w:after="0" w:line="158" w:lineRule="exact"/>
        <w:rPr>
          <w:rFonts w:ascii="Times New Roman" w:cs="Times New Roman" w:eastAsia="Times New Roman" w:hAnsi="Times New Roman"/>
          <w:sz w:val="22"/>
          <w:szCs w:val="22"/>
          <w:color w:val="auto"/>
        </w:rPr>
      </w:pPr>
    </w:p>
    <w:p>
      <w:pPr>
        <w:ind w:left="200" w:right="279" w:firstLine="9"/>
        <w:spacing w:after="0" w:line="235"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Agreement/Governing Law</w:t>
      </w:r>
      <w:r>
        <w:rPr>
          <w:rFonts w:ascii="Times New Roman" w:cs="Times New Roman" w:eastAsia="Times New Roman" w:hAnsi="Times New Roman"/>
          <w:sz w:val="22"/>
          <w:szCs w:val="22"/>
          <w:color w:val="auto"/>
        </w:rPr>
        <w:t>. This Letter Agreement supersedes and replaces any prior agreements, representations or understandings (whether written, oral, implied or otherwise) between you and the Company, including that certain letter agreement dated April 3, 2017, and constitutes the complete agreement between you and the Company regarding your position as Chief Executive Officer. This Letter Agreement is governed by Arizona law, without giving effect to principles regarding conflict of laws, and the parties agree to the exclusive jurisdiction of the state and federal courts in Maricopa County, Arizona, with regard to any disputes arising hereunder.</w:t>
      </w:r>
    </w:p>
    <w:p>
      <w:pPr>
        <w:spacing w:after="0" w:line="178" w:lineRule="exact"/>
        <w:rPr>
          <w:rFonts w:ascii="Times New Roman" w:cs="Times New Roman" w:eastAsia="Times New Roman" w:hAnsi="Times New Roman"/>
          <w:sz w:val="22"/>
          <w:szCs w:val="22"/>
          <w:color w:val="auto"/>
        </w:rPr>
      </w:pPr>
    </w:p>
    <w:p>
      <w:pPr>
        <w:ind w:left="200" w:right="559" w:firstLine="9"/>
        <w:spacing w:after="0" w:line="244"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Letter Agreement may be executed in multiple counterparts, each of which shall be deemed an original, and all of which together shall constitute one and the same instrument.</w:t>
      </w:r>
    </w:p>
    <w:p>
      <w:pPr>
        <w:spacing w:after="0" w:line="173" w:lineRule="exact"/>
        <w:rPr>
          <w:rFonts w:ascii="Times New Roman" w:cs="Times New Roman" w:eastAsia="Times New Roman" w:hAnsi="Times New Roman"/>
          <w:sz w:val="22"/>
          <w:szCs w:val="22"/>
          <w:color w:val="auto"/>
        </w:rPr>
      </w:pPr>
    </w:p>
    <w:p>
      <w:pPr>
        <w:ind w:left="200" w:right="539" w:firstLine="9"/>
        <w:spacing w:after="0" w:line="258"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in this letter are for reference only and shall not be deemed to have any substantive effect.</w:t>
      </w:r>
    </w:p>
    <w:p>
      <w:pPr>
        <w:spacing w:after="0" w:line="158" w:lineRule="exact"/>
        <w:rPr>
          <w:sz w:val="20"/>
          <w:szCs w:val="20"/>
          <w:color w:val="auto"/>
        </w:rPr>
      </w:pPr>
    </w:p>
    <w:p>
      <w:pPr>
        <w:jc w:val="both"/>
        <w:ind w:left="200" w:right="779"/>
        <w:spacing w:after="0" w:line="244" w:lineRule="auto"/>
        <w:rPr>
          <w:sz w:val="20"/>
          <w:szCs w:val="20"/>
          <w:color w:val="auto"/>
        </w:rPr>
      </w:pPr>
      <w:r>
        <w:rPr>
          <w:rFonts w:ascii="Times New Roman" w:cs="Times New Roman" w:eastAsia="Times New Roman" w:hAnsi="Times New Roman"/>
          <w:sz w:val="22"/>
          <w:szCs w:val="22"/>
          <w:color w:val="auto"/>
        </w:rPr>
        <w:t>We are very pleased to have you serve in this leadership role during this exciting time for the Company. Please confirm your agreement to the terms specified in this Letter Agreement by signing below.</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Avnet, Inc.</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Rodney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-13970</wp:posOffset>
            </wp:positionV>
            <wp:extent cx="2202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2180"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22"/>
          <w:szCs w:val="22"/>
          <w:color w:val="auto"/>
        </w:rPr>
        <w:t>Name: Rodney Adkins</w:t>
      </w:r>
    </w:p>
    <w:p>
      <w:pPr>
        <w:ind w:left="620"/>
        <w:spacing w:after="0"/>
        <w:rPr>
          <w:sz w:val="20"/>
          <w:szCs w:val="20"/>
          <w:color w:val="auto"/>
        </w:rPr>
      </w:pPr>
      <w:r>
        <w:rPr>
          <w:rFonts w:ascii="Times New Roman" w:cs="Times New Roman" w:eastAsia="Times New Roman" w:hAnsi="Times New Roman"/>
          <w:sz w:val="22"/>
          <w:szCs w:val="22"/>
          <w:color w:val="auto"/>
        </w:rPr>
        <w:t>Title: 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200"/>
        <w:spacing w:after="0"/>
        <w:rPr>
          <w:sz w:val="20"/>
          <w:szCs w:val="20"/>
          <w:color w:val="auto"/>
        </w:rPr>
      </w:pPr>
      <w:r>
        <w:rPr>
          <w:rFonts w:ascii="Times New Roman" w:cs="Times New Roman" w:eastAsia="Times New Roman" w:hAnsi="Times New Roman"/>
          <w:sz w:val="22"/>
          <w:szCs w:val="22"/>
          <w:color w:val="auto"/>
        </w:rPr>
        <w:t>AGREED AND ACKNOWLEDGED:</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-13970</wp:posOffset>
            </wp:positionV>
            <wp:extent cx="1234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Philip R. Gallagher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09" w:lineRule="exact"/>
        <w:rPr>
          <w:sz w:val="20"/>
          <w:szCs w:val="20"/>
          <w:color w:val="auto"/>
        </w:rPr>
      </w:pPr>
    </w:p>
    <w:p>
      <w:pPr>
        <w:ind w:left="200" w:right="239" w:firstLine="324"/>
        <w:spacing w:after="0" w:line="235" w:lineRule="auto"/>
        <w:rPr>
          <w:sz w:val="20"/>
          <w:szCs w:val="20"/>
          <w:color w:val="auto"/>
        </w:rPr>
      </w:pPr>
      <w:r>
        <w:rPr>
          <w:rFonts w:ascii="Times New Roman" w:cs="Times New Roman" w:eastAsia="Times New Roman" w:hAnsi="Times New Roman"/>
          <w:sz w:val="22"/>
          <w:szCs w:val="22"/>
          <w:color w:val="auto"/>
        </w:rPr>
        <w:t xml:space="preserve">The Officer acknowledges and recognizes (i) his possession of Confidential Information (as defined in Section (b) below), (ii) the highly competitive nature of the business of the Company and its affiliates and subsidiaries, which is worldwide in scope, and (iii) that reasonable restrictions on the Officer’s future business endeavors and the Officer’s ability to disclose Confidential Information are necessary to protect valuable client and customer relationships of the Company. Accordingly, in consideration of the premises contained herein, the Officer agrees to the restrictions set forth in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0" w:right="279" w:firstLine="657"/>
        <w:spacing w:after="0" w:line="233" w:lineRule="auto"/>
        <w:tabs>
          <w:tab w:leader="none" w:pos="149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Officer agrees that during the Term and for one (1) year thereafter, he shall not, either individually or as an officer, director, stockholder, member, partner, agent, employee, consultant, principal, or committee-member of another business firm or sole proprietorship, (i) engage in, or be connected in any manner with, any business operating anywhere in the world that is in direct or indirect competition with any active business of the Company or any of its affiliates or subsidiaries, or any planned business of the Company or any of its affiliates or subsidiaries of which the Officer is aware (each a “</w:t>
      </w:r>
      <w:r>
        <w:rPr>
          <w:rFonts w:ascii="Times New Roman" w:cs="Times New Roman" w:eastAsia="Times New Roman" w:hAnsi="Times New Roman"/>
          <w:sz w:val="22"/>
          <w:szCs w:val="22"/>
          <w:b w:val="1"/>
          <w:bCs w:val="1"/>
          <w:color w:val="auto"/>
        </w:rPr>
        <w:t>Competitive Business</w:t>
      </w:r>
      <w:r>
        <w:rPr>
          <w:rFonts w:ascii="Times New Roman" w:cs="Times New Roman" w:eastAsia="Times New Roman" w:hAnsi="Times New Roman"/>
          <w:sz w:val="22"/>
          <w:szCs w:val="22"/>
          <w:color w:val="auto"/>
        </w:rPr>
        <w:t>”); (ii) be employed by an entity or person that controls a Competitive Business; or (iii) directly or indirectly solicit any customer or client of the Company or any of its affiliates or subsidiaries; provided, however, that the restrictions set forth in this Section (a) shall not prohibit the Officer from being a passive shareholder of a public company if the Officer owns less than one percent (1%) of such company.</w:t>
      </w:r>
    </w:p>
    <w:p>
      <w:pPr>
        <w:spacing w:after="0" w:line="184" w:lineRule="exact"/>
        <w:rPr>
          <w:rFonts w:ascii="Times New Roman" w:cs="Times New Roman" w:eastAsia="Times New Roman" w:hAnsi="Times New Roman"/>
          <w:sz w:val="22"/>
          <w:szCs w:val="22"/>
          <w:b w:val="1"/>
          <w:bCs w:val="1"/>
          <w:color w:val="auto"/>
        </w:rPr>
      </w:pPr>
    </w:p>
    <w:p>
      <w:pPr>
        <w:ind w:left="200" w:right="279" w:firstLine="657"/>
        <w:spacing w:after="0" w:line="233" w:lineRule="auto"/>
        <w:tabs>
          <w:tab w:leader="none" w:pos="149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Officer agrees that he shall not, at any time during the term of this Agreement or thereafter, disclose to another, or use for any purpose other than performing his duties and responsibilities under this Letter Agreement, any Confidential Information. For purposes of this Letter Agreement, Confidential Information includes all trade secrets and confidential information of the Company and its affiliates and subsidiaries including, but not limited to, the Company’s unique business methods, processes, operating techniques and “know-how” (all of which have been developed by the Company or its affiliates and subsidiaries through substantial effort and investment), profit and loss results, market and supplier strategies, customer identity and needs, information pertaining to employee effectiveness and compensation, inventory strategy, product costs, gross margins, and other information relating to the affairs of the Company and its affiliates and subsidiaries that Officer shall have acquired during his employment with the Company.</w:t>
      </w:r>
    </w:p>
    <w:p>
      <w:pPr>
        <w:spacing w:after="0" w:line="184" w:lineRule="exact"/>
        <w:rPr>
          <w:rFonts w:ascii="Times New Roman" w:cs="Times New Roman" w:eastAsia="Times New Roman" w:hAnsi="Times New Roman"/>
          <w:sz w:val="22"/>
          <w:szCs w:val="22"/>
          <w:b w:val="1"/>
          <w:bCs w:val="1"/>
          <w:color w:val="auto"/>
        </w:rPr>
      </w:pPr>
    </w:p>
    <w:p>
      <w:pPr>
        <w:ind w:left="200" w:right="399" w:firstLine="657"/>
        <w:spacing w:after="0" w:line="239" w:lineRule="auto"/>
        <w:tabs>
          <w:tab w:leader="none" w:pos="149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The Officer agrees that he shall not, at any time while employed by the Company and for three (3) years thereafter, directly or indirectly solicit or induce any of the employees of the Company or any of its affiliates or subsidiaries to terminate employment with their employer.</w:t>
      </w: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ind w:left="7700"/>
        <w:spacing w:after="0"/>
        <w:rPr>
          <w:sz w:val="20"/>
          <w:szCs w:val="20"/>
          <w:color w:val="auto"/>
        </w:rPr>
      </w:pPr>
      <w:r>
        <w:rPr>
          <w:rFonts w:ascii="Arial" w:cs="Arial" w:eastAsia="Arial" w:hAnsi="Arial"/>
          <w:sz w:val="20"/>
          <w:szCs w:val="20"/>
          <w:b w:val="1"/>
          <w:bCs w:val="1"/>
          <w:color w:val="auto"/>
        </w:rPr>
        <w:t>Exhibit 21.1</w:t>
      </w:r>
    </w:p>
    <w:p>
      <w:pPr>
        <w:spacing w:after="0" w:line="164" w:lineRule="exact"/>
        <w:rPr>
          <w:sz w:val="20"/>
          <w:szCs w:val="20"/>
          <w:color w:val="auto"/>
        </w:rPr>
      </w:pPr>
    </w:p>
    <w:p>
      <w:pPr>
        <w:ind w:left="200" w:right="540"/>
        <w:spacing w:after="0" w:line="267" w:lineRule="auto"/>
        <w:rPr>
          <w:sz w:val="20"/>
          <w:szCs w:val="20"/>
          <w:color w:val="auto"/>
        </w:rPr>
      </w:pPr>
      <w:r>
        <w:rPr>
          <w:rFonts w:ascii="Arial" w:cs="Arial" w:eastAsia="Arial" w:hAnsi="Arial"/>
          <w:sz w:val="20"/>
          <w:szCs w:val="20"/>
          <w:u w:val="single" w:color="auto"/>
          <w:color w:val="auto"/>
        </w:rPr>
        <w:t>Explanatory Note</w:t>
      </w:r>
      <w:r>
        <w:rPr>
          <w:rFonts w:ascii="Arial" w:cs="Arial" w:eastAsia="Arial" w:hAnsi="Arial"/>
          <w:sz w:val="20"/>
          <w:szCs w:val="20"/>
          <w:color w:val="auto"/>
        </w:rPr>
        <w:t>: This Exhibit 21.1, the Foreign and Domestic Subsidiaries List as of June 27, 2020, is being filed to correct the Exhibit 21.1 filed as Exhibit 21.1 to the Company’s Annual Report on Form 10-K for the fiscal year ended June 27, 2020, filed with the SEC on August 14, 2020, to correct the countries listed for subsidiaries.</w:t>
      </w: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Avnet,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Foreign and Domestic Subsidiaries</w:t>
      </w:r>
    </w:p>
    <w:p>
      <w:pPr>
        <w:jc w:val="center"/>
        <w:ind w:right="40"/>
        <w:spacing w:after="0"/>
        <w:rPr>
          <w:sz w:val="20"/>
          <w:szCs w:val="20"/>
          <w:color w:val="auto"/>
        </w:rPr>
      </w:pPr>
      <w:r>
        <w:rPr>
          <w:rFonts w:ascii="Arial" w:cs="Arial" w:eastAsia="Arial" w:hAnsi="Arial"/>
          <w:sz w:val="20"/>
          <w:szCs w:val="20"/>
          <w:b w:val="1"/>
          <w:bCs w:val="1"/>
          <w:color w:val="auto"/>
        </w:rPr>
        <w:t>As of June 27, 2020</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75"/>
        </w:trPr>
        <w:tc>
          <w:tcPr>
            <w:tcW w:w="546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Company Name</w:t>
            </w:r>
          </w:p>
        </w:tc>
        <w:tc>
          <w:tcPr>
            <w:tcW w:w="312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6"/>
                <w:szCs w:val="16"/>
                <w:b w:val="1"/>
                <w:bCs w:val="1"/>
                <w:color w:val="auto"/>
              </w:rPr>
              <w:t>Country</w:t>
            </w:r>
          </w:p>
        </w:tc>
        <w:tc>
          <w:tcPr>
            <w:tcW w:w="240" w:type="dxa"/>
            <w:vAlign w:val="bottom"/>
            <w:tcBorders>
              <w:bottom w:val="single" w:sz="8" w:color="D9D9D9"/>
            </w:tcBorders>
            <w:shd w:val="clear" w:color="auto" w:fill="D9D9D9"/>
          </w:tcPr>
          <w:p>
            <w:pPr>
              <w:spacing w:after="0"/>
              <w:rPr>
                <w:sz w:val="23"/>
                <w:szCs w:val="23"/>
                <w:color w:val="auto"/>
              </w:rPr>
            </w:pPr>
          </w:p>
        </w:tc>
      </w:tr>
      <w:tr>
        <w:trPr>
          <w:trHeight w:val="212"/>
        </w:trPr>
        <w:tc>
          <w:tcPr>
            <w:tcW w:w="5460" w:type="dxa"/>
            <w:vAlign w:val="bottom"/>
            <w:tcBorders>
              <w:top w:val="single" w:sz="8" w:color="C0C0C0"/>
            </w:tcBorders>
          </w:tcPr>
          <w:p>
            <w:pPr>
              <w:ind w:left="80"/>
              <w:spacing w:after="0"/>
              <w:rPr>
                <w:sz w:val="20"/>
                <w:szCs w:val="20"/>
                <w:color w:val="auto"/>
              </w:rPr>
            </w:pPr>
            <w:r>
              <w:rPr>
                <w:rFonts w:ascii="Arial" w:cs="Arial" w:eastAsia="Arial" w:hAnsi="Arial"/>
                <w:sz w:val="16"/>
                <w:szCs w:val="16"/>
                <w:color w:val="auto"/>
              </w:rPr>
              <w:t>Alpha 3 Manufacturing Ltd</w:t>
            </w:r>
          </w:p>
        </w:tc>
        <w:tc>
          <w:tcPr>
            <w:tcW w:w="3120" w:type="dxa"/>
            <w:vAlign w:val="bottom"/>
            <w:tcBorders>
              <w:top w:val="single" w:sz="8" w:color="C0C0C0"/>
            </w:tcBorders>
          </w:tcPr>
          <w:p>
            <w:pPr>
              <w:ind w:left="220"/>
              <w:spacing w:after="0"/>
              <w:rPr>
                <w:sz w:val="20"/>
                <w:szCs w:val="20"/>
                <w:color w:val="auto"/>
              </w:rPr>
            </w:pPr>
            <w:r>
              <w:rPr>
                <w:rFonts w:ascii="Arial" w:cs="Arial" w:eastAsia="Arial" w:hAnsi="Arial"/>
                <w:sz w:val="16"/>
                <w:szCs w:val="16"/>
                <w:color w:val="auto"/>
              </w:rPr>
              <w:t>United Kingdom</w:t>
            </w:r>
          </w:p>
        </w:tc>
        <w:tc>
          <w:tcPr>
            <w:tcW w:w="240" w:type="dxa"/>
            <w:vAlign w:val="bottom"/>
            <w:tcBorders>
              <w:top w:val="single" w:sz="8" w:color="C0C0C0"/>
            </w:tcBorders>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AVID Technologies, Inc.</w:t>
            </w:r>
          </w:p>
        </w:tc>
        <w:tc>
          <w:tcPr>
            <w:tcW w:w="31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(Asia Pacific Holdings)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(Holdings) Ltd</w:t>
            </w:r>
          </w:p>
        </w:tc>
        <w:tc>
          <w:tcPr>
            <w:tcW w:w="312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(NZ)</w:t>
            </w:r>
          </w:p>
        </w:tc>
        <w:tc>
          <w:tcPr>
            <w:tcW w:w="3120" w:type="dxa"/>
            <w:vAlign w:val="bottom"/>
          </w:tcPr>
          <w:p>
            <w:pPr>
              <w:ind w:left="220"/>
              <w:spacing w:after="0"/>
              <w:rPr>
                <w:sz w:val="20"/>
                <w:szCs w:val="20"/>
                <w:color w:val="auto"/>
              </w:rPr>
            </w:pPr>
            <w:r>
              <w:rPr>
                <w:rFonts w:ascii="Arial" w:cs="Arial" w:eastAsia="Arial" w:hAnsi="Arial"/>
                <w:sz w:val="16"/>
                <w:szCs w:val="16"/>
                <w:color w:val="auto"/>
              </w:rPr>
              <w:t>New Zealand</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(Shanghai)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Abacus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Asia Pte Ltd</w:t>
            </w:r>
          </w:p>
        </w:tc>
        <w:tc>
          <w:tcPr>
            <w:tcW w:w="3120" w:type="dxa"/>
            <w:vAlign w:val="bottom"/>
          </w:tcPr>
          <w:p>
            <w:pPr>
              <w:ind w:left="220"/>
              <w:spacing w:after="0"/>
              <w:rPr>
                <w:sz w:val="20"/>
                <w:szCs w:val="20"/>
                <w:color w:val="auto"/>
              </w:rPr>
            </w:pPr>
            <w:r>
              <w:rPr>
                <w:rFonts w:ascii="Arial" w:cs="Arial" w:eastAsia="Arial" w:hAnsi="Arial"/>
                <w:sz w:val="16"/>
                <w:szCs w:val="16"/>
                <w:color w:val="auto"/>
              </w:rPr>
              <w:t>Singapore</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ASIC Israel Ltd</w:t>
            </w:r>
          </w:p>
        </w:tc>
        <w:tc>
          <w:tcPr>
            <w:tcW w:w="3120" w:type="dxa"/>
            <w:vAlign w:val="bottom"/>
          </w:tcPr>
          <w:p>
            <w:pPr>
              <w:ind w:left="220"/>
              <w:spacing w:after="0"/>
              <w:rPr>
                <w:sz w:val="20"/>
                <w:szCs w:val="20"/>
                <w:color w:val="auto"/>
              </w:rPr>
            </w:pPr>
            <w:r>
              <w:rPr>
                <w:rFonts w:ascii="Arial" w:cs="Arial" w:eastAsia="Arial" w:hAnsi="Arial"/>
                <w:sz w:val="16"/>
                <w:szCs w:val="16"/>
                <w:color w:val="auto"/>
              </w:rPr>
              <w:t>Israel</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B.V.</w:t>
            </w:r>
          </w:p>
        </w:tc>
        <w:tc>
          <w:tcPr>
            <w:tcW w:w="312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Bidco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Business Services GmbH</w:t>
            </w:r>
          </w:p>
        </w:tc>
        <w:tc>
          <w:tcPr>
            <w:tcW w:w="3120" w:type="dxa"/>
            <w:vAlign w:val="bottom"/>
          </w:tcPr>
          <w:p>
            <w:pPr>
              <w:ind w:left="2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Components Israel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Israel</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de Mexico, S.A. de C.V.</w:t>
            </w:r>
          </w:p>
        </w:tc>
        <w:tc>
          <w:tcPr>
            <w:tcW w:w="3120" w:type="dxa"/>
            <w:vAlign w:val="bottom"/>
          </w:tcPr>
          <w:p>
            <w:pPr>
              <w:ind w:left="220"/>
              <w:spacing w:after="0"/>
              <w:rPr>
                <w:sz w:val="20"/>
                <w:szCs w:val="20"/>
                <w:color w:val="auto"/>
              </w:rPr>
            </w:pPr>
            <w:r>
              <w:rPr>
                <w:rFonts w:ascii="Arial" w:cs="Arial" w:eastAsia="Arial" w:hAnsi="Arial"/>
                <w:sz w:val="16"/>
                <w:szCs w:val="16"/>
                <w:color w:val="auto"/>
              </w:rPr>
              <w:t>Mexico</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Delaware Holdings, Inc.</w:t>
            </w:r>
          </w:p>
        </w:tc>
        <w:tc>
          <w:tcPr>
            <w:tcW w:w="31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Delaware LLC</w:t>
            </w:r>
          </w:p>
        </w:tc>
        <w:tc>
          <w:tcPr>
            <w:tcW w:w="31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do Brasil Ltda.</w:t>
            </w:r>
          </w:p>
        </w:tc>
        <w:tc>
          <w:tcPr>
            <w:tcW w:w="3120" w:type="dxa"/>
            <w:vAlign w:val="bottom"/>
          </w:tcPr>
          <w:p>
            <w:pPr>
              <w:ind w:left="220"/>
              <w:spacing w:after="0"/>
              <w:rPr>
                <w:sz w:val="20"/>
                <w:szCs w:val="20"/>
                <w:color w:val="auto"/>
              </w:rPr>
            </w:pPr>
            <w:r>
              <w:rPr>
                <w:rFonts w:ascii="Arial" w:cs="Arial" w:eastAsia="Arial" w:hAnsi="Arial"/>
                <w:sz w:val="16"/>
                <w:szCs w:val="16"/>
                <w:color w:val="auto"/>
              </w:rPr>
              <w:t>Brazil</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Electronics Marketing (Australia) Pty Ltd</w:t>
            </w:r>
          </w:p>
        </w:tc>
        <w:tc>
          <w:tcPr>
            <w:tcW w:w="312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Electronics Technology (China)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Electronics Technology (Shenzhen) Limited</w:t>
            </w:r>
          </w:p>
        </w:tc>
        <w:tc>
          <w:tcPr>
            <w:tcW w:w="3120" w:type="dxa"/>
            <w:vAlign w:val="bottom"/>
          </w:tcPr>
          <w:p>
            <w:pPr>
              <w:ind w:left="22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Electronics Turkey İthalat İhracat Sanayi ve Ticaret Limited Şirketi</w:t>
            </w:r>
          </w:p>
        </w:tc>
        <w:tc>
          <w:tcPr>
            <w:tcW w:w="3120" w:type="dxa"/>
            <w:vAlign w:val="bottom"/>
          </w:tcPr>
          <w:p>
            <w:pPr>
              <w:ind w:left="220"/>
              <w:spacing w:after="0"/>
              <w:rPr>
                <w:sz w:val="20"/>
                <w:szCs w:val="20"/>
                <w:color w:val="auto"/>
              </w:rPr>
            </w:pPr>
            <w:r>
              <w:rPr>
                <w:rFonts w:ascii="Arial" w:cs="Arial" w:eastAsia="Arial" w:hAnsi="Arial"/>
                <w:sz w:val="16"/>
                <w:szCs w:val="16"/>
                <w:color w:val="auto"/>
              </w:rPr>
              <w:t>Turkey</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w:t>
            </w:r>
          </w:p>
        </w:tc>
        <w:tc>
          <w:tcPr>
            <w:tcW w:w="3120" w:type="dxa"/>
            <w:vAlign w:val="bottom"/>
          </w:tcPr>
          <w:p>
            <w:pPr>
              <w:ind w:left="220"/>
              <w:spacing w:after="0"/>
              <w:rPr>
                <w:sz w:val="20"/>
                <w:szCs w:val="20"/>
                <w:color w:val="auto"/>
              </w:rPr>
            </w:pPr>
            <w:r>
              <w:rPr>
                <w:rFonts w:ascii="Arial" w:cs="Arial" w:eastAsia="Arial" w:hAnsi="Arial"/>
                <w:sz w:val="16"/>
                <w:szCs w:val="16"/>
                <w:color w:val="auto"/>
              </w:rPr>
              <w:t>Russian Federation</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 Holdings (Japan) Kabushiki Kaisha</w:t>
            </w:r>
          </w:p>
        </w:tc>
        <w:tc>
          <w:tcPr>
            <w:tcW w:w="3120" w:type="dxa"/>
            <w:vAlign w:val="bottom"/>
          </w:tcPr>
          <w:p>
            <w:pPr>
              <w:ind w:left="220"/>
              <w:spacing w:after="0"/>
              <w:rPr>
                <w:sz w:val="20"/>
                <w:szCs w:val="20"/>
                <w:color w:val="auto"/>
              </w:rPr>
            </w:pPr>
            <w:r>
              <w:rPr>
                <w:rFonts w:ascii="Arial" w:cs="Arial" w:eastAsia="Arial" w:hAnsi="Arial"/>
                <w:sz w:val="16"/>
                <w:szCs w:val="16"/>
                <w:color w:val="auto"/>
              </w:rPr>
              <w:t>Japan</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 Sp. z.o.o.</w:t>
            </w:r>
          </w:p>
        </w:tc>
        <w:tc>
          <w:tcPr>
            <w:tcW w:w="3120" w:type="dxa"/>
            <w:vAlign w:val="bottom"/>
          </w:tcPr>
          <w:p>
            <w:pPr>
              <w:ind w:left="220"/>
              <w:spacing w:after="0"/>
              <w:rPr>
                <w:sz w:val="20"/>
                <w:szCs w:val="20"/>
                <w:color w:val="auto"/>
              </w:rPr>
            </w:pPr>
            <w:r>
              <w:rPr>
                <w:rFonts w:ascii="Arial" w:cs="Arial" w:eastAsia="Arial" w:hAnsi="Arial"/>
                <w:sz w:val="16"/>
                <w:szCs w:val="16"/>
                <w:color w:val="auto"/>
              </w:rPr>
              <w:t>Poland</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EMG Elektronische Bauelemente GmbH</w:t>
            </w:r>
          </w:p>
        </w:tc>
        <w:tc>
          <w:tcPr>
            <w:tcW w:w="3120" w:type="dxa"/>
            <w:vAlign w:val="bottom"/>
          </w:tcPr>
          <w:p>
            <w:pPr>
              <w:ind w:left="220"/>
              <w:spacing w:after="0"/>
              <w:rPr>
                <w:sz w:val="20"/>
                <w:szCs w:val="20"/>
                <w:color w:val="auto"/>
              </w:rPr>
            </w:pPr>
            <w:r>
              <w:rPr>
                <w:rFonts w:ascii="Arial" w:cs="Arial" w:eastAsia="Arial" w:hAnsi="Arial"/>
                <w:sz w:val="16"/>
                <w:szCs w:val="16"/>
                <w:color w:val="auto"/>
              </w:rPr>
              <w:t>Austria</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EMG France</w:t>
            </w:r>
          </w:p>
        </w:tc>
        <w:tc>
          <w:tcPr>
            <w:tcW w:w="312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EMG GmbH</w:t>
            </w:r>
          </w:p>
        </w:tc>
        <w:tc>
          <w:tcPr>
            <w:tcW w:w="3120" w:type="dxa"/>
            <w:vAlign w:val="bottom"/>
          </w:tcPr>
          <w:p>
            <w:pPr>
              <w:ind w:left="2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EMG GmbH</w:t>
            </w:r>
          </w:p>
        </w:tc>
        <w:tc>
          <w:tcPr>
            <w:tcW w:w="3120" w:type="dxa"/>
            <w:vAlign w:val="bottom"/>
          </w:tcPr>
          <w:p>
            <w:pPr>
              <w:ind w:left="220"/>
              <w:spacing w:after="0"/>
              <w:rPr>
                <w:sz w:val="20"/>
                <w:szCs w:val="20"/>
                <w:color w:val="auto"/>
              </w:rPr>
            </w:pPr>
            <w:r>
              <w:rPr>
                <w:rFonts w:ascii="Arial" w:cs="Arial" w:eastAsia="Arial" w:hAnsi="Arial"/>
                <w:sz w:val="16"/>
                <w:szCs w:val="16"/>
                <w:color w:val="auto"/>
              </w:rPr>
              <w:t>Switzerland</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460" w:type="dxa"/>
            <w:vAlign w:val="bottom"/>
          </w:tcPr>
          <w:p>
            <w:pPr>
              <w:ind w:left="80"/>
              <w:spacing w:after="0"/>
              <w:rPr>
                <w:sz w:val="20"/>
                <w:szCs w:val="20"/>
                <w:color w:val="auto"/>
              </w:rPr>
            </w:pPr>
            <w:r>
              <w:rPr>
                <w:rFonts w:ascii="Arial" w:cs="Arial" w:eastAsia="Arial" w:hAnsi="Arial"/>
                <w:sz w:val="16"/>
                <w:szCs w:val="16"/>
                <w:color w:val="auto"/>
              </w:rPr>
              <w:t>Avnet EMG Italy S.r.l.</w:t>
            </w:r>
          </w:p>
        </w:tc>
        <w:tc>
          <w:tcPr>
            <w:tcW w:w="312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8"/>
                <w:szCs w:val="18"/>
                <w:color w:val="auto"/>
              </w:rPr>
            </w:pPr>
          </w:p>
        </w:tc>
      </w:tr>
      <w:tr>
        <w:trPr>
          <w:trHeight w:val="38"/>
        </w:trPr>
        <w:tc>
          <w:tcPr>
            <w:tcW w:w="5460" w:type="dxa"/>
            <w:vAlign w:val="bottom"/>
            <w:tcBorders>
              <w:bottom w:val="single" w:sz="8" w:color="C0C0C0"/>
            </w:tcBorders>
          </w:tcPr>
          <w:p>
            <w:pPr>
              <w:spacing w:after="0"/>
              <w:rPr>
                <w:sz w:val="3"/>
                <w:szCs w:val="3"/>
                <w:color w:val="auto"/>
              </w:rPr>
            </w:pPr>
          </w:p>
        </w:tc>
        <w:tc>
          <w:tcPr>
            <w:tcW w:w="31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554"/>
        </w:trPr>
        <w:tc>
          <w:tcPr>
            <w:tcW w:w="5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040"/>
          </w:cols>
          <w:pgMar w:left="1440" w:top="121" w:right="1419" w:bottom="1440" w:gutter="0" w:footer="0" w:header="0"/>
        </w:sectPr>
      </w:pPr>
    </w:p>
    <w:bookmarkStart w:id="39" w:name="page40"/>
    <w:bookmarkEnd w:id="3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4980" w:type="dxa"/>
            <w:vAlign w:val="bottom"/>
          </w:tcPr>
          <w:p>
            <w:pPr>
              <w:ind w:left="80"/>
              <w:spacing w:after="0"/>
              <w:rPr>
                <w:sz w:val="20"/>
                <w:szCs w:val="20"/>
                <w:color w:val="auto"/>
              </w:rPr>
            </w:pPr>
            <w:r>
              <w:rPr>
                <w:rFonts w:ascii="Arial" w:cs="Arial" w:eastAsia="Arial" w:hAnsi="Arial"/>
                <w:sz w:val="16"/>
                <w:szCs w:val="16"/>
                <w:color w:val="auto"/>
              </w:rPr>
              <w:t>Avnet EMG Ltd</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9"/>
                <w:szCs w:val="19"/>
                <w:color w:val="auto"/>
              </w:rPr>
            </w:pPr>
          </w:p>
        </w:tc>
      </w:tr>
      <w:tr>
        <w:trPr>
          <w:trHeight w:val="69"/>
        </w:trPr>
        <w:tc>
          <w:tcPr>
            <w:tcW w:w="4980" w:type="dxa"/>
            <w:vAlign w:val="bottom"/>
            <w:tcBorders>
              <w:bottom w:val="single" w:sz="8" w:color="C0C0C0"/>
            </w:tcBorders>
          </w:tcPr>
          <w:p>
            <w:pPr>
              <w:spacing w:after="0"/>
              <w:rPr>
                <w:sz w:val="6"/>
                <w:szCs w:val="6"/>
                <w:color w:val="auto"/>
              </w:rPr>
            </w:pPr>
          </w:p>
        </w:tc>
        <w:tc>
          <w:tcPr>
            <w:tcW w:w="3600" w:type="dxa"/>
            <w:vAlign w:val="bottom"/>
            <w:tcBorders>
              <w:bottom w:val="single" w:sz="8" w:color="C0C0C0"/>
            </w:tcBorders>
          </w:tcPr>
          <w:p>
            <w:pPr>
              <w:spacing w:after="0"/>
              <w:rPr>
                <w:sz w:val="6"/>
                <w:szCs w:val="6"/>
                <w:color w:val="auto"/>
              </w:rPr>
            </w:pPr>
          </w:p>
        </w:tc>
        <w:tc>
          <w:tcPr>
            <w:tcW w:w="240" w:type="dxa"/>
            <w:vAlign w:val="bottom"/>
            <w:tcBorders>
              <w:bottom w:val="single" w:sz="8" w:color="C0C0C0"/>
            </w:tcBorders>
          </w:tcPr>
          <w:p>
            <w:pPr>
              <w:spacing w:after="0"/>
              <w:rPr>
                <w:sz w:val="6"/>
                <w:szCs w:val="6"/>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Europe Comm. VA</w:t>
            </w:r>
          </w:p>
        </w:tc>
        <w:tc>
          <w:tcPr>
            <w:tcW w:w="3600" w:type="dxa"/>
            <w:vAlign w:val="bottom"/>
          </w:tcPr>
          <w:p>
            <w:pPr>
              <w:ind w:left="70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Europe Executive BV</w:t>
            </w:r>
          </w:p>
        </w:tc>
        <w:tc>
          <w:tcPr>
            <w:tcW w:w="3600" w:type="dxa"/>
            <w:vAlign w:val="bottom"/>
          </w:tcPr>
          <w:p>
            <w:pPr>
              <w:ind w:left="70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Finance International S.à r.l.</w:t>
            </w:r>
          </w:p>
        </w:tc>
        <w:tc>
          <w:tcPr>
            <w:tcW w:w="3600" w:type="dxa"/>
            <w:vAlign w:val="bottom"/>
          </w:tcPr>
          <w:p>
            <w:pPr>
              <w:ind w:left="700"/>
              <w:spacing w:after="0"/>
              <w:rPr>
                <w:sz w:val="20"/>
                <w:szCs w:val="20"/>
                <w:color w:val="auto"/>
              </w:rPr>
            </w:pPr>
            <w:r>
              <w:rPr>
                <w:rFonts w:ascii="Arial" w:cs="Arial" w:eastAsia="Arial" w:hAnsi="Arial"/>
                <w:sz w:val="16"/>
                <w:szCs w:val="16"/>
                <w:color w:val="auto"/>
              </w:rPr>
              <w:t>Luxembourg</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Financial Services Asia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France S.A.S.</w:t>
            </w:r>
          </w:p>
        </w:tc>
        <w:tc>
          <w:tcPr>
            <w:tcW w:w="3600" w:type="dxa"/>
            <w:vAlign w:val="bottom"/>
          </w:tcPr>
          <w:p>
            <w:pPr>
              <w:ind w:left="70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Group Holdings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Holding Europe BV</w:t>
            </w:r>
          </w:p>
        </w:tc>
        <w:tc>
          <w:tcPr>
            <w:tcW w:w="3600" w:type="dxa"/>
            <w:vAlign w:val="bottom"/>
          </w:tcPr>
          <w:p>
            <w:pPr>
              <w:ind w:left="70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Holding South Africa (Pty)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South Africa</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Holdings UK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Holdings, LLC</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Iberia S.L.U.</w:t>
            </w:r>
          </w:p>
        </w:tc>
        <w:tc>
          <w:tcPr>
            <w:tcW w:w="3600" w:type="dxa"/>
            <w:vAlign w:val="bottom"/>
          </w:tcPr>
          <w:p>
            <w:pPr>
              <w:ind w:left="700"/>
              <w:spacing w:after="0"/>
              <w:rPr>
                <w:sz w:val="20"/>
                <w:szCs w:val="20"/>
                <w:color w:val="auto"/>
              </w:rPr>
            </w:pPr>
            <w:r>
              <w:rPr>
                <w:rFonts w:ascii="Arial" w:cs="Arial" w:eastAsia="Arial" w:hAnsi="Arial"/>
                <w:sz w:val="16"/>
                <w:szCs w:val="16"/>
                <w:color w:val="auto"/>
              </w:rPr>
              <w:t>Spain</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India Private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India</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International (Canada) Ltd.</w:t>
            </w:r>
          </w:p>
        </w:tc>
        <w:tc>
          <w:tcPr>
            <w:tcW w:w="3600" w:type="dxa"/>
            <w:vAlign w:val="bottom"/>
          </w:tcPr>
          <w:p>
            <w:pPr>
              <w:ind w:left="700"/>
              <w:spacing w:after="0"/>
              <w:rPr>
                <w:sz w:val="20"/>
                <w:szCs w:val="20"/>
                <w:color w:val="auto"/>
              </w:rPr>
            </w:pPr>
            <w:r>
              <w:rPr>
                <w:rFonts w:ascii="Arial" w:cs="Arial" w:eastAsia="Arial" w:hAnsi="Arial"/>
                <w:sz w:val="16"/>
                <w:szCs w:val="16"/>
                <w:color w:val="auto"/>
              </w:rPr>
              <w:t>Canada</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International Holdings 1 BV</w:t>
            </w:r>
          </w:p>
        </w:tc>
        <w:tc>
          <w:tcPr>
            <w:tcW w:w="3600" w:type="dxa"/>
            <w:vAlign w:val="bottom"/>
          </w:tcPr>
          <w:p>
            <w:pPr>
              <w:ind w:left="70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International Holdings 2 BV</w:t>
            </w:r>
          </w:p>
        </w:tc>
        <w:tc>
          <w:tcPr>
            <w:tcW w:w="3600" w:type="dxa"/>
            <w:vAlign w:val="bottom"/>
          </w:tcPr>
          <w:p>
            <w:pPr>
              <w:ind w:left="70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International Holdings UK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International, LLC</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Japan (Asia)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Singapore</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Japan (Thailand) Co., Ltd.</w:t>
            </w:r>
          </w:p>
        </w:tc>
        <w:tc>
          <w:tcPr>
            <w:tcW w:w="3600" w:type="dxa"/>
            <w:vAlign w:val="bottom"/>
          </w:tcPr>
          <w:p>
            <w:pPr>
              <w:ind w:left="700"/>
              <w:spacing w:after="0"/>
              <w:rPr>
                <w:sz w:val="20"/>
                <w:szCs w:val="20"/>
                <w:color w:val="auto"/>
              </w:rPr>
            </w:pPr>
            <w:r>
              <w:rPr>
                <w:rFonts w:ascii="Arial" w:cs="Arial" w:eastAsia="Arial" w:hAnsi="Arial"/>
                <w:sz w:val="16"/>
                <w:szCs w:val="16"/>
                <w:color w:val="auto"/>
              </w:rPr>
              <w:t>Thailand</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Kabushiki Kaisha</w:t>
            </w:r>
          </w:p>
        </w:tc>
        <w:tc>
          <w:tcPr>
            <w:tcW w:w="3600" w:type="dxa"/>
            <w:vAlign w:val="bottom"/>
          </w:tcPr>
          <w:p>
            <w:pPr>
              <w:ind w:left="700"/>
              <w:spacing w:after="0"/>
              <w:rPr>
                <w:sz w:val="20"/>
                <w:szCs w:val="20"/>
                <w:color w:val="auto"/>
              </w:rPr>
            </w:pPr>
            <w:r>
              <w:rPr>
                <w:rFonts w:ascii="Arial" w:cs="Arial" w:eastAsia="Arial" w:hAnsi="Arial"/>
                <w:sz w:val="16"/>
                <w:szCs w:val="16"/>
                <w:color w:val="auto"/>
              </w:rPr>
              <w:t>Japan</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Korea, Inc.</w:t>
            </w:r>
          </w:p>
        </w:tc>
        <w:tc>
          <w:tcPr>
            <w:tcW w:w="3600" w:type="dxa"/>
            <w:vAlign w:val="bottom"/>
          </w:tcPr>
          <w:p>
            <w:pPr>
              <w:ind w:left="700"/>
              <w:spacing w:after="0"/>
              <w:rPr>
                <w:sz w:val="20"/>
                <w:szCs w:val="20"/>
                <w:color w:val="auto"/>
              </w:rPr>
            </w:pPr>
            <w:r>
              <w:rPr>
                <w:rFonts w:ascii="Arial" w:cs="Arial" w:eastAsia="Arial" w:hAnsi="Arial"/>
                <w:sz w:val="16"/>
                <w:szCs w:val="16"/>
                <w:color w:val="auto"/>
              </w:rPr>
              <w:t>Korea, Republic of</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Logistics BV</w:t>
            </w:r>
          </w:p>
        </w:tc>
        <w:tc>
          <w:tcPr>
            <w:tcW w:w="3600" w:type="dxa"/>
            <w:vAlign w:val="bottom"/>
          </w:tcPr>
          <w:p>
            <w:pPr>
              <w:ind w:left="70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Logistics GmbH</w:t>
            </w:r>
          </w:p>
        </w:tc>
        <w:tc>
          <w:tcPr>
            <w:tcW w:w="3600" w:type="dxa"/>
            <w:vAlign w:val="bottom"/>
          </w:tcPr>
          <w:p>
            <w:pPr>
              <w:ind w:left="70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Logistics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Malaysia Sdn Bhd</w:t>
            </w:r>
          </w:p>
        </w:tc>
        <w:tc>
          <w:tcPr>
            <w:tcW w:w="3600" w:type="dxa"/>
            <w:vAlign w:val="bottom"/>
          </w:tcPr>
          <w:p>
            <w:pPr>
              <w:ind w:left="700"/>
              <w:spacing w:after="0"/>
              <w:rPr>
                <w:sz w:val="20"/>
                <w:szCs w:val="20"/>
                <w:color w:val="auto"/>
              </w:rPr>
            </w:pPr>
            <w:r>
              <w:rPr>
                <w:rFonts w:ascii="Arial" w:cs="Arial" w:eastAsia="Arial" w:hAnsi="Arial"/>
                <w:sz w:val="16"/>
                <w:szCs w:val="16"/>
                <w:color w:val="auto"/>
              </w:rPr>
              <w:t>Malaysia</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Mexicana S. de R.L. de C.V.</w:t>
            </w:r>
          </w:p>
        </w:tc>
        <w:tc>
          <w:tcPr>
            <w:tcW w:w="3600" w:type="dxa"/>
            <w:vAlign w:val="bottom"/>
          </w:tcPr>
          <w:p>
            <w:pPr>
              <w:ind w:left="700"/>
              <w:spacing w:after="0"/>
              <w:rPr>
                <w:sz w:val="20"/>
                <w:szCs w:val="20"/>
                <w:color w:val="auto"/>
              </w:rPr>
            </w:pPr>
            <w:r>
              <w:rPr>
                <w:rFonts w:ascii="Arial" w:cs="Arial" w:eastAsia="Arial" w:hAnsi="Arial"/>
                <w:sz w:val="16"/>
                <w:szCs w:val="16"/>
                <w:color w:val="auto"/>
              </w:rPr>
              <w:t>Mexico</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Nortec AB</w:t>
            </w:r>
          </w:p>
        </w:tc>
        <w:tc>
          <w:tcPr>
            <w:tcW w:w="3600" w:type="dxa"/>
            <w:vAlign w:val="bottom"/>
          </w:tcPr>
          <w:p>
            <w:pPr>
              <w:ind w:left="700"/>
              <w:spacing w:after="0"/>
              <w:rPr>
                <w:sz w:val="20"/>
                <w:szCs w:val="20"/>
                <w:color w:val="auto"/>
              </w:rPr>
            </w:pPr>
            <w:r>
              <w:rPr>
                <w:rFonts w:ascii="Arial" w:cs="Arial" w:eastAsia="Arial" w:hAnsi="Arial"/>
                <w:sz w:val="16"/>
                <w:szCs w:val="16"/>
                <w:color w:val="auto"/>
              </w:rPr>
              <w:t>Sweden</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Nortec ApS</w:t>
            </w:r>
          </w:p>
        </w:tc>
        <w:tc>
          <w:tcPr>
            <w:tcW w:w="3600" w:type="dxa"/>
            <w:vAlign w:val="bottom"/>
          </w:tcPr>
          <w:p>
            <w:pPr>
              <w:ind w:left="700"/>
              <w:spacing w:after="0"/>
              <w:rPr>
                <w:sz w:val="20"/>
                <w:szCs w:val="20"/>
                <w:color w:val="auto"/>
              </w:rPr>
            </w:pPr>
            <w:r>
              <w:rPr>
                <w:rFonts w:ascii="Arial" w:cs="Arial" w:eastAsia="Arial" w:hAnsi="Arial"/>
                <w:sz w:val="16"/>
                <w:szCs w:val="16"/>
                <w:color w:val="auto"/>
              </w:rPr>
              <w:t>Denmark</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Nortec AS</w:t>
            </w:r>
          </w:p>
        </w:tc>
        <w:tc>
          <w:tcPr>
            <w:tcW w:w="3600" w:type="dxa"/>
            <w:vAlign w:val="bottom"/>
          </w:tcPr>
          <w:p>
            <w:pPr>
              <w:ind w:left="700"/>
              <w:spacing w:after="0"/>
              <w:rPr>
                <w:sz w:val="20"/>
                <w:szCs w:val="20"/>
                <w:color w:val="auto"/>
              </w:rPr>
            </w:pPr>
            <w:r>
              <w:rPr>
                <w:rFonts w:ascii="Arial" w:cs="Arial" w:eastAsia="Arial" w:hAnsi="Arial"/>
                <w:sz w:val="16"/>
                <w:szCs w:val="16"/>
                <w:color w:val="auto"/>
              </w:rPr>
              <w:t>Norway</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Nortec Oy</w:t>
            </w:r>
          </w:p>
        </w:tc>
        <w:tc>
          <w:tcPr>
            <w:tcW w:w="3600" w:type="dxa"/>
            <w:vAlign w:val="bottom"/>
          </w:tcPr>
          <w:p>
            <w:pPr>
              <w:ind w:left="700"/>
              <w:spacing w:after="0"/>
              <w:rPr>
                <w:sz w:val="20"/>
                <w:szCs w:val="20"/>
                <w:color w:val="auto"/>
              </w:rPr>
            </w:pPr>
            <w:r>
              <w:rPr>
                <w:rFonts w:ascii="Arial" w:cs="Arial" w:eastAsia="Arial" w:hAnsi="Arial"/>
                <w:sz w:val="16"/>
                <w:szCs w:val="16"/>
                <w:color w:val="auto"/>
              </w:rPr>
              <w:t>Finland</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Philippines Pty Ltd., Inc.</w:t>
            </w:r>
          </w:p>
        </w:tc>
        <w:tc>
          <w:tcPr>
            <w:tcW w:w="3600" w:type="dxa"/>
            <w:vAlign w:val="bottom"/>
          </w:tcPr>
          <w:p>
            <w:pPr>
              <w:ind w:left="700"/>
              <w:spacing w:after="0"/>
              <w:rPr>
                <w:sz w:val="20"/>
                <w:szCs w:val="20"/>
                <w:color w:val="auto"/>
              </w:rPr>
            </w:pPr>
            <w:r>
              <w:rPr>
                <w:rFonts w:ascii="Arial" w:cs="Arial" w:eastAsia="Arial" w:hAnsi="Arial"/>
                <w:sz w:val="16"/>
                <w:szCs w:val="16"/>
                <w:color w:val="auto"/>
              </w:rPr>
              <w:t>Philippines</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Receivables Corporation</w:t>
            </w:r>
          </w:p>
        </w:tc>
        <w:tc>
          <w:tcPr>
            <w:tcW w:w="36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SellCo B.V.</w:t>
            </w:r>
          </w:p>
        </w:tc>
        <w:tc>
          <w:tcPr>
            <w:tcW w:w="3600" w:type="dxa"/>
            <w:vAlign w:val="bottom"/>
          </w:tcPr>
          <w:p>
            <w:pPr>
              <w:ind w:left="70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Services S. de R.L. de C.V.</w:t>
            </w:r>
          </w:p>
        </w:tc>
        <w:tc>
          <w:tcPr>
            <w:tcW w:w="3600" w:type="dxa"/>
            <w:vAlign w:val="bottom"/>
          </w:tcPr>
          <w:p>
            <w:pPr>
              <w:ind w:left="700"/>
              <w:spacing w:after="0"/>
              <w:rPr>
                <w:sz w:val="20"/>
                <w:szCs w:val="20"/>
                <w:color w:val="auto"/>
              </w:rPr>
            </w:pPr>
            <w:r>
              <w:rPr>
                <w:rFonts w:ascii="Arial" w:cs="Arial" w:eastAsia="Arial" w:hAnsi="Arial"/>
                <w:sz w:val="16"/>
                <w:szCs w:val="16"/>
                <w:color w:val="auto"/>
              </w:rPr>
              <w:t>Mexico</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South Africa (Pty)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South Africa</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Sunrise Limited</w:t>
            </w:r>
          </w:p>
        </w:tc>
        <w:tc>
          <w:tcPr>
            <w:tcW w:w="3600" w:type="dxa"/>
            <w:vAlign w:val="bottom"/>
          </w:tcPr>
          <w:p>
            <w:pPr>
              <w:ind w:left="70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Technology (Thailand) Ltd.</w:t>
            </w:r>
          </w:p>
        </w:tc>
        <w:tc>
          <w:tcPr>
            <w:tcW w:w="3600" w:type="dxa"/>
            <w:vAlign w:val="bottom"/>
          </w:tcPr>
          <w:p>
            <w:pPr>
              <w:ind w:left="700"/>
              <w:spacing w:after="0"/>
              <w:rPr>
                <w:sz w:val="20"/>
                <w:szCs w:val="20"/>
                <w:color w:val="auto"/>
              </w:rPr>
            </w:pPr>
            <w:r>
              <w:rPr>
                <w:rFonts w:ascii="Arial" w:cs="Arial" w:eastAsia="Arial" w:hAnsi="Arial"/>
                <w:sz w:val="16"/>
                <w:szCs w:val="16"/>
                <w:color w:val="auto"/>
              </w:rPr>
              <w:t>Thailand</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980" w:type="dxa"/>
            <w:vAlign w:val="bottom"/>
          </w:tcPr>
          <w:p>
            <w:pPr>
              <w:ind w:left="80"/>
              <w:spacing w:after="0"/>
              <w:rPr>
                <w:sz w:val="20"/>
                <w:szCs w:val="20"/>
                <w:color w:val="auto"/>
              </w:rPr>
            </w:pPr>
            <w:r>
              <w:rPr>
                <w:rFonts w:ascii="Arial" w:cs="Arial" w:eastAsia="Arial" w:hAnsi="Arial"/>
                <w:sz w:val="16"/>
                <w:szCs w:val="16"/>
                <w:color w:val="auto"/>
              </w:rPr>
              <w:t>Avnet Technology Electronics Marketing (Taiwan) Co., Ltd.</w:t>
            </w:r>
          </w:p>
        </w:tc>
        <w:tc>
          <w:tcPr>
            <w:tcW w:w="3600" w:type="dxa"/>
            <w:vAlign w:val="bottom"/>
          </w:tcPr>
          <w:p>
            <w:pPr>
              <w:ind w:left="700"/>
              <w:spacing w:after="0"/>
              <w:rPr>
                <w:sz w:val="20"/>
                <w:szCs w:val="20"/>
                <w:color w:val="auto"/>
              </w:rPr>
            </w:pPr>
            <w:r>
              <w:rPr>
                <w:rFonts w:ascii="Arial" w:cs="Arial" w:eastAsia="Arial" w:hAnsi="Arial"/>
                <w:sz w:val="16"/>
                <w:szCs w:val="16"/>
                <w:color w:val="auto"/>
              </w:rPr>
              <w:t>Taiwan</w:t>
            </w:r>
          </w:p>
        </w:tc>
        <w:tc>
          <w:tcPr>
            <w:tcW w:w="240" w:type="dxa"/>
            <w:vAlign w:val="bottom"/>
          </w:tcPr>
          <w:p>
            <w:pPr>
              <w:spacing w:after="0"/>
              <w:rPr>
                <w:sz w:val="18"/>
                <w:szCs w:val="18"/>
                <w:color w:val="auto"/>
              </w:rPr>
            </w:pPr>
          </w:p>
        </w:tc>
      </w:tr>
      <w:tr>
        <w:trPr>
          <w:trHeight w:val="38"/>
        </w:trPr>
        <w:tc>
          <w:tcPr>
            <w:tcW w:w="4980" w:type="dxa"/>
            <w:vAlign w:val="bottom"/>
            <w:tcBorders>
              <w:bottom w:val="single" w:sz="8" w:color="C0C0C0"/>
            </w:tcBorders>
          </w:tcPr>
          <w:p>
            <w:pPr>
              <w:spacing w:after="0"/>
              <w:rPr>
                <w:sz w:val="3"/>
                <w:szCs w:val="3"/>
                <w:color w:val="auto"/>
              </w:rPr>
            </w:pPr>
          </w:p>
        </w:tc>
        <w:tc>
          <w:tcPr>
            <w:tcW w:w="36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554"/>
        </w:trPr>
        <w:tc>
          <w:tcPr>
            <w:tcW w:w="49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040"/>
          </w:cols>
          <w:pgMar w:left="1440" w:top="121" w:right="1419" w:bottom="1440" w:gutter="0" w:footer="0" w:header="0"/>
        </w:sectPr>
      </w:pPr>
    </w:p>
    <w:bookmarkStart w:id="40" w:name="page41"/>
    <w:bookmarkEnd w:id="4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5040" w:type="dxa"/>
            <w:vAlign w:val="bottom"/>
          </w:tcPr>
          <w:p>
            <w:pPr>
              <w:ind w:left="80"/>
              <w:spacing w:after="0"/>
              <w:rPr>
                <w:sz w:val="20"/>
                <w:szCs w:val="20"/>
                <w:color w:val="auto"/>
              </w:rPr>
            </w:pPr>
            <w:r>
              <w:rPr>
                <w:rFonts w:ascii="Arial" w:cs="Arial" w:eastAsia="Arial" w:hAnsi="Arial"/>
                <w:sz w:val="16"/>
                <w:szCs w:val="16"/>
                <w:color w:val="auto"/>
              </w:rPr>
              <w:t>Avnet Technology Hong Kong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9"/>
                <w:szCs w:val="19"/>
                <w:color w:val="auto"/>
              </w:rPr>
            </w:pPr>
          </w:p>
        </w:tc>
      </w:tr>
      <w:tr>
        <w:trPr>
          <w:trHeight w:val="69"/>
        </w:trPr>
        <w:tc>
          <w:tcPr>
            <w:tcW w:w="5040" w:type="dxa"/>
            <w:vAlign w:val="bottom"/>
            <w:tcBorders>
              <w:bottom w:val="single" w:sz="8" w:color="C0C0C0"/>
            </w:tcBorders>
          </w:tcPr>
          <w:p>
            <w:pPr>
              <w:spacing w:after="0"/>
              <w:rPr>
                <w:sz w:val="6"/>
                <w:szCs w:val="6"/>
                <w:color w:val="auto"/>
              </w:rPr>
            </w:pPr>
          </w:p>
        </w:tc>
        <w:tc>
          <w:tcPr>
            <w:tcW w:w="3540" w:type="dxa"/>
            <w:vAlign w:val="bottom"/>
            <w:tcBorders>
              <w:bottom w:val="single" w:sz="8" w:color="C0C0C0"/>
            </w:tcBorders>
          </w:tcPr>
          <w:p>
            <w:pPr>
              <w:spacing w:after="0"/>
              <w:rPr>
                <w:sz w:val="6"/>
                <w:szCs w:val="6"/>
                <w:color w:val="auto"/>
              </w:rPr>
            </w:pPr>
          </w:p>
        </w:tc>
        <w:tc>
          <w:tcPr>
            <w:tcW w:w="240" w:type="dxa"/>
            <w:vAlign w:val="bottom"/>
            <w:tcBorders>
              <w:bottom w:val="single" w:sz="8" w:color="C0C0C0"/>
            </w:tcBorders>
          </w:tcPr>
          <w:p>
            <w:pPr>
              <w:spacing w:after="0"/>
              <w:rPr>
                <w:sz w:val="6"/>
                <w:szCs w:val="6"/>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Avnet Technology Solutions (China) Ltd</w:t>
            </w:r>
          </w:p>
        </w:tc>
        <w:tc>
          <w:tcPr>
            <w:tcW w:w="3540" w:type="dxa"/>
            <w:vAlign w:val="bottom"/>
          </w:tcPr>
          <w:p>
            <w:pPr>
              <w:ind w:left="64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Avnet Technology Solutions (Tianjin) Ltd</w:t>
            </w:r>
          </w:p>
        </w:tc>
        <w:tc>
          <w:tcPr>
            <w:tcW w:w="3540" w:type="dxa"/>
            <w:vAlign w:val="bottom"/>
          </w:tcPr>
          <w:p>
            <w:pPr>
              <w:ind w:left="64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AVT Holdings LLC</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Beijing Vanda Yunda IT Services Co., Ltd</w:t>
            </w:r>
          </w:p>
        </w:tc>
        <w:tc>
          <w:tcPr>
            <w:tcW w:w="3540" w:type="dxa"/>
            <w:vAlign w:val="bottom"/>
          </w:tcPr>
          <w:p>
            <w:pPr>
              <w:ind w:left="64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Bell Microproducts Brazil Holdings, LLC</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Bell Microproducts Mexico Shareholder, LLC</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CELDIS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CM Satellite Systems, Inc.</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COMBINED PRECISION COMPONENTS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Dragon Innovation (HK)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Dragon Innovation Consulting (Shenzhen) Company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Beteiligungs-Verwaltungs GmbH</w:t>
            </w:r>
          </w:p>
        </w:tc>
        <w:tc>
          <w:tcPr>
            <w:tcW w:w="3540" w:type="dxa"/>
            <w:vAlign w:val="bottom"/>
          </w:tcPr>
          <w:p>
            <w:pPr>
              <w:ind w:left="6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ApS</w:t>
            </w:r>
          </w:p>
        </w:tc>
        <w:tc>
          <w:tcPr>
            <w:tcW w:w="3540" w:type="dxa"/>
            <w:vAlign w:val="bottom"/>
          </w:tcPr>
          <w:p>
            <w:pPr>
              <w:ind w:left="640"/>
              <w:spacing w:after="0"/>
              <w:rPr>
                <w:sz w:val="20"/>
                <w:szCs w:val="20"/>
                <w:color w:val="auto"/>
              </w:rPr>
            </w:pPr>
            <w:r>
              <w:rPr>
                <w:rFonts w:ascii="Arial" w:cs="Arial" w:eastAsia="Arial" w:hAnsi="Arial"/>
                <w:sz w:val="16"/>
                <w:szCs w:val="16"/>
                <w:color w:val="auto"/>
              </w:rPr>
              <w:t>Denmark</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d.o.o.</w:t>
            </w:r>
          </w:p>
        </w:tc>
        <w:tc>
          <w:tcPr>
            <w:tcW w:w="3540" w:type="dxa"/>
            <w:vAlign w:val="bottom"/>
          </w:tcPr>
          <w:p>
            <w:pPr>
              <w:ind w:left="640"/>
              <w:spacing w:after="0"/>
              <w:rPr>
                <w:sz w:val="20"/>
                <w:szCs w:val="20"/>
                <w:color w:val="auto"/>
              </w:rPr>
            </w:pPr>
            <w:r>
              <w:rPr>
                <w:rFonts w:ascii="Arial" w:cs="Arial" w:eastAsia="Arial" w:hAnsi="Arial"/>
                <w:sz w:val="16"/>
                <w:szCs w:val="16"/>
                <w:color w:val="auto"/>
              </w:rPr>
              <w:t>Serbia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EOOD</w:t>
            </w:r>
          </w:p>
        </w:tc>
        <w:tc>
          <w:tcPr>
            <w:tcW w:w="3540" w:type="dxa"/>
            <w:vAlign w:val="bottom"/>
          </w:tcPr>
          <w:p>
            <w:pPr>
              <w:ind w:left="640"/>
              <w:spacing w:after="0"/>
              <w:rPr>
                <w:sz w:val="20"/>
                <w:szCs w:val="20"/>
                <w:color w:val="auto"/>
              </w:rPr>
            </w:pPr>
            <w:r>
              <w:rPr>
                <w:rFonts w:ascii="Arial" w:cs="Arial" w:eastAsia="Arial" w:hAnsi="Arial"/>
                <w:sz w:val="16"/>
                <w:szCs w:val="16"/>
                <w:color w:val="auto"/>
              </w:rPr>
              <w:t>Bulgaria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GmbH &amp; Co. KG</w:t>
            </w:r>
          </w:p>
        </w:tc>
        <w:tc>
          <w:tcPr>
            <w:tcW w:w="3540" w:type="dxa"/>
            <w:vAlign w:val="bottom"/>
          </w:tcPr>
          <w:p>
            <w:pPr>
              <w:ind w:left="6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International GmbH</w:t>
            </w:r>
          </w:p>
        </w:tc>
        <w:tc>
          <w:tcPr>
            <w:tcW w:w="3540" w:type="dxa"/>
            <w:vAlign w:val="bottom"/>
          </w:tcPr>
          <w:p>
            <w:pPr>
              <w:ind w:left="6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Israel (2008) Ltd</w:t>
            </w:r>
          </w:p>
        </w:tc>
        <w:tc>
          <w:tcPr>
            <w:tcW w:w="3540" w:type="dxa"/>
            <w:vAlign w:val="bottom"/>
          </w:tcPr>
          <w:p>
            <w:pPr>
              <w:ind w:left="640"/>
              <w:spacing w:after="0"/>
              <w:rPr>
                <w:sz w:val="20"/>
                <w:szCs w:val="20"/>
                <w:color w:val="auto"/>
              </w:rPr>
            </w:pPr>
            <w:r>
              <w:rPr>
                <w:rFonts w:ascii="Arial" w:cs="Arial" w:eastAsia="Arial" w:hAnsi="Arial"/>
                <w:sz w:val="16"/>
                <w:szCs w:val="16"/>
                <w:color w:val="auto"/>
              </w:rPr>
              <w:t>Israel</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Kft</w:t>
            </w:r>
          </w:p>
        </w:tc>
        <w:tc>
          <w:tcPr>
            <w:tcW w:w="3540" w:type="dxa"/>
            <w:vAlign w:val="bottom"/>
          </w:tcPr>
          <w:p>
            <w:pPr>
              <w:ind w:left="640"/>
              <w:spacing w:after="0"/>
              <w:rPr>
                <w:sz w:val="20"/>
                <w:szCs w:val="20"/>
                <w:color w:val="auto"/>
              </w:rPr>
            </w:pPr>
            <w:r>
              <w:rPr>
                <w:rFonts w:ascii="Arial" w:cs="Arial" w:eastAsia="Arial" w:hAnsi="Arial"/>
                <w:sz w:val="16"/>
                <w:szCs w:val="16"/>
                <w:color w:val="auto"/>
              </w:rPr>
              <w:t>Hungary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M</w:t>
            </w:r>
          </w:p>
        </w:tc>
        <w:tc>
          <w:tcPr>
            <w:tcW w:w="354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OÜ</w:t>
            </w:r>
          </w:p>
        </w:tc>
        <w:tc>
          <w:tcPr>
            <w:tcW w:w="3540" w:type="dxa"/>
            <w:vAlign w:val="bottom"/>
          </w:tcPr>
          <w:p>
            <w:pPr>
              <w:ind w:left="640"/>
              <w:spacing w:after="0"/>
              <w:rPr>
                <w:sz w:val="20"/>
                <w:szCs w:val="20"/>
                <w:color w:val="auto"/>
              </w:rPr>
            </w:pPr>
            <w:r>
              <w:rPr>
                <w:rFonts w:ascii="Arial" w:cs="Arial" w:eastAsia="Arial" w:hAnsi="Arial"/>
                <w:sz w:val="16"/>
                <w:szCs w:val="16"/>
                <w:color w:val="auto"/>
              </w:rPr>
              <w:t>Estonia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S.r.l.</w:t>
            </w:r>
          </w:p>
        </w:tc>
        <w:tc>
          <w:tcPr>
            <w:tcW w:w="3540" w:type="dxa"/>
            <w:vAlign w:val="bottom"/>
          </w:tcPr>
          <w:p>
            <w:pPr>
              <w:ind w:left="6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S.R.L.</w:t>
            </w:r>
          </w:p>
        </w:tc>
        <w:tc>
          <w:tcPr>
            <w:tcW w:w="3540" w:type="dxa"/>
            <w:vAlign w:val="bottom"/>
          </w:tcPr>
          <w:p>
            <w:pPr>
              <w:ind w:left="640"/>
              <w:spacing w:after="0"/>
              <w:rPr>
                <w:sz w:val="20"/>
                <w:szCs w:val="20"/>
                <w:color w:val="auto"/>
              </w:rPr>
            </w:pPr>
            <w:r>
              <w:rPr>
                <w:rFonts w:ascii="Arial" w:cs="Arial" w:eastAsia="Arial" w:hAnsi="Arial"/>
                <w:sz w:val="16"/>
                <w:szCs w:val="16"/>
                <w:color w:val="auto"/>
              </w:rPr>
              <w:t>Romania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s.r.o.</w:t>
            </w:r>
          </w:p>
        </w:tc>
        <w:tc>
          <w:tcPr>
            <w:tcW w:w="3540" w:type="dxa"/>
            <w:vAlign w:val="bottom"/>
          </w:tcPr>
          <w:p>
            <w:pPr>
              <w:ind w:left="640"/>
              <w:spacing w:after="0"/>
              <w:rPr>
                <w:sz w:val="20"/>
                <w:szCs w:val="20"/>
                <w:color w:val="auto"/>
              </w:rPr>
            </w:pPr>
            <w:r>
              <w:rPr>
                <w:rFonts w:ascii="Arial" w:cs="Arial" w:eastAsia="Arial" w:hAnsi="Arial"/>
                <w:sz w:val="16"/>
                <w:szCs w:val="16"/>
                <w:color w:val="auto"/>
              </w:rPr>
              <w:t>Slovakia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SAS</w:t>
            </w:r>
          </w:p>
        </w:tc>
        <w:tc>
          <w:tcPr>
            <w:tcW w:w="3540" w:type="dxa"/>
            <w:vAlign w:val="bottom"/>
          </w:tcPr>
          <w:p>
            <w:pPr>
              <w:ind w:left="64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sp. z o.o.</w:t>
            </w:r>
          </w:p>
        </w:tc>
        <w:tc>
          <w:tcPr>
            <w:tcW w:w="3540" w:type="dxa"/>
            <w:vAlign w:val="bottom"/>
          </w:tcPr>
          <w:p>
            <w:pPr>
              <w:ind w:left="640"/>
              <w:spacing w:after="0"/>
              <w:rPr>
                <w:sz w:val="20"/>
                <w:szCs w:val="20"/>
                <w:color w:val="auto"/>
              </w:rPr>
            </w:pPr>
            <w:r>
              <w:rPr>
                <w:rFonts w:ascii="Arial" w:cs="Arial" w:eastAsia="Arial" w:hAnsi="Arial"/>
                <w:sz w:val="16"/>
                <w:szCs w:val="16"/>
                <w:color w:val="auto"/>
              </w:rPr>
              <w:t>Poland</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Spain S.L.</w:t>
            </w:r>
          </w:p>
        </w:tc>
        <w:tc>
          <w:tcPr>
            <w:tcW w:w="3540" w:type="dxa"/>
            <w:vAlign w:val="bottom"/>
          </w:tcPr>
          <w:p>
            <w:pPr>
              <w:ind w:left="640"/>
              <w:spacing w:after="0"/>
              <w:rPr>
                <w:sz w:val="20"/>
                <w:szCs w:val="20"/>
                <w:color w:val="auto"/>
              </w:rPr>
            </w:pPr>
            <w:r>
              <w:rPr>
                <w:rFonts w:ascii="Arial" w:cs="Arial" w:eastAsia="Arial" w:hAnsi="Arial"/>
                <w:sz w:val="16"/>
                <w:szCs w:val="16"/>
                <w:color w:val="auto"/>
              </w:rPr>
              <w:t>Spain</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spol. s r.o.</w:t>
            </w:r>
          </w:p>
        </w:tc>
        <w:tc>
          <w:tcPr>
            <w:tcW w:w="3540" w:type="dxa"/>
            <w:vAlign w:val="bottom"/>
          </w:tcPr>
          <w:p>
            <w:pPr>
              <w:ind w:left="640"/>
              <w:spacing w:after="0"/>
              <w:rPr>
                <w:sz w:val="20"/>
                <w:szCs w:val="20"/>
                <w:color w:val="auto"/>
              </w:rPr>
            </w:pPr>
            <w:r>
              <w:rPr>
                <w:rFonts w:ascii="Arial" w:cs="Arial" w:eastAsia="Arial" w:hAnsi="Arial"/>
                <w:sz w:val="16"/>
                <w:szCs w:val="16"/>
                <w:color w:val="auto"/>
              </w:rPr>
              <w:t>Czech Republic</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Ticaret Limited Sirketi</w:t>
            </w:r>
          </w:p>
        </w:tc>
        <w:tc>
          <w:tcPr>
            <w:tcW w:w="3540" w:type="dxa"/>
            <w:vAlign w:val="bottom"/>
          </w:tcPr>
          <w:p>
            <w:pPr>
              <w:ind w:left="640"/>
              <w:spacing w:after="0"/>
              <w:rPr>
                <w:sz w:val="20"/>
                <w:szCs w:val="20"/>
                <w:color w:val="auto"/>
              </w:rPr>
            </w:pPr>
            <w:r>
              <w:rPr>
                <w:rFonts w:ascii="Arial" w:cs="Arial" w:eastAsia="Arial" w:hAnsi="Arial"/>
                <w:sz w:val="16"/>
                <w:szCs w:val="16"/>
                <w:color w:val="auto"/>
              </w:rPr>
              <w:t>Turkey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TOV</w:t>
            </w:r>
          </w:p>
        </w:tc>
        <w:tc>
          <w:tcPr>
            <w:tcW w:w="3540" w:type="dxa"/>
            <w:vAlign w:val="bottom"/>
          </w:tcPr>
          <w:p>
            <w:pPr>
              <w:ind w:left="640"/>
              <w:spacing w:after="0"/>
              <w:rPr>
                <w:sz w:val="20"/>
                <w:szCs w:val="20"/>
                <w:color w:val="auto"/>
              </w:rPr>
            </w:pPr>
            <w:r>
              <w:rPr>
                <w:rFonts w:ascii="Arial" w:cs="Arial" w:eastAsia="Arial" w:hAnsi="Arial"/>
                <w:sz w:val="16"/>
                <w:szCs w:val="16"/>
                <w:color w:val="auto"/>
              </w:rPr>
              <w:t>Ukraine</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Druzba Za Posredovanje D.O.O.</w:t>
            </w:r>
          </w:p>
        </w:tc>
        <w:tc>
          <w:tcPr>
            <w:tcW w:w="3540" w:type="dxa"/>
            <w:vAlign w:val="bottom"/>
          </w:tcPr>
          <w:p>
            <w:pPr>
              <w:ind w:left="640"/>
              <w:spacing w:after="0"/>
              <w:rPr>
                <w:sz w:val="20"/>
                <w:szCs w:val="20"/>
                <w:color w:val="auto"/>
              </w:rPr>
            </w:pPr>
            <w:r>
              <w:rPr>
                <w:rFonts w:ascii="Arial" w:cs="Arial" w:eastAsia="Arial" w:hAnsi="Arial"/>
                <w:sz w:val="16"/>
                <w:szCs w:val="16"/>
                <w:color w:val="auto"/>
              </w:rPr>
              <w:t>Slovenia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Elektronik, Unipessoal Lda,</w:t>
            </w:r>
          </w:p>
        </w:tc>
        <w:tc>
          <w:tcPr>
            <w:tcW w:w="3540" w:type="dxa"/>
            <w:vAlign w:val="bottom"/>
          </w:tcPr>
          <w:p>
            <w:pPr>
              <w:ind w:left="640"/>
              <w:spacing w:after="0"/>
              <w:rPr>
                <w:sz w:val="20"/>
                <w:szCs w:val="20"/>
                <w:color w:val="auto"/>
              </w:rPr>
            </w:pPr>
            <w:r>
              <w:rPr>
                <w:rFonts w:ascii="Arial" w:cs="Arial" w:eastAsia="Arial" w:hAnsi="Arial"/>
                <w:sz w:val="16"/>
                <w:szCs w:val="16"/>
                <w:color w:val="auto"/>
              </w:rPr>
              <w:t>Portugal</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Erste Holding GmbH &amp; Co. KG</w:t>
            </w:r>
          </w:p>
        </w:tc>
        <w:tc>
          <w:tcPr>
            <w:tcW w:w="3540" w:type="dxa"/>
            <w:vAlign w:val="bottom"/>
          </w:tcPr>
          <w:p>
            <w:pPr>
              <w:ind w:left="6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Management GmbH</w:t>
            </w:r>
          </w:p>
        </w:tc>
        <w:tc>
          <w:tcPr>
            <w:tcW w:w="3540" w:type="dxa"/>
            <w:vAlign w:val="bottom"/>
          </w:tcPr>
          <w:p>
            <w:pPr>
              <w:ind w:left="6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 Zweite Holding GmbH &amp; Co. KG</w:t>
            </w:r>
          </w:p>
        </w:tc>
        <w:tc>
          <w:tcPr>
            <w:tcW w:w="3540" w:type="dxa"/>
            <w:vAlign w:val="bottom"/>
          </w:tcPr>
          <w:p>
            <w:pPr>
              <w:ind w:left="6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EBV-Elektronik GmbH</w:t>
            </w:r>
          </w:p>
        </w:tc>
        <w:tc>
          <w:tcPr>
            <w:tcW w:w="3540" w:type="dxa"/>
            <w:vAlign w:val="bottom"/>
          </w:tcPr>
          <w:p>
            <w:pPr>
              <w:ind w:left="640"/>
              <w:spacing w:after="0"/>
              <w:rPr>
                <w:sz w:val="20"/>
                <w:szCs w:val="20"/>
                <w:color w:val="auto"/>
              </w:rPr>
            </w:pPr>
            <w:r>
              <w:rPr>
                <w:rFonts w:ascii="Arial" w:cs="Arial" w:eastAsia="Arial" w:hAnsi="Arial"/>
                <w:sz w:val="16"/>
                <w:szCs w:val="16"/>
                <w:color w:val="auto"/>
              </w:rPr>
              <w:t>Austria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Electrolink (PTY) Ltd</w:t>
            </w:r>
          </w:p>
        </w:tc>
        <w:tc>
          <w:tcPr>
            <w:tcW w:w="3540" w:type="dxa"/>
            <w:vAlign w:val="bottom"/>
          </w:tcPr>
          <w:p>
            <w:pPr>
              <w:ind w:left="640"/>
              <w:spacing w:after="0"/>
              <w:rPr>
                <w:sz w:val="20"/>
                <w:szCs w:val="20"/>
                <w:color w:val="auto"/>
              </w:rPr>
            </w:pPr>
            <w:r>
              <w:rPr>
                <w:rFonts w:ascii="Arial" w:cs="Arial" w:eastAsia="Arial" w:hAnsi="Arial"/>
                <w:sz w:val="16"/>
                <w:szCs w:val="16"/>
                <w:color w:val="auto"/>
              </w:rPr>
              <w:t>South Africa</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040" w:type="dxa"/>
            <w:vAlign w:val="bottom"/>
          </w:tcPr>
          <w:p>
            <w:pPr>
              <w:ind w:left="80"/>
              <w:spacing w:after="0"/>
              <w:rPr>
                <w:sz w:val="20"/>
                <w:szCs w:val="20"/>
                <w:color w:val="auto"/>
              </w:rPr>
            </w:pPr>
            <w:r>
              <w:rPr>
                <w:rFonts w:ascii="Arial" w:cs="Arial" w:eastAsia="Arial" w:hAnsi="Arial"/>
                <w:sz w:val="16"/>
                <w:szCs w:val="16"/>
                <w:color w:val="auto"/>
              </w:rPr>
              <w:t>Electron House (Overseas) Limited</w:t>
            </w:r>
          </w:p>
        </w:tc>
        <w:tc>
          <w:tcPr>
            <w:tcW w:w="3540" w:type="dxa"/>
            <w:vAlign w:val="bottom"/>
          </w:tcPr>
          <w:p>
            <w:pPr>
              <w:ind w:left="6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040" w:type="dxa"/>
            <w:vAlign w:val="bottom"/>
            <w:tcBorders>
              <w:bottom w:val="single" w:sz="8" w:color="C0C0C0"/>
            </w:tcBorders>
          </w:tcPr>
          <w:p>
            <w:pPr>
              <w:spacing w:after="0"/>
              <w:rPr>
                <w:sz w:val="3"/>
                <w:szCs w:val="3"/>
                <w:color w:val="auto"/>
              </w:rPr>
            </w:pPr>
          </w:p>
        </w:tc>
        <w:tc>
          <w:tcPr>
            <w:tcW w:w="35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554"/>
        </w:trPr>
        <w:tc>
          <w:tcPr>
            <w:tcW w:w="50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040"/>
          </w:cols>
          <w:pgMar w:left="1440" w:top="121" w:right="1419" w:bottom="1440" w:gutter="0" w:footer="0" w:header="0"/>
        </w:sectPr>
      </w:pPr>
    </w:p>
    <w:bookmarkStart w:id="41" w:name="page42"/>
    <w:bookmarkEnd w:id="4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4740" w:type="dxa"/>
            <w:vAlign w:val="bottom"/>
          </w:tcPr>
          <w:p>
            <w:pPr>
              <w:ind w:left="80"/>
              <w:spacing w:after="0"/>
              <w:rPr>
                <w:sz w:val="20"/>
                <w:szCs w:val="20"/>
                <w:color w:val="auto"/>
              </w:rPr>
            </w:pPr>
            <w:r>
              <w:rPr>
                <w:rFonts w:ascii="Arial" w:cs="Arial" w:eastAsia="Arial" w:hAnsi="Arial"/>
                <w:sz w:val="16"/>
                <w:szCs w:val="16"/>
                <w:color w:val="auto"/>
              </w:rPr>
              <w:t>element 14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9"/>
                <w:szCs w:val="19"/>
                <w:color w:val="auto"/>
              </w:rPr>
            </w:pPr>
          </w:p>
        </w:tc>
      </w:tr>
      <w:tr>
        <w:trPr>
          <w:trHeight w:val="69"/>
        </w:trPr>
        <w:tc>
          <w:tcPr>
            <w:tcW w:w="4740" w:type="dxa"/>
            <w:vAlign w:val="bottom"/>
            <w:tcBorders>
              <w:bottom w:val="single" w:sz="8" w:color="C0C0C0"/>
            </w:tcBorders>
          </w:tcPr>
          <w:p>
            <w:pPr>
              <w:spacing w:after="0"/>
              <w:rPr>
                <w:sz w:val="6"/>
                <w:szCs w:val="6"/>
                <w:color w:val="auto"/>
              </w:rPr>
            </w:pPr>
          </w:p>
        </w:tc>
        <w:tc>
          <w:tcPr>
            <w:tcW w:w="3840" w:type="dxa"/>
            <w:vAlign w:val="bottom"/>
            <w:tcBorders>
              <w:bottom w:val="single" w:sz="8" w:color="C0C0C0"/>
            </w:tcBorders>
          </w:tcPr>
          <w:p>
            <w:pPr>
              <w:spacing w:after="0"/>
              <w:rPr>
                <w:sz w:val="6"/>
                <w:szCs w:val="6"/>
                <w:color w:val="auto"/>
              </w:rPr>
            </w:pPr>
          </w:p>
        </w:tc>
        <w:tc>
          <w:tcPr>
            <w:tcW w:w="240" w:type="dxa"/>
            <w:vAlign w:val="bottom"/>
            <w:tcBorders>
              <w:bottom w:val="single" w:sz="8" w:color="C0C0C0"/>
            </w:tcBorders>
          </w:tcPr>
          <w:p>
            <w:pPr>
              <w:spacing w:after="0"/>
              <w:rPr>
                <w:sz w:val="6"/>
                <w:szCs w:val="6"/>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 14 sp. zoo</w:t>
            </w:r>
          </w:p>
        </w:tc>
        <w:tc>
          <w:tcPr>
            <w:tcW w:w="3840" w:type="dxa"/>
            <w:vAlign w:val="bottom"/>
          </w:tcPr>
          <w:p>
            <w:pPr>
              <w:ind w:left="940"/>
              <w:spacing w:after="0"/>
              <w:rPr>
                <w:sz w:val="20"/>
                <w:szCs w:val="20"/>
                <w:color w:val="auto"/>
              </w:rPr>
            </w:pPr>
            <w:r>
              <w:rPr>
                <w:rFonts w:ascii="Arial" w:cs="Arial" w:eastAsia="Arial" w:hAnsi="Arial"/>
                <w:sz w:val="16"/>
                <w:szCs w:val="16"/>
                <w:color w:val="auto"/>
              </w:rPr>
              <w:t>Poland</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Asia Pte. Ltd.</w:t>
            </w:r>
          </w:p>
        </w:tc>
        <w:tc>
          <w:tcPr>
            <w:tcW w:w="3840" w:type="dxa"/>
            <w:vAlign w:val="bottom"/>
          </w:tcPr>
          <w:p>
            <w:pPr>
              <w:ind w:left="940"/>
              <w:spacing w:after="0"/>
              <w:rPr>
                <w:sz w:val="20"/>
                <w:szCs w:val="20"/>
                <w:color w:val="auto"/>
              </w:rPr>
            </w:pPr>
            <w:r>
              <w:rPr>
                <w:rFonts w:ascii="Arial" w:cs="Arial" w:eastAsia="Arial" w:hAnsi="Arial"/>
                <w:sz w:val="16"/>
                <w:szCs w:val="16"/>
                <w:color w:val="auto"/>
              </w:rPr>
              <w:t>Singapore</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Co., Ltd.</w:t>
            </w:r>
          </w:p>
        </w:tc>
        <w:tc>
          <w:tcPr>
            <w:tcW w:w="3840" w:type="dxa"/>
            <w:vAlign w:val="bottom"/>
          </w:tcPr>
          <w:p>
            <w:pPr>
              <w:ind w:left="940"/>
              <w:spacing w:after="0"/>
              <w:rPr>
                <w:sz w:val="20"/>
                <w:szCs w:val="20"/>
                <w:color w:val="auto"/>
              </w:rPr>
            </w:pPr>
            <w:r>
              <w:rPr>
                <w:rFonts w:ascii="Arial" w:cs="Arial" w:eastAsia="Arial" w:hAnsi="Arial"/>
                <w:sz w:val="16"/>
                <w:szCs w:val="16"/>
                <w:color w:val="auto"/>
              </w:rPr>
              <w:t>Thailand</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de Mexico, S. de R.L de C.V</w:t>
            </w:r>
          </w:p>
        </w:tc>
        <w:tc>
          <w:tcPr>
            <w:tcW w:w="3840" w:type="dxa"/>
            <w:vAlign w:val="bottom"/>
          </w:tcPr>
          <w:p>
            <w:pPr>
              <w:ind w:left="940"/>
              <w:spacing w:after="0"/>
              <w:rPr>
                <w:sz w:val="20"/>
                <w:szCs w:val="20"/>
                <w:color w:val="auto"/>
              </w:rPr>
            </w:pPr>
            <w:r>
              <w:rPr>
                <w:rFonts w:ascii="Arial" w:cs="Arial" w:eastAsia="Arial" w:hAnsi="Arial"/>
                <w:sz w:val="16"/>
                <w:szCs w:val="16"/>
                <w:color w:val="auto"/>
              </w:rPr>
              <w:t>Mexico</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Electronics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Finance UK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Holding BV</w:t>
            </w:r>
          </w:p>
        </w:tc>
        <w:tc>
          <w:tcPr>
            <w:tcW w:w="3840" w:type="dxa"/>
            <w:vAlign w:val="bottom"/>
          </w:tcPr>
          <w:p>
            <w:pPr>
              <w:ind w:left="94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India Pvt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India</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New Zealand</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Ltd.</w:t>
            </w:r>
          </w:p>
        </w:tc>
        <w:tc>
          <w:tcPr>
            <w:tcW w:w="3840" w:type="dxa"/>
            <w:vAlign w:val="bottom"/>
          </w:tcPr>
          <w:p>
            <w:pPr>
              <w:ind w:left="940"/>
              <w:spacing w:after="0"/>
              <w:rPr>
                <w:sz w:val="20"/>
                <w:szCs w:val="20"/>
                <w:color w:val="auto"/>
              </w:rPr>
            </w:pPr>
            <w:r>
              <w:rPr>
                <w:rFonts w:ascii="Arial" w:cs="Arial" w:eastAsia="Arial" w:hAnsi="Arial"/>
                <w:sz w:val="16"/>
                <w:szCs w:val="16"/>
                <w:color w:val="auto"/>
              </w:rPr>
              <w:t>Korea, Republic of</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Pte. Ltd.</w:t>
            </w:r>
          </w:p>
        </w:tc>
        <w:tc>
          <w:tcPr>
            <w:tcW w:w="3840" w:type="dxa"/>
            <w:vAlign w:val="bottom"/>
          </w:tcPr>
          <w:p>
            <w:pPr>
              <w:ind w:left="940"/>
              <w:spacing w:after="0"/>
              <w:rPr>
                <w:sz w:val="20"/>
                <w:szCs w:val="20"/>
                <w:color w:val="auto"/>
              </w:rPr>
            </w:pPr>
            <w:r>
              <w:rPr>
                <w:rFonts w:ascii="Arial" w:cs="Arial" w:eastAsia="Arial" w:hAnsi="Arial"/>
                <w:sz w:val="16"/>
                <w:szCs w:val="16"/>
                <w:color w:val="auto"/>
              </w:rPr>
              <w:t>Singapore</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Pty Ltd</w:t>
            </w:r>
          </w:p>
        </w:tc>
        <w:tc>
          <w:tcPr>
            <w:tcW w:w="3840" w:type="dxa"/>
            <w:vAlign w:val="bottom"/>
          </w:tcPr>
          <w:p>
            <w:pPr>
              <w:ind w:left="94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SDN. BHD.</w:t>
            </w:r>
          </w:p>
        </w:tc>
        <w:tc>
          <w:tcPr>
            <w:tcW w:w="3840" w:type="dxa"/>
            <w:vAlign w:val="bottom"/>
          </w:tcPr>
          <w:p>
            <w:pPr>
              <w:ind w:left="940"/>
              <w:spacing w:after="0"/>
              <w:rPr>
                <w:sz w:val="20"/>
                <w:szCs w:val="20"/>
                <w:color w:val="auto"/>
              </w:rPr>
            </w:pPr>
            <w:r>
              <w:rPr>
                <w:rFonts w:ascii="Arial" w:cs="Arial" w:eastAsia="Arial" w:hAnsi="Arial"/>
                <w:sz w:val="16"/>
                <w:szCs w:val="16"/>
                <w:color w:val="auto"/>
              </w:rPr>
              <w:t>Malaysia</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US Holdings Inc.</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US Holdings LLC</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ELEMENT14. S. de R.L. de C.V</w:t>
            </w:r>
          </w:p>
        </w:tc>
        <w:tc>
          <w:tcPr>
            <w:tcW w:w="3840" w:type="dxa"/>
            <w:vAlign w:val="bottom"/>
          </w:tcPr>
          <w:p>
            <w:pPr>
              <w:ind w:left="940"/>
              <w:spacing w:after="0"/>
              <w:rPr>
                <w:sz w:val="20"/>
                <w:szCs w:val="20"/>
                <w:color w:val="auto"/>
              </w:rPr>
            </w:pPr>
            <w:r>
              <w:rPr>
                <w:rFonts w:ascii="Arial" w:cs="Arial" w:eastAsia="Arial" w:hAnsi="Arial"/>
                <w:sz w:val="16"/>
                <w:szCs w:val="16"/>
                <w:color w:val="auto"/>
              </w:rPr>
              <w:t>Mexico</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eluomeng Electronics (China) Co. Ltd</w:t>
            </w:r>
          </w:p>
        </w:tc>
        <w:tc>
          <w:tcPr>
            <w:tcW w:w="3840" w:type="dxa"/>
            <w:vAlign w:val="bottom"/>
          </w:tcPr>
          <w:p>
            <w:pPr>
              <w:ind w:left="94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ELUOMENG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ELUOMENG LIMITED COMPANY</w:t>
            </w:r>
          </w:p>
        </w:tc>
        <w:tc>
          <w:tcPr>
            <w:tcW w:w="3840" w:type="dxa"/>
            <w:vAlign w:val="bottom"/>
          </w:tcPr>
          <w:p>
            <w:pPr>
              <w:ind w:left="940"/>
              <w:spacing w:after="0"/>
              <w:rPr>
                <w:sz w:val="20"/>
                <w:szCs w:val="20"/>
                <w:color w:val="auto"/>
              </w:rPr>
            </w:pPr>
            <w:r>
              <w:rPr>
                <w:rFonts w:ascii="Arial" w:cs="Arial" w:eastAsia="Arial" w:hAnsi="Arial"/>
                <w:sz w:val="16"/>
                <w:szCs w:val="16"/>
                <w:color w:val="auto"/>
              </w:rPr>
              <w:t>Taiwan</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Embest HK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Erste TENVA Property GmbH Gruber Straße</w:t>
            </w:r>
          </w:p>
        </w:tc>
        <w:tc>
          <w:tcPr>
            <w:tcW w:w="3840" w:type="dxa"/>
            <w:vAlign w:val="bottom"/>
          </w:tcPr>
          <w:p>
            <w:pPr>
              <w:ind w:left="9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(BELGIUM) N.V.</w:t>
            </w:r>
          </w:p>
        </w:tc>
        <w:tc>
          <w:tcPr>
            <w:tcW w:w="3840" w:type="dxa"/>
            <w:vAlign w:val="bottom"/>
          </w:tcPr>
          <w:p>
            <w:pPr>
              <w:ind w:left="94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(FRANCE) SAS</w:t>
            </w:r>
          </w:p>
        </w:tc>
        <w:tc>
          <w:tcPr>
            <w:tcW w:w="3840" w:type="dxa"/>
            <w:vAlign w:val="bottom"/>
          </w:tcPr>
          <w:p>
            <w:pPr>
              <w:ind w:left="94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(NETHERLANDS) B.V.</w:t>
            </w:r>
          </w:p>
        </w:tc>
        <w:tc>
          <w:tcPr>
            <w:tcW w:w="3840" w:type="dxa"/>
            <w:vAlign w:val="bottom"/>
          </w:tcPr>
          <w:p>
            <w:pPr>
              <w:ind w:left="94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AG</w:t>
            </w:r>
          </w:p>
        </w:tc>
        <w:tc>
          <w:tcPr>
            <w:tcW w:w="3840" w:type="dxa"/>
            <w:vAlign w:val="bottom"/>
          </w:tcPr>
          <w:p>
            <w:pPr>
              <w:ind w:left="940"/>
              <w:spacing w:after="0"/>
              <w:rPr>
                <w:sz w:val="20"/>
                <w:szCs w:val="20"/>
                <w:color w:val="auto"/>
              </w:rPr>
            </w:pPr>
            <w:r>
              <w:rPr>
                <w:rFonts w:ascii="Arial" w:cs="Arial" w:eastAsia="Arial" w:hAnsi="Arial"/>
                <w:sz w:val="16"/>
                <w:szCs w:val="16"/>
                <w:color w:val="auto"/>
              </w:rPr>
              <w:t>Switzerland</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COMPONENTS (IRELAND)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COMPONENTS (ISRAEL) LTD</w:t>
            </w:r>
          </w:p>
        </w:tc>
        <w:tc>
          <w:tcPr>
            <w:tcW w:w="3840" w:type="dxa"/>
            <w:vAlign w:val="bottom"/>
          </w:tcPr>
          <w:p>
            <w:pPr>
              <w:ind w:left="940"/>
              <w:spacing w:after="0"/>
              <w:rPr>
                <w:sz w:val="20"/>
                <w:szCs w:val="20"/>
                <w:color w:val="auto"/>
              </w:rPr>
            </w:pPr>
            <w:r>
              <w:rPr>
                <w:rFonts w:ascii="Arial" w:cs="Arial" w:eastAsia="Arial" w:hAnsi="Arial"/>
                <w:sz w:val="16"/>
                <w:szCs w:val="16"/>
                <w:color w:val="auto"/>
              </w:rPr>
              <w:t>Israel</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COMPONENTS AB</w:t>
            </w:r>
          </w:p>
        </w:tc>
        <w:tc>
          <w:tcPr>
            <w:tcW w:w="3840" w:type="dxa"/>
            <w:vAlign w:val="bottom"/>
          </w:tcPr>
          <w:p>
            <w:pPr>
              <w:ind w:left="940"/>
              <w:spacing w:after="0"/>
              <w:rPr>
                <w:sz w:val="20"/>
                <w:szCs w:val="20"/>
                <w:color w:val="auto"/>
              </w:rPr>
            </w:pPr>
            <w:r>
              <w:rPr>
                <w:rFonts w:ascii="Arial" w:cs="Arial" w:eastAsia="Arial" w:hAnsi="Arial"/>
                <w:sz w:val="16"/>
                <w:szCs w:val="16"/>
                <w:color w:val="auto"/>
              </w:rPr>
              <w:t>Sweden</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COMPONENTS SL</w:t>
            </w:r>
          </w:p>
        </w:tc>
        <w:tc>
          <w:tcPr>
            <w:tcW w:w="3840" w:type="dxa"/>
            <w:vAlign w:val="bottom"/>
          </w:tcPr>
          <w:p>
            <w:pPr>
              <w:ind w:left="940"/>
              <w:spacing w:after="0"/>
              <w:rPr>
                <w:sz w:val="20"/>
                <w:szCs w:val="20"/>
                <w:color w:val="auto"/>
              </w:rPr>
            </w:pPr>
            <w:r>
              <w:rPr>
                <w:rFonts w:ascii="Arial" w:cs="Arial" w:eastAsia="Arial" w:hAnsi="Arial"/>
                <w:sz w:val="16"/>
                <w:szCs w:val="16"/>
                <w:color w:val="auto"/>
              </w:rPr>
              <w:t>Spain</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DANMARK A/S</w:t>
            </w:r>
          </w:p>
        </w:tc>
        <w:tc>
          <w:tcPr>
            <w:tcW w:w="3840" w:type="dxa"/>
            <w:vAlign w:val="bottom"/>
          </w:tcPr>
          <w:p>
            <w:pPr>
              <w:ind w:left="940"/>
              <w:spacing w:after="0"/>
              <w:rPr>
                <w:sz w:val="20"/>
                <w:szCs w:val="20"/>
                <w:color w:val="auto"/>
              </w:rPr>
            </w:pPr>
            <w:r>
              <w:rPr>
                <w:rFonts w:ascii="Arial" w:cs="Arial" w:eastAsia="Arial" w:hAnsi="Arial"/>
                <w:sz w:val="16"/>
                <w:szCs w:val="16"/>
                <w:color w:val="auto"/>
              </w:rPr>
              <w:t>Denmark</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ELECTRONIC COMPONENTS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GMBH</w:t>
            </w:r>
          </w:p>
        </w:tc>
        <w:tc>
          <w:tcPr>
            <w:tcW w:w="3840" w:type="dxa"/>
            <w:vAlign w:val="bottom"/>
          </w:tcPr>
          <w:p>
            <w:pPr>
              <w:ind w:left="9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HOLDING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ITALIA SRL</w:t>
            </w:r>
          </w:p>
        </w:tc>
        <w:tc>
          <w:tcPr>
            <w:tcW w:w="3840" w:type="dxa"/>
            <w:vAlign w:val="bottom"/>
          </w:tcPr>
          <w:p>
            <w:pPr>
              <w:ind w:left="9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FARNELL OVERSEAS</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Import Holdings LLC</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INONE HOLDINGS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Kent One Corporation</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40" w:type="dxa"/>
            <w:vAlign w:val="bottom"/>
          </w:tcPr>
          <w:p>
            <w:pPr>
              <w:ind w:left="80"/>
              <w:spacing w:after="0"/>
              <w:rPr>
                <w:sz w:val="20"/>
                <w:szCs w:val="20"/>
                <w:color w:val="auto"/>
              </w:rPr>
            </w:pPr>
            <w:r>
              <w:rPr>
                <w:rFonts w:ascii="Arial" w:cs="Arial" w:eastAsia="Arial" w:hAnsi="Arial"/>
                <w:sz w:val="16"/>
                <w:szCs w:val="16"/>
                <w:color w:val="auto"/>
              </w:rPr>
              <w:t>Memec Group Holdings Limited</w:t>
            </w:r>
          </w:p>
        </w:tc>
        <w:tc>
          <w:tcPr>
            <w:tcW w:w="3840" w:type="dxa"/>
            <w:vAlign w:val="bottom"/>
          </w:tcPr>
          <w:p>
            <w:pPr>
              <w:ind w:left="94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40" w:type="dxa"/>
            <w:vAlign w:val="bottom"/>
            <w:tcBorders>
              <w:bottom w:val="single" w:sz="8" w:color="C0C0C0"/>
            </w:tcBorders>
          </w:tcPr>
          <w:p>
            <w:pPr>
              <w:spacing w:after="0"/>
              <w:rPr>
                <w:sz w:val="3"/>
                <w:szCs w:val="3"/>
                <w:color w:val="auto"/>
              </w:rPr>
            </w:pPr>
          </w:p>
        </w:tc>
        <w:tc>
          <w:tcPr>
            <w:tcW w:w="384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554"/>
        </w:trPr>
        <w:tc>
          <w:tcPr>
            <w:tcW w:w="4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040"/>
          </w:cols>
          <w:pgMar w:left="1440" w:top="121" w:right="1419" w:bottom="1440" w:gutter="0" w:footer="0" w:header="0"/>
        </w:sectPr>
      </w:pPr>
    </w:p>
    <w:bookmarkStart w:id="42" w:name="page43"/>
    <w:bookmarkEnd w:id="4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5260" w:type="dxa"/>
            <w:vAlign w:val="bottom"/>
          </w:tcPr>
          <w:p>
            <w:pPr>
              <w:ind w:left="80"/>
              <w:spacing w:after="0"/>
              <w:rPr>
                <w:sz w:val="20"/>
                <w:szCs w:val="20"/>
                <w:color w:val="auto"/>
              </w:rPr>
            </w:pPr>
            <w:r>
              <w:rPr>
                <w:rFonts w:ascii="Arial" w:cs="Arial" w:eastAsia="Arial" w:hAnsi="Arial"/>
                <w:sz w:val="16"/>
                <w:szCs w:val="16"/>
                <w:color w:val="auto"/>
              </w:rPr>
              <w:t>Memec Group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9"/>
                <w:szCs w:val="19"/>
                <w:color w:val="auto"/>
              </w:rPr>
            </w:pPr>
          </w:p>
        </w:tc>
      </w:tr>
      <w:tr>
        <w:trPr>
          <w:trHeight w:val="69"/>
        </w:trPr>
        <w:tc>
          <w:tcPr>
            <w:tcW w:w="5260" w:type="dxa"/>
            <w:vAlign w:val="bottom"/>
            <w:tcBorders>
              <w:bottom w:val="single" w:sz="8" w:color="C0C0C0"/>
            </w:tcBorders>
          </w:tcPr>
          <w:p>
            <w:pPr>
              <w:spacing w:after="0"/>
              <w:rPr>
                <w:sz w:val="6"/>
                <w:szCs w:val="6"/>
                <w:color w:val="auto"/>
              </w:rPr>
            </w:pPr>
          </w:p>
        </w:tc>
        <w:tc>
          <w:tcPr>
            <w:tcW w:w="3320" w:type="dxa"/>
            <w:vAlign w:val="bottom"/>
            <w:tcBorders>
              <w:bottom w:val="single" w:sz="8" w:color="C0C0C0"/>
            </w:tcBorders>
          </w:tcPr>
          <w:p>
            <w:pPr>
              <w:spacing w:after="0"/>
              <w:rPr>
                <w:sz w:val="6"/>
                <w:szCs w:val="6"/>
                <w:color w:val="auto"/>
              </w:rPr>
            </w:pPr>
          </w:p>
        </w:tc>
        <w:tc>
          <w:tcPr>
            <w:tcW w:w="240" w:type="dxa"/>
            <w:vAlign w:val="bottom"/>
            <w:tcBorders>
              <w:bottom w:val="single" w:sz="8" w:color="C0C0C0"/>
            </w:tcBorders>
          </w:tcPr>
          <w:p>
            <w:pPr>
              <w:spacing w:after="0"/>
              <w:rPr>
                <w:sz w:val="6"/>
                <w:szCs w:val="6"/>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Memec Pty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Mexico Holdings LLC</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MSC (Malta)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Malta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MSC Technologies GmbH</w:t>
            </w:r>
          </w:p>
        </w:tc>
        <w:tc>
          <w:tcPr>
            <w:tcW w:w="3320" w:type="dxa"/>
            <w:vAlign w:val="bottom"/>
          </w:tcPr>
          <w:p>
            <w:pPr>
              <w:ind w:left="4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MSC Technologies Systems GmbH</w:t>
            </w:r>
          </w:p>
        </w:tc>
        <w:tc>
          <w:tcPr>
            <w:tcW w:w="3320" w:type="dxa"/>
            <w:vAlign w:val="bottom"/>
          </w:tcPr>
          <w:p>
            <w:pPr>
              <w:ind w:left="4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NEWARK CORPORATION</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NEWARK ELECTRONICS CORPORATION</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OY FARNELL (FINLAND) AB</w:t>
            </w:r>
          </w:p>
        </w:tc>
        <w:tc>
          <w:tcPr>
            <w:tcW w:w="3320" w:type="dxa"/>
            <w:vAlign w:val="bottom"/>
          </w:tcPr>
          <w:p>
            <w:pPr>
              <w:ind w:left="420"/>
              <w:spacing w:after="0"/>
              <w:rPr>
                <w:sz w:val="20"/>
                <w:szCs w:val="20"/>
                <w:color w:val="auto"/>
              </w:rPr>
            </w:pPr>
            <w:r>
              <w:rPr>
                <w:rFonts w:ascii="Arial" w:cs="Arial" w:eastAsia="Arial" w:hAnsi="Arial"/>
                <w:sz w:val="16"/>
                <w:szCs w:val="16"/>
                <w:color w:val="auto"/>
              </w:rPr>
              <w:t>Finland</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Phoenics Electronics Corporation</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(SCOTLAND)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CANADA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Canada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CORP.</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FINANCE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164"/>
        </w:trPr>
        <w:tc>
          <w:tcPr>
            <w:tcW w:w="5260" w:type="dxa"/>
            <w:vAlign w:val="bottom"/>
          </w:tcPr>
          <w:p>
            <w:pPr>
              <w:ind w:left="80"/>
              <w:spacing w:after="0" w:line="165" w:lineRule="exact"/>
              <w:rPr>
                <w:sz w:val="20"/>
                <w:szCs w:val="20"/>
                <w:color w:val="auto"/>
              </w:rPr>
            </w:pPr>
            <w:r>
              <w:rPr>
                <w:rFonts w:ascii="Arial" w:cs="Arial" w:eastAsia="Arial" w:hAnsi="Arial"/>
                <w:sz w:val="16"/>
                <w:szCs w:val="16"/>
                <w:color w:val="auto"/>
              </w:rPr>
              <w:t>PREMIER FARNELL PENSION FUNDING SCOTTISH LIMITED</w:t>
            </w:r>
          </w:p>
        </w:tc>
        <w:tc>
          <w:tcPr>
            <w:tcW w:w="3320" w:type="dxa"/>
            <w:vAlign w:val="bottom"/>
          </w:tcPr>
          <w:p>
            <w:pPr>
              <w:ind w:left="420"/>
              <w:spacing w:after="0" w:line="165" w:lineRule="exact"/>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4"/>
                <w:szCs w:val="14"/>
                <w:color w:val="auto"/>
              </w:rPr>
            </w:pPr>
          </w:p>
        </w:tc>
      </w:tr>
      <w:tr>
        <w:trPr>
          <w:trHeight w:val="207"/>
        </w:trPr>
        <w:tc>
          <w:tcPr>
            <w:tcW w:w="526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PARTNERSHIP</w:t>
            </w:r>
          </w:p>
        </w:tc>
        <w:tc>
          <w:tcPr>
            <w:tcW w:w="332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PENSION TRUSTEES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PROPERTIES INC.</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FARNELL UK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PREMIER INDUSTRIAL HOLLAND B.V.</w:t>
            </w:r>
          </w:p>
        </w:tc>
        <w:tc>
          <w:tcPr>
            <w:tcW w:w="3320" w:type="dxa"/>
            <w:vAlign w:val="bottom"/>
          </w:tcPr>
          <w:p>
            <w:pPr>
              <w:ind w:left="42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Pride Well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Virgin Islands, British</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Priya Softweb Solutions Pvt. Ltd.</w:t>
            </w:r>
          </w:p>
        </w:tc>
        <w:tc>
          <w:tcPr>
            <w:tcW w:w="3320" w:type="dxa"/>
            <w:vAlign w:val="bottom"/>
          </w:tcPr>
          <w:p>
            <w:pPr>
              <w:ind w:left="420"/>
              <w:spacing w:after="0"/>
              <w:rPr>
                <w:sz w:val="20"/>
                <w:szCs w:val="20"/>
                <w:color w:val="auto"/>
              </w:rPr>
            </w:pPr>
            <w:r>
              <w:rPr>
                <w:rFonts w:ascii="Arial" w:cs="Arial" w:eastAsia="Arial" w:hAnsi="Arial"/>
                <w:sz w:val="16"/>
                <w:szCs w:val="16"/>
                <w:color w:val="auto"/>
              </w:rPr>
              <w:t>India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RTI Holdings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SEC International Holding Company II, L.L.C.</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Shanghai FR International Trading Co., Ltd.</w:t>
            </w:r>
          </w:p>
        </w:tc>
        <w:tc>
          <w:tcPr>
            <w:tcW w:w="3320" w:type="dxa"/>
            <w:vAlign w:val="bottom"/>
          </w:tcPr>
          <w:p>
            <w:pPr>
              <w:ind w:left="42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SHENZHEN EMBEST TECHNOLOGY CO., LTD.</w:t>
            </w:r>
          </w:p>
        </w:tc>
        <w:tc>
          <w:tcPr>
            <w:tcW w:w="3320" w:type="dxa"/>
            <w:vAlign w:val="bottom"/>
          </w:tcPr>
          <w:p>
            <w:pPr>
              <w:ind w:left="42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Société Civile Immobilière du 22 rue de Dames</w:t>
            </w:r>
          </w:p>
        </w:tc>
        <w:tc>
          <w:tcPr>
            <w:tcW w:w="3320" w:type="dxa"/>
            <w:vAlign w:val="bottom"/>
          </w:tcPr>
          <w:p>
            <w:pPr>
              <w:ind w:left="4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Softweb Solutions Inc.</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Source Electronics (HK)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Source Electronics Asia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Tekdata Interconnections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Telmil Electronics, Inc.</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Tenva Belgium Comm. VA</w:t>
            </w:r>
          </w:p>
        </w:tc>
        <w:tc>
          <w:tcPr>
            <w:tcW w:w="3320" w:type="dxa"/>
            <w:vAlign w:val="bottom"/>
          </w:tcPr>
          <w:p>
            <w:pPr>
              <w:ind w:left="42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Tenva Financial Management BV</w:t>
            </w:r>
          </w:p>
        </w:tc>
        <w:tc>
          <w:tcPr>
            <w:tcW w:w="3320" w:type="dxa"/>
            <w:vAlign w:val="bottom"/>
          </w:tcPr>
          <w:p>
            <w:pPr>
              <w:ind w:left="42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TENVA GmbH</w:t>
            </w:r>
          </w:p>
        </w:tc>
        <w:tc>
          <w:tcPr>
            <w:tcW w:w="3320" w:type="dxa"/>
            <w:vAlign w:val="bottom"/>
          </w:tcPr>
          <w:p>
            <w:pPr>
              <w:ind w:left="4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Tenva Group Holdings Europe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TENVA INVESTMENTS BV</w:t>
            </w:r>
          </w:p>
        </w:tc>
        <w:tc>
          <w:tcPr>
            <w:tcW w:w="3320" w:type="dxa"/>
            <w:vAlign w:val="bottom"/>
          </w:tcPr>
          <w:p>
            <w:pPr>
              <w:ind w:left="420"/>
              <w:spacing w:after="0"/>
              <w:rPr>
                <w:sz w:val="20"/>
                <w:szCs w:val="20"/>
                <w:color w:val="auto"/>
              </w:rPr>
            </w:pPr>
            <w:r>
              <w:rPr>
                <w:rFonts w:ascii="Arial" w:cs="Arial" w:eastAsia="Arial" w:hAnsi="Arial"/>
                <w:sz w:val="16"/>
                <w:szCs w:val="16"/>
                <w:color w:val="auto"/>
              </w:rPr>
              <w:t>Belgium</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Tenva sp. z o.o.</w:t>
            </w:r>
          </w:p>
        </w:tc>
        <w:tc>
          <w:tcPr>
            <w:tcW w:w="3320" w:type="dxa"/>
            <w:vAlign w:val="bottom"/>
          </w:tcPr>
          <w:p>
            <w:pPr>
              <w:ind w:left="420"/>
              <w:spacing w:after="0"/>
              <w:rPr>
                <w:sz w:val="20"/>
                <w:szCs w:val="20"/>
                <w:color w:val="auto"/>
              </w:rPr>
            </w:pPr>
            <w:r>
              <w:rPr>
                <w:rFonts w:ascii="Arial" w:cs="Arial" w:eastAsia="Arial" w:hAnsi="Arial"/>
                <w:sz w:val="16"/>
                <w:szCs w:val="16"/>
                <w:color w:val="auto"/>
              </w:rPr>
              <w:t>Poland</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UAB "EBV Elektronik"</w:t>
            </w:r>
          </w:p>
        </w:tc>
        <w:tc>
          <w:tcPr>
            <w:tcW w:w="3320" w:type="dxa"/>
            <w:vAlign w:val="bottom"/>
          </w:tcPr>
          <w:p>
            <w:pPr>
              <w:ind w:left="420"/>
              <w:spacing w:after="0"/>
              <w:rPr>
                <w:sz w:val="20"/>
                <w:szCs w:val="20"/>
                <w:color w:val="auto"/>
              </w:rPr>
            </w:pPr>
            <w:r>
              <w:rPr>
                <w:rFonts w:ascii="Arial" w:cs="Arial" w:eastAsia="Arial" w:hAnsi="Arial"/>
                <w:sz w:val="16"/>
                <w:szCs w:val="16"/>
                <w:color w:val="auto"/>
              </w:rPr>
              <w:t>Lithuania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Vanda Computer System Integration (Shanghai) Company Limited</w:t>
            </w:r>
          </w:p>
        </w:tc>
        <w:tc>
          <w:tcPr>
            <w:tcW w:w="3320" w:type="dxa"/>
            <w:vAlign w:val="bottom"/>
          </w:tcPr>
          <w:p>
            <w:pPr>
              <w:ind w:left="42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5260" w:type="dxa"/>
            <w:vAlign w:val="bottom"/>
            <w:tcBorders>
              <w:bottom w:val="single" w:sz="8" w:color="C0C0C0"/>
            </w:tcBorders>
          </w:tcPr>
          <w:p>
            <w:pPr>
              <w:spacing w:after="0"/>
              <w:rPr>
                <w:sz w:val="3"/>
                <w:szCs w:val="3"/>
                <w:color w:val="auto"/>
              </w:rPr>
            </w:pPr>
          </w:p>
        </w:tc>
        <w:tc>
          <w:tcPr>
            <w:tcW w:w="332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554"/>
        </w:trPr>
        <w:tc>
          <w:tcPr>
            <w:tcW w:w="5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040"/>
          </w:cols>
          <w:pgMar w:left="1440" w:top="121" w:right="1419" w:bottom="1440" w:gutter="0" w:footer="0" w:header="0"/>
        </w:sectPr>
      </w:pPr>
    </w:p>
    <w:bookmarkStart w:id="43" w:name="page44"/>
    <w:bookmarkEnd w:id="4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4780" w:type="dxa"/>
            <w:vAlign w:val="bottom"/>
          </w:tcPr>
          <w:p>
            <w:pPr>
              <w:ind w:left="80"/>
              <w:spacing w:after="0"/>
              <w:rPr>
                <w:sz w:val="20"/>
                <w:szCs w:val="20"/>
                <w:color w:val="auto"/>
              </w:rPr>
            </w:pPr>
            <w:r>
              <w:rPr>
                <w:rFonts w:ascii="Arial" w:cs="Arial" w:eastAsia="Arial" w:hAnsi="Arial"/>
                <w:sz w:val="16"/>
                <w:szCs w:val="16"/>
                <w:color w:val="auto"/>
              </w:rPr>
              <w:t>Venezuelan Partner B.V.</w:t>
            </w:r>
          </w:p>
        </w:tc>
        <w:tc>
          <w:tcPr>
            <w:tcW w:w="3800" w:type="dxa"/>
            <w:vAlign w:val="bottom"/>
          </w:tcPr>
          <w:p>
            <w:pPr>
              <w:ind w:left="90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9"/>
                <w:szCs w:val="19"/>
                <w:color w:val="auto"/>
              </w:rPr>
            </w:pPr>
          </w:p>
        </w:tc>
      </w:tr>
      <w:tr>
        <w:trPr>
          <w:trHeight w:val="69"/>
        </w:trPr>
        <w:tc>
          <w:tcPr>
            <w:tcW w:w="4780" w:type="dxa"/>
            <w:vAlign w:val="bottom"/>
            <w:tcBorders>
              <w:bottom w:val="single" w:sz="8" w:color="C0C0C0"/>
            </w:tcBorders>
          </w:tcPr>
          <w:p>
            <w:pPr>
              <w:spacing w:after="0"/>
              <w:rPr>
                <w:sz w:val="6"/>
                <w:szCs w:val="6"/>
                <w:color w:val="auto"/>
              </w:rPr>
            </w:pPr>
          </w:p>
        </w:tc>
        <w:tc>
          <w:tcPr>
            <w:tcW w:w="3800" w:type="dxa"/>
            <w:vAlign w:val="bottom"/>
            <w:tcBorders>
              <w:bottom w:val="single" w:sz="8" w:color="C0C0C0"/>
            </w:tcBorders>
          </w:tcPr>
          <w:p>
            <w:pPr>
              <w:spacing w:after="0"/>
              <w:rPr>
                <w:sz w:val="6"/>
                <w:szCs w:val="6"/>
                <w:color w:val="auto"/>
              </w:rPr>
            </w:pPr>
          </w:p>
        </w:tc>
        <w:tc>
          <w:tcPr>
            <w:tcW w:w="240" w:type="dxa"/>
            <w:vAlign w:val="bottom"/>
            <w:tcBorders>
              <w:bottom w:val="single" w:sz="8" w:color="C0C0C0"/>
            </w:tcBorders>
          </w:tcPr>
          <w:p>
            <w:pPr>
              <w:spacing w:after="0"/>
              <w:rPr>
                <w:sz w:val="6"/>
                <w:szCs w:val="6"/>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Witekio Corporation</w:t>
            </w:r>
          </w:p>
        </w:tc>
        <w:tc>
          <w:tcPr>
            <w:tcW w:w="3800" w:type="dxa"/>
            <w:vAlign w:val="bottom"/>
          </w:tcPr>
          <w:p>
            <w:pPr>
              <w:ind w:left="90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Witekio France SAS</w:t>
            </w:r>
          </w:p>
        </w:tc>
        <w:tc>
          <w:tcPr>
            <w:tcW w:w="3800" w:type="dxa"/>
            <w:vAlign w:val="bottom"/>
          </w:tcPr>
          <w:p>
            <w:pPr>
              <w:ind w:left="90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Witekio GmbH</w:t>
            </w:r>
          </w:p>
        </w:tc>
        <w:tc>
          <w:tcPr>
            <w:tcW w:w="3800" w:type="dxa"/>
            <w:vAlign w:val="bottom"/>
          </w:tcPr>
          <w:p>
            <w:pPr>
              <w:ind w:left="90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Witekio Holding</w:t>
            </w:r>
          </w:p>
        </w:tc>
        <w:tc>
          <w:tcPr>
            <w:tcW w:w="3800" w:type="dxa"/>
            <w:vAlign w:val="bottom"/>
          </w:tcPr>
          <w:p>
            <w:pPr>
              <w:ind w:left="90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Witekio UK Limited</w:t>
            </w:r>
          </w:p>
        </w:tc>
        <w:tc>
          <w:tcPr>
            <w:tcW w:w="3800" w:type="dxa"/>
            <w:vAlign w:val="bottom"/>
          </w:tcPr>
          <w:p>
            <w:pPr>
              <w:ind w:left="90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YEL Electronics (China) Limited</w:t>
            </w:r>
          </w:p>
        </w:tc>
        <w:tc>
          <w:tcPr>
            <w:tcW w:w="3800" w:type="dxa"/>
            <w:vAlign w:val="bottom"/>
          </w:tcPr>
          <w:p>
            <w:pPr>
              <w:ind w:left="90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YEL Electronics (Shanghai) Limited</w:t>
            </w:r>
          </w:p>
        </w:tc>
        <w:tc>
          <w:tcPr>
            <w:tcW w:w="3800" w:type="dxa"/>
            <w:vAlign w:val="bottom"/>
          </w:tcPr>
          <w:p>
            <w:pPr>
              <w:ind w:left="90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YEL Electronics (Shenzhen) Ltd</w:t>
            </w:r>
          </w:p>
        </w:tc>
        <w:tc>
          <w:tcPr>
            <w:tcW w:w="3800" w:type="dxa"/>
            <w:vAlign w:val="bottom"/>
          </w:tcPr>
          <w:p>
            <w:pPr>
              <w:ind w:left="900"/>
              <w:spacing w:after="0"/>
              <w:rPr>
                <w:sz w:val="20"/>
                <w:szCs w:val="20"/>
                <w:color w:val="auto"/>
              </w:rPr>
            </w:pPr>
            <w:r>
              <w:rPr>
                <w:rFonts w:ascii="Arial" w:cs="Arial" w:eastAsia="Arial" w:hAnsi="Arial"/>
                <w:sz w:val="16"/>
                <w:szCs w:val="16"/>
                <w:color w:val="auto"/>
              </w:rPr>
              <w:t>China</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YEL Electronics Hong Kong Limited</w:t>
            </w:r>
          </w:p>
        </w:tc>
        <w:tc>
          <w:tcPr>
            <w:tcW w:w="3800" w:type="dxa"/>
            <w:vAlign w:val="bottom"/>
          </w:tcPr>
          <w:p>
            <w:pPr>
              <w:ind w:left="900"/>
              <w:spacing w:after="0"/>
              <w:rPr>
                <w:sz w:val="20"/>
                <w:szCs w:val="20"/>
                <w:color w:val="auto"/>
              </w:rPr>
            </w:pPr>
            <w:r>
              <w:rPr>
                <w:rFonts w:ascii="Arial" w:cs="Arial" w:eastAsia="Arial" w:hAnsi="Arial"/>
                <w:sz w:val="16"/>
                <w:szCs w:val="16"/>
                <w:color w:val="auto"/>
              </w:rPr>
              <w:t>Hong Kong</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212"/>
        </w:trPr>
        <w:tc>
          <w:tcPr>
            <w:tcW w:w="4780" w:type="dxa"/>
            <w:vAlign w:val="bottom"/>
          </w:tcPr>
          <w:p>
            <w:pPr>
              <w:ind w:left="80"/>
              <w:spacing w:after="0"/>
              <w:rPr>
                <w:sz w:val="20"/>
                <w:szCs w:val="20"/>
                <w:color w:val="auto"/>
              </w:rPr>
            </w:pPr>
            <w:r>
              <w:rPr>
                <w:rFonts w:ascii="Arial" w:cs="Arial" w:eastAsia="Arial" w:hAnsi="Arial"/>
                <w:sz w:val="16"/>
                <w:szCs w:val="16"/>
                <w:color w:val="auto"/>
              </w:rPr>
              <w:t>ZWEITE TENVA Property GmbH Im Technologiepark</w:t>
            </w:r>
          </w:p>
        </w:tc>
        <w:tc>
          <w:tcPr>
            <w:tcW w:w="3800" w:type="dxa"/>
            <w:vAlign w:val="bottom"/>
          </w:tcPr>
          <w:p>
            <w:pPr>
              <w:ind w:left="90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8"/>
                <w:szCs w:val="18"/>
                <w:color w:val="auto"/>
              </w:rPr>
            </w:pPr>
          </w:p>
        </w:tc>
      </w:tr>
      <w:tr>
        <w:trPr>
          <w:trHeight w:val="38"/>
        </w:trPr>
        <w:tc>
          <w:tcPr>
            <w:tcW w:w="4780" w:type="dxa"/>
            <w:vAlign w:val="bottom"/>
            <w:tcBorders>
              <w:bottom w:val="single" w:sz="8" w:color="C0C0C0"/>
            </w:tcBorders>
          </w:tcPr>
          <w:p>
            <w:pPr>
              <w:spacing w:after="0"/>
              <w:rPr>
                <w:sz w:val="3"/>
                <w:szCs w:val="3"/>
                <w:color w:val="auto"/>
              </w:rPr>
            </w:pPr>
          </w:p>
        </w:tc>
        <w:tc>
          <w:tcPr>
            <w:tcW w:w="380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r>
      <w:tr>
        <w:trPr>
          <w:trHeight w:val="797"/>
        </w:trPr>
        <w:tc>
          <w:tcPr>
            <w:tcW w:w="4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040"/>
          </w:cols>
          <w:pgMar w:left="1440" w:top="121" w:right="14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3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34290</wp:posOffset>
            </wp:positionV>
            <wp:extent cx="32404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660400</wp:posOffset>
            </wp:positionV>
            <wp:extent cx="64979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Liguori, certify that:</w:t>
      </w:r>
    </w:p>
    <w:p>
      <w:pPr>
        <w:spacing w:after="0" w:line="158" w:lineRule="exact"/>
        <w:rPr>
          <w:sz w:val="20"/>
          <w:szCs w:val="20"/>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2150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Thomas Liguori</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January 2, 2021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27857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right="439"/>
        <w:spacing w:after="0" w:line="32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January 2, 2021 (the “Report”), I, Thomas Liguori, Chief Financial Officer of Avnet, Inc. (the “Company”) hereby certify that:</w:t>
      </w:r>
    </w:p>
    <w:p>
      <w:pPr>
        <w:spacing w:after="0" w:line="54" w:lineRule="exact"/>
        <w:rPr>
          <w:sz w:val="20"/>
          <w:szCs w:val="20"/>
          <w:color w:val="auto"/>
        </w:rPr>
      </w:pPr>
    </w:p>
    <w:p>
      <w:pPr>
        <w:ind w:left="700" w:right="699" w:hanging="332"/>
        <w:spacing w:after="0" w:line="329"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802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Thomas Liguori</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5"/>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Roman"/>
      <w:start w:val="3"/>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7"/>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2021-01-29T05:39:00Z</dcterms:created>
  <dcterms:modified xsi:type="dcterms:W3CDTF">2021-01-29T05:39:00Z</dcterms:modified>
</cp:coreProperties>
</file>