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386080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158750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96520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88265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AVNET, INC.</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2211 South 47</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(480) 643-2000</w:t>
      </w:r>
    </w:p>
    <w:p>
      <w:pPr>
        <w:spacing w:after="0" w:line="63" w:lineRule="exact"/>
        <w:rPr>
          <w:sz w:val="24"/>
          <w:szCs w:val="24"/>
          <w:color w:val="auto"/>
        </w:rPr>
      </w:pPr>
    </w:p>
    <w:p>
      <w:pPr>
        <w:jc w:val="both"/>
        <w:ind w:firstLine="42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firstLine="432"/>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6" w:lineRule="exact"/>
        <w:rPr>
          <w:sz w:val="24"/>
          <w:szCs w:val="24"/>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60"/>
          </w:cols>
          <w:pgMar w:left="1420" w:top="229" w:right="1419" w:bottom="1440" w:gutter="0" w:footer="0" w:header="0"/>
        </w:sectPr>
      </w:pPr>
    </w:p>
    <w:p>
      <w:pPr>
        <w:spacing w:after="0" w:line="39"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4940" w:space="720"/>
            <w:col w:w="3400"/>
          </w:cols>
          <w:pgMar w:left="1420" w:top="229" w:right="1419" w:bottom="1440" w:gutter="0" w:footer="0" w:header="0"/>
          <w:type w:val="continuous"/>
        </w:sectPr>
      </w:pPr>
    </w:p>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(Do not check if a smaller reporting company) 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79" w:lineRule="exact"/>
        <w:rPr>
          <w:sz w:val="24"/>
          <w:szCs w:val="24"/>
          <w:color w:val="auto"/>
        </w:rPr>
      </w:pPr>
    </w:p>
    <w:p>
      <w:pPr>
        <w:sectPr>
          <w:pgSz w:w="11900" w:h="16838" w:orient="portrait"/>
          <w:cols w:equalWidth="0" w:num="2">
            <w:col w:w="5140" w:space="520"/>
            <w:col w:w="3400"/>
          </w:cols>
          <w:pgMar w:left="1420" w:top="229" w:right="1419" w:bottom="1440" w:gutter="0" w:footer="0" w:header="0"/>
          <w:type w:val="continuous"/>
        </w:sectPr>
      </w:pPr>
    </w:p>
    <w:p>
      <w:pPr>
        <w:jc w:val="both"/>
        <w:ind w:firstLine="428"/>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p>
    <w:p>
      <w:pPr>
        <w:spacing w:after="0" w:line="22" w:lineRule="exact"/>
        <w:rPr>
          <w:sz w:val="24"/>
          <w:szCs w:val="24"/>
          <w:color w:val="auto"/>
        </w:rPr>
      </w:pPr>
    </w:p>
    <w:p>
      <w:pPr>
        <w:ind w:left="200" w:hanging="197"/>
        <w:spacing w:after="0" w:line="207" w:lineRule="exact"/>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As of April 20, 2017, the total number of shares outstanding of the registrant’s Common Stock was 124,994,009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937895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29" w:right="1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5"/>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11"/>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0" w:type="dxa"/>
            <w:vAlign w:val="bottom"/>
            <w:gridSpan w:val="10"/>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7"/>
            <w:vMerge w:val="restart"/>
          </w:tcPr>
          <w:p>
            <w:pPr>
              <w:jc w:val="cente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FINANCIAL INFORMATION</w:t>
              </w:r>
            </w:hyperlink>
          </w:p>
        </w:tc>
        <w:tc>
          <w:tcPr>
            <w:tcW w:w="264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bottom w:val="single" w:sz="8" w:color="0000EE"/>
            </w:tcBorders>
            <w:gridSpan w:val="7"/>
            <w:vMerge w:val="continue"/>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Financial Statements</w:t>
              </w:r>
            </w:hyperlink>
          </w:p>
        </w:tc>
        <w:tc>
          <w:tcPr>
            <w:tcW w:w="602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 at April 1, 2017 and July 2, 2016</w:t>
              </w:r>
            </w:hyperlink>
          </w:p>
        </w:tc>
        <w:tc>
          <w:tcPr>
            <w:tcW w:w="324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for the third quarters and nine months ended April 1, 2017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April 2, 2016</w:t>
              </w:r>
            </w:hyperlink>
          </w:p>
        </w:tc>
        <w:tc>
          <w:tcPr>
            <w:tcW w:w="6260" w:type="dxa"/>
            <w:vAlign w:val="bottom"/>
            <w:tcBorders>
              <w:top w:val="single" w:sz="8" w:color="0000EE"/>
            </w:tcBorders>
            <w:gridSpan w:val="16"/>
          </w:tcPr>
          <w:p>
            <w:pPr>
              <w:spacing w:after="0"/>
              <w:rPr>
                <w:sz w:val="17"/>
                <w:szCs w:val="17"/>
                <w:color w:val="auto"/>
              </w:rPr>
            </w:pPr>
          </w:p>
        </w:tc>
        <w:tc>
          <w:tcPr>
            <w:tcW w:w="4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 for the third quarters and nine months ended April 1,</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2017 and April 2, 2016</w:t>
              </w:r>
            </w:hyperlink>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nine months ended April 1, 2017 and April 2, 2016</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Consolidated Financial Statements</w:t>
              </w:r>
            </w:hyperlink>
          </w:p>
        </w:tc>
        <w:tc>
          <w:tcPr>
            <w:tcW w:w="3960" w:type="dxa"/>
            <w:vAlign w:val="bottom"/>
            <w:tcBorders>
              <w:top w:val="single" w:sz="8" w:color="0000EE"/>
            </w:tcBorders>
            <w:gridSpan w:val="7"/>
          </w:tcPr>
          <w:p>
            <w:pPr>
              <w:spacing w:after="0"/>
              <w:rPr>
                <w:sz w:val="24"/>
                <w:szCs w:val="24"/>
                <w:color w:val="auto"/>
              </w:rPr>
            </w:pPr>
          </w:p>
        </w:tc>
        <w:tc>
          <w:tcPr>
            <w:tcW w:w="64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0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3. Quantitative and Qualitative Disclosures About Market Risk</w:t>
              </w:r>
            </w:hyperlink>
          </w:p>
        </w:tc>
        <w:tc>
          <w:tcPr>
            <w:tcW w:w="31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 Controls and Procedures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PART II. OTHER INFORMATION</w:t>
              </w:r>
            </w:hyperlink>
          </w:p>
        </w:tc>
        <w:tc>
          <w:tcPr>
            <w:tcW w:w="28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 Legal Proceedings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1A. Risk Factors</w:t>
              </w:r>
            </w:hyperlink>
          </w:p>
        </w:tc>
        <w:tc>
          <w:tcPr>
            <w:tcW w:w="620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Item 6. Exhibits</w:t>
              </w:r>
            </w:hyperlink>
          </w:p>
        </w:tc>
        <w:tc>
          <w:tcPr>
            <w:tcW w:w="3740" w:type="dxa"/>
            <w:vAlign w:val="bottom"/>
            <w:tcBorders>
              <w:top w:val="single" w:sz="8" w:color="0000EE"/>
            </w:tcBorders>
            <w:gridSpan w:val="12"/>
          </w:tcPr>
          <w:p>
            <w:pPr>
              <w:spacing w:after="0"/>
              <w:rPr>
                <w:sz w:val="24"/>
                <w:szCs w:val="24"/>
                <w:color w:val="auto"/>
              </w:rPr>
            </w:pPr>
          </w:p>
        </w:tc>
        <w:tc>
          <w:tcPr>
            <w:tcW w:w="318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Signature Page</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544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1100" w:type="dxa"/>
            <w:vAlign w:val="bottom"/>
          </w:tcPr>
          <w:p>
            <w:pPr>
              <w:spacing w:after="0"/>
              <w:rPr>
                <w:sz w:val="21"/>
                <w:szCs w:val="21"/>
                <w:color w:val="auto"/>
              </w:rPr>
            </w:pPr>
          </w:p>
        </w:tc>
        <w:tc>
          <w:tcPr>
            <w:tcW w:w="544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4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AVNET, INC. AND SUBSIDIARIES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p>
        </w:tc>
        <w:tc>
          <w:tcPr>
            <w:tcW w:w="544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6"/>
        </w:trPr>
        <w:tc>
          <w:tcPr>
            <w:tcW w:w="11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110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r>
      <w:tr>
        <w:trPr>
          <w:trHeight w:val="194"/>
        </w:trPr>
        <w:tc>
          <w:tcPr>
            <w:tcW w:w="11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(Thousands, except share</w:t>
            </w:r>
          </w:p>
        </w:tc>
        <w:tc>
          <w:tcPr>
            <w:tcW w:w="100" w:type="dxa"/>
            <w:vAlign w:val="bottom"/>
          </w:tcPr>
          <w:p>
            <w:pPr>
              <w:spacing w:after="0"/>
              <w:rPr>
                <w:sz w:val="16"/>
                <w:szCs w:val="16"/>
                <w:color w:val="auto"/>
              </w:rPr>
            </w:pPr>
          </w:p>
        </w:tc>
      </w:tr>
      <w:tr>
        <w:trPr>
          <w:trHeight w:val="238"/>
        </w:trPr>
        <w:tc>
          <w:tcPr>
            <w:tcW w:w="11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w:t>
            </w:r>
          </w:p>
        </w:tc>
      </w:tr>
      <w:tr>
        <w:trPr>
          <w:trHeight w:val="216"/>
        </w:trPr>
        <w:tc>
          <w:tcPr>
            <w:tcW w:w="110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1,129,233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1,031,478</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less allowances of $45,033 and $27,448,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2,769,906</w:t>
            </w:r>
          </w:p>
        </w:tc>
        <w:tc>
          <w:tcPr>
            <w:tcW w:w="100" w:type="dxa"/>
            <w:vAlign w:val="bottom"/>
            <w:shd w:val="clear" w:color="auto" w:fill="CCEEFF"/>
          </w:tcPr>
          <w:p>
            <w:pPr>
              <w:spacing w:after="0"/>
              <w:rPr>
                <w:sz w:val="18"/>
                <w:szCs w:val="18"/>
                <w:color w:val="auto"/>
              </w:rPr>
            </w:pP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2,559,921</w:t>
            </w: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81,197</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2,561,471</w:t>
            </w:r>
          </w:p>
        </w:tc>
        <w:tc>
          <w:tcPr>
            <w:tcW w:w="100" w:type="dxa"/>
            <w:vAlign w:val="bottom"/>
          </w:tcPr>
          <w:p>
            <w:pPr>
              <w:spacing w:after="0"/>
              <w:rPr>
                <w:sz w:val="19"/>
                <w:szCs w:val="19"/>
                <w:color w:val="auto"/>
              </w:rPr>
            </w:pPr>
          </w:p>
        </w:tc>
      </w:tr>
      <w:tr>
        <w:trPr>
          <w:trHeight w:val="216"/>
        </w:trPr>
        <w:tc>
          <w:tcPr>
            <w:tcW w:w="654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7,672,992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9,003,973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453,209</w:t>
            </w:r>
          </w:p>
        </w:tc>
        <w:tc>
          <w:tcPr>
            <w:tcW w:w="100" w:type="dxa"/>
            <w:vAlign w:val="bottom"/>
          </w:tcPr>
          <w:p>
            <w:pPr>
              <w:spacing w:after="0"/>
              <w:rPr>
                <w:sz w:val="18"/>
                <w:szCs w:val="18"/>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621,852</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22,571</w:t>
            </w:r>
          </w:p>
        </w:tc>
        <w:tc>
          <w:tcPr>
            <w:tcW w:w="100" w:type="dxa"/>
            <w:vAlign w:val="bottom"/>
          </w:tcPr>
          <w:p>
            <w:pPr>
              <w:spacing w:after="0"/>
              <w:rPr>
                <w:sz w:val="18"/>
                <w:szCs w:val="18"/>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239,133</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899,067</w:t>
            </w:r>
          </w:p>
        </w:tc>
        <w:tc>
          <w:tcPr>
            <w:tcW w:w="100" w:type="dxa"/>
            <w:vAlign w:val="bottom"/>
          </w:tcPr>
          <w:p>
            <w:pPr>
              <w:spacing w:after="0"/>
              <w:rPr>
                <w:sz w:val="19"/>
                <w:szCs w:val="19"/>
                <w:color w:val="auto"/>
              </w:rPr>
            </w:pPr>
          </w:p>
        </w:tc>
      </w:tr>
      <w:tr>
        <w:trPr>
          <w:trHeight w:val="236"/>
        </w:trPr>
        <w:tc>
          <w:tcPr>
            <w:tcW w:w="654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100" w:type="dxa"/>
            <w:vAlign w:val="bottom"/>
          </w:tcPr>
          <w:p>
            <w:pPr>
              <w:spacing w:after="0"/>
              <w:rPr>
                <w:sz w:val="17"/>
                <w:szCs w:val="17"/>
                <w:color w:val="auto"/>
              </w:rPr>
            </w:pPr>
          </w:p>
        </w:tc>
        <w:tc>
          <w:tcPr>
            <w:tcW w:w="5440" w:type="dxa"/>
            <w:vAlign w:val="bottom"/>
          </w:tcPr>
          <w:p>
            <w:pPr>
              <w:jc w:val="center"/>
              <w:ind w:right="99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32,574</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1,152,599</w:t>
            </w: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1,590,777</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394,888</w:t>
            </w:r>
          </w:p>
        </w:tc>
        <w:tc>
          <w:tcPr>
            <w:tcW w:w="100" w:type="dxa"/>
            <w:vAlign w:val="bottom"/>
          </w:tcPr>
          <w:p>
            <w:pPr>
              <w:spacing w:after="0"/>
              <w:rPr>
                <w:sz w:val="18"/>
                <w:szCs w:val="18"/>
                <w:color w:val="auto"/>
              </w:rPr>
            </w:pPr>
          </w:p>
        </w:tc>
      </w:tr>
      <w:tr>
        <w:trPr>
          <w:trHeight w:val="236"/>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1,804,229</w:t>
            </w:r>
          </w:p>
        </w:tc>
        <w:tc>
          <w:tcPr>
            <w:tcW w:w="100" w:type="dxa"/>
            <w:vAlign w:val="bottom"/>
            <w:shd w:val="clear" w:color="auto" w:fill="CCEEFF"/>
          </w:tcPr>
          <w:p>
            <w:pPr>
              <w:spacing w:after="0"/>
              <w:rPr>
                <w:sz w:val="20"/>
                <w:szCs w:val="20"/>
                <w:color w:val="auto"/>
              </w:rPr>
            </w:pPr>
          </w:p>
        </w:tc>
      </w:tr>
      <w:tr>
        <w:trPr>
          <w:trHeight w:val="203"/>
        </w:trPr>
        <w:tc>
          <w:tcPr>
            <w:tcW w:w="6540" w:type="dxa"/>
            <w:vAlign w:val="bottom"/>
            <w:tcBorders>
              <w:top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2,644,643</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4,942,493</w:t>
            </w:r>
          </w:p>
        </w:tc>
        <w:tc>
          <w:tcPr>
            <w:tcW w:w="100" w:type="dxa"/>
            <w:vAlign w:val="bottom"/>
            <w:tcBorders>
              <w:top w:val="single" w:sz="8" w:color="CCEEFF"/>
            </w:tcBorders>
          </w:tcPr>
          <w:p>
            <w:pPr>
              <w:spacing w:after="0"/>
              <w:rPr>
                <w:sz w:val="17"/>
                <w:szCs w:val="17"/>
                <w:color w:val="auto"/>
              </w:rPr>
            </w:pPr>
          </w:p>
        </w:tc>
      </w:tr>
      <w:tr>
        <w:trPr>
          <w:trHeight w:val="216"/>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1,339,204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223,053</w:t>
            </w:r>
          </w:p>
        </w:tc>
        <w:tc>
          <w:tcPr>
            <w:tcW w:w="100" w:type="dxa"/>
            <w:vAlign w:val="bottom"/>
          </w:tcPr>
          <w:p>
            <w:pPr>
              <w:spacing w:after="0"/>
              <w:rPr>
                <w:sz w:val="18"/>
                <w:szCs w:val="18"/>
                <w:color w:val="auto"/>
              </w:rPr>
            </w:pPr>
          </w:p>
        </w:tc>
      </w:tr>
      <w:tr>
        <w:trPr>
          <w:trHeight w:val="236"/>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43,769</w:t>
            </w:r>
          </w:p>
        </w:tc>
        <w:tc>
          <w:tcPr>
            <w:tcW w:w="100" w:type="dxa"/>
            <w:vAlign w:val="bottom"/>
            <w:shd w:val="clear" w:color="auto" w:fill="CCEEFF"/>
          </w:tcPr>
          <w:p>
            <w:pPr>
              <w:spacing w:after="0"/>
              <w:rPr>
                <w:sz w:val="20"/>
                <w:szCs w:val="20"/>
                <w:color w:val="auto"/>
              </w:rPr>
            </w:pPr>
          </w:p>
        </w:tc>
      </w:tr>
      <w:tr>
        <w:trPr>
          <w:trHeight w:val="210"/>
        </w:trPr>
        <w:tc>
          <w:tcPr>
            <w:tcW w:w="6540" w:type="dxa"/>
            <w:vAlign w:val="bottom"/>
            <w:tcBorders>
              <w:top w:val="single" w:sz="8" w:color="CCEEFF"/>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4,746,205</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6,548,519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126,238,957 shares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127,377,466 shares,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127,377</w:t>
            </w:r>
          </w:p>
        </w:tc>
        <w:tc>
          <w:tcPr>
            <w:tcW w:w="100" w:type="dxa"/>
            <w:vAlign w:val="bottom"/>
            <w:shd w:val="clear" w:color="auto" w:fill="CCEEFF"/>
          </w:tcPr>
          <w:p>
            <w:pPr>
              <w:spacing w:after="0"/>
              <w:rPr>
                <w:sz w:val="20"/>
                <w:szCs w:val="20"/>
                <w:color w:val="auto"/>
              </w:rPr>
            </w:pPr>
          </w:p>
        </w:tc>
      </w:tr>
      <w:tr>
        <w:trPr>
          <w:trHeight w:val="216"/>
        </w:trPr>
        <w:tc>
          <w:tcPr>
            <w:tcW w:w="6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1,452,678</w:t>
            </w: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3,872,407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3,632,271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(520,775)</w:t>
            </w:r>
          </w:p>
        </w:tc>
        <w:tc>
          <w:tcPr>
            <w:tcW w:w="100" w:type="dxa"/>
            <w:vAlign w:val="bottom"/>
          </w:tcPr>
          <w:p>
            <w:pPr>
              <w:spacing w:after="0"/>
              <w:rPr>
                <w:sz w:val="18"/>
                <w:szCs w:val="18"/>
                <w:color w:val="auto"/>
              </w:rPr>
            </w:pPr>
          </w:p>
        </w:tc>
      </w:tr>
      <w:tr>
        <w:trPr>
          <w:trHeight w:val="236"/>
        </w:trPr>
        <w:tc>
          <w:tcPr>
            <w:tcW w:w="6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23,683 shares and 27,314 shares,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0"/>
                <w:szCs w:val="20"/>
                <w:color w:val="auto"/>
              </w:rPr>
            </w:pPr>
          </w:p>
        </w:tc>
      </w:tr>
      <w:tr>
        <w:trPr>
          <w:trHeight w:val="210"/>
        </w:trPr>
        <w:tc>
          <w:tcPr>
            <w:tcW w:w="6540" w:type="dxa"/>
            <w:vAlign w:val="bottom"/>
            <w:tcBorders>
              <w:top w:val="single" w:sz="8" w:color="CCEEFF"/>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5,099,573</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4,691,286</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65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9,845,778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11,239,805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gridSpan w:val="1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(Thousands, except per share amounts)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4,441,896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4,081,961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12,833,559</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12,771,628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3,811,910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3,561,019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11,094,733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11,189,459</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1,582,169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1,093,982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35,455</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114,283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368,027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452,732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388,631</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69,774</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190,073</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318,857</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(35,237)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36,671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90,868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discontinued operations,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181,851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90,868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income per share - basic</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131,834</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134,298</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Cash dividends paid per common share</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Third Quarters Ended</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2,</w:t>
            </w:r>
          </w:p>
        </w:tc>
      </w:tr>
      <w:tr>
        <w:trPr>
          <w:trHeight w:val="245"/>
        </w:trPr>
        <w:tc>
          <w:tcPr>
            <w:tcW w:w="4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6"/>
        </w:trPr>
        <w:tc>
          <w:tcPr>
            <w:tcW w:w="4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443,832</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409,725</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20,987</w:t>
            </w: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TS business divestiture (Note 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adjustments, net</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10"/>
        </w:trPr>
        <w:tc>
          <w:tcPr>
            <w:tcW w:w="43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comprehensive (loss) income</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548,040</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255,487</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572,901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437,092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April 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April 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443,832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Income from discontinued operations, net of tax</w:t>
            </w: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253,759</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190,073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and other reconciling items: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net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(net of effects from businesses acquired and divested):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(335,617)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86,103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Accrued expenses and other, net</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flows provided by operating activities - continuing operations</w:t>
            </w: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140,466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flows (used) provided by operating activities - discontinued operations</w:t>
            </w: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(325,096)</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flows (used) provided by operating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(184,630)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297,127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notes, net of issuance costs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296,374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 of notes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Borrowings (repayments) under accounts receivable securitization, net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 (repayments) of bank and revolving debt, net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(168,386)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Borrowings of term loans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530,756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of term loans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(511,358)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(124,598)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net</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flows used for financing activities - continuing operations</w:t>
            </w: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(1,050,651)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flows provided by financing activities - discontinued operations</w:t>
            </w: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flows used for financing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(1,047,204)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(107,960)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Acquisitions of businesses, net of cash acquired (Note 2)</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(801,164)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net</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flows used for investing activities - continuing operations</w:t>
            </w: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(890,720)</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flows provided (used) for investing activities - discontinued operations</w:t>
            </w: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2,235,384</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flows provided (used) for investing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1,344,664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currency exchange rate changes on cash and cash equivalents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97,755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1,031,478</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932,553</w:t>
            </w:r>
          </w:p>
        </w:tc>
        <w:tc>
          <w:tcPr>
            <w:tcW w:w="0" w:type="dxa"/>
            <w:vAlign w:val="bottom"/>
          </w:tcPr>
          <w:p>
            <w:pPr>
              <w:spacing w:after="0"/>
              <w:rPr>
                <w:sz w:val="1"/>
                <w:szCs w:val="1"/>
                <w:color w:val="auto"/>
              </w:rPr>
            </w:pPr>
          </w:p>
        </w:tc>
      </w:tr>
      <w:tr>
        <w:trPr>
          <w:trHeight w:val="197"/>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5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1,129,233</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1,036,485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-4445</wp:posOffset>
            </wp:positionV>
            <wp:extent cx="6946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(loss) and cash flows. All such adjustments are of a normal recurring nature.</w:t>
      </w:r>
    </w:p>
    <w:p>
      <w:pPr>
        <w:spacing w:after="0" w:line="180"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U.S. (“GAAP”) requires management to make estimates and assumptions that affect the amounts reported in the consolidated financial statements. Actual results may differ from these estimates.</w:t>
      </w:r>
    </w:p>
    <w:p>
      <w:pPr>
        <w:spacing w:after="0" w:line="176"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2, 2016.</w:t>
      </w:r>
    </w:p>
    <w:p>
      <w:pPr>
        <w:spacing w:after="0" w:line="176"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in prior periods and the fiscal year to date current periods to conform to the current period presentation.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227" w:lineRule="exact"/>
        <w:rPr>
          <w:sz w:val="20"/>
          <w:szCs w:val="20"/>
          <w:color w:val="auto"/>
        </w:rPr>
      </w:pPr>
    </w:p>
    <w:p>
      <w:pPr>
        <w:jc w:val="both"/>
        <w:ind w:firstLine="428"/>
        <w:spacing w:after="0" w:line="261" w:lineRule="auto"/>
        <w:rPr>
          <w:sz w:val="20"/>
          <w:szCs w:val="20"/>
          <w:color w:val="auto"/>
        </w:rPr>
      </w:pPr>
      <w:r>
        <w:rPr>
          <w:rFonts w:ascii="Times New Roman" w:cs="Times New Roman" w:eastAsia="Times New Roman" w:hAnsi="Times New Roman"/>
          <w:sz w:val="18"/>
          <w:szCs w:val="18"/>
          <w:color w:val="auto"/>
        </w:rPr>
        <w:t>The results of operations for Avnet’s Technology Solutions (“TS”) business, including all businesses subject to the completed TS sale, have been classified as discontinued operations for all periods presented in the consolidated statements of operations and the consolidated statements of cash flows. The assets and liabilities of TS prior to the completion of the sale were classified as held for sale in the consolidated balance sheets. See Note 3 for additional information.</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The Company operates on a “52/53 week” fiscal year and fiscal 2017 contains 52 weeks compared to 53 weeks in fiscal 2016. As a result, the first nine months of fiscal 2017 contained 39 weeks compared to the first nine months of fiscal 2016, which contained 40 weeks.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jc w:val="both"/>
        <w:ind w:firstLine="428"/>
        <w:spacing w:after="0" w:line="253" w:lineRule="auto"/>
        <w:rPr>
          <w:sz w:val="20"/>
          <w:szCs w:val="20"/>
          <w:color w:val="auto"/>
        </w:rPr>
      </w:pPr>
      <w:r>
        <w:rPr>
          <w:rFonts w:ascii="Times New Roman" w:cs="Times New Roman" w:eastAsia="Times New Roman" w:hAnsi="Times New Roman"/>
          <w:sz w:val="18"/>
          <w:szCs w:val="18"/>
          <w:color w:val="auto"/>
        </w:rPr>
        <w:t xml:space="preserve">In March 2017, the Financial Accounting Standards Board issued Accounting Standards Update 2017-07, </w:t>
      </w:r>
      <w:r>
        <w:rPr>
          <w:rFonts w:ascii="Times New Roman" w:cs="Times New Roman" w:eastAsia="Times New Roman" w:hAnsi="Times New Roman"/>
          <w:sz w:val="18"/>
          <w:szCs w:val="18"/>
          <w:i w:val="1"/>
          <w:iCs w:val="1"/>
          <w:color w:val="auto"/>
        </w:rPr>
        <w:t xml:space="preserve">Compensation—Retirement Benefits (Topic 715): Improving the Presentation of Net Periodic Pension Cost and Net Periodic Postretirement Benefit Cost </w:t>
      </w:r>
      <w:r>
        <w:rPr>
          <w:rFonts w:ascii="Times New Roman" w:cs="Times New Roman" w:eastAsia="Times New Roman" w:hAnsi="Times New Roman"/>
          <w:sz w:val="18"/>
          <w:szCs w:val="18"/>
          <w:color w:val="auto"/>
        </w:rPr>
        <w:t>(“ASU 2017-07”). The new guidance requires the service cost component of net periodic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to be presented in the same income statement line item as other employee compensation costs arising from services rendered during the period and allows only the service cost component eligible for capitalization in assets. Other components of the net periodic benefit cost are to be presented separately from the line item that includes the service cost and outside of any subtotal of operating income and the line item must be appropriately described. If a separate line item is not used, the line item used in the income statement to present the other components of net benefit cost must be disclosed. The guidance is effective for fiscal years beginning after December 15, 2017, and interim periods within that annual period, with early adoption permitted. The amendment is to be applied retrospectively. The new guidance primarily impacts the income statement presentation of net periodic benefit cost and the Company does not believe adoption of this standard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jc w:val="both"/>
        <w:ind w:firstLine="428"/>
        <w:spacing w:after="0" w:line="253"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Standards Update 2017-04, </w:t>
      </w:r>
      <w:r>
        <w:rPr>
          <w:rFonts w:ascii="Times New Roman" w:cs="Times New Roman" w:eastAsia="Times New Roman" w:hAnsi="Times New Roman"/>
          <w:sz w:val="18"/>
          <w:szCs w:val="18"/>
          <w:i w:val="1"/>
          <w:iCs w:val="1"/>
          <w:color w:val="auto"/>
        </w:rPr>
        <w:t>Intangibles-Goodwill and Other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350): Simplifying the Test for Goodwill Impairment </w:t>
      </w:r>
      <w:r>
        <w:rPr>
          <w:rFonts w:ascii="Times New Roman" w:cs="Times New Roman" w:eastAsia="Times New Roman" w:hAnsi="Times New Roman"/>
          <w:sz w:val="18"/>
          <w:szCs w:val="18"/>
          <w:color w:val="auto"/>
        </w:rPr>
        <w:t>(“ASU 2017-04”). The amendments in ASU 2017-04 simplify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measurement of goodwill by eliminating Step Two from the goodwill impairment test. Under the new guidance, an entity performs its annual, or interim, goodwill impairment test by comparing the fair value of a reporting unit with its carrying amount and recognizes an impairment charge for the amount by which the carrying amount exceeds the reporting unit’s fair value, not to exceed the carrying amount of goodwill allocated to the reporting unit. Additionally, an entity should consider income tax effects from any tax-deductible goodwill on the carrying amount of the reporting unit when measuring the goodwill impairment loss, if applicable. An entity will continue to have the option to perform a qualitative assessment to determine if a quantitative impairment test is necessary. The same one-step impairment test will be applied to goodwill at all reporting units, even those with zero or negative carrying amounts. Entities will be required to disclose the amount of goodwill at reporting units with zero or negative carrying amounts. ASU 2017-04 is effective for annual reporting periods, including interim periods within those periods, beginning after December 15, 2019, with early adoption permitted. The Company has early adopted this standard during the third quarter of fiscal 2017, which did not have a material impact on its consolidated financial statements.</w:t>
      </w:r>
    </w:p>
    <w:p>
      <w:pPr>
        <w:spacing w:after="0" w:line="187" w:lineRule="exact"/>
        <w:rPr>
          <w:sz w:val="20"/>
          <w:szCs w:val="20"/>
          <w:color w:val="auto"/>
        </w:rPr>
      </w:pPr>
    </w:p>
    <w:p>
      <w:pPr>
        <w:jc w:val="both"/>
        <w:ind w:firstLine="428"/>
        <w:spacing w:after="0" w:line="253"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Standards Update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xml:space="preserve"> (“ASU 2017-01”). This update clarifies the definition of a business with the objective of adding guidance to assist entities with evaluating whether transactions should be accounted for as acquisitions or disposals of assets or businesses. Under this ASU, when substantially all of the fair value of gross assets acquired or disposed of is concentrated in a single identifiable asset, or group of similar assets, the assets acquired would not represent a business. Also, to be considered a business, an acquisition would have to include an input and a substantive process that together significantly contribute to the ability to produce outputs. The new guidance also narrows the definition of the term outputs to be consistent with how it is described in Topic 606, Revenue from Contracts with Customers. ASU 2017-01 is effective for fiscal years, and interim periods within those fiscal years, beginning after December 15, 2017, with early adoption permitted. A prospective approach should be applied to any transactions occurring within the period of adoption. The Company does not believe that ASU 2017-01 will have a material impact on its consolidated financial statements.</w:t>
      </w:r>
    </w:p>
    <w:p>
      <w:pPr>
        <w:spacing w:after="0" w:line="193" w:lineRule="exact"/>
        <w:rPr>
          <w:sz w:val="20"/>
          <w:szCs w:val="20"/>
          <w:color w:val="auto"/>
        </w:rPr>
      </w:pPr>
    </w:p>
    <w:p>
      <w:pPr>
        <w:jc w:val="both"/>
        <w:ind w:firstLine="428"/>
        <w:spacing w:after="0" w:line="257" w:lineRule="auto"/>
        <w:rPr>
          <w:sz w:val="20"/>
          <w:szCs w:val="20"/>
          <w:color w:val="auto"/>
        </w:rPr>
      </w:pPr>
      <w:r>
        <w:rPr>
          <w:rFonts w:ascii="Times New Roman" w:cs="Times New Roman" w:eastAsia="Times New Roman" w:hAnsi="Times New Roman"/>
          <w:sz w:val="18"/>
          <w:szCs w:val="18"/>
          <w:color w:val="auto"/>
        </w:rPr>
        <w:t xml:space="preserve">In October 2016, the FASB (“FASB”) issued Accounting Standards Update No. 2016-16,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Intra-Entity Transfers of Assets Other Than Inventory </w:t>
      </w:r>
      <w:r>
        <w:rPr>
          <w:rFonts w:ascii="Times New Roman" w:cs="Times New Roman" w:eastAsia="Times New Roman" w:hAnsi="Times New Roman"/>
          <w:sz w:val="18"/>
          <w:szCs w:val="18"/>
          <w:color w:val="auto"/>
        </w:rPr>
        <w:t>(“ASU 2016-16”). The update amends accounting guidance for intra-entity transfers of assets other than inventory to require the recognition of income tax consequences when the transfer occurs. The update is effective for fiscal years, and interim periods within those fiscal years, beginning after December 15, 2017, with early adoption permitted. A modified retrospective approach should be applied. The Company is currently evaluating the impact of the adoption of ASU 2016-16 on its consolidated financial statements.</w:t>
      </w:r>
    </w:p>
    <w:p>
      <w:pPr>
        <w:spacing w:after="0" w:line="183"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 xml:space="preserve">In August 2016, the FASB issued Accounting Standards Update No.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Classification of Certain Cash Receipts and Cash Payments </w:t>
      </w:r>
      <w:r>
        <w:rPr>
          <w:rFonts w:ascii="Times New Roman" w:cs="Times New Roman" w:eastAsia="Times New Roman" w:hAnsi="Times New Roman"/>
          <w:sz w:val="18"/>
          <w:szCs w:val="18"/>
          <w:color w:val="auto"/>
        </w:rPr>
        <w:t>(“ASU 2016-15”). The update provides guidance for eight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cash flow classification issues with respect to how certain cash receipts and cash payments are presented and classified within the statement of cash flows in an effort to reduce existing diversity in practice. The standard is effective for fiscal years beginning after December 15, 2017, including interim periods within those fiscal years. Early adoption is permitted, including adoption in an interim period. ASU 2016-15 should be applied using a retrospective transition method to each period presented. The Company is currently evaluating the impacts of the adoption of ASU 2016-15 on its consolidated statements of cash flows.</w:t>
      </w:r>
    </w:p>
    <w:p>
      <w:pPr>
        <w:spacing w:after="0" w:line="185" w:lineRule="exact"/>
        <w:rPr>
          <w:sz w:val="20"/>
          <w:szCs w:val="20"/>
          <w:color w:val="auto"/>
        </w:rPr>
      </w:pPr>
    </w:p>
    <w:p>
      <w:pPr>
        <w:jc w:val="both"/>
        <w:ind w:firstLine="42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The update requires a lessee to recognize assets and liabilities on the consolidated balance sheets for leases with lease terms greater than 12 months. ASU 2016-02 is effective for fiscal years, and interim periods within those fiscal years, beginning after December 15, 2018. Early adoption is permitted. The update will be effective for the Company in the first quarter of fiscal 2020, using a modified retrospective approach. The Company is currently evaluating the impact of the adoption of ASU 2016-02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jc w:val="both"/>
        <w:ind w:firstLine="428"/>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as amended, to supersede nearly all-existing revenue recognition guidance under GAAP. The core principles of ASU 2014-09 are to recognize revenue when promised goods or services are transferred to customers in an amount that reflects the consideration that is expected to be received for those goods or services. Application of the guidance in ASU 2014-09 may require more judgment and estimates within the revenue recognition process compared to existing GAAP. In July 2015, the FASB approved a one-year delay in the effective date of ASU 2014-09, which makes the effective date for the Company the first quarter of fiscal 2019. The Company may adopt the requirements of ASU 2014-09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impact of the future adoption of ASU 2014-09 on its consolidated financial statements, including the method of adoption to be used.</w:t>
      </w:r>
    </w:p>
    <w:p>
      <w:pPr>
        <w:spacing w:after="0" w:line="189" w:lineRule="exact"/>
        <w:rPr>
          <w:sz w:val="20"/>
          <w:szCs w:val="20"/>
          <w:color w:val="auto"/>
        </w:rPr>
      </w:pPr>
    </w:p>
    <w:p>
      <w:pPr>
        <w:ind w:left="440" w:right="7460" w:hanging="437"/>
        <w:spacing w:after="0" w:line="533" w:lineRule="auto"/>
        <w:tabs>
          <w:tab w:leader="none" w:pos="192"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i w:val="1"/>
          <w:iCs w:val="1"/>
          <w:color w:val="auto"/>
        </w:rPr>
        <w:t>Premier Farnell</w:t>
      </w: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October 17, 2016, the Company completed its acquisition of Premier Farnell Plc (“PF”), a global distributor of electronic components and related products delivering engineering solutions to the electronic system design community utilizing multi-channel sales and marketing resources. Management believes that the combined business of Avnet’s continuing operations and PF will create a unique electronic components distribution value proposition, which will expand Avnet’s digital footprint worldwide and allow the Company to reach engineers and makers earlier in the design cycle.</w:t>
      </w:r>
    </w:p>
    <w:p>
      <w:pPr>
        <w:spacing w:after="0" w:line="184"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The cash consideration paid for the acquisition was approximately $841 million, which consisted of £1.85 per share of PF common stock. Additionally, Avnet assumed $242.8 million of debt at fair value. The Company is integrating PF and the goodwill acquired into Avnet’s continuing operations.</w:t>
      </w:r>
    </w:p>
    <w:p>
      <w:pPr>
        <w:spacing w:after="0" w:line="176"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PF, the Company incurred certain acquisition related costs during the first nine months of fiscal 2017, including approximately $19.0 million of acquisition related professional fees and closing costs included within restructuring, integration and other expenses, and approximately $45.0 million of expenses within other income (expense), net for acquisition financing related fees including foreign currency economic hedging costs and bridge financing commitment fees. PF contributed approximately $19.0 million of income from continuing operations in the first nine months of fiscal 2017 since the date of acquisition.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Preliminary allocation of purchase price</w:t>
      </w:r>
    </w:p>
    <w:p>
      <w:pPr>
        <w:spacing w:after="0" w:line="227" w:lineRule="exact"/>
        <w:rPr>
          <w:sz w:val="20"/>
          <w:szCs w:val="20"/>
          <w:color w:val="auto"/>
        </w:rPr>
      </w:pPr>
    </w:p>
    <w:p>
      <w:pPr>
        <w:jc w:val="both"/>
        <w:ind w:firstLine="428"/>
        <w:spacing w:after="0" w:line="254" w:lineRule="auto"/>
        <w:rPr>
          <w:sz w:val="20"/>
          <w:szCs w:val="20"/>
          <w:color w:val="auto"/>
        </w:rPr>
      </w:pPr>
      <w:r>
        <w:rPr>
          <w:rFonts w:ascii="Times New Roman" w:cs="Times New Roman" w:eastAsia="Times New Roman" w:hAnsi="Times New Roman"/>
          <w:sz w:val="18"/>
          <w:szCs w:val="18"/>
          <w:color w:val="auto"/>
        </w:rPr>
        <w:t>The Company has not yet completed its evaluation and determination of certain assets and liabilities acquired, primarily (i) the final valuation of customer, technology and tradename related amortizable intangible assets acquired, (ii) the final assessment and valuation of certain assets acquired and liabilities assumed, including working capital, accrued liabilities, other asset and liabilities and property, plant and equipment, and (iii) the final assessment and valuation of certain income tax accounts. During the third quarter of fiscal 2017, the Company updated its estimated acquisition method values for assets acquired and liabilities assumed, the most significant of which resulted in an increase in goodwill of $30.1 million, a decrease in property, plant and equipment of $39.0 million, a decrease in other long-term liabilities of $6.4 million, a net increase in intangible assets of $6.6 million, and an increase in accounts payable, accrued liabilities and other current liabilities of $4.3 million. The Company expects the final valuations and assessments will be completed by the end of fiscal 2017, which may result in adjustments to the preliminary values included in the following table: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563C1"/>
            </w:tcBorders>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AVNET, INC. AND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Preliminary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Method Values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identifiable assets acquired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919,715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identifiable liabilities acquired</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200"/>
              <w:spacing w:after="0" w:line="203" w:lineRule="exact"/>
              <w:rPr>
                <w:sz w:val="20"/>
                <w:szCs w:val="20"/>
                <w:color w:val="auto"/>
              </w:rPr>
            </w:pPr>
            <w:r>
              <w:rPr>
                <w:rFonts w:ascii="Times New Roman" w:cs="Times New Roman" w:eastAsia="Times New Roman" w:hAnsi="Times New Roman"/>
                <w:sz w:val="18"/>
                <w:szCs w:val="18"/>
                <w:color w:val="auto"/>
              </w:rPr>
              <w:t>Net identifiable assets acquired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344,472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ind w:left="200"/>
              <w:spacing w:after="0" w:line="203" w:lineRule="exact"/>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841,320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Trade receivables of $160.4 million were recorded at preliminary estimated fair value amounts; however, preliminary adjustments to acquired amounts were not significant as book value approximated fair value due to the short-term nature of trade receivables.</w:t>
      </w:r>
    </w:p>
    <w:p>
      <w:pPr>
        <w:spacing w:after="0" w:line="176"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Approximately $10.0 million of goodwill associated with the PF acquisition is expected to be deductible for tax purposes.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 forma and historical results</w:t>
      </w:r>
    </w:p>
    <w:p>
      <w:pPr>
        <w:spacing w:after="0" w:line="227"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Unaudited pro forma information is presented as if the acquisition of PF occurred at the beginning of fiscal 2016. The pro forma information presented below does not purport to present what actual results would have been had the acquisition in fact occurred at the beginning of fiscal 2016, nor does the information project results for any future period.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Third Quarters Ended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80"/>
        </w:trPr>
        <w:tc>
          <w:tcPr>
            <w:tcW w:w="3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17"/>
              <w:spacing w:after="0" w:line="181" w:lineRule="exact"/>
              <w:rPr>
                <w:sz w:val="20"/>
                <w:szCs w:val="20"/>
                <w:color w:val="auto"/>
              </w:rPr>
            </w:pPr>
            <w:r>
              <w:rPr>
                <w:rFonts w:ascii="Times New Roman" w:cs="Times New Roman" w:eastAsia="Times New Roman" w:hAnsi="Times New Roman"/>
                <w:sz w:val="16"/>
                <w:szCs w:val="16"/>
                <w:b w:val="1"/>
                <w:bCs w:val="1"/>
                <w:color w:val="auto"/>
              </w:rPr>
              <w:t>April 1,</w:t>
            </w:r>
          </w:p>
        </w:tc>
        <w:tc>
          <w:tcPr>
            <w:tcW w:w="200" w:type="dxa"/>
            <w:vAlign w:val="bottom"/>
          </w:tcPr>
          <w:p>
            <w:pPr>
              <w:spacing w:after="0"/>
              <w:rPr>
                <w:sz w:val="15"/>
                <w:szCs w:val="15"/>
                <w:color w:val="auto"/>
              </w:rPr>
            </w:pPr>
          </w:p>
        </w:tc>
        <w:tc>
          <w:tcPr>
            <w:tcW w:w="1080" w:type="dxa"/>
            <w:vAlign w:val="bottom"/>
          </w:tcPr>
          <w:p>
            <w:pPr>
              <w:jc w:val="right"/>
              <w:ind w:right="237"/>
              <w:spacing w:after="0" w:line="181" w:lineRule="exact"/>
              <w:rPr>
                <w:sz w:val="20"/>
                <w:szCs w:val="20"/>
                <w:color w:val="auto"/>
              </w:rPr>
            </w:pPr>
            <w:r>
              <w:rPr>
                <w:rFonts w:ascii="Times New Roman" w:cs="Times New Roman" w:eastAsia="Times New Roman" w:hAnsi="Times New Roman"/>
                <w:sz w:val="16"/>
                <w:szCs w:val="16"/>
                <w:b w:val="1"/>
                <w:bCs w:val="1"/>
                <w:color w:val="auto"/>
              </w:rPr>
              <w:t>April 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37"/>
              <w:spacing w:after="0" w:line="181" w:lineRule="exact"/>
              <w:rPr>
                <w:sz w:val="20"/>
                <w:szCs w:val="20"/>
                <w:color w:val="auto"/>
              </w:rPr>
            </w:pPr>
            <w:r>
              <w:rPr>
                <w:rFonts w:ascii="Times New Roman" w:cs="Times New Roman" w:eastAsia="Times New Roman" w:hAnsi="Times New Roman"/>
                <w:sz w:val="16"/>
                <w:szCs w:val="16"/>
                <w:b w:val="1"/>
                <w:bCs w:val="1"/>
                <w:color w:val="auto"/>
              </w:rPr>
              <w:t>April 1,</w:t>
            </w:r>
          </w:p>
        </w:tc>
        <w:tc>
          <w:tcPr>
            <w:tcW w:w="320" w:type="dxa"/>
            <w:vAlign w:val="bottom"/>
          </w:tcPr>
          <w:p>
            <w:pPr>
              <w:spacing w:after="0"/>
              <w:rPr>
                <w:sz w:val="15"/>
                <w:szCs w:val="15"/>
                <w:color w:val="auto"/>
              </w:rPr>
            </w:pPr>
          </w:p>
        </w:tc>
        <w:tc>
          <w:tcPr>
            <w:tcW w:w="960" w:type="dxa"/>
            <w:vAlign w:val="bottom"/>
          </w:tcPr>
          <w:p>
            <w:pPr>
              <w:jc w:val="right"/>
              <w:ind w:right="237"/>
              <w:spacing w:after="0" w:line="181" w:lineRule="exact"/>
              <w:rPr>
                <w:sz w:val="20"/>
                <w:szCs w:val="20"/>
                <w:color w:val="auto"/>
              </w:rPr>
            </w:pPr>
            <w:r>
              <w:rPr>
                <w:rFonts w:ascii="Times New Roman" w:cs="Times New Roman" w:eastAsia="Times New Roman" w:hAnsi="Times New Roman"/>
                <w:sz w:val="16"/>
                <w:szCs w:val="16"/>
                <w:b w:val="1"/>
                <w:bCs w:val="1"/>
                <w:color w:val="auto"/>
              </w:rPr>
              <w:t>April 2,</w:t>
            </w:r>
          </w:p>
        </w:tc>
      </w:tr>
      <w:tr>
        <w:trPr>
          <w:trHeight w:val="245"/>
        </w:trPr>
        <w:tc>
          <w:tcPr>
            <w:tcW w:w="3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4"/>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(Thousands, except per share data)</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 sales (unaudited)</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4,441,896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4,435,214</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13,211,911</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13,787,519</w:t>
            </w: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 net income (unaudited)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271,771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477,060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446,943</w:t>
            </w:r>
          </w:p>
        </w:tc>
      </w:tr>
    </w:tbl>
    <w:p>
      <w:pPr>
        <w:spacing w:after="0" w:line="190"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Pro forma results from continuing operations above exclude any benefits that may result from the acquisition due to synergies derived from sales opportunities, the elimination of any duplicative costs and from lower interest costs. Pro forma results exclude restructuring and acquisition/divestiture related expenses incurred by PF in their historical results of operations and include amortization expense associated with identifiable intangible assets related to the Company’s acquisition of PF. Pro forma results also exclude interest expense and other income (expense), net related to acquisition/divestiture costs as well as any discrete income tax related expenses. Since the date of acquisition through the first nine months of fiscal 2017, PF generated sales of $620.2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During November 2016, the Company acquired Hackster, Inc. (“Hackster”), a start-up online community of engineers, makers and hobbyists. The purchase price of Hackster was not material to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 and gain on sale</w:t>
      </w:r>
    </w:p>
    <w:p>
      <w:pPr>
        <w:spacing w:after="0" w:line="229" w:lineRule="exact"/>
        <w:rPr>
          <w:sz w:val="20"/>
          <w:szCs w:val="20"/>
          <w:color w:val="auto"/>
        </w:rPr>
      </w:pPr>
    </w:p>
    <w:p>
      <w:pPr>
        <w:jc w:val="both"/>
        <w:ind w:firstLine="428"/>
        <w:spacing w:after="0" w:line="261" w:lineRule="auto"/>
        <w:rPr>
          <w:sz w:val="20"/>
          <w:szCs w:val="20"/>
          <w:color w:val="auto"/>
        </w:rPr>
      </w:pPr>
      <w:r>
        <w:rPr>
          <w:rFonts w:ascii="Times New Roman" w:cs="Times New Roman" w:eastAsia="Times New Roman" w:hAnsi="Times New Roman"/>
          <w:sz w:val="18"/>
          <w:szCs w:val="18"/>
          <w:color w:val="auto"/>
        </w:rPr>
        <w:t>In February 2017, the Company completed the sale of its TS business to Tech Data Corporation (the “Buyer”), for approximately $2.86 billion in a combination of $2.61 billion in cash including estimated closing adjustments not yet realized and 2.8 million shares of the Buyer valued at $247.2 million at closing. The TS business has been classified as a discontinued operation for all periods presented as the sale of the TS business represents a strategic shift to Avnet.</w:t>
      </w:r>
    </w:p>
    <w:p>
      <w:pPr>
        <w:spacing w:after="0" w:line="180"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TS sale, the Company recognized an estimated gain on sale of discontinued operations, net of tax of $217.1 million. The final gain on sale could vary materially from the Company’s best estimate as of the third quarter of fiscal 2017 as determination of the final gain amount requires agreement with the Buyer related to final net assets delivered and the geographical allocation of the sales price, which is expected to occur by the first half of fiscal 2018. Included within the gain on sale is $181.5 million of expense reclassified out of accumulated comprehensive income primarily related to TS business cumulative translation adjustments.</w:t>
      </w:r>
    </w:p>
    <w:p>
      <w:pPr>
        <w:spacing w:after="0" w:line="188" w:lineRule="exact"/>
        <w:rPr>
          <w:sz w:val="20"/>
          <w:szCs w:val="20"/>
          <w:color w:val="auto"/>
        </w:rPr>
      </w:pPr>
    </w:p>
    <w:p>
      <w:pPr>
        <w:jc w:val="both"/>
        <w:ind w:firstLine="428"/>
        <w:spacing w:after="0" w:line="254" w:lineRule="auto"/>
        <w:rPr>
          <w:sz w:val="20"/>
          <w:szCs w:val="20"/>
          <w:color w:val="auto"/>
        </w:rPr>
      </w:pPr>
      <w:r>
        <w:rPr>
          <w:rFonts w:ascii="Times New Roman" w:cs="Times New Roman" w:eastAsia="Times New Roman" w:hAnsi="Times New Roman"/>
          <w:sz w:val="18"/>
          <w:szCs w:val="18"/>
          <w:color w:val="auto"/>
        </w:rPr>
        <w:t>The Buyer shares received by the Company are recorded within “Marketable securities” on the Company’s Consolidated Balance Sheets. The Company has classified these shares as trading securities in accordance with ASC 320 due to management having the intent to trade the securities. During the three and nine months ended April 1, 2017, the Company recorded $14.3 million of unrealized gains on the shares due to changes in fair value between the closing date and April 1, 2017, which are recorded in “Other income (expense), net” on the Consolidated Statements of Operations using Level 1 quoted active market prices. The definitive sales agreement includes time based contractual restrictions from the closing date related to the Company’s sale of Buyer shares including a 6-month restriction for 50 percent of the shares and a 12-month restriction for the remaining 50 percent. Subsequent to the third quarter of fiscal 2017, the Company entered into economic hedges for the shares during the contractual restriction periods through the purchase of derivative financial instruments, which economically fixes the amount that will be realized upon the sale of the shares at approximately $247 million.</w:t>
      </w:r>
    </w:p>
    <w:p>
      <w:pPr>
        <w:spacing w:after="0" w:line="186"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TS business, the Company entered into a Transition Services Agreement (“TSA”), pursuant to which the Buyer will pay the Company to provide certain information technology, distribution, facilities, finance and human resources related services for various periods of time depending upon the services not to exceed approximately two years from the closing date. Expenses incurred by the Company to provide such services under the TSA are classified within selling, general and administrative expenses and amounts billed to the Buyer to provide such services are classified as a reduction of such expenses.</w:t>
      </w:r>
    </w:p>
    <w:p>
      <w:pPr>
        <w:spacing w:after="0" w:line="188" w:lineRule="exact"/>
        <w:rPr>
          <w:sz w:val="20"/>
          <w:szCs w:val="20"/>
          <w:color w:val="auto"/>
        </w:rPr>
      </w:pPr>
    </w:p>
    <w:p>
      <w:pPr>
        <w:jc w:val="both"/>
        <w:ind w:firstLine="428"/>
        <w:spacing w:after="0" w:line="261" w:lineRule="auto"/>
        <w:rPr>
          <w:sz w:val="20"/>
          <w:szCs w:val="20"/>
          <w:color w:val="auto"/>
        </w:rPr>
      </w:pPr>
      <w:r>
        <w:rPr>
          <w:rFonts w:ascii="Times New Roman" w:cs="Times New Roman" w:eastAsia="Times New Roman" w:hAnsi="Times New Roman"/>
          <w:sz w:val="18"/>
          <w:szCs w:val="18"/>
          <w:color w:val="auto"/>
        </w:rPr>
        <w:t>Financial results of the TS business through the closing date are presented as “Income from discontinued operations, net of tax” on the Consolidated Statements of Operations. The assets and liabilities of the TS business were presented as “Current assets held for sale”, “Non-current assets held for sale”, “Current liabilities held for sale” and “Non-current liabilities held for sale” on the July 2, 2016, Consolidated Balance Sheet.</w:t>
      </w:r>
    </w:p>
    <w:p>
      <w:pPr>
        <w:spacing w:after="0" w:line="180"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Summarized results of the TS business discontinued operations for the third quarters and nine months ended April 1, 2017, and April 2, 2016, are as follows: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54"/>
        </w:trPr>
        <w:tc>
          <w:tcPr>
            <w:tcW w:w="1280" w:type="dxa"/>
            <w:vAlign w:val="bottom"/>
            <w:tcBorders>
              <w:top w:val="single" w:sz="8" w:color="0563C1"/>
            </w:tcBorders>
          </w:tcPr>
          <w:p>
            <w:pPr>
              <w:spacing w:after="0"/>
              <w:rPr>
                <w:sz w:val="24"/>
                <w:szCs w:val="24"/>
                <w:color w:val="auto"/>
              </w:rPr>
            </w:pPr>
          </w:p>
        </w:tc>
        <w:tc>
          <w:tcPr>
            <w:tcW w:w="47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580" w:type="dxa"/>
            <w:vAlign w:val="bottom"/>
            <w:gridSpan w:val="10"/>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0"/>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2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80" w:type="dxa"/>
            <w:vAlign w:val="bottom"/>
          </w:tcPr>
          <w:p>
            <w:pPr>
              <w:spacing w:after="0"/>
              <w:rPr>
                <w:sz w:val="16"/>
                <w:szCs w:val="16"/>
                <w:color w:val="auto"/>
              </w:rPr>
            </w:pPr>
          </w:p>
        </w:tc>
      </w:tr>
      <w:tr>
        <w:trPr>
          <w:trHeight w:val="245"/>
        </w:trPr>
        <w:tc>
          <w:tcPr>
            <w:tcW w:w="12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1,056,676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5,432,140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7,220,839</w:t>
            </w:r>
          </w:p>
        </w:tc>
        <w:tc>
          <w:tcPr>
            <w:tcW w:w="80" w:type="dxa"/>
            <w:vAlign w:val="bottom"/>
            <w:shd w:val="clear" w:color="auto" w:fill="CCEEFF"/>
          </w:tcPr>
          <w:p>
            <w:pPr>
              <w:spacing w:after="0"/>
              <w:rPr>
                <w:sz w:val="18"/>
                <w:szCs w:val="18"/>
                <w:color w:val="auto"/>
              </w:rPr>
            </w:pPr>
          </w:p>
        </w:tc>
      </w:tr>
      <w:tr>
        <w:trPr>
          <w:trHeight w:val="223"/>
        </w:trPr>
        <w:tc>
          <w:tcPr>
            <w:tcW w:w="4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955,781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1,876,869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4,883,945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6,496,536</w:t>
            </w:r>
          </w:p>
        </w:tc>
        <w:tc>
          <w:tcPr>
            <w:tcW w:w="80" w:type="dxa"/>
            <w:vAlign w:val="bottom"/>
            <w:tcBorders>
              <w:bottom w:val="single" w:sz="8" w:color="CCEEFF"/>
            </w:tcBorders>
          </w:tcPr>
          <w:p>
            <w:pPr>
              <w:spacing w:after="0"/>
              <w:rPr>
                <w:sz w:val="19"/>
                <w:szCs w:val="19"/>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534,443</w:t>
            </w:r>
          </w:p>
        </w:tc>
        <w:tc>
          <w:tcPr>
            <w:tcW w:w="80" w:type="dxa"/>
            <w:vAlign w:val="bottom"/>
          </w:tcPr>
          <w:p>
            <w:pPr>
              <w:spacing w:after="0"/>
              <w:rPr>
                <w:sz w:val="18"/>
                <w:szCs w:val="18"/>
                <w:color w:val="auto"/>
              </w:rPr>
            </w:pPr>
          </w:p>
        </w:tc>
      </w:tr>
      <w:tr>
        <w:trPr>
          <w:trHeight w:val="236"/>
        </w:trPr>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(income) expenses</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27,897</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5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31,594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110,912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161,963</w:t>
            </w:r>
          </w:p>
        </w:tc>
        <w:tc>
          <w:tcPr>
            <w:tcW w:w="80" w:type="dxa"/>
            <w:vAlign w:val="bottom"/>
          </w:tcPr>
          <w:p>
            <w:pPr>
              <w:spacing w:after="0"/>
              <w:rPr>
                <w:sz w:val="17"/>
                <w:szCs w:val="17"/>
                <w:color w:val="auto"/>
              </w:rPr>
            </w:pPr>
          </w:p>
        </w:tc>
      </w:tr>
      <w:tr>
        <w:trPr>
          <w:trHeight w:val="23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(15,343)</w:t>
            </w:r>
          </w:p>
        </w:tc>
      </w:tr>
      <w:tr>
        <w:trPr>
          <w:trHeight w:val="171"/>
        </w:trPr>
        <w:tc>
          <w:tcPr>
            <w:tcW w:w="4540" w:type="dxa"/>
            <w:vAlign w:val="bottom"/>
            <w:tcBorders>
              <w:top w:val="single" w:sz="8" w:color="CCEEFF"/>
            </w:tcBorders>
            <w:gridSpan w:val="2"/>
          </w:tcPr>
          <w:p>
            <w:pPr>
              <w:spacing w:after="0" w:line="171" w:lineRule="exact"/>
              <w:rPr>
                <w:sz w:val="20"/>
                <w:szCs w:val="20"/>
                <w:color w:val="auto"/>
              </w:rPr>
            </w:pPr>
            <w:r>
              <w:rPr>
                <w:rFonts w:ascii="Times New Roman" w:cs="Times New Roman" w:eastAsia="Times New Roman" w:hAnsi="Times New Roman"/>
                <w:sz w:val="18"/>
                <w:szCs w:val="18"/>
                <w:color w:val="auto"/>
              </w:rPr>
              <w:t>(Loss) income from discontinued operations before income</w:t>
            </w: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146,620</w:t>
            </w:r>
          </w:p>
        </w:tc>
        <w:tc>
          <w:tcPr>
            <w:tcW w:w="80" w:type="dxa"/>
            <w:vAlign w:val="bottom"/>
          </w:tcPr>
          <w:p>
            <w:pPr>
              <w:spacing w:after="0"/>
              <w:rPr>
                <w:sz w:val="20"/>
                <w:szCs w:val="20"/>
                <w:color w:val="auto"/>
              </w:rPr>
            </w:pPr>
          </w:p>
        </w:tc>
      </w:tr>
      <w:tr>
        <w:trPr>
          <w:trHeight w:val="236"/>
        </w:trPr>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5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income from discontinued operations, net of taxes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(35,237)</w:t>
            </w:r>
          </w:p>
        </w:tc>
        <w:tc>
          <w:tcPr>
            <w:tcW w:w="2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36,671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90,868</w:t>
            </w:r>
          </w:p>
        </w:tc>
        <w:tc>
          <w:tcPr>
            <w:tcW w:w="80" w:type="dxa"/>
            <w:vAlign w:val="bottom"/>
          </w:tcPr>
          <w:p>
            <w:pPr>
              <w:spacing w:after="0"/>
              <w:rPr>
                <w:sz w:val="17"/>
                <w:szCs w:val="17"/>
                <w:color w:val="auto"/>
              </w:rPr>
            </w:pPr>
          </w:p>
        </w:tc>
      </w:tr>
      <w:tr>
        <w:trPr>
          <w:trHeight w:val="23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discontinued operations, net of tax</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181,851</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15,667</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253,759</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90,868</w:t>
            </w: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Included within selling, general and administrative expenses of discontinued operations was $8.3 million and $10.7 million of corporate expenses specific to or benefiting the TS business for the third quarters ending April 1, 2017, and April 2, 2016, respectively, and $34.9 million and $38.1 million for the nine months ending April 1, 2017, and April 2, 2016, respectively. Corporate costs related to general overhead were not allocated to the TS business. Subsequent to the first quarter of fiscal 2017, depreciation and amortization of the TS business long-lived assets ceased due to the TS business being classified as held for sale.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Summarized assets and liabilities of the TS business, classified as held for sale as of July 2,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54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less allowances of $39,356</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2,205,213</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296,310</w:t>
            </w:r>
          </w:p>
        </w:tc>
        <w:tc>
          <w:tcPr>
            <w:tcW w:w="120" w:type="dxa"/>
            <w:vAlign w:val="bottom"/>
          </w:tcPr>
          <w:p>
            <w:pPr>
              <w:spacing w:after="0"/>
              <w:rPr>
                <w:sz w:val="18"/>
                <w:szCs w:val="18"/>
                <w:color w:val="auto"/>
              </w:rPr>
            </w:pPr>
          </w:p>
        </w:tc>
      </w:tr>
      <w:tr>
        <w:trPr>
          <w:trHeight w:val="236"/>
        </w:trPr>
        <w:tc>
          <w:tcPr>
            <w:tcW w:w="5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3"/>
        </w:trPr>
        <w:tc>
          <w:tcPr>
            <w:tcW w:w="54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2,561,471</w:t>
            </w:r>
          </w:p>
        </w:tc>
        <w:tc>
          <w:tcPr>
            <w:tcW w:w="120" w:type="dxa"/>
            <w:vAlign w:val="bottom"/>
          </w:tcPr>
          <w:p>
            <w:pPr>
              <w:spacing w:after="0"/>
              <w:rPr>
                <w:sz w:val="17"/>
                <w:szCs w:val="17"/>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159,449</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659,368</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55,826</w:t>
            </w:r>
          </w:p>
        </w:tc>
        <w:tc>
          <w:tcPr>
            <w:tcW w:w="120" w:type="dxa"/>
            <w:vAlign w:val="bottom"/>
            <w:shd w:val="clear" w:color="auto" w:fill="CCEEFF"/>
          </w:tcPr>
          <w:p>
            <w:pPr>
              <w:spacing w:after="0"/>
              <w:rPr>
                <w:sz w:val="18"/>
                <w:szCs w:val="18"/>
                <w:color w:val="auto"/>
              </w:rPr>
            </w:pPr>
          </w:p>
        </w:tc>
      </w:tr>
      <w:tr>
        <w:trPr>
          <w:trHeight w:val="223"/>
        </w:trPr>
        <w:tc>
          <w:tcPr>
            <w:tcW w:w="5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12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3,460,538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1,643,004</w:t>
            </w:r>
          </w:p>
        </w:tc>
        <w:tc>
          <w:tcPr>
            <w:tcW w:w="120" w:type="dxa"/>
            <w:vAlign w:val="bottom"/>
            <w:shd w:val="clear" w:color="auto" w:fill="CCEEFF"/>
          </w:tcPr>
          <w:p>
            <w:pPr>
              <w:spacing w:after="0"/>
              <w:rPr>
                <w:sz w:val="18"/>
                <w:szCs w:val="18"/>
                <w:color w:val="auto"/>
              </w:rPr>
            </w:pPr>
          </w:p>
        </w:tc>
      </w:tr>
      <w:tr>
        <w:trPr>
          <w:trHeight w:val="223"/>
        </w:trPr>
        <w:tc>
          <w:tcPr>
            <w:tcW w:w="5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161,225</w:t>
            </w:r>
          </w:p>
        </w:tc>
        <w:tc>
          <w:tcPr>
            <w:tcW w:w="120" w:type="dxa"/>
            <w:vAlign w:val="bottom"/>
            <w:tcBorders>
              <w:bottom w:val="single" w:sz="8" w:color="CCEEFF"/>
            </w:tcBorders>
          </w:tcPr>
          <w:p>
            <w:pPr>
              <w:spacing w:after="0"/>
              <w:rPr>
                <w:sz w:val="19"/>
                <w:szCs w:val="19"/>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1,804,229</w:t>
            </w:r>
          </w:p>
        </w:tc>
        <w:tc>
          <w:tcPr>
            <w:tcW w:w="120" w:type="dxa"/>
            <w:vAlign w:val="bottom"/>
            <w:shd w:val="clear" w:color="auto" w:fill="CCEEFF"/>
          </w:tcPr>
          <w:p>
            <w:pPr>
              <w:spacing w:after="0"/>
              <w:rPr>
                <w:sz w:val="18"/>
                <w:szCs w:val="18"/>
                <w:color w:val="auto"/>
              </w:rPr>
            </w:pPr>
          </w:p>
        </w:tc>
      </w:tr>
      <w:tr>
        <w:trPr>
          <w:trHeight w:val="223"/>
        </w:trPr>
        <w:tc>
          <w:tcPr>
            <w:tcW w:w="5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43,769</w:t>
            </w:r>
          </w:p>
        </w:tc>
        <w:tc>
          <w:tcPr>
            <w:tcW w:w="12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1,847,998</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440" w:right="6560" w:hanging="437"/>
        <w:spacing w:after="0" w:line="503" w:lineRule="auto"/>
        <w:tabs>
          <w:tab w:leader="none" w:pos="18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long-lived assets </w:t>
      </w:r>
      <w:r>
        <w:rPr>
          <w:rFonts w:ascii="Times New Roman" w:cs="Times New Roman" w:eastAsia="Times New Roman" w:hAnsi="Times New Roman"/>
          <w:sz w:val="18"/>
          <w:szCs w:val="18"/>
          <w:i w:val="1"/>
          <w:iCs w:val="1"/>
          <w:color w:val="auto"/>
        </w:rPr>
        <w:t>Goodwill</w:t>
      </w:r>
    </w:p>
    <w:p>
      <w:pPr>
        <w:spacing w:after="0" w:line="1" w:lineRule="exact"/>
        <w:rPr>
          <w:sz w:val="20"/>
          <w:szCs w:val="20"/>
          <w:color w:val="auto"/>
        </w:rPr>
      </w:pPr>
    </w:p>
    <w:p>
      <w:pPr>
        <w:ind w:firstLine="42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goodwill since the end of fiscal 2016. All of the accumulated impairment was recognized in fiscal 2009.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Avnet</w:t>
            </w:r>
          </w:p>
        </w:tc>
      </w:tr>
      <w:tr>
        <w:trPr>
          <w:trHeight w:val="216"/>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80" w:type="dxa"/>
            <w:vAlign w:val="bottom"/>
          </w:tcPr>
          <w:p>
            <w:pPr>
              <w:spacing w:after="0"/>
              <w:rPr>
                <w:sz w:val="18"/>
                <w:szCs w:val="18"/>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goodwill</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1,666,962</w:t>
            </w:r>
          </w:p>
        </w:tc>
        <w:tc>
          <w:tcPr>
            <w:tcW w:w="80" w:type="dxa"/>
            <w:vAlign w:val="bottom"/>
            <w:shd w:val="clear" w:color="auto" w:fill="CCEEFF"/>
          </w:tcPr>
          <w:p>
            <w:pPr>
              <w:spacing w:after="0"/>
              <w:rPr>
                <w:sz w:val="18"/>
                <w:szCs w:val="18"/>
                <w:color w:val="auto"/>
              </w:rPr>
            </w:pPr>
          </w:p>
        </w:tc>
      </w:tr>
      <w:tr>
        <w:trPr>
          <w:trHeight w:val="223"/>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impairment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(1,045,110)</w:t>
            </w:r>
          </w:p>
        </w:tc>
        <w:tc>
          <w:tcPr>
            <w:tcW w:w="80" w:type="dxa"/>
            <w:vAlign w:val="bottom"/>
            <w:tcBorders>
              <w:bottom w:val="single" w:sz="8" w:color="CCEEFF"/>
            </w:tcBorders>
          </w:tcPr>
          <w:p>
            <w:pPr>
              <w:spacing w:after="0"/>
              <w:rPr>
                <w:sz w:val="19"/>
                <w:szCs w:val="19"/>
                <w:color w:val="auto"/>
              </w:rPr>
            </w:pPr>
          </w:p>
        </w:tc>
      </w:tr>
      <w:tr>
        <w:trPr>
          <w:trHeight w:val="236"/>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July 2, 2016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794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Acquisitions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509,631</w:t>
            </w:r>
          </w:p>
        </w:tc>
        <w:tc>
          <w:tcPr>
            <w:tcW w:w="80" w:type="dxa"/>
            <w:vAlign w:val="bottom"/>
          </w:tcPr>
          <w:p>
            <w:pPr>
              <w:spacing w:after="0"/>
              <w:rPr>
                <w:sz w:val="17"/>
                <w:szCs w:val="17"/>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80" w:type="dxa"/>
            <w:vAlign w:val="bottom"/>
            <w:tcBorders>
              <w:bottom w:val="single" w:sz="8" w:color="CCEEFF"/>
            </w:tcBorders>
          </w:tcPr>
          <w:p>
            <w:pPr>
              <w:spacing w:after="0"/>
              <w:rPr>
                <w:sz w:val="19"/>
                <w:szCs w:val="19"/>
                <w:color w:val="auto"/>
              </w:rPr>
            </w:pPr>
          </w:p>
        </w:tc>
      </w:tr>
      <w:tr>
        <w:trPr>
          <w:trHeight w:val="236"/>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April 1, 2017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1,140,978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794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Gross goodwill</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2,186,088</w:t>
            </w:r>
          </w:p>
        </w:tc>
        <w:tc>
          <w:tcPr>
            <w:tcW w:w="80" w:type="dxa"/>
            <w:vAlign w:val="bottom"/>
          </w:tcPr>
          <w:p>
            <w:pPr>
              <w:spacing w:after="0"/>
              <w:rPr>
                <w:sz w:val="17"/>
                <w:szCs w:val="17"/>
                <w:color w:val="auto"/>
              </w:rPr>
            </w:pPr>
          </w:p>
        </w:tc>
      </w:tr>
      <w:tr>
        <w:trPr>
          <w:trHeight w:val="236"/>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(1,045,110)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79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Carrying value at April 1, 2017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1,140,978</w:t>
            </w:r>
          </w:p>
        </w:tc>
        <w:tc>
          <w:tcPr>
            <w:tcW w:w="80" w:type="dxa"/>
            <w:vAlign w:val="bottom"/>
          </w:tcPr>
          <w:p>
            <w:pPr>
              <w:spacing w:after="0"/>
              <w:rPr>
                <w:sz w:val="18"/>
                <w:szCs w:val="18"/>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Company’s acquired intangible assets at April 1, 2017, and July 2, 2016, respectively.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April 1, 2017</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2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11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160" w:type="dxa"/>
            <w:vAlign w:val="bottom"/>
          </w:tcPr>
          <w:p>
            <w:pPr>
              <w:spacing w:after="0"/>
              <w:rPr>
                <w:sz w:val="16"/>
                <w:szCs w:val="16"/>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80" w:type="dxa"/>
            <w:vAlign w:val="bottom"/>
          </w:tcPr>
          <w:p>
            <w:pPr>
              <w:spacing w:after="0"/>
              <w:rPr>
                <w:sz w:val="16"/>
                <w:szCs w:val="16"/>
                <w:color w:val="auto"/>
              </w:rPr>
            </w:pPr>
          </w:p>
        </w:tc>
      </w:tr>
      <w:tr>
        <w:trPr>
          <w:trHeight w:val="225"/>
        </w:trPr>
        <w:tc>
          <w:tcPr>
            <w:tcW w:w="2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9"/>
                <w:szCs w:val="19"/>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03"/>
        </w:trPr>
        <w:tc>
          <w:tcPr>
            <w:tcW w:w="2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related</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$267,326</w:t>
            </w:r>
          </w:p>
        </w:tc>
        <w:tc>
          <w:tcPr>
            <w:tcW w:w="4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47,980</w:t>
            </w:r>
          </w:p>
        </w:tc>
        <w:tc>
          <w:tcPr>
            <w:tcW w:w="4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13,465</w:t>
            </w:r>
          </w:p>
        </w:tc>
        <w:tc>
          <w:tcPr>
            <w:tcW w:w="80" w:type="dxa"/>
            <w:vAlign w:val="bottom"/>
            <w:shd w:val="clear" w:color="auto" w:fill="CCEEFF"/>
          </w:tcPr>
          <w:p>
            <w:pPr>
              <w:spacing w:after="0"/>
              <w:rPr>
                <w:sz w:val="18"/>
                <w:szCs w:val="18"/>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Trade name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40,489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tcPr>
          <w:p>
            <w:pPr>
              <w:spacing w:after="0"/>
              <w:rPr>
                <w:sz w:val="18"/>
                <w:szCs w:val="18"/>
                <w:color w:val="auto"/>
              </w:rPr>
            </w:pPr>
          </w:p>
        </w:tc>
      </w:tr>
      <w:tr>
        <w:trPr>
          <w:trHeight w:val="22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Technology and other</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80" w:type="dxa"/>
            <w:vAlign w:val="bottom"/>
            <w:shd w:val="clear" w:color="auto" w:fill="CCEEFF"/>
          </w:tcPr>
          <w:p>
            <w:pPr>
              <w:spacing w:after="0"/>
              <w:rPr>
                <w:sz w:val="19"/>
                <w:szCs w:val="19"/>
                <w:color w:val="auto"/>
              </w:rPr>
            </w:pPr>
          </w:p>
        </w:tc>
      </w:tr>
      <w:tr>
        <w:trPr>
          <w:trHeight w:val="197"/>
        </w:trPr>
        <w:tc>
          <w:tcPr>
            <w:tcW w:w="24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360,389</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(74,999)</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285,390</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64,082</w:t>
            </w: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(41,511)</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22,571</w:t>
            </w:r>
          </w:p>
        </w:tc>
        <w:tc>
          <w:tcPr>
            <w:tcW w:w="8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both"/>
        <w:ind w:firstLine="428"/>
        <w:spacing w:after="0" w:line="258" w:lineRule="auto"/>
        <w:rPr>
          <w:sz w:val="20"/>
          <w:szCs w:val="20"/>
          <w:color w:val="auto"/>
        </w:rPr>
      </w:pPr>
      <w:r>
        <w:rPr>
          <w:rFonts w:ascii="Times New Roman" w:cs="Times New Roman" w:eastAsia="Times New Roman" w:hAnsi="Times New Roman"/>
          <w:sz w:val="18"/>
          <w:szCs w:val="18"/>
          <w:color w:val="auto"/>
        </w:rPr>
        <w:t>Intangible asset amortization expense from continuing operations was $22.4 million and $1.9 million for the third quarters of fiscal 2017 and 2016, respectively, and $34.2 million and $5.9 million for the first nine months of fiscal 2017 and 2016, respectively. Intangible assets have a weighted average remaining useful life of approximately 4 years. The following table presents the estimated future amortization expense for the remainder of fiscal 2017, the next five fiscal years and thereafter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7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7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7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7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7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7"/>
          <w:szCs w:val="17"/>
          <w:color w:val="auto"/>
        </w:rPr>
        <w:t>During the fourth quarter of fiscal 2017, the Company decided to implement a new global Enterprise Resource Planning (“ERP”). As a result of this decision, the estimated useful life of its ERP system in the Americas, which had a carrying value of approximately $170 million as of April 1, 2017, has been reduced to its estimated remaining useful life of 24 months.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Short-term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April 1, 2017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2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23"/>
        </w:trPr>
        <w:tc>
          <w:tcPr>
            <w:tcW w:w="46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Carrying Balance</w:t>
            </w:r>
          </w:p>
        </w:tc>
        <w:tc>
          <w:tcPr>
            <w:tcW w:w="80" w:type="dxa"/>
            <w:vAlign w:val="bottom"/>
            <w:tcBorders>
              <w:bottom w:val="single" w:sz="8" w:color="CCEEFF"/>
            </w:tcBorders>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facilities and other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1.92</w:t>
            </w:r>
          </w:p>
        </w:tc>
        <w:tc>
          <w:tcPr>
            <w:tcW w:w="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32,574</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122,599</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730,000</w:t>
            </w:r>
          </w:p>
        </w:tc>
        <w:tc>
          <w:tcPr>
            <w:tcW w:w="80" w:type="dxa"/>
            <w:vAlign w:val="bottom"/>
          </w:tcPr>
          <w:p>
            <w:pPr>
              <w:spacing w:after="0"/>
              <w:rPr>
                <w:sz w:val="18"/>
                <w:szCs w:val="18"/>
                <w:color w:val="auto"/>
              </w:rPr>
            </w:pPr>
          </w:p>
        </w:tc>
      </w:tr>
      <w:tr>
        <w:trPr>
          <w:trHeight w:val="23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September 2016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6.63 %</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0"/>
                <w:szCs w:val="20"/>
                <w:color w:val="auto"/>
              </w:rPr>
            </w:pPr>
          </w:p>
        </w:tc>
      </w:tr>
      <w:tr>
        <w:trPr>
          <w:trHeight w:val="210"/>
        </w:trPr>
        <w:tc>
          <w:tcPr>
            <w:tcW w:w="460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32,574</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1,152,599</w:t>
            </w: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PF acquisition, discussed further in Note 2, the Company assumed debt including private placement notes, which the Company planned to repay in connection with the acquisition. In December 2016 and January 2017, the Company paid $78.6 million and $152.2 million, respectively, to redeem the assumed private placement notes. The repayments were made with the proceeds from the issuance of $300 million 3.75% Notes due December 2021 discussed further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2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July 2, 2016</w:t>
            </w:r>
          </w:p>
        </w:tc>
      </w:tr>
      <w:tr>
        <w:trPr>
          <w:trHeight w:val="223"/>
        </w:trPr>
        <w:tc>
          <w:tcPr>
            <w:tcW w:w="43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Carrying Balance</w:t>
            </w:r>
          </w:p>
        </w:tc>
        <w:tc>
          <w:tcPr>
            <w:tcW w:w="80" w:type="dxa"/>
            <w:vAlign w:val="bottom"/>
            <w:tcBorders>
              <w:bottom w:val="single" w:sz="8" w:color="CCEEFF"/>
            </w:tcBorders>
          </w:tcPr>
          <w:p>
            <w:pPr>
              <w:spacing w:after="0"/>
              <w:rPr>
                <w:sz w:val="19"/>
                <w:szCs w:val="19"/>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18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Facility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Notes due: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June 2020</w:t>
            </w:r>
          </w:p>
        </w:tc>
        <w:tc>
          <w:tcPr>
            <w:tcW w:w="13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5.88 %</w:t>
            </w:r>
          </w:p>
        </w:tc>
        <w:tc>
          <w:tcPr>
            <w:tcW w:w="1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2021</w:t>
            </w:r>
          </w:p>
        </w:tc>
        <w:tc>
          <w:tcPr>
            <w:tcW w:w="13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3.75 %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2022</w:t>
            </w:r>
          </w:p>
        </w:tc>
        <w:tc>
          <w:tcPr>
            <w:tcW w:w="13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4.88 %</w:t>
            </w:r>
          </w:p>
        </w:tc>
        <w:tc>
          <w:tcPr>
            <w:tcW w:w="1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2026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8"/>
                <w:szCs w:val="18"/>
                <w:color w:val="auto"/>
              </w:rPr>
            </w:pPr>
          </w:p>
        </w:tc>
      </w:tr>
      <w:tr>
        <w:trPr>
          <w:trHeight w:val="236"/>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3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1,738,602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1,351,551</w:t>
            </w:r>
          </w:p>
        </w:tc>
        <w:tc>
          <w:tcPr>
            <w:tcW w:w="80" w:type="dxa"/>
            <w:vAlign w:val="bottom"/>
          </w:tcPr>
          <w:p>
            <w:pPr>
              <w:spacing w:after="0"/>
              <w:rPr>
                <w:sz w:val="17"/>
                <w:szCs w:val="17"/>
                <w:color w:val="auto"/>
              </w:rPr>
            </w:pPr>
          </w:p>
        </w:tc>
      </w:tr>
      <w:tr>
        <w:trPr>
          <w:trHeight w:val="23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debt issuance costs</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(14,368)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(12,347)</w:t>
            </w:r>
          </w:p>
        </w:tc>
      </w:tr>
      <w:tr>
        <w:trPr>
          <w:trHeight w:val="210"/>
        </w:trPr>
        <w:tc>
          <w:tcPr>
            <w:tcW w:w="4360" w:type="dxa"/>
            <w:vAlign w:val="bottom"/>
            <w:tcBorders>
              <w:top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1,724,234</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1,339,204</w:t>
            </w: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December 2016, the Company issued $300.0 million of 3.75% Notes due December 2021 (the “3.75% Notes”). The Company received proceeds of $296.4 million from the offering, net of discounts and debt issuance costs. The 3.75% Notes rank equally in right of payment with all existing and future senior unsecured debt of Avnet and interest will be payable semi-annually each year on June 1 and December 1.</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February 2017, in connection with the sale of the TS business, the Company amended and reduced the capacity of its accounts receivable securitization program (the “Program”) with a group of financial institutions to allow the Company to transfer, on an ongoing revolving basis, an undivided interest in a designated pool of trade accounts receivable, to provide security or collateral for borrowings up to a maximum of $400.0 million compared to $800.0 million before the amendment. The Program does not qualify for off 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$0.82 billion and $1.46 billion at April 1, 2017, and July 2, 2016, respectively. The Program contains certain covenants relating to the quality of the receivables sold. The Program also requires the Company to maintain certain minimum interest coverage and leverage ratios, which the Company was in compliance with as of April 1, 2017, and July 2, 2016. The Program has a term that expires in August 2018 and as a result is considered long-term debt as of April 1, 2017. Interest on borrowings is calculated using a base rate or a commercial paper rate plus a spread of 0.40% with a facility fee of 0.40%.</w:t>
      </w:r>
    </w:p>
    <w:p>
      <w:pPr>
        <w:spacing w:after="0" w:line="189" w:lineRule="exact"/>
        <w:rPr>
          <w:sz w:val="20"/>
          <w:szCs w:val="20"/>
          <w:color w:val="auto"/>
        </w:rPr>
      </w:pPr>
    </w:p>
    <w:p>
      <w:pPr>
        <w:jc w:val="both"/>
        <w:ind w:firstLine="428"/>
        <w:spacing w:after="0" w:line="254" w:lineRule="auto"/>
        <w:rPr>
          <w:sz w:val="20"/>
          <w:szCs w:val="20"/>
          <w:color w:val="auto"/>
        </w:rPr>
      </w:pPr>
      <w:r>
        <w:rPr>
          <w:rFonts w:ascii="Times New Roman" w:cs="Times New Roman" w:eastAsia="Times New Roman" w:hAnsi="Times New Roman"/>
          <w:sz w:val="18"/>
          <w:szCs w:val="18"/>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April 1, 2017, and July 2, 2016. As of April 1, 2017, and July 2, 2016, there were $3.1 million and $5.6 million, respectively, in letters of credit issued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In October 2016, certain foreign subsidiaries of the Company (the “Borrowers”) borrowed €479 million under a Senior Unsecured Term Loan Credit Agreement (the “Term Loan”) entered into with a group of banks. The Term Loan had a maturity date of October 17, 2019. The proceeds from borrowings under the Term Loan were used to finance a portion of the cash consideration and any fees and expenses related to the Company’s acquisition of PF discussed further in Note 2. In March 2017, the Company repaid in full all outstanding amounts due under the Term Loan with a portion of the proceeds from the sale of the TS Business.</w:t>
      </w:r>
    </w:p>
    <w:p>
      <w:pPr>
        <w:spacing w:after="0" w:line="188" w:lineRule="exact"/>
        <w:rPr>
          <w:sz w:val="20"/>
          <w:szCs w:val="20"/>
          <w:color w:val="auto"/>
        </w:rPr>
      </w:pPr>
    </w:p>
    <w:p>
      <w:pPr>
        <w:jc w:val="both"/>
        <w:ind w:firstLine="428"/>
        <w:spacing w:after="0" w:line="261" w:lineRule="auto"/>
        <w:rPr>
          <w:sz w:val="20"/>
          <w:szCs w:val="20"/>
          <w:color w:val="auto"/>
        </w:rPr>
      </w:pPr>
      <w:r>
        <w:rPr>
          <w:rFonts w:ascii="Times New Roman" w:cs="Times New Roman" w:eastAsia="Times New Roman" w:hAnsi="Times New Roman"/>
          <w:sz w:val="18"/>
          <w:szCs w:val="18"/>
          <w:color w:val="auto"/>
        </w:rPr>
        <w:t>As of April 1, 2017, the carrying value and fair value of the Company’s total debt was $1.76 billion and $1.81 billion, respectively. At July 2, 2016, the carrying value and fair value of the Company’s total debt was $2.49 billion and $2.59 billion, respectively. Fair value for the notes was estimated based upon quoted market prices and for other forms of debt fair value approximates carrying value due to the market based variable nature of the interest rates on those debt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 financial instruments</w:t>
      </w:r>
    </w:p>
    <w:p>
      <w:pPr>
        <w:spacing w:after="0" w:line="229" w:lineRule="exact"/>
        <w:rPr>
          <w:sz w:val="20"/>
          <w:szCs w:val="20"/>
          <w:color w:val="auto"/>
        </w:rPr>
      </w:pPr>
    </w:p>
    <w:p>
      <w:pPr>
        <w:jc w:val="both"/>
        <w:ind w:firstLine="428"/>
        <w:spacing w:after="0" w:line="253"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“other current assets” or “accrued expenses and other,” as applicable, in the accompanying consolidated balance sheets as of April 1, 2017, and July 2, 2016.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89"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76" w:lineRule="exact"/>
        <w:rPr>
          <w:sz w:val="20"/>
          <w:szCs w:val="20"/>
          <w:color w:val="auto"/>
        </w:rPr>
      </w:pPr>
    </w:p>
    <w:p>
      <w:pPr>
        <w:jc w:val="both"/>
        <w:ind w:firstLine="428"/>
        <w:spacing w:after="0" w:line="258" w:lineRule="auto"/>
        <w:rPr>
          <w:sz w:val="20"/>
          <w:szCs w:val="20"/>
          <w:color w:val="auto"/>
        </w:rPr>
      </w:pPr>
      <w:r>
        <w:rPr>
          <w:rFonts w:ascii="Times New Roman" w:cs="Times New Roman" w:eastAsia="Times New Roman" w:hAnsi="Times New Roman"/>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and Mexican Peso. The Company also, to a lesser extent, has foreign operations transactions in other European and Asia/Pacific foreign currencies.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derivative financial instruments in the Company’s consolidated balance sheets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3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5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4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Forward foreign currency exchange contracts not receiving hedge accounting</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treatment recorded in:</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40" w:type="dxa"/>
            <w:vAlign w:val="bottom"/>
            <w:shd w:val="clear" w:color="auto" w:fill="CCEEFF"/>
          </w:tcPr>
          <w:p>
            <w:pPr>
              <w:spacing w:after="0"/>
              <w:rPr>
                <w:sz w:val="18"/>
                <w:szCs w:val="18"/>
                <w:color w:val="auto"/>
              </w:rPr>
            </w:pPr>
          </w:p>
        </w:tc>
      </w:tr>
      <w:tr>
        <w:trPr>
          <w:trHeight w:val="864"/>
        </w:trPr>
        <w:tc>
          <w:tcPr>
            <w:tcW w:w="598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59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The amounts recorded to other income (expense), net related to derivative financial instruments for economic hedges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1,</w:t>
            </w:r>
          </w:p>
        </w:tc>
        <w:tc>
          <w:tcPr>
            <w:tcW w:w="340" w:type="dxa"/>
            <w:vAlign w:val="bottom"/>
          </w:tcPr>
          <w:p>
            <w:pPr>
              <w:spacing w:after="0"/>
              <w:rPr>
                <w:sz w:val="16"/>
                <w:szCs w:val="16"/>
                <w:color w:val="auto"/>
              </w:rPr>
            </w:pPr>
          </w:p>
        </w:tc>
        <w:tc>
          <w:tcPr>
            <w:tcW w:w="102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300" w:type="dxa"/>
            <w:vAlign w:val="bottom"/>
          </w:tcPr>
          <w:p>
            <w:pPr>
              <w:spacing w:after="0"/>
              <w:rPr>
                <w:sz w:val="16"/>
                <w:szCs w:val="16"/>
                <w:color w:val="auto"/>
              </w:rPr>
            </w:pPr>
          </w:p>
        </w:tc>
        <w:tc>
          <w:tcPr>
            <w:tcW w:w="100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r>
      <w:tr>
        <w:trPr>
          <w:trHeight w:val="245"/>
        </w:trPr>
        <w:tc>
          <w:tcPr>
            <w:tcW w:w="3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derivative financial instrument gain (loss)</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2,358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bl>
    <w:p>
      <w:pPr>
        <w:spacing w:after="0" w:line="198"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Additionally, during the first nine months of fiscal 2017, there is approximately $35.0 million, of derivative financial instrument losses in other income (expenses), net, that are associated with foreign currency derivative financial instruments purchased to economically hedge the British Pound purchase price of the PF acquisition as discussed in Note 2.</w:t>
      </w:r>
    </w:p>
    <w:p>
      <w:pPr>
        <w:spacing w:after="0" w:line="176"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The Company’s outstanding economic hedges had average maturities of 59 days and 53 days as of April 1, 2017, and July 2, 2016,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jc w:val="both"/>
        <w:ind w:firstLine="42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As of April 1, 2017, the Company had aggregate estimated liabilities of $11.7 million, classified within accrued expenses and other for such compliance-related matters that were reasonably estimable as of such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effective tax rate on its income before income taxes from continuing operations was 15.3% in the third quarter of fiscal 2017 as compared with 17.1% in the third quarter of fiscal 2016. During the third quarter of fiscal 2017, the Company’s effective tax rate was favorably impacted primarily by (i) the mix of income in lower tax jurisdictions and (ii) the release of reserves and other discrete tax benefits. During the third quarter of fiscal 2016, the Company’s effective tax rate was favorably impacted primarily by (i) the mix of income in lower tax jurisdictions and (ii) the release of reserves related to the expiration of statutes of limitation.</w:t>
      </w:r>
    </w:p>
    <w:p>
      <w:pPr>
        <w:spacing w:after="0" w:line="18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For the first nine months of fiscal 2017 and 2016, the Company’s effective tax rate was 25.7% and 18.0%, respectively. The effective tax rate for the first nine months of fiscal 2017 was favorably impacted primarily by (i) the mix of income in lower tax jurisdictions, partially offset by (ii) net increases to valuation allowances against deferred tax assets that were deemed unrealizable and (iii) the impact of non-deductible acquisition related expenses. The effective tax rate for the first nine months of fiscal 2016 was favorably impacted primarily by (i) the mix of income in lower tax</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jurisdictions, (ii) the release of valuation allowances against deferred tax assets that were deemed to be realizable and (iii) the release of reserves related to audit settlements and the expiration of statutes of limitation.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Pension plan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(the “Plan”) for which the components of net periodic pension costs were as follows (includes amounts related to discontinued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Third Quarters Ended</w:t>
            </w:r>
          </w:p>
        </w:tc>
        <w:tc>
          <w:tcPr>
            <w:tcW w:w="200" w:type="dxa"/>
            <w:vAlign w:val="bottom"/>
          </w:tcPr>
          <w:p>
            <w:pPr>
              <w:spacing w:after="0"/>
              <w:rPr>
                <w:sz w:val="21"/>
                <w:szCs w:val="21"/>
                <w:color w:val="auto"/>
              </w:rPr>
            </w:pPr>
          </w:p>
        </w:tc>
        <w:tc>
          <w:tcPr>
            <w:tcW w:w="16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200" w:type="dxa"/>
            <w:vAlign w:val="bottom"/>
          </w:tcPr>
          <w:p>
            <w:pPr>
              <w:spacing w:after="0"/>
              <w:rPr>
                <w:sz w:val="16"/>
                <w:szCs w:val="16"/>
                <w:color w:val="auto"/>
              </w:rPr>
            </w:pPr>
          </w:p>
        </w:tc>
        <w:tc>
          <w:tcPr>
            <w:tcW w:w="92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 w:type="dxa"/>
            <w:vAlign w:val="bottom"/>
          </w:tcPr>
          <w:p>
            <w:pPr>
              <w:spacing w:after="0"/>
              <w:rPr>
                <w:sz w:val="16"/>
                <w:szCs w:val="16"/>
                <w:color w:val="auto"/>
              </w:rPr>
            </w:pPr>
          </w:p>
        </w:tc>
        <w:tc>
          <w:tcPr>
            <w:tcW w:w="7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r>
      <w:tr>
        <w:trPr>
          <w:trHeight w:val="245"/>
        </w:trPr>
        <w:tc>
          <w:tcPr>
            <w:tcW w:w="4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6"/>
        </w:trPr>
        <w:tc>
          <w:tcPr>
            <w:tcW w:w="4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30,356</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15,984</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(32,520)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(30,213)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r>
      <w:tr>
        <w:trPr>
          <w:trHeight w:val="236"/>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0"/>
        </w:trPr>
        <w:tc>
          <w:tcPr>
            <w:tcW w:w="402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Net periodic pension cost</w:t>
            </w:r>
          </w:p>
        </w:tc>
        <w:tc>
          <w:tcPr>
            <w:tcW w:w="1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7,982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24,497</w:t>
            </w: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made contributions to the Plan of $30.0 million during the first nine months of fiscal 2017. The Company expects to make an additional contribution to the Plan of $3.8 million in the fourth quarter of fiscal 2017.</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 with the benefit of applying any earnings on the Plan’s investments beyond the fixed return provided to participants, toward the Company’s future cash funding obligations.</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Amounts reclassified out of accumulated other comprehensive income (loss), net of tax, to operating expenses during the third quarters of fiscal 2017 and fiscal 2016 were not material and substantially all related to net periodic pension costs including recognition of actuarial losses and amortization of prior service credits.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PF discussed further in Note 2, the Company acquired closed defined benefit plans in both the U.S. and U.K. The pension expense recognized during the third quarter of fiscal 2017 for these frozen plans was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In February 2017, the Company’s Board of Directors authorized a $500.0 million increase in the Company’s existing share repurchase program. During the third quarter and first nine months of fiscal 2017, the Company incurred commitments to repurchase 3.1 million shares under this program for a total cost of $140.1 million.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February 2017, the Company’s Board of Directors approved a dividend of $0.18 per common share and dividend payments of $23.1 million were made in March 2017.</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80" w:type="dxa"/>
            <w:vAlign w:val="bottom"/>
          </w:tcPr>
          <w:p>
            <w:pPr>
              <w:spacing w:after="0"/>
              <w:rPr>
                <w:sz w:val="16"/>
                <w:szCs w:val="16"/>
                <w:color w:val="auto"/>
              </w:rPr>
            </w:pPr>
          </w:p>
        </w:tc>
        <w:tc>
          <w:tcPr>
            <w:tcW w:w="9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4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(Thousands, except per share data)</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89,920</w:t>
            </w:r>
          </w:p>
        </w:tc>
        <w:tc>
          <w:tcPr>
            <w:tcW w:w="38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190,073</w:t>
            </w:r>
          </w:p>
        </w:tc>
        <w:tc>
          <w:tcPr>
            <w:tcW w:w="16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318,857</w:t>
            </w:r>
          </w:p>
        </w:tc>
        <w:tc>
          <w:tcPr>
            <w:tcW w:w="0" w:type="dxa"/>
            <w:vAlign w:val="bottom"/>
          </w:tcPr>
          <w:p>
            <w:pPr>
              <w:spacing w:after="0"/>
              <w:rPr>
                <w:sz w:val="1"/>
                <w:szCs w:val="1"/>
                <w:color w:val="auto"/>
              </w:rPr>
            </w:pPr>
          </w:p>
        </w:tc>
      </w:tr>
      <w:tr>
        <w:trPr>
          <w:trHeight w:val="236"/>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181,851</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253,759</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90,868</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271,771</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123,459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443,832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409,725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for basic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131,834</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effect of dilutive stock options, restricted stock</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and performance share units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Weighted average common shares for diluted 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129,432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131,650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129,847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134,298</w:t>
            </w: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 continuing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earnings per share - discontinued operations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36"/>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Diluted earnings per share - continuing operations</w:t>
            </w:r>
          </w:p>
        </w:tc>
        <w:tc>
          <w:tcPr>
            <w:tcW w:w="1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0.69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0.82</w:t>
            </w:r>
          </w:p>
        </w:tc>
        <w:tc>
          <w:tcPr>
            <w:tcW w:w="16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6"/>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 discontinued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Stock options excluded from earnings per share</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calculation due to anti-dilutive effect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3 for additional information on income from discontinued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Additional cash flow information</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and income taxes paid were as follows: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66"/>
        </w:trPr>
        <w:tc>
          <w:tcPr>
            <w:tcW w:w="5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8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r>
      <w:tr>
        <w:trPr>
          <w:trHeight w:val="245"/>
        </w:trPr>
        <w:tc>
          <w:tcPr>
            <w:tcW w:w="5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6"/>
        </w:trPr>
        <w:tc>
          <w:tcPr>
            <w:tcW w:w="5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74,165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80,313</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106,659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85,323</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Non-cash investing activities related to purchases of property, plant and equipment that have been accrued, but not paid for, were $16.8 million and $11.6 million as of April 1, 2017, and April 2, 2016, respectively. Additionally, the Company received 2.8 million shares of Buyer common stock from the sale of the TS business valued at $247.2 million at the time the sale was completed.</w:t>
      </w:r>
    </w:p>
    <w:p>
      <w:pPr>
        <w:spacing w:after="0" w:line="18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Non-cash financing activities of $15.7 million related to share repurchases that have been accrued, but not paid for as of April 1, 2017.</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from continuing operations as of April 1, 2017, and July 2, 2016, was $565.2 million and $8.7 million, respectively, of cash equivalents, which was primarily comprised of investment grade money market funds and overnight time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Prior to the sale of the TS business, the Company’s reportable segments were the Electronics Marketing (“Avnet EM”) and Technology Solutions (“TS”) operating groups. As a result of the sale of the TS business, as of April 1, 2017, the Company has only one remaining segment, Avnet EM. Avnet EM, including the recently acquired PF, markets and sells semiconductors and interconnect, passive and electromechanical devices and integrated products to a diverse customer base serving many end-markets. During the last fiscal month of the third quarter of fiscal 2017, the Company completed the sale of the TS reportable segment. Additionally, Avnet’s continuing operations is undergoing organizational and executive leadership changes that were still ongoing at the end of the third quarter of fiscal 2017. After the Company completes its organizational and executive leadership structure, Avnet’s reportable segments from continuing operations may also change.</w:t>
      </w:r>
    </w:p>
    <w:p>
      <w:pPr>
        <w:spacing w:after="0" w:line="185"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As a result, the Company has not changed its reportable segments from continuing operations or its historical measures of segment results and profitability as of April 1,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Third Quarters Ended</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87"/>
        </w:trPr>
        <w:tc>
          <w:tcPr>
            <w:tcW w:w="3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April 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April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April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April 2,</w:t>
            </w:r>
          </w:p>
        </w:tc>
      </w:tr>
      <w:tr>
        <w:trPr>
          <w:trHeight w:val="225"/>
        </w:trPr>
        <w:tc>
          <w:tcPr>
            <w:tcW w:w="3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03"/>
        </w:trPr>
        <w:tc>
          <w:tcPr>
            <w:tcW w:w="3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by geographic area:</w:t>
            </w: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Americas </w:t>
            </w:r>
            <w:r>
              <w:rPr>
                <w:rFonts w:ascii="Times New Roman" w:cs="Times New Roman" w:eastAsia="Times New Roman" w:hAnsi="Times New Roman"/>
                <w:sz w:val="17"/>
                <w:szCs w:val="17"/>
                <w:color w:val="auto"/>
                <w:vertAlign w:val="superscript"/>
              </w:rPr>
              <w:t>(1)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1,328,592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1,227,243</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3,831,706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3,696,291</w:t>
            </w:r>
          </w:p>
        </w:tc>
      </w:tr>
      <w:tr>
        <w:trPr>
          <w:trHeight w:val="203"/>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EMEA </w:t>
            </w:r>
            <w:r>
              <w:rPr>
                <w:rFonts w:ascii="Times New Roman" w:cs="Times New Roman" w:eastAsia="Times New Roman" w:hAnsi="Times New Roman"/>
                <w:sz w:val="17"/>
                <w:szCs w:val="17"/>
                <w:color w:val="auto"/>
                <w:vertAlign w:val="superscript"/>
              </w:rPr>
              <w:t>(2)</w:t>
            </w: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1,615,903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1,330,751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4,261,891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3,809,970</w:t>
            </w:r>
          </w:p>
        </w:tc>
      </w:tr>
      <w:tr>
        <w:trPr>
          <w:trHeight w:val="210"/>
        </w:trPr>
        <w:tc>
          <w:tcPr>
            <w:tcW w:w="3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Asia/Pacific </w:t>
            </w:r>
            <w:r>
              <w:rPr>
                <w:rFonts w:ascii="Times New Roman" w:cs="Times New Roman" w:eastAsia="Times New Roman" w:hAnsi="Times New Roman"/>
                <w:sz w:val="17"/>
                <w:szCs w:val="17"/>
                <w:color w:val="auto"/>
                <w:vertAlign w:val="superscript"/>
              </w:rPr>
              <w:t>(3)</w:t>
            </w:r>
          </w:p>
        </w:tc>
        <w:tc>
          <w:tcPr>
            <w:tcW w:w="1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1,497,401</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1,523,967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4,739,962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5,265,367</w:t>
            </w: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w:t>
            </w:r>
          </w:p>
        </w:tc>
        <w:tc>
          <w:tcPr>
            <w:tcW w:w="1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4,441,896</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4,081,961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12,833,559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12,771,628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320" w:hanging="317"/>
        <w:spacing w:after="0" w:line="266" w:lineRule="auto"/>
        <w:tabs>
          <w:tab w:leader="none" w:pos="263"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sales from the United States of $1.23 billion and $1.15 billion for the third quarters ended April 1, 2017, and April 2, 2016, respectively. Includes sales from the United States of $3.56 billion and $3.46 billion for the first nine months of fiscal 2017 and 2016, respectively.</w:t>
      </w:r>
    </w:p>
    <w:p>
      <w:pPr>
        <w:spacing w:after="0" w:line="176" w:lineRule="exact"/>
        <w:rPr>
          <w:rFonts w:ascii="Times New Roman" w:cs="Times New Roman" w:eastAsia="Times New Roman" w:hAnsi="Times New Roman"/>
          <w:sz w:val="9"/>
          <w:szCs w:val="9"/>
          <w:color w:val="auto"/>
        </w:rPr>
      </w:pPr>
    </w:p>
    <w:p>
      <w:pPr>
        <w:jc w:val="both"/>
        <w:ind w:left="320" w:hanging="317"/>
        <w:spacing w:after="0" w:line="261" w:lineRule="auto"/>
        <w:tabs>
          <w:tab w:leader="none" w:pos="263"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sales from Germany and the United Kingdom of $616.3 million and $179.1 million, respectively, for the third quarter ended April 1, 2017, and $1.66 billion and $415.0 million, respectively, for the first nine months of fiscal 2017. Includes sales from Germany and the United Kingdom of $539.6 million and $90.1 million, respectively, for the third quarter ended April 2, 2016, and $1.60 billion and $285.6 million, respectively, for the first nine months of fiscal 2016.</w:t>
      </w:r>
    </w:p>
    <w:p>
      <w:pPr>
        <w:spacing w:after="0" w:line="180" w:lineRule="exact"/>
        <w:rPr>
          <w:rFonts w:ascii="Times New Roman" w:cs="Times New Roman" w:eastAsia="Times New Roman" w:hAnsi="Times New Roman"/>
          <w:sz w:val="9"/>
          <w:szCs w:val="9"/>
          <w:color w:val="auto"/>
        </w:rPr>
      </w:pPr>
    </w:p>
    <w:p>
      <w:pPr>
        <w:jc w:val="both"/>
        <w:ind w:left="320" w:hanging="317"/>
        <w:spacing w:after="0" w:line="258" w:lineRule="auto"/>
        <w:tabs>
          <w:tab w:leader="none" w:pos="263"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sales from China (including Hong Kong) and Taiwan of $562.9 million and $486.9 million, respectively, for the third quarter ended April 1, 2017, and $1.80 billion and $1.67 billion, respectively, for the first nine months of fiscal 2017. Includes sales from China (including Hong Kong) and Taiwan of $563.3 million and $586.6 million, respectively, for the third quarter ended April 2, 2016, and $1.84 billion and $2.27 billion, respectively, for the first nine months of fiscal 2016.</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754"/>
        </w:trPr>
        <w:tc>
          <w:tcPr>
            <w:tcW w:w="1280" w:type="dxa"/>
            <w:vAlign w:val="bottom"/>
            <w:tcBorders>
              <w:top w:val="single" w:sz="8" w:color="0563C1"/>
            </w:tcBorders>
          </w:tcPr>
          <w:p>
            <w:pPr>
              <w:spacing w:after="0"/>
              <w:rPr>
                <w:sz w:val="24"/>
                <w:szCs w:val="24"/>
                <w:color w:val="auto"/>
              </w:rPr>
            </w:pPr>
          </w:p>
        </w:tc>
        <w:tc>
          <w:tcPr>
            <w:tcW w:w="50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653"/>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12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8"/>
                <w:szCs w:val="8"/>
                <w:color w:val="auto"/>
              </w:rPr>
              <w:t>(1)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303,252</w:t>
            </w:r>
          </w:p>
        </w:tc>
        <w:tc>
          <w:tcPr>
            <w:tcW w:w="2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8"/>
                <w:szCs w:val="8"/>
                <w:color w:val="auto"/>
              </w:rPr>
              <w:t>(2)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129,612</w:t>
            </w:r>
          </w:p>
        </w:tc>
        <w:tc>
          <w:tcPr>
            <w:tcW w:w="200" w:type="dxa"/>
            <w:vAlign w:val="bottom"/>
            <w:shd w:val="clear" w:color="auto" w:fill="CCEEFF"/>
          </w:tcPr>
          <w:p>
            <w:pPr>
              <w:spacing w:after="0"/>
              <w:rPr>
                <w:sz w:val="18"/>
                <w:szCs w:val="18"/>
                <w:color w:val="auto"/>
              </w:rPr>
            </w:pPr>
          </w:p>
        </w:tc>
      </w:tr>
      <w:tr>
        <w:trPr>
          <w:trHeight w:val="223"/>
        </w:trPr>
        <w:tc>
          <w:tcPr>
            <w:tcW w:w="6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Asia/Pacific</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37,384</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20,345</w:t>
            </w:r>
          </w:p>
        </w:tc>
        <w:tc>
          <w:tcPr>
            <w:tcW w:w="200" w:type="dxa"/>
            <w:vAlign w:val="bottom"/>
            <w:tcBorders>
              <w:bottom w:val="single" w:sz="8" w:color="CCEEFF"/>
            </w:tcBorders>
          </w:tcPr>
          <w:p>
            <w:pPr>
              <w:spacing w:after="0"/>
              <w:rPr>
                <w:sz w:val="19"/>
                <w:szCs w:val="19"/>
                <w:color w:val="auto"/>
              </w:rPr>
            </w:pPr>
          </w:p>
        </w:tc>
      </w:tr>
      <w:tr>
        <w:trPr>
          <w:trHeight w:val="223"/>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526,025</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453,209</w:t>
            </w:r>
          </w:p>
        </w:tc>
        <w:tc>
          <w:tcPr>
            <w:tcW w:w="2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86" w:lineRule="exact"/>
        <w:rPr>
          <w:sz w:val="20"/>
          <w:szCs w:val="20"/>
          <w:color w:val="auto"/>
        </w:rPr>
      </w:pPr>
    </w:p>
    <w:p>
      <w:pPr>
        <w:ind w:left="320" w:right="200" w:hanging="317"/>
        <w:spacing w:after="0" w:line="282" w:lineRule="auto"/>
        <w:tabs>
          <w:tab w:leader="none" w:pos="263"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property, plant and equipment, net, of $336.5 million and $297.1 million as of April 1, 2017, and July 2, 2016, respectively, in the United States.</w:t>
      </w:r>
    </w:p>
    <w:p>
      <w:pPr>
        <w:spacing w:after="0" w:line="161" w:lineRule="exact"/>
        <w:rPr>
          <w:rFonts w:ascii="Times New Roman" w:cs="Times New Roman" w:eastAsia="Times New Roman" w:hAnsi="Times New Roman"/>
          <w:sz w:val="9"/>
          <w:szCs w:val="9"/>
          <w:color w:val="auto"/>
        </w:rPr>
      </w:pPr>
    </w:p>
    <w:p>
      <w:pPr>
        <w:ind w:left="320" w:right="200" w:hanging="317"/>
        <w:spacing w:after="0" w:line="282" w:lineRule="auto"/>
        <w:tabs>
          <w:tab w:leader="none" w:pos="263"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property, plant and equipment, net, of $78.2 million and $37.6 million in Germany and Belgium, respectively, as of April 1, 2017, and $72.5 million and $40.0 million in Germany and Belgium, respectively, as of July 2, 2016.</w:t>
      </w:r>
    </w:p>
    <w:p>
      <w:pPr>
        <w:spacing w:after="0" w:line="158" w:lineRule="exact"/>
        <w:rPr>
          <w:sz w:val="20"/>
          <w:szCs w:val="20"/>
          <w:color w:val="auto"/>
        </w:rPr>
      </w:pPr>
    </w:p>
    <w:p>
      <w:pPr>
        <w:ind w:left="440" w:right="7200" w:hanging="437"/>
        <w:spacing w:after="0" w:line="503" w:lineRule="auto"/>
        <w:tabs>
          <w:tab w:leader="none" w:pos="28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expenses </w:t>
      </w:r>
      <w:r>
        <w:rPr>
          <w:rFonts w:ascii="Times New Roman" w:cs="Times New Roman" w:eastAsia="Times New Roman" w:hAnsi="Times New Roman"/>
          <w:sz w:val="18"/>
          <w:szCs w:val="18"/>
          <w:i w:val="1"/>
          <w:iCs w:val="1"/>
          <w:color w:val="auto"/>
        </w:rPr>
        <w:t>Fiscal 2017</w:t>
      </w:r>
    </w:p>
    <w:p>
      <w:pPr>
        <w:spacing w:after="0" w:line="1" w:lineRule="exact"/>
        <w:rPr>
          <w:sz w:val="20"/>
          <w:szCs w:val="20"/>
          <w:color w:val="auto"/>
        </w:rPr>
      </w:pPr>
    </w:p>
    <w:p>
      <w:pPr>
        <w:jc w:val="both"/>
        <w:ind w:right="200" w:firstLine="432"/>
        <w:spacing w:after="0" w:line="261" w:lineRule="auto"/>
        <w:rPr>
          <w:sz w:val="20"/>
          <w:szCs w:val="20"/>
          <w:color w:val="auto"/>
        </w:rPr>
      </w:pPr>
      <w:r>
        <w:rPr>
          <w:rFonts w:ascii="Times New Roman" w:cs="Times New Roman" w:eastAsia="Times New Roman" w:hAnsi="Times New Roman"/>
          <w:sz w:val="18"/>
          <w:szCs w:val="18"/>
          <w:color w:val="auto"/>
        </w:rPr>
        <w:t>During fiscal 2017, the Company took certain restructuring actions in an effort to integrate acquisitions and reduce future operating expenses. Restructuring expenses are included as a component of restructuring, integration and other expenses in the consolidated statements of operations. The activity related to the restructuring liabilities from continuing operations established during fiscal 2017 is presented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8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Exit Costs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Impairments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2017 restructuring expenses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payments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amounts</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principally foreign currency translation</w:t>
            </w: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1, 2017</w:t>
            </w: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0" w:firstLine="432"/>
        <w:spacing w:after="0" w:line="256" w:lineRule="auto"/>
        <w:rPr>
          <w:sz w:val="20"/>
          <w:szCs w:val="20"/>
          <w:color w:val="auto"/>
        </w:rPr>
      </w:pPr>
      <w:r>
        <w:rPr>
          <w:rFonts w:ascii="Times New Roman" w:cs="Times New Roman" w:eastAsia="Times New Roman" w:hAnsi="Times New Roman"/>
          <w:sz w:val="18"/>
          <w:szCs w:val="18"/>
          <w:color w:val="auto"/>
        </w:rPr>
        <w:t>Severance expense recorded in the first nine months of fiscal 2017 related to the reduction, or planned reduction, of over 150 employees, primarily in executive management, operations, sales and business support functions. Facility exit costs primarily consist of liabilities for remaining lease obligations for exited facilities. Asset impairments relate to the impairment (if any) of property, plant and equipment as a result of the underlying restructuring activities. Other restructuring costs (if any) related primarily to other miscellaneous restructuring and exit costs. The Company expects the majority of the remaining amounts to be paid by the end of fiscal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08" w:right="12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Fiscal 2016 and prior</w:t>
      </w:r>
    </w:p>
    <w:p>
      <w:pPr>
        <w:spacing w:after="0" w:line="227"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8"/>
          <w:szCs w:val="18"/>
          <w:color w:val="auto"/>
        </w:rPr>
        <w:t>During fiscal 2016, the Company incurred restructuring expenses related to various restructuring actions intended to achieve planned synergies from acquired businesses and to reduce future operating expenses. The following table presents the activity during the first nine months of fiscal 2017 related to the remaining restructuring liabilities from continuing operations established during fiscal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5"/>
        </w:trPr>
        <w:tc>
          <w:tcPr>
            <w:tcW w:w="4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Severance</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Exit Costs</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2, 2016</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estimates,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amounts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45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April 1, 2017</w:t>
            </w: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3,223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3,793</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expects the majority of the remaining amounts to be paid by the end of fiscal 2017.</w:t>
      </w:r>
    </w:p>
    <w:p>
      <w:pPr>
        <w:spacing w:after="0" w:line="225"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As of July 2, 2016 and April 1, 2017, there were $4.5 million and $3.3 million, respectively of restructuring liabilities remaining related to restructuring actions from continuing operations taken in fiscal years 2015 and prior, the majority of which relates to facility exit costs, which are expected to be paid by the end of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1" w:right="1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the significant factors that influenced the Company’s performance during the quarter ended April 1, 2017, this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Financial Condition and Results of Operations </w:t>
      </w:r>
      <w:r>
        <w:rPr>
          <w:rFonts w:ascii="Times New Roman" w:cs="Times New Roman" w:eastAsia="Times New Roman" w:hAnsi="Times New Roman"/>
          <w:sz w:val="18"/>
          <w:szCs w:val="18"/>
          <w:color w:val="auto"/>
        </w:rPr>
        <w:t>(“MD&amp;A”) should be read in conjunction with the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including the related notes, appearing in Item 1 of this Report, as well as the Company’s Annual Report on Form 10-K for the fiscal year ended July 2, 2016. The Company operates on a “52/53 week” fiscal year and fiscal 2017 contains 52 weeks compared to 53 weeks in fiscal 2016. As a result, the first nine months of fiscal 2017 contained 39 weeks and the first nine months of fiscal 2016 contained 40 weeks. This extra week impacts the year-over-year analysis for the first nine months of fiscal 2017 in this MD&amp;A.</w:t>
      </w:r>
    </w:p>
    <w:p>
      <w:pPr>
        <w:spacing w:after="0" w:line="18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“excluding the translation impact of changes in foreign currency exchange rates” or “constant currency.”</w:t>
      </w:r>
    </w:p>
    <w:p>
      <w:pPr>
        <w:spacing w:after="0" w:line="18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disclosing financial results that are determined in accordance with generally accepted accounting principles in the U.S. (“GAAP”), the Company also discloses certain non-GAAP financial information, including:</w:t>
      </w:r>
    </w:p>
    <w:p>
      <w:pPr>
        <w:spacing w:after="0" w:line="162" w:lineRule="exact"/>
        <w:rPr>
          <w:sz w:val="20"/>
          <w:szCs w:val="20"/>
          <w:color w:val="auto"/>
        </w:rPr>
      </w:pPr>
    </w:p>
    <w:p>
      <w:pPr>
        <w:jc w:val="both"/>
        <w:ind w:left="500" w:hanging="79"/>
        <w:spacing w:after="0" w:line="258"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2016 sales are adjusted for the estimated impact of the extra week of sales in the first nine months of fiscal 2016 as discussed above. Sales taking into account these adjustments are referred to as “organic sales.”</w:t>
      </w:r>
    </w:p>
    <w:p>
      <w:pPr>
        <w:spacing w:after="0" w:line="181" w:lineRule="exact"/>
        <w:rPr>
          <w:rFonts w:ascii="Times New Roman" w:cs="Times New Roman" w:eastAsia="Times New Roman" w:hAnsi="Times New Roman"/>
          <w:sz w:val="18"/>
          <w:szCs w:val="18"/>
          <w:color w:val="auto"/>
        </w:rPr>
      </w:pPr>
    </w:p>
    <w:p>
      <w:pPr>
        <w:jc w:val="both"/>
        <w:ind w:left="500" w:hanging="79"/>
        <w:spacing w:after="0" w:line="261"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income excluding (i) restructuring, integration and other expenses (see </w:t>
      </w:r>
      <w:r>
        <w:rPr>
          <w:rFonts w:ascii="Times New Roman" w:cs="Times New Roman" w:eastAsia="Times New Roman" w:hAnsi="Times New Roman"/>
          <w:sz w:val="18"/>
          <w:szCs w:val="18"/>
          <w:i w:val="1"/>
          <w:iCs w:val="1"/>
          <w:color w:val="auto"/>
        </w:rPr>
        <w:t>Restructuring, Integration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Expenses </w:t>
      </w:r>
      <w:r>
        <w:rPr>
          <w:rFonts w:ascii="Times New Roman" w:cs="Times New Roman" w:eastAsia="Times New Roman" w:hAnsi="Times New Roman"/>
          <w:sz w:val="18"/>
          <w:szCs w:val="18"/>
          <w:color w:val="auto"/>
        </w:rPr>
        <w:t>in this MD&amp;A), and (ii) amortization of acquired intangible assets and other.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such amounts is referred to as “adjusted operating income.” Adjusted operating income excludes the TS operating group, which is reported within discontinued operations in fiscal 2017.</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2,</w:t>
            </w:r>
          </w:p>
        </w:tc>
      </w:tr>
      <w:tr>
        <w:trPr>
          <w:trHeight w:val="245"/>
        </w:trPr>
        <w:tc>
          <w:tcPr>
            <w:tcW w:w="4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6"/>
        </w:trPr>
        <w:tc>
          <w:tcPr>
            <w:tcW w:w="4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368,027</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452,732</w:t>
            </w: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35,455</w:t>
            </w:r>
          </w:p>
        </w:tc>
      </w:tr>
      <w:tr>
        <w:trPr>
          <w:trHeight w:val="236"/>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r>
      <w:tr>
        <w:trPr>
          <w:trHeight w:val="210"/>
        </w:trPr>
        <w:tc>
          <w:tcPr>
            <w:tcW w:w="4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172,293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161,320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498,113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495,749</w:t>
            </w:r>
          </w:p>
        </w:tc>
      </w:tr>
    </w:tbl>
    <w:p>
      <w:pPr>
        <w:spacing w:after="0" w:line="19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Avnet, Inc., incorporated in New York in 1955, together with its consolidated subsidiaries (the “Company” or “Avnet”), is a global value-added distributor of electronic components and integrated products and solutions. Avnet creates a vital link in the technology supply chain that connects the world’s leading electronic component manufacturers with a global customer base of original equipment manufacturers, electronic manufacturing services providers and original design manufacturers. Avnet distributes electronic components, as received from its suppliers or through a customized solution, and offers assembly and other value-added products and services.</w:t>
      </w:r>
    </w:p>
    <w:p>
      <w:pPr>
        <w:spacing w:after="0" w:line="18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Avnet has operations in each of the three major economic regions of the world: the Americas; EMEA; and Asia/Pacific, consisting of Asia, Australia and New Zealand (“Asia”).</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September 2016, the Company entered into a definitive agreement to sell the Technology Solutions (“TS”) operating group as discussed further in Note 3, “Discontinued operations” to the Company’s consolidated financial statements included in this Quarterly Report on Form 10-Q. The Company completed the sale of TS on February 27, 2017. As a result, the discussion below on the Company’s results of operations, unless otherwise noted, excludes the results of TS.</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October 17, 2016, the Company completed its acquisition of Premier Farnell Plc (“PF”), a global distributor of electronic components and related products delivering engineering solutions to the electronic system design community utilizing multi-channel sales and marketing resources. Management believes that the combined business of Avnet and PF will create a unique electronic components distribution value proposition, which will expand Avnet’s digital footprint worldwide and allow the Company to reach engineers and makers earlier in the design cycle.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Sales for the third quarter of fiscal 2017 were $4.44 billion, as compared to the third quarter of fiscal 2016 sales of $4.08 billion. Organic sales increased 0.2% year over year and 1.8% in constant currency.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Gross profit margin of 14.2% increased 142 basis points compared to the third quarter of fiscal 2016.</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Operating income margin was 2.6% in the third quarter of fiscal 2017 as compared with 3.7% in the third quarter of fiscal 2016. Adjusted operating income margin was 3.9% in the third quarter of fiscal 2017 as compared to 4.0% in the third quarter of fiscal 2016.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reconciliation of reported sales to organic sales for the third quarters and first nine months of fiscal 2017 and fiscal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Third Quarter Ended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0"/>
        </w:trPr>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As</w:t>
            </w: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Organic Sales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Organic Sales</w:t>
            </w:r>
          </w:p>
        </w:tc>
      </w:tr>
      <w:tr>
        <w:trPr>
          <w:trHeight w:val="225"/>
        </w:trPr>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Fiscal 2017</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9"/>
                <w:szCs w:val="19"/>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Fiscal 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Fiscal 2017</w:t>
            </w:r>
          </w:p>
        </w:tc>
        <w:tc>
          <w:tcPr>
            <w:tcW w:w="260" w:type="dxa"/>
            <w:vAlign w:val="bottom"/>
          </w:tcPr>
          <w:p>
            <w:pPr>
              <w:spacing w:after="0"/>
              <w:rPr>
                <w:sz w:val="19"/>
                <w:szCs w:val="19"/>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 xml:space="preserve">Acquisitions </w:t>
            </w:r>
            <w:r>
              <w:rPr>
                <w:rFonts w:ascii="Times New Roman" w:cs="Times New Roman" w:eastAsia="Times New Roman" w:hAnsi="Times New Roman"/>
                <w:sz w:val="17"/>
                <w:szCs w:val="17"/>
                <w:b w:val="1"/>
                <w:bCs w:val="1"/>
                <w:color w:val="auto"/>
                <w:w w:val="98"/>
                <w:vertAlign w:val="superscript"/>
              </w:rPr>
              <w:t>(1)</w:t>
            </w:r>
          </w:p>
        </w:tc>
        <w:tc>
          <w:tcPr>
            <w:tcW w:w="14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Fiscal 2017</w:t>
            </w:r>
          </w:p>
        </w:tc>
      </w:tr>
      <w:tr>
        <w:trPr>
          <w:trHeight w:val="203"/>
        </w:trPr>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Avnet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4,441,896</w:t>
            </w:r>
          </w:p>
        </w:tc>
        <w:tc>
          <w:tcPr>
            <w:tcW w:w="6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4,441,896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12,833,559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378,352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13,211,911</w:t>
            </w:r>
          </w:p>
        </w:tc>
        <w:tc>
          <w:tcPr>
            <w:tcW w:w="40" w:type="dxa"/>
            <w:vAlign w:val="bottom"/>
            <w:shd w:val="clear" w:color="auto" w:fill="CCEEFF"/>
          </w:tcPr>
          <w:p>
            <w:pPr>
              <w:spacing w:after="0"/>
              <w:rPr>
                <w:sz w:val="18"/>
                <w:szCs w:val="18"/>
                <w:color w:val="auto"/>
              </w:rPr>
            </w:pPr>
          </w:p>
        </w:tc>
      </w:tr>
      <w:tr>
        <w:trPr>
          <w:trHeight w:val="213"/>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Avnet by region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1,328,592</w:t>
            </w:r>
          </w:p>
        </w:tc>
        <w:tc>
          <w:tcPr>
            <w:tcW w:w="6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1,328,592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3,831,706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154,426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3,986,132</w:t>
            </w:r>
          </w:p>
        </w:tc>
        <w:tc>
          <w:tcPr>
            <w:tcW w:w="40" w:type="dxa"/>
            <w:vAlign w:val="bottom"/>
            <w:shd w:val="clear" w:color="auto" w:fill="CCEEFF"/>
          </w:tcPr>
          <w:p>
            <w:pPr>
              <w:spacing w:after="0"/>
              <w:rPr>
                <w:sz w:val="19"/>
                <w:szCs w:val="19"/>
                <w:color w:val="auto"/>
              </w:rPr>
            </w:pPr>
          </w:p>
        </w:tc>
      </w:tr>
      <w:tr>
        <w:trPr>
          <w:trHeight w:val="213"/>
        </w:trPr>
        <w:tc>
          <w:tcPr>
            <w:tcW w:w="1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EMEA</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1,615,903</w:t>
            </w:r>
          </w:p>
        </w:tc>
        <w:tc>
          <w:tcPr>
            <w:tcW w:w="64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1,615,903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4,261,891</w:t>
            </w:r>
          </w:p>
        </w:tc>
        <w:tc>
          <w:tcPr>
            <w:tcW w:w="26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178,879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4,440,770</w:t>
            </w:r>
          </w:p>
        </w:tc>
        <w:tc>
          <w:tcPr>
            <w:tcW w:w="40" w:type="dxa"/>
            <w:vAlign w:val="bottom"/>
          </w:tcPr>
          <w:p>
            <w:pPr>
              <w:spacing w:after="0"/>
              <w:rPr>
                <w:sz w:val="18"/>
                <w:szCs w:val="18"/>
                <w:color w:val="auto"/>
              </w:rPr>
            </w:pPr>
          </w:p>
        </w:tc>
      </w:tr>
      <w:tr>
        <w:trPr>
          <w:trHeight w:val="219"/>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1,497,401</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1,497,401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4,739,962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45,047</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4,785,009</w:t>
            </w:r>
          </w:p>
        </w:tc>
        <w:tc>
          <w:tcPr>
            <w:tcW w:w="4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1440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2" w:lineRule="exact"/>
        <w:rPr>
          <w:sz w:val="20"/>
          <w:szCs w:val="20"/>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PF acquired on October 17, 2016, which has operations in each Avnet region.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Third Quarter Ended</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1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w:t>
            </w:r>
          </w:p>
        </w:tc>
        <w:tc>
          <w:tcPr>
            <w:tcW w:w="152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6"/>
                <w:szCs w:val="16"/>
                <w:b w:val="1"/>
                <w:bCs w:val="1"/>
                <w:color w:val="auto"/>
                <w:w w:val="98"/>
              </w:rPr>
              <w:t xml:space="preserve">Acquisitions </w:t>
            </w:r>
            <w:r>
              <w:rPr>
                <w:rFonts w:ascii="Times New Roman" w:cs="Times New Roman" w:eastAsia="Times New Roman" w:hAnsi="Times New Roman"/>
                <w:sz w:val="17"/>
                <w:szCs w:val="17"/>
                <w:b w:val="1"/>
                <w:bCs w:val="1"/>
                <w:color w:val="auto"/>
                <w:w w:val="98"/>
                <w:vertAlign w:val="superscript"/>
              </w:rPr>
              <w:t>(1)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&amp; Estimated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Organic Sales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320" w:type="dxa"/>
            <w:vAlign w:val="bottom"/>
          </w:tcPr>
          <w:p>
            <w:pPr>
              <w:spacing w:after="0"/>
              <w:rPr>
                <w:sz w:val="17"/>
                <w:szCs w:val="17"/>
                <w:color w:val="auto"/>
              </w:rPr>
            </w:pPr>
          </w:p>
        </w:tc>
        <w:tc>
          <w:tcPr>
            <w:tcW w:w="12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Extra</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Organic Sales</w:t>
            </w:r>
          </w:p>
        </w:tc>
      </w:tr>
      <w:tr>
        <w:trPr>
          <w:trHeight w:val="225"/>
        </w:trPr>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2016</w:t>
            </w:r>
          </w:p>
        </w:tc>
        <w:tc>
          <w:tcPr>
            <w:tcW w:w="1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7"/>
                <w:szCs w:val="17"/>
                <w:b w:val="1"/>
                <w:bCs w:val="1"/>
                <w:color w:val="auto"/>
                <w:vertAlign w:val="superscript"/>
              </w:rPr>
              <w:t>(1)</w:t>
            </w:r>
          </w:p>
        </w:tc>
        <w:tc>
          <w:tcPr>
            <w:tcW w:w="24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2016</w:t>
            </w:r>
          </w:p>
        </w:tc>
        <w:tc>
          <w:tcPr>
            <w:tcW w:w="6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2016</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Week of Sales</w:t>
            </w:r>
          </w:p>
        </w:tc>
        <w:tc>
          <w:tcPr>
            <w:tcW w:w="10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2016</w:t>
            </w:r>
          </w:p>
        </w:tc>
      </w:tr>
      <w:tr>
        <w:trPr>
          <w:trHeight w:val="203"/>
        </w:trPr>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Avnet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$ 4,081,961</w:t>
            </w:r>
          </w:p>
        </w:tc>
        <w:tc>
          <w:tcPr>
            <w:tcW w:w="5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353,252</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4,435,213</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12,771,628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715,891</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13,487,519</w:t>
            </w:r>
          </w:p>
        </w:tc>
        <w:tc>
          <w:tcPr>
            <w:tcW w:w="80" w:type="dxa"/>
            <w:vAlign w:val="bottom"/>
            <w:shd w:val="clear" w:color="auto" w:fill="CCEEFF"/>
          </w:tcPr>
          <w:p>
            <w:pPr>
              <w:spacing w:after="0"/>
              <w:rPr>
                <w:sz w:val="18"/>
                <w:szCs w:val="18"/>
                <w:color w:val="auto"/>
              </w:rPr>
            </w:pPr>
          </w:p>
        </w:tc>
      </w:tr>
      <w:tr>
        <w:trPr>
          <w:trHeight w:val="213"/>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Avnet by region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$ 1,227,243</w:t>
            </w:r>
          </w:p>
        </w:tc>
        <w:tc>
          <w:tcPr>
            <w:tcW w:w="5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139,877</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1,367,120</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3,696,291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340,201</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4,036,492</w:t>
            </w:r>
          </w:p>
        </w:tc>
        <w:tc>
          <w:tcPr>
            <w:tcW w:w="80" w:type="dxa"/>
            <w:vAlign w:val="bottom"/>
            <w:shd w:val="clear" w:color="auto" w:fill="CCEEFF"/>
          </w:tcPr>
          <w:p>
            <w:pPr>
              <w:spacing w:after="0"/>
              <w:rPr>
                <w:sz w:val="19"/>
                <w:szCs w:val="19"/>
                <w:color w:val="auto"/>
              </w:rPr>
            </w:pPr>
          </w:p>
        </w:tc>
      </w:tr>
      <w:tr>
        <w:trPr>
          <w:trHeight w:val="213"/>
        </w:trPr>
        <w:tc>
          <w:tcPr>
            <w:tcW w:w="1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EMEA</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1,330,751</w:t>
            </w:r>
          </w:p>
        </w:tc>
        <w:tc>
          <w:tcPr>
            <w:tcW w:w="5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174,329</w:t>
            </w:r>
          </w:p>
        </w:tc>
        <w:tc>
          <w:tcPr>
            <w:tcW w:w="24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1,505,080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3,809,969</w:t>
            </w:r>
          </w:p>
        </w:tc>
        <w:tc>
          <w:tcPr>
            <w:tcW w:w="32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396,227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4,206,196</w:t>
            </w:r>
          </w:p>
        </w:tc>
        <w:tc>
          <w:tcPr>
            <w:tcW w:w="80" w:type="dxa"/>
            <w:vAlign w:val="bottom"/>
          </w:tcPr>
          <w:p>
            <w:pPr>
              <w:spacing w:after="0"/>
              <w:rPr>
                <w:sz w:val="18"/>
                <w:szCs w:val="18"/>
                <w:color w:val="auto"/>
              </w:rPr>
            </w:pPr>
          </w:p>
        </w:tc>
      </w:tr>
      <w:tr>
        <w:trPr>
          <w:trHeight w:val="219"/>
        </w:trPr>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1,523,967</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39,046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1,563,013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5,265,368</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(20,537)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5,244,831</w:t>
            </w:r>
          </w:p>
        </w:tc>
        <w:tc>
          <w:tcPr>
            <w:tcW w:w="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99" w:lineRule="exact"/>
        <w:rPr>
          <w:sz w:val="20"/>
          <w:szCs w:val="20"/>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PF acquired on October 17, 2016, which has operations in each Avnet region.</w:t>
      </w:r>
    </w:p>
    <w:p>
      <w:pPr>
        <w:spacing w:after="0" w:line="23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Sales for the third quarter of fiscal 2017 were $4.44 billion, as compared to the third quarter of fiscal 2016 sales of $4.08 billion. The increase in sales was primarily due to the acquisition of PF partially offset by declines in the Asia region as discussed below. Organic sales increased 0.2% year over year and 1.8% in constant currency.</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 regional basis, organic sales decreased 2.8% in the Americas region. Organic sales in constant currency increased 12.3% in EMEA. Organic sales in constant currency decreased 4.1% in Asia primarily as a result of deselecting lower margin sales from high volume supply chain engagements year over year.</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Sales for the first nine months of fiscal 2017 were $12.83 billion, an increase of 0.5% as compared to sales of $12.77 billion for the first nine months of fiscal 2016. The increase in sales was primarily related to the acquisition of PF, partially offset by deselecting lower margin sales from high volume supply chain engagements in Asia.</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a result of the loss of certain suppliers as well as changes to supplier programs that negatively impact gross profit, the Company may experience lower sales and gross profit in the future, if these losses and changes are not offset by sales growth from strategic initiatives designed to mitigate such impacts from suppliers.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Gross profit for the third quarter of fiscal 2017 was $630.0 million, an increase of $109.0 million, or 20.9%, from the third quarter of fiscal 2016 gross profit of $520.9 million. Gross profit margin of 14.2% increased 142 basis points from the third quarter of fiscal 2016. The increase in gross profit margin was primarily due to the acquisition of PF and from the impact of deselecting lower margin high volume supply chain engagements in Asia, partially offset by declines in the western regions.</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Gross profit and gross profit margins were $1.74 billion and 13.5%, respectively, for the first nine months of fiscal 2017 as compared with $1.58 billion and 12.4%, respectively, for the first nine months of fiscal 2016. The increase in gross profit margin was primarily due to the acquisition of PF and from the impact of deselecting lower margin high volume supply chain engagements in Asia, partially offset by declines in the western regions.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were $480.2 million in the third quarter of fiscal 2017, an increase of $118.1 million, or 32.6%, from the third quarter of fiscal 2016. The year-over-year increase in SG&amp;A expenses was primarily due to the acquisition of PF and the related PF operating expenses, including $20.4 million of additional expense for the amortization of intangible assets.</w:t>
      </w:r>
    </w:p>
    <w:p>
      <w:pPr>
        <w:spacing w:after="0" w:line="180" w:lineRule="exact"/>
        <w:rPr>
          <w:sz w:val="20"/>
          <w:szCs w:val="20"/>
          <w:color w:val="auto"/>
        </w:rPr>
      </w:pPr>
    </w:p>
    <w:p>
      <w:pPr>
        <w:jc w:val="both"/>
        <w:ind w:firstLine="428"/>
        <w:spacing w:after="0" w:line="261" w:lineRule="auto"/>
        <w:rPr>
          <w:sz w:val="20"/>
          <w:szCs w:val="20"/>
          <w:color w:val="auto"/>
        </w:rPr>
      </w:pPr>
      <w:r>
        <w:rPr>
          <w:rFonts w:ascii="Times New Roman" w:cs="Times New Roman" w:eastAsia="Times New Roman" w:hAnsi="Times New Roman"/>
          <w:sz w:val="18"/>
          <w:szCs w:val="18"/>
          <w:color w:val="auto"/>
        </w:rPr>
        <w:t>Metrics that management monitors with respect to its operating expenses are SG&amp;A expenses as a percentage of sales and as a percentage of gross profit. In the third quarter of fiscal 2017, SG&amp;A expenses as a percentage of sales were 10.8% and as a percentage of gross profit were 76.2%, as compared with 8.9% and 69.5%, respectively, in the third quarter of fiscal 2016.</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SG&amp;A expenses for the first nine months of fiscal 2017 were $1.28 million, or 9.9% of sales, as compared with $1.09 million, or 8.6% of sales, in the first nine months of fiscal 2016. SG&amp;A expenses were 73.3% of gross profit in the first nine months of 2017 as compared with 69.1% in the first nine months of fiscal 2016. The year-over-year increase in SG&amp;A expenses was primarily due to the acquisition of PF and the related PF operating expenses, including $28.3 million of expense for the amortization of intangible assets.</w:t>
      </w:r>
    </w:p>
    <w:p>
      <w:pPr>
        <w:spacing w:after="0" w:line="18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2017, the Company decided to implement a new global Enterprise Resource Planning (“ERP”) platform to meet the current, emerging and future needs of Avnet. As a result of this decision, the estimated useful life of the ERP system or platform in the Americas has been reduced to 24 months and the Company expects to recognize incremental costs, primarily related to accelerated depreciation expense over the next eight quarters of approximately $20.0 million per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During the third quarter of fiscal 2017, the Company took certain actions in an effort to reduce future operating expenses including restructuring actions related to the acquisition of PF. In addition, the Company incurred integration, acquisition/divestiture and other costs. Integration costs are primarily related to professional fees for the integration of acquired businesses, the integration of certain regional and global businesses including Avnet after the TS divestiture, and incremental costs incurred as part of the consolidation, relocation, and closure of warehouse and office facilities. Acquisition/divestiture costs consist primarily of professional fees and other costs incurred related to the acquisition, divestiture and closure of businesses including the acquisition of PF and the divestiture of TS. Other costs consist primarily of any ongoing facilities’ operating costs associated with the consolidation, relocation and closure of facilities once such facilities have been vacated or substantially vacated, and other miscellaneous costs that relate to restructuring, integration and other expenses.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58" w:lineRule="auto"/>
        <w:rPr>
          <w:sz w:val="20"/>
          <w:szCs w:val="20"/>
          <w:color w:val="auto"/>
        </w:rPr>
      </w:pPr>
      <w:r>
        <w:rPr>
          <w:rFonts w:ascii="Times New Roman" w:cs="Times New Roman" w:eastAsia="Times New Roman" w:hAnsi="Times New Roman"/>
          <w:sz w:val="18"/>
          <w:szCs w:val="18"/>
          <w:color w:val="auto"/>
        </w:rPr>
        <w:t>The Company recorded restructuring, integration and other expenses of $35.5 million during the third quarter of fiscal 2017. The Company recorded $15.4 million of restructuring costs and expects to realize approximately $16.0 million in incremental annualized operating cost savings once such restructuring actions are completed. The Company also incurred integration costs of $17.0 million, acquisition/divestiture and other costs of $3.4 million, and a net reversal of $0.3 million for changes in estimates for costs associated with prior year restructuring actions.</w:t>
      </w:r>
    </w:p>
    <w:p>
      <w:pPr>
        <w:spacing w:after="0" w:line="18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first nine months of fiscal 2017, the Company incurred restructuring, integration and other expenses of $95.4 million, including restructuring costs of $30.5 million, integration costs of $28.4 million, acquisition/divestiture and other costs of $38.0 million and a net reversal for changes in estimates for costs associated with previous restructuring actions of $1.3 million. Comparatively, in the third quarter and first nine months of fiscal 2016, restructuring, integration and other expenses was $8.9 million and $35.5 million, respectively.</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2017 and throughout fiscal 2018, the Company expects to incur restructuring and integration costs associated with business transformation and cost savings initiatives that are projected to result in annual cost savings of between $60 million and $80 million once completed. The Company expects to incur between $30 million to $50 million in restructuring and integration costs in order to achieve such annual cost savings.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14 “Restructuring” to the Company’s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Operating income for the third quarter of fiscal 2017 was $114.3 million, a decrease of $35.7 million, or 23.8%, from the third quarter of fiscal 2016 operating income of $150.0 million. Adjusted operating income for the third quarter of fiscal 2017 was $172.3 million, an increase of $11.0 million, or 6.8%, from the third quarter of fiscal 2016 adjusted operating income of $161.3 million. Operating income margin was 2.6% in the third quarter of fiscal 2017 as compared with 3.7% in the third quarter of fiscal 2016. Adjusted operating income margin for the third quarter of fiscal 2017 was 3.9% compared to 4.0% in the third quarter of fiscal 2016.</w:t>
      </w:r>
    </w:p>
    <w:p>
      <w:pPr>
        <w:spacing w:after="0" w:line="188"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Avnet EM operating income for the third quarter of fiscal 2017 was $197.1 million, an increase of $13.1 million, or 7.1%, from the third quarter of fiscal 2016 Avnet EM operating income of $184.1 million. Avnet EM operating income margin was 4.4% in the third quarter of fiscal 2017 as compared with 4.5% in the third quarter of fiscal 2016.</w:t>
      </w:r>
    </w:p>
    <w:p>
      <w:pPr>
        <w:spacing w:after="0" w:line="176"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The Company’s operating income for the first nine months of fiscal 2017 was $368.0 million, or 2.9% of sales, as compared with $452.7 million, or 3.5% of sales for the first nine months of fiscal 2016. Adjusted operating income margin for the first nine months of fiscal 2017 was flat as compared to the first nine months of fiscal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Interest expense in the third quarter of fiscal 2017 was $27.5 million, an increase of $6.1 million or 28.7%, as compared with interest expense of $21.4 million in the third quarter of fiscal 2016. Interest expense in the first nine months of fiscal 2017 was $81.5 million, an increase of $17.1 million or 26.6%, as compared with interest expense of $64.4 million in the first nine months of fiscal 2016. The increase in interest expense in the third quarter and first nine months of fiscal 2017 compared to the third quarter and first nine months of fiscal 2016 was primarily related to the impact of the interest expense associated with new debt including debt incurred to finance the acquisition of PF.</w:t>
      </w:r>
    </w:p>
    <w:p>
      <w:pPr>
        <w:spacing w:after="0" w:line="18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2017, the Company had $19.4 million of other income as compared with $1.5 million in the third quarter of fiscal 2016. During the first nine months of fiscal 2017, the Company incurred $30.8 million of other expense as compared with $0.3 million of other income in the first nine months of fiscal 2016. The increase in other income in the third quarter of fiscal 2017 is primarily due to the unrealized gain on marketable securities obtained through the sale of TS. The increase in other expense in the first nine months of fiscal 2017 is primarily attributable to the bridge financing and foreign currency hedging costs associated with the PF acquisition, partially offset by the unrealized gain on marketable securities obtained through the sale of 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on its income before income taxes from continuing operations was 15.3% in the third quarter of fiscal 2017 as compared with 17.1% in the third quarter of fiscal 2016. During the third quarter of fiscal 2017, the Company’s effective tax rate was favorably impacted primarily by (i) the mix of income in lower tax jurisdictions and (ii) the release of reserves and other discrete tax benefits of approximately $8 million. During the third quarter of fiscal 2016, the Company’s effective tax rate was favorably impacted primarily by (i) the mix of income in lower tax jurisdictions and (ii) the release of reserves related to the expiration of statutes of limitation.</w:t>
      </w:r>
    </w:p>
    <w:p>
      <w:pPr>
        <w:spacing w:after="0" w:line="188"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For the first nine months of fiscal 2017 and 2016, the Company’s effective tax rate was 25.7% and 18.0%, respectively. The effective tax rate for the first nine months of fiscal 2017 was favorably impacted primarily by (i) the mix of income in lower tax jurisdictions, partially offset by (ii) net increases to valuation allowances against deferred tax assets that were deemed unrealizable and (iii) the impact of non-deductible acquisition related expenses. The effective tax rate for the first nine months of fiscal 2016 was favorably impacted primarily by (i) the mix of income in lower tax jurisdictions, (ii) the release of valuation allowances against deferred tax assets that were deemed to be realizable and (iii) the release of reserves related to the expiration of statutes of limitation.</w:t>
      </w:r>
    </w:p>
    <w:p>
      <w:pPr>
        <w:spacing w:after="0" w:line="189" w:lineRule="exact"/>
        <w:rPr>
          <w:sz w:val="20"/>
          <w:szCs w:val="20"/>
          <w:color w:val="auto"/>
        </w:rPr>
      </w:pPr>
    </w:p>
    <w:p>
      <w:pPr>
        <w:jc w:val="both"/>
        <w:ind w:firstLine="428"/>
        <w:spacing w:after="0" w:line="282" w:lineRule="auto"/>
        <w:rPr>
          <w:sz w:val="20"/>
          <w:szCs w:val="20"/>
          <w:color w:val="auto"/>
        </w:rPr>
      </w:pPr>
      <w:r>
        <w:rPr>
          <w:rFonts w:ascii="Times New Roman" w:cs="Times New Roman" w:eastAsia="Times New Roman" w:hAnsi="Times New Roman"/>
          <w:sz w:val="18"/>
          <w:szCs w:val="18"/>
          <w:color w:val="auto"/>
        </w:rPr>
        <w:t>See Note 8, “Income taxes” to the Company’s consolidated financial statements included in this Quarterly Report on Form 10-Q for additional information on the Company’s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Income (loss) from discontinued operations decreased $50.9 million to a loss of $35.2 million in the third quarter of fiscal 2017 compared to income of $15.7 million in the third quarter of fiscal 2016. The third quarter of fiscal 2017 contained eight weeks as a result of the sale of TS being completed on February 27, 2017. Income from discontinued operations was $36.7 million in the first nine months of fiscal 2017 compared to $90.9 million in the first nine months of fiscal 2016.</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2017, the Company completed its sale of the TS business and recognized an estimated gain on sale, net of taxes of $217.1 million.</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Note 3, “Discontinued operations” to the Company’s consolidated financial statements included in this Quarterly Report on Form 10-Q for additional information and detail on the financial results of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income for the third quarter of fiscal 2017 was $271.8 million, or $2.10 per share on a diluted basis, as compared with $123.5 million, or $0.94 per share on a diluted basis, in the third quarter of fiscal 2016.</w:t>
      </w:r>
    </w:p>
    <w:p>
      <w:pPr>
        <w:spacing w:after="0" w:line="176"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income for the first nine months of fiscal 2017 was $443.8 million, or $3.41 per share on a diluted basis, as compared with $409.7 million, or $3.05 per share on a diluted basis, in the first nine months of fiscal 2016.</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first nine months of fiscal 2017, the Company used $184.6 million of cash from its operating activities compared to a cash generation of $297.1 million in the first nine months of fiscal 2016. These operating cash flows were comprised of: (i) cash flow generated from net income from continuing operations, adjusted for the impact of non-cash and other items, which includes depreciation and amortization expenses, deferred income taxes, stock-based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compensation expense and other non-cash items (including provisions for doubtful accounts and periodic pension costs), (ii) cash flows used for, or generated from, working capital and other, excluding cash and cash equivalents, and (iii) operating cash flows used for, or generated from, the TS operating group including the gain on sale, which is classified as a discontinued operation. Cash used for working capital and other was $184.4 million during the first nine months of fiscal 2017, including an increase in accounts receivable of $335.6 million and a decrease in accrued expenses and other of $21.0 million, partially offset by a decrease in inventories of $86.1 million and an increase in accounts payable of $86.1 million. Comparatively, cash used for working capital and other was $273.8 million during the first nine months of fiscal 2016, including an increase in inventories of $351.7 million, decreases in accounts payable of $103.2 million and accrued expenses and other of $73.1 million, partially offset by a decrease in accounts receivable of $254.3 million.</w:t>
      </w:r>
    </w:p>
    <w:p>
      <w:pPr>
        <w:spacing w:after="0" w:line="18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Cash used for operating activities of discontinued operations was $325.1 million in the first nine months of fiscal 2017 compared to cash generated of $115.0 million in the first nine months of fiscal 2016.</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the first nine months of fiscal 2017, the Company received net proceeds of $296.4 million as a result of the issuance of $300.0 million of 3.75% Notes due December 2021. Additionally, the Company received net proceeds of $530.8 million under the Term Loan. During the first nine months of fiscal 2017, the Company repaid $530.8 million of notes and acquired debt, $512.0 million from borrowings under the Term Loan, $168.4 million from borrowings under bank and revolving debt and made net repayments of $492.0 million under the Company’s accounts receivable securitization program. During the first nine months of fiscal 2017, the Company paid dividends on common stock of $66.5 million and repurchased $124.6 million of common stock.</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first nine months of fiscal 2016, the Company repaid upon maturity the $250 million of 6.00% Notes due September 2015. Additionally, the Company made net repayments of $400.0 million under the Company’s accounts receivable securitization program and received net proceeds of $412.3 million from borrowings of bank and revolving debt. During the first nine months of fiscal 2016, the Company paid dividends on common stock of $66.9 million and repurchased $334.2 million of common stock.</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During the first nine months of fiscal 2017, the Company used $108.0 million for capital expenditures primarily related to information system development costs, computer hardware and software purchases and facilities costs compared to $106.8 million for capital expenditures in the first nine months of fiscal 2016. During the first nine months of fiscal 2017, the Company used $801.2 million of cash for acquisitions, which is net of the cash acquired. Additionally, with the sale of the TS, the Company received $2.24 billion of proceeds from the sale of TS, net of cash divested, which is reflected as an investing activity from discontinued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July 2, 2016.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See Note 5, “Debt” to the Company’s consolidated financial statements included in this Quarterly Report on Form 10-Q for additional information on financing transactions including the Credit Facility, the Program, the Term Loan and the outstanding debt securities as of April 1, 2017. The Company was in compliance with all covenants under the Credit Facility and the Program as of April 1, 2017.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various lines of credit and other forms of bank debt in the U.S. and various foreign locations to fund the short-term working capital, foreign exchange, overdraft and letter of credit needs of its wholly owned subsidiaries. Avnet generally guarantees its subsidiaries’ obligations under such debt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$1.13 billion as of April 1, 2017, of which $1.09 billion was held outside the United States. As of July 2, 2016, the Company held cash and cash equivalents of $1.03 billion, of which $972.7 million was held outside of the United States.</w:t>
      </w:r>
    </w:p>
    <w:p>
      <w:pPr>
        <w:spacing w:after="0" w:line="17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of the end of the third quarter of fiscal 2017, the Company had a combined total borrowing capacity of $1.65 billion under the Credit Facility and the Program. There were no borrowings outstanding and $3.1 million in letters of credit issued under the Credit Facility and $238.0 million in borrowings outstanding under the Program, resulting in approximately $1.3 billion of total availability as of April 1, 2017. Availability under the Program is subject to the Company having sufficient eligible trade accounts receivable to support desired borrowings. During the third quarter and first nine months of fiscal 2017, the Company had an average daily balance outstanding of approximately $516.0 million and $596.5 million, respectively, under the Credit Facility and approximately $437.0 million and $592.0 million, respectively, under the Program. During the third quarter and first nine months of fiscal 2016, the Company had an average daily balance outstanding of approximately $446.8 million and $353.0 million, respectively, under the Credit Facility and approximately $751.2 million and $738.9 million, respectively, under the Program.</w:t>
      </w:r>
    </w:p>
    <w:p>
      <w:pPr>
        <w:spacing w:after="0" w:line="18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$102.2 million in cash flows from operating activities over the trailing four fiscal quarters ended April 1, 2017.</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and are currently expected to be permanently reinvested outside the United States. If these funds were needed for general corporate use in the United States, the Company would incur significant income taxes.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including remaining proceeds and marketable securities from the sale of the TS business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9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2017, the Company repaid $152.2 million of assumed debt relating to the acquisition of PF and approximately $1.6 billion of long-term debt with the proceeds from the sale of TS. The Company has made, and expects to continue to make, strategic investments through acquisition activity to the extent the investments strengthen Avnet’s competitive position and meet management’s return on capital thresholds. The Company also expects to make capital expenditures, including between $75 million and $125 million over the next two fiscal years to implement a global ERP system. Additionally, as the Company integrates the acquisition of PF and restructures to right size Avnet after the sale of TS and transform Avnet into an electronic components and integrated solutions focused business, the Company expects to use cash for restructuring, integration and other actions.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54" w:lineRule="auto"/>
        <w:rPr>
          <w:sz w:val="20"/>
          <w:szCs w:val="20"/>
          <w:color w:val="auto"/>
        </w:rPr>
      </w:pPr>
      <w:r>
        <w:rPr>
          <w:rFonts w:ascii="Times New Roman" w:cs="Times New Roman" w:eastAsia="Times New Roman" w:hAnsi="Times New Roman"/>
          <w:sz w:val="18"/>
          <w:szCs w:val="18"/>
          <w:color w:val="auto"/>
        </w:rPr>
        <w:t>In addition to continuing to make investments in acquisitions, as of April 1, 2017, the Company may repurchase up to an aggregate of $534.8 million of shares of the Company’s common stock through a $1.75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third quarter of fiscal 2017, the Board of Directors approved a dividend of $0.18 per share, which resulted in $23.1 million of dividend payments during the quarter.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7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July 2, 2016, for further discussion of market risks associated with foreign currency exchange rates and interest rates. Avnet’s exposure to such risks has not changed materially since July 2, 2016,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debts to mitigate the exposure to fluctuation in market interest rates. The Company’s exposure to market price risk related to marketable securities is mitigated through the purchase of a derivative financial instrument that fixes the value of the marketable securities.</w:t>
      </w:r>
    </w:p>
    <w:p>
      <w:pPr>
        <w:spacing w:after="0" w:line="19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See Liquidity and Capital Resources — Financing Transactions appearing in Item 2 of this Form 10-Q for further discussion of the Company’s financing transactions and capital structure. As of April 1, 2017, 85% of the Company’s debt bears interest at a fixed rate and 15% of the Company’s debt bears interest at variable rates. Therefore, a hypothetical 1.0% (100 basis points) increase in interest rates would result in a $0.7 million decrease in income from continuing operations before income taxes in the Company’s consolidated statement of operations for the third quarter of fiscal 2017.</w:t>
      </w:r>
    </w:p>
    <w:p>
      <w:pPr>
        <w:spacing w:after="0" w:line="1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2017,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8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8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17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operations and financial results are subject to various risks and uncertainties, including those described in Part I, Item 1A, “Risk Factors” in the Company’s Annual Report on Form 10-K for the fiscal year ended July 2, 2016, which could adversely affect the Company’s business, financial condition, results of operations, cash flows, and the trading price of its common stock as well as the following risks.</w:t>
      </w:r>
    </w:p>
    <w:p>
      <w:pPr>
        <w:spacing w:after="0" w:line="17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effect of discontinued operations for the TS operating group, the Company’s historical consolidated financial statements are not comparable to the quarterly consolidated financial statements included in this report and will not be comparable to its future consolidated financial results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The quarterly consolidated results of operations of the Company included in this report reflect as discontinued operations the results of operations of the Company’s TS operating group. The consolidated balance sheets contained in this report include assets of continuing operations as well as the assets of the TS operating group, and the Company’s consolidated statements of cash flows include the cash flows of both the continuing and discontinued operations of the Company for the periods presented. The Company’s historical annual consolidated financial statements currently do not reflect reporting of discontinued operations for the TS operating group. Accordingly, they are not comparable to the quarterly consolidated financial statements included in this report or any future consolidated financial results of the Company.</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The discussion of Avnet’s business and operations should be read together with the risk factors contained in Item 1A of its Annual Report on Form 10-K for the fiscal year ended July 2, 2016,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April 1, 2017, there have been no material changes to the risk factors set forth in the Company’s Annual Report on Form 10-K for the fiscal year ended July 2, 2016 outside of the additional risk factor listed above.</w:t>
      </w:r>
    </w:p>
    <w:p>
      <w:pPr>
        <w:spacing w:after="0" w:line="18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addition, this Quarterly Report contains forward-looking statements within the meaning of Section 27A of the Securities Act of 1933, as amended,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could affect the Company’s future results of operations, and could cause those results or other outcomes to differ materially from those expressed or implied in the forward-looking statements:</w:t>
      </w:r>
    </w:p>
    <w:p>
      <w:pPr>
        <w:spacing w:after="0" w:line="189" w:lineRule="exact"/>
        <w:rPr>
          <w:sz w:val="20"/>
          <w:szCs w:val="20"/>
          <w:color w:val="auto"/>
        </w:rPr>
      </w:pPr>
    </w:p>
    <w:p>
      <w:pPr>
        <w:ind w:left="420" w:hanging="93"/>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economic conditions, including the current global economic uncertainty;</w:t>
      </w:r>
    </w:p>
    <w:p>
      <w:pPr>
        <w:spacing w:after="0" w:line="225" w:lineRule="exact"/>
        <w:rPr>
          <w:rFonts w:ascii="Times New Roman" w:cs="Times New Roman" w:eastAsia="Times New Roman" w:hAnsi="Times New Roman"/>
          <w:sz w:val="18"/>
          <w:szCs w:val="18"/>
          <w:color w:val="auto"/>
        </w:rPr>
      </w:pPr>
    </w:p>
    <w:p>
      <w:pPr>
        <w:ind w:left="420" w:hanging="93"/>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among distributors of electronic components and computer products;</w:t>
      </w:r>
    </w:p>
    <w:p>
      <w:pPr>
        <w:spacing w:after="0" w:line="225" w:lineRule="exact"/>
        <w:rPr>
          <w:rFonts w:ascii="Times New Roman" w:cs="Times New Roman" w:eastAsia="Times New Roman" w:hAnsi="Times New Roman"/>
          <w:sz w:val="18"/>
          <w:szCs w:val="18"/>
          <w:color w:val="auto"/>
        </w:rPr>
      </w:pPr>
    </w:p>
    <w:p>
      <w:pPr>
        <w:ind w:left="500" w:hanging="173"/>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industry down-cycle in semiconductors;</w:t>
      </w:r>
    </w:p>
    <w:p>
      <w:pPr>
        <w:spacing w:after="0" w:line="225" w:lineRule="exact"/>
        <w:rPr>
          <w:rFonts w:ascii="Times New Roman" w:cs="Times New Roman" w:eastAsia="Times New Roman" w:hAnsi="Times New Roman"/>
          <w:sz w:val="18"/>
          <w:szCs w:val="18"/>
          <w:color w:val="auto"/>
        </w:rPr>
      </w:pPr>
    </w:p>
    <w:p>
      <w:pPr>
        <w:ind w:left="440" w:hanging="113"/>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key suppliers and allocations of products by suppliers;</w:t>
      </w:r>
    </w:p>
    <w:p>
      <w:pPr>
        <w:spacing w:after="0" w:line="225" w:lineRule="exact"/>
        <w:rPr>
          <w:rFonts w:ascii="Times New Roman" w:cs="Times New Roman" w:eastAsia="Times New Roman" w:hAnsi="Times New Roman"/>
          <w:sz w:val="18"/>
          <w:szCs w:val="18"/>
          <w:color w:val="auto"/>
        </w:rPr>
      </w:pPr>
    </w:p>
    <w:p>
      <w:pPr>
        <w:ind w:left="400" w:hanging="73"/>
        <w:spacing w:after="0" w:line="282"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61" w:lineRule="exact"/>
        <w:rPr>
          <w:rFonts w:ascii="Times New Roman" w:cs="Times New Roman" w:eastAsia="Times New Roman" w:hAnsi="Times New Roman"/>
          <w:sz w:val="18"/>
          <w:szCs w:val="18"/>
          <w:color w:val="auto"/>
        </w:rPr>
      </w:pPr>
    </w:p>
    <w:p>
      <w:pPr>
        <w:ind w:left="460" w:hanging="133"/>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acquisitions, divestitures and investments;</w:t>
      </w:r>
    </w:p>
    <w:p>
      <w:pPr>
        <w:spacing w:after="0" w:line="225" w:lineRule="exact"/>
        <w:rPr>
          <w:rFonts w:ascii="Times New Roman" w:cs="Times New Roman" w:eastAsia="Times New Roman" w:hAnsi="Times New Roman"/>
          <w:sz w:val="18"/>
          <w:szCs w:val="18"/>
          <w:color w:val="auto"/>
        </w:rPr>
      </w:pPr>
    </w:p>
    <w:p>
      <w:pPr>
        <w:ind w:left="400" w:hanging="73"/>
        <w:spacing w:after="0" w:line="282"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the Company’s supply chain, shipping costs, third-party service providers, customers and suppliers, including as a result of issues caused by natural and weather-related disasters;</w:t>
      </w:r>
    </w:p>
    <w:p>
      <w:pPr>
        <w:spacing w:after="0" w:line="161" w:lineRule="exact"/>
        <w:rPr>
          <w:rFonts w:ascii="Times New Roman" w:cs="Times New Roman" w:eastAsia="Times New Roman" w:hAnsi="Times New Roman"/>
          <w:sz w:val="18"/>
          <w:szCs w:val="18"/>
          <w:color w:val="auto"/>
        </w:rPr>
      </w:pPr>
    </w:p>
    <w:p>
      <w:pPr>
        <w:ind w:left="400" w:right="900" w:hanging="73"/>
        <w:spacing w:after="0" w:line="282"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 attacks and the Company’s information systems, including related to current or future implementations;</w:t>
      </w:r>
    </w:p>
    <w:p>
      <w:pPr>
        <w:spacing w:after="0" w:line="161" w:lineRule="exact"/>
        <w:rPr>
          <w:rFonts w:ascii="Times New Roman" w:cs="Times New Roman" w:eastAsia="Times New Roman" w:hAnsi="Times New Roman"/>
          <w:sz w:val="18"/>
          <w:szCs w:val="18"/>
          <w:color w:val="auto"/>
        </w:rPr>
      </w:pPr>
    </w:p>
    <w:p>
      <w:pPr>
        <w:ind w:left="420" w:hanging="93"/>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attracting, retaining, training, motivating and developing key employees;</w:t>
      </w:r>
    </w:p>
    <w:p>
      <w:pPr>
        <w:spacing w:after="0" w:line="225" w:lineRule="exact"/>
        <w:rPr>
          <w:rFonts w:ascii="Times New Roman" w:cs="Times New Roman" w:eastAsia="Times New Roman" w:hAnsi="Times New Roman"/>
          <w:sz w:val="18"/>
          <w:szCs w:val="18"/>
          <w:color w:val="auto"/>
        </w:rPr>
      </w:pPr>
    </w:p>
    <w:p>
      <w:pPr>
        <w:ind w:left="400" w:hanging="73"/>
        <w:spacing w:after="0" w:line="282"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161" w:lineRule="exact"/>
        <w:rPr>
          <w:rFonts w:ascii="Times New Roman" w:cs="Times New Roman" w:eastAsia="Times New Roman" w:hAnsi="Times New Roman"/>
          <w:sz w:val="18"/>
          <w:szCs w:val="18"/>
          <w:color w:val="auto"/>
        </w:rPr>
      </w:pPr>
    </w:p>
    <w:p>
      <w:pPr>
        <w:ind w:left="440" w:hanging="113"/>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affecting Avnet’s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approved the repurchase of up to $1.75 billion of the Company’s common stock under the Company’s share repurchase program. The following table includes the Company’s monthly purchases of the Company’s common stock during the third quarter of fiscal 2017, under the share repurchase program, which is part of a publicly announced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20" w:type="dxa"/>
            <w:vAlign w:val="bottom"/>
          </w:tcPr>
          <w:p>
            <w:pPr>
              <w:spacing w:after="0"/>
              <w:rPr>
                <w:sz w:val="18"/>
                <w:szCs w:val="18"/>
                <w:color w:val="auto"/>
              </w:rPr>
            </w:pP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2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22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45"/>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r>
      <w:tr>
        <w:trPr>
          <w:trHeight w:val="216"/>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8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152,656,000</w:t>
            </w:r>
          </w:p>
        </w:tc>
        <w:tc>
          <w:tcPr>
            <w:tcW w:w="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2,595,594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2,595,594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534,792,000</w:t>
            </w:r>
          </w:p>
        </w:tc>
        <w:tc>
          <w:tcPr>
            <w:tcW w:w="80" w:type="dxa"/>
            <w:vAlign w:val="bottom"/>
            <w:shd w:val="clear" w:color="auto" w:fill="CCEEFF"/>
          </w:tcPr>
          <w:p>
            <w:pPr>
              <w:spacing w:after="0"/>
              <w:rPr>
                <w:sz w:val="18"/>
                <w:szCs w:val="18"/>
                <w:color w:val="auto"/>
              </w:rPr>
            </w:pPr>
          </w:p>
        </w:tc>
      </w:tr>
      <w:tr>
        <w:trPr>
          <w:trHeight w:val="918"/>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w:t>
            </w:r>
          </w:p>
        </w:tc>
        <w:tc>
          <w:tcPr>
            <w:tcW w:w="240" w:type="dxa"/>
            <w:vAlign w:val="bottom"/>
            <w:vMerge w:val="continue"/>
          </w:tcPr>
          <w:p>
            <w:pPr>
              <w:spacing w:after="0"/>
              <w:rPr>
                <w:sz w:val="16"/>
                <w:szCs w:val="16"/>
                <w:color w:val="auto"/>
              </w:rPr>
            </w:pPr>
          </w:p>
        </w:tc>
        <w:tc>
          <w:tcPr>
            <w:tcW w:w="7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First Amendment to Interest Purchase Agreement, dated as of February 27, 2017, by and between Avnet,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 and Tech Data Corporation (incorporated herein by reference to the Company’s Current Report on</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dated March 3, 2017, Exhibit 2.2).</w:t>
            </w:r>
          </w:p>
        </w:tc>
        <w:tc>
          <w:tcPr>
            <w:tcW w:w="0" w:type="dxa"/>
            <w:vAlign w:val="bottom"/>
          </w:tcPr>
          <w:p>
            <w:pPr>
              <w:spacing w:after="0"/>
              <w:rPr>
                <w:sz w:val="1"/>
                <w:szCs w:val="1"/>
                <w:color w:val="auto"/>
              </w:rPr>
            </w:pPr>
          </w:p>
        </w:tc>
      </w:tr>
      <w:tr>
        <w:trPr>
          <w:trHeight w:val="441"/>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Amended and Restated Receivables Purchase Agreement, dated February 27, 2017, among Avnet,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 Avnet Receivables Corporation, the companies and financial institutions party thereto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JPMorgan Chase Bank, N.A., as agent (incorporated herein by reference to the Company’s Current</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dated March 3, 2017, Exhibit 10.1).</w:t>
            </w:r>
          </w:p>
        </w:tc>
        <w:tc>
          <w:tcPr>
            <w:tcW w:w="0" w:type="dxa"/>
            <w:vAlign w:val="bottom"/>
          </w:tcPr>
          <w:p>
            <w:pPr>
              <w:spacing w:after="0"/>
              <w:rPr>
                <w:sz w:val="1"/>
                <w:szCs w:val="1"/>
                <w:color w:val="auto"/>
              </w:rPr>
            </w:pPr>
          </w:p>
        </w:tc>
      </w:tr>
      <w:tr>
        <w:trPr>
          <w:trHeight w:val="441"/>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Receivables Sale Agreement, dated February 27, 2017, between Avnet, Inc.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Avnet Receivables Corporation (incorporated herein by reference to the Company’s Current Report on</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dated March 3, 2017, Exhibit 10.2).</w:t>
            </w:r>
          </w:p>
        </w:tc>
        <w:tc>
          <w:tcPr>
            <w:tcW w:w="0" w:type="dxa"/>
            <w:vAlign w:val="bottom"/>
          </w:tcPr>
          <w:p>
            <w:pPr>
              <w:spacing w:after="0"/>
              <w:rPr>
                <w:sz w:val="1"/>
                <w:szCs w:val="1"/>
                <w:color w:val="auto"/>
              </w:rPr>
            </w:pPr>
          </w:p>
        </w:tc>
      </w:tr>
      <w:tr>
        <w:trPr>
          <w:trHeight w:val="459"/>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101.INS*</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101.SCH*</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101.DEF*</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101.CAL*</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101.LAB*</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101.PRE*</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20" w:hanging="563"/>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620" w:right="60" w:hanging="563"/>
        <w:spacing w:after="0" w:line="254"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ind w:left="456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MORIARTY</w:t>
      </w:r>
    </w:p>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-127635</wp:posOffset>
            </wp:positionV>
            <wp:extent cx="26327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Amelio, certify that:</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sz w:val="20"/>
          <w:szCs w:val="20"/>
          <w:color w:val="auto"/>
        </w:rPr>
      </w:pPr>
    </w:p>
    <w:p>
      <w:pPr>
        <w:ind w:left="460" w:right="240" w:hanging="134"/>
        <w:spacing w:after="0" w:line="313" w:lineRule="auto"/>
        <w:rPr>
          <w:sz w:val="20"/>
          <w:szCs w:val="20"/>
          <w:color w:val="auto"/>
        </w:rPr>
      </w:pPr>
      <w:r>
        <w:rPr>
          <w:rFonts w:ascii="Times New Roman" w:cs="Times New Roman" w:eastAsia="Times New Roman" w:hAnsi="Times New Roman"/>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sz w:val="20"/>
          <w:szCs w:val="20"/>
          <w:color w:val="auto"/>
        </w:rPr>
      </w:pPr>
    </w:p>
    <w:p>
      <w:pPr>
        <w:ind w:left="460" w:right="26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780" w:right="4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780" w:right="14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ind w:left="780" w:right="24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sz w:val="20"/>
          <w:szCs w:val="20"/>
          <w:color w:val="auto"/>
        </w:rPr>
      </w:pPr>
    </w:p>
    <w:p>
      <w:pPr>
        <w:ind w:left="780" w:right="36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jc w:val="both"/>
        <w:ind w:left="460" w:right="40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8" w:lineRule="exact"/>
        <w:rPr>
          <w:sz w:val="20"/>
          <w:szCs w:val="20"/>
          <w:color w:val="auto"/>
        </w:rPr>
      </w:pPr>
    </w:p>
    <w:p>
      <w:pPr>
        <w:ind w:left="780" w:right="180" w:hanging="134"/>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sz w:val="20"/>
          <w:szCs w:val="20"/>
          <w:color w:val="auto"/>
        </w:rPr>
      </w:pPr>
    </w:p>
    <w:p>
      <w:pPr>
        <w:ind w:left="780" w:right="50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2017</w:t>
      </w: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34290</wp:posOffset>
            </wp:positionV>
            <wp:extent cx="3302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661225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3" w:right="7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Moriarty, certify that:</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sz w:val="20"/>
          <w:szCs w:val="20"/>
          <w:color w:val="auto"/>
        </w:rPr>
      </w:pPr>
    </w:p>
    <w:p>
      <w:pPr>
        <w:ind w:left="460" w:right="240" w:hanging="134"/>
        <w:spacing w:after="0" w:line="313" w:lineRule="auto"/>
        <w:rPr>
          <w:sz w:val="20"/>
          <w:szCs w:val="20"/>
          <w:color w:val="auto"/>
        </w:rPr>
      </w:pPr>
      <w:r>
        <w:rPr>
          <w:rFonts w:ascii="Times New Roman" w:cs="Times New Roman" w:eastAsia="Times New Roman" w:hAnsi="Times New Roman"/>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sz w:val="20"/>
          <w:szCs w:val="20"/>
          <w:color w:val="auto"/>
        </w:rPr>
      </w:pPr>
    </w:p>
    <w:p>
      <w:pPr>
        <w:ind w:left="460" w:right="26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780" w:right="4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780" w:right="14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ind w:left="780" w:right="24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sz w:val="20"/>
          <w:szCs w:val="20"/>
          <w:color w:val="auto"/>
        </w:rPr>
      </w:pPr>
    </w:p>
    <w:p>
      <w:pPr>
        <w:ind w:left="780" w:right="36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jc w:val="both"/>
        <w:ind w:left="460" w:right="40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8" w:lineRule="exact"/>
        <w:rPr>
          <w:sz w:val="20"/>
          <w:szCs w:val="20"/>
          <w:color w:val="auto"/>
        </w:rPr>
      </w:pPr>
    </w:p>
    <w:p>
      <w:pPr>
        <w:ind w:left="780" w:right="180" w:hanging="134"/>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sz w:val="20"/>
          <w:szCs w:val="20"/>
          <w:color w:val="auto"/>
        </w:rPr>
      </w:pPr>
    </w:p>
    <w:p>
      <w:pPr>
        <w:ind w:left="780" w:right="50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2017</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KEVIN MORIARTY</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661225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3" w:right="7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April 1, 2017 (the “Report”), I, William 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Amelio, Chief Executive Officer of Avnet, Inc., (the “Company”) hereby certify that:</w:t>
      </w:r>
    </w:p>
    <w:p>
      <w:pPr>
        <w:spacing w:after="0" w:line="99" w:lineRule="exact"/>
        <w:rPr>
          <w:sz w:val="20"/>
          <w:szCs w:val="20"/>
          <w:color w:val="auto"/>
        </w:rPr>
      </w:pPr>
    </w:p>
    <w:p>
      <w:pPr>
        <w:ind w:left="460" w:right="220" w:hanging="134"/>
        <w:spacing w:after="0" w:line="282" w:lineRule="auto"/>
        <w:rPr>
          <w:sz w:val="20"/>
          <w:szCs w:val="20"/>
          <w:color w:val="auto"/>
        </w:rPr>
      </w:pPr>
      <w:r>
        <w:rPr>
          <w:rFonts w:ascii="Times New Roman" w:cs="Times New Roman" w:eastAsia="Times New Roman" w:hAnsi="Times New Roman"/>
          <w:sz w:val="18"/>
          <w:szCs w:val="18"/>
          <w:color w:val="auto"/>
        </w:rPr>
        <w:t>1.The Report fully complies with the requirements of Section 13(a) or 15(d), as applicable, of the Securities Exchange Act of 1934; and</w:t>
      </w:r>
    </w:p>
    <w:p>
      <w:pPr>
        <w:spacing w:after="0" w:line="54" w:lineRule="exact"/>
        <w:rPr>
          <w:sz w:val="20"/>
          <w:szCs w:val="20"/>
          <w:color w:val="auto"/>
        </w:rPr>
      </w:pPr>
    </w:p>
    <w:p>
      <w:pPr>
        <w:ind w:left="460" w:right="180" w:hanging="134"/>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2017</w:t>
      </w:r>
    </w:p>
    <w:p>
      <w:pPr>
        <w:spacing w:after="0" w:line="23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17145</wp:posOffset>
            </wp:positionV>
            <wp:extent cx="2838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514985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April 1, 2017 (the “Report”), I, Kevin Moriarty, Chief Financial Officer of Avnet, Inc., (the “Company”) hereby certify that:</w:t>
      </w:r>
    </w:p>
    <w:p>
      <w:pPr>
        <w:spacing w:after="0" w:line="54" w:lineRule="exact"/>
        <w:rPr>
          <w:sz w:val="20"/>
          <w:szCs w:val="20"/>
          <w:color w:val="auto"/>
        </w:rPr>
      </w:pPr>
    </w:p>
    <w:p>
      <w:pPr>
        <w:ind w:left="460" w:right="220" w:hanging="134"/>
        <w:spacing w:after="0" w:line="282" w:lineRule="auto"/>
        <w:rPr>
          <w:sz w:val="20"/>
          <w:szCs w:val="20"/>
          <w:color w:val="auto"/>
        </w:rPr>
      </w:pPr>
      <w:r>
        <w:rPr>
          <w:rFonts w:ascii="Times New Roman" w:cs="Times New Roman" w:eastAsia="Times New Roman" w:hAnsi="Times New Roman"/>
          <w:sz w:val="18"/>
          <w:szCs w:val="18"/>
          <w:color w:val="auto"/>
        </w:rPr>
        <w:t>1.The Report fully complies with the requirements of Section 13(a) or 15(d), as applicable, of the Securities Exchange Act of 1934; and</w:t>
      </w:r>
    </w:p>
    <w:p>
      <w:pPr>
        <w:spacing w:after="0" w:line="54" w:lineRule="exact"/>
        <w:rPr>
          <w:sz w:val="20"/>
          <w:szCs w:val="20"/>
          <w:color w:val="auto"/>
        </w:rPr>
      </w:pPr>
    </w:p>
    <w:p>
      <w:pPr>
        <w:ind w:left="460" w:right="180" w:hanging="134"/>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2017</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17145</wp:posOffset>
            </wp:positionV>
            <wp:extent cx="28473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Kevin Moriarty</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497840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3"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4"/>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4"/>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2019-12-29T06:19:10Z</dcterms:created>
  <dcterms:modified xsi:type="dcterms:W3CDTF">2019-12-29T06:19:10Z</dcterms:modified>
</cp:coreProperties>
</file>