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158750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92710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AVNET, INC.</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83185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(480) 643-2000</w:t>
      </w:r>
    </w:p>
    <w:p>
      <w:pPr>
        <w:spacing w:after="0" w:line="63" w:lineRule="exact"/>
        <w:rPr>
          <w:sz w:val="24"/>
          <w:szCs w:val="24"/>
          <w:color w:val="auto"/>
        </w:rPr>
      </w:pPr>
    </w:p>
    <w:p>
      <w:pPr>
        <w:jc w:val="both"/>
        <w:ind w:firstLine="428"/>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ind w:firstLine="432"/>
        <w:spacing w:after="0" w:line="27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firstLine="428"/>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60"/>
          </w:cols>
          <w:pgMar w:left="1420" w:top="233" w:right="1419" w:bottom="1440" w:gutter="0" w:footer="0" w:header="0"/>
        </w:sectPr>
      </w:pPr>
    </w:p>
    <w:p>
      <w:pPr>
        <w:spacing w:after="0" w:line="25"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5260" w:space="720"/>
            <w:col w:w="3080"/>
          </w:cols>
          <w:pgMar w:left="1420" w:top="233" w:right="1419" w:bottom="1440" w:gutter="0" w:footer="0" w:header="0"/>
          <w:type w:val="continuous"/>
        </w:sectPr>
      </w:pPr>
    </w:p>
    <w:p>
      <w:pPr>
        <w:ind w:left="160"/>
        <w:spacing w:after="0" w:line="230"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4" w:lineRule="exact"/>
        <w:rPr>
          <w:sz w:val="24"/>
          <w:szCs w:val="24"/>
          <w:color w:val="auto"/>
        </w:rPr>
      </w:pPr>
    </w:p>
    <w:p>
      <w:pPr>
        <w:sectPr>
          <w:pgSz w:w="11900" w:h="16838" w:orient="portrait"/>
          <w:cols w:equalWidth="0" w:num="2">
            <w:col w:w="5340" w:space="640"/>
            <w:col w:w="3080"/>
          </w:cols>
          <w:pgMar w:left="1420" w:top="233" w:right="1419" w:bottom="1440" w:gutter="0" w:footer="0" w:header="0"/>
          <w:type w:val="continuous"/>
        </w:sectPr>
      </w:pPr>
    </w:p>
    <w:p>
      <w:pPr>
        <w:jc w:val="both"/>
        <w:ind w:firstLine="42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41" w:lineRule="exact"/>
        <w:rPr>
          <w:sz w:val="24"/>
          <w:szCs w:val="24"/>
          <w:color w:val="auto"/>
        </w:rPr>
      </w:pPr>
    </w:p>
    <w:p>
      <w:pPr>
        <w:ind w:left="200" w:hanging="197"/>
        <w:spacing w:after="0" w:line="207" w:lineRule="exact"/>
        <w:tabs>
          <w:tab w:leader="none" w:pos="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firstLine="428"/>
        <w:spacing w:after="0" w:line="277" w:lineRule="auto"/>
        <w:rPr>
          <w:sz w:val="20"/>
          <w:szCs w:val="20"/>
          <w:color w:val="auto"/>
        </w:rPr>
      </w:pPr>
      <w:r>
        <w:rPr>
          <w:rFonts w:ascii="Arial" w:cs="Arial" w:eastAsia="Arial" w:hAnsi="Arial"/>
          <w:sz w:val="18"/>
          <w:szCs w:val="18"/>
          <w:color w:val="auto"/>
        </w:rPr>
        <w:t>As of April 19, 2018, the total number of shares outstanding of the registrant’s Common Stock was 117,981,593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940435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10"/>
          </w:tcPr>
          <w:p>
            <w:pPr>
              <w:jc w:val="center"/>
              <w:ind w:right="18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6"/>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Borders>
              <w:bottom w:val="single" w:sz="8" w:color="0000EE"/>
            </w:tcBorders>
            <w:gridSpan w:val="6"/>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March 31, 2018 and July 1, 201</w:t>
              </w:r>
            </w:hyperlink>
            <w:r>
              <w:rPr>
                <w:rFonts w:ascii="Arial" w:cs="Arial" w:eastAsia="Arial" w:hAnsi="Arial"/>
                <w:sz w:val="18"/>
                <w:szCs w:val="18"/>
                <w:color w:val="000000"/>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Operations for the third quarters and nine months ended March 31, 2018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April 1, 2017</w:t>
              </w:r>
            </w:hyperlink>
          </w:p>
        </w:tc>
        <w:tc>
          <w:tcPr>
            <w:tcW w:w="6440" w:type="dxa"/>
            <w:vAlign w:val="bottom"/>
            <w:tcBorders>
              <w:top w:val="single" w:sz="8" w:color="0000EE"/>
            </w:tcBorders>
            <w:gridSpan w:val="16"/>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third quarters and nine months ended March</w:t>
              </w:r>
            </w:hyperlink>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8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31, 2018 and April 1, 2017</w:t>
              </w:r>
            </w:hyperlink>
          </w:p>
        </w:tc>
        <w:tc>
          <w:tcPr>
            <w:tcW w:w="5680" w:type="dxa"/>
            <w:vAlign w:val="bottom"/>
            <w:gridSpan w:val="12"/>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Statements of Cash Flows for the nine months ended March 31, 2018 and April 1, 2017</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140" w:type="dxa"/>
            <w:vAlign w:val="bottom"/>
            <w:tcBorders>
              <w:top w:val="single" w:sz="8" w:color="0000EE"/>
            </w:tcBorders>
            <w:gridSpan w:val="6"/>
          </w:tcPr>
          <w:p>
            <w:pPr>
              <w:spacing w:after="0"/>
              <w:rPr>
                <w:sz w:val="24"/>
                <w:szCs w:val="24"/>
                <w:color w:val="auto"/>
              </w:rPr>
            </w:pPr>
          </w:p>
        </w:tc>
        <w:tc>
          <w:tcPr>
            <w:tcW w:w="46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0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4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31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PART II. OTHER INFORMATION</w:t>
              </w:r>
            </w:hyperlink>
          </w:p>
        </w:tc>
        <w:tc>
          <w:tcPr>
            <w:tcW w:w="28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20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18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AVNET, INC. AND SUBSIDIARIES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2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1,</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5"/>
          </w:tcPr>
          <w:p>
            <w:pPr>
              <w:jc w:val="center"/>
              <w:ind w:right="1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8"/>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2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430,065</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Receivables, less allowances of $50,821 and $47,272, respectively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3,337,624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3,261,897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2,824,709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305,067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253,765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7,624,611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9"/>
              </w:rPr>
              <w:t>7,533,808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1,026,542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1,148,347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4"/>
              </w:rPr>
              <w:t>Other assets</w:t>
            </w:r>
          </w:p>
        </w:tc>
        <w:tc>
          <w:tcPr>
            <w:tcW w:w="56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281,588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220,568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9,711,930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9,699,589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5620" w:type="dxa"/>
            <w:vAlign w:val="bottom"/>
          </w:tcPr>
          <w:p>
            <w:pPr>
              <w:jc w:val="center"/>
              <w:ind w:right="1190"/>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Short-term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101,979</w:t>
            </w:r>
          </w:p>
        </w:tc>
        <w:tc>
          <w:tcPr>
            <w:tcW w:w="20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2,091,082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1,861,635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576,385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542,023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2,769,446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2,453,771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1,488,706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1,729,212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498,957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334,538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4,757,109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4,517,521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Common stock $1.00 par; authorized 300,000,000 shares; issued 118,630,784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123,080,952 shares, respectively</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1,519,975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1,503,490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3,313,914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3,799,363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(243,866)</w:t>
            </w:r>
          </w:p>
        </w:tc>
        <w:tc>
          <w:tcPr>
            <w:tcW w:w="0" w:type="dxa"/>
            <w:vAlign w:val="bottom"/>
          </w:tcPr>
          <w:p>
            <w:pPr>
              <w:spacing w:after="0"/>
              <w:rPr>
                <w:sz w:val="1"/>
                <w:szCs w:val="1"/>
                <w:color w:val="auto"/>
              </w:rPr>
            </w:pPr>
          </w:p>
        </w:tc>
      </w:tr>
      <w:tr>
        <w:trPr>
          <w:trHeight w:val="236"/>
        </w:trPr>
        <w:tc>
          <w:tcPr>
            <w:tcW w:w="67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4,954,821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5,182,068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9,711,930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9,699,589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Third Quarters Ended</w:t>
            </w:r>
          </w:p>
        </w:tc>
        <w:tc>
          <w:tcPr>
            <w:tcW w:w="140" w:type="dxa"/>
            <w:vAlign w:val="bottom"/>
          </w:tcPr>
          <w:p>
            <w:pPr>
              <w:spacing w:after="0"/>
              <w:rPr>
                <w:sz w:val="19"/>
                <w:szCs w:val="19"/>
                <w:color w:val="auto"/>
              </w:rPr>
            </w:pPr>
          </w:p>
        </w:tc>
        <w:tc>
          <w:tcPr>
            <w:tcW w:w="2300" w:type="dxa"/>
            <w:vAlign w:val="bottom"/>
            <w:gridSpan w:val="6"/>
          </w:tcPr>
          <w:p>
            <w:pPr>
              <w:ind w:left="34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April 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97"/>
              </w:rPr>
              <w:t>March 31,</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April 1,</w:t>
            </w:r>
          </w:p>
        </w:tc>
        <w:tc>
          <w:tcPr>
            <w:tcW w:w="100" w:type="dxa"/>
            <w:vAlign w:val="bottom"/>
          </w:tcPr>
          <w:p>
            <w:pPr>
              <w:spacing w:after="0"/>
              <w:rPr>
                <w:sz w:val="18"/>
                <w:szCs w:val="18"/>
                <w:color w:val="auto"/>
              </w:rPr>
            </w:pPr>
          </w:p>
        </w:tc>
      </w:tr>
      <w:tr>
        <w:trPr>
          <w:trHeight w:val="229"/>
        </w:trPr>
        <w:tc>
          <w:tcPr>
            <w:tcW w:w="4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r>
      <w:tr>
        <w:trPr>
          <w:trHeight w:val="213"/>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74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w w:val="89"/>
              </w:rPr>
              <w:t>(Thousands, except per share amounts)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4,795,093</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4,441,896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13,977,672</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12,833,559</w:t>
            </w:r>
          </w:p>
        </w:tc>
        <w:tc>
          <w:tcPr>
            <w:tcW w:w="100" w:type="dxa"/>
            <w:vAlign w:val="bottom"/>
            <w:shd w:val="clear" w:color="auto" w:fill="CCEEFF"/>
          </w:tcPr>
          <w:p>
            <w:pPr>
              <w:spacing w:after="0"/>
              <w:rPr>
                <w:sz w:val="20"/>
                <w:szCs w:val="20"/>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sales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4,141,556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3,811,910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12,109,120</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11,094,733</w:t>
            </w:r>
          </w:p>
        </w:tc>
        <w:tc>
          <w:tcPr>
            <w:tcW w:w="1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629,986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1,868,552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1,738,826</w:t>
            </w:r>
          </w:p>
        </w:tc>
        <w:tc>
          <w:tcPr>
            <w:tcW w:w="100" w:type="dxa"/>
            <w:vAlign w:val="bottom"/>
            <w:shd w:val="clear" w:color="auto" w:fill="CCEEFF"/>
          </w:tcPr>
          <w:p>
            <w:pPr>
              <w:spacing w:after="0"/>
              <w:rPr>
                <w:sz w:val="18"/>
                <w:szCs w:val="18"/>
                <w:color w:val="auto"/>
              </w:rPr>
            </w:pPr>
          </w:p>
        </w:tc>
      </w:tr>
      <w:tr>
        <w:trPr>
          <w:trHeight w:val="227"/>
        </w:trPr>
        <w:tc>
          <w:tcPr>
            <w:tcW w:w="40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501,378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480,190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1,476,263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1,275,417</w:t>
            </w:r>
          </w:p>
        </w:tc>
        <w:tc>
          <w:tcPr>
            <w:tcW w:w="100" w:type="dxa"/>
            <w:vAlign w:val="bottom"/>
          </w:tcPr>
          <w:p>
            <w:pPr>
              <w:spacing w:after="0"/>
              <w:rPr>
                <w:sz w:val="19"/>
                <w:szCs w:val="19"/>
                <w:color w:val="auto"/>
              </w:rPr>
            </w:pPr>
          </w:p>
        </w:tc>
      </w:tr>
      <w:tr>
        <w:trPr>
          <w:trHeight w:val="233"/>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Goodwill impairment expense (Note 4)</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181,440</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Restructuring, integration and other expenses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108,277</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95,382</w:t>
            </w:r>
          </w:p>
        </w:tc>
        <w:tc>
          <w:tcPr>
            <w:tcW w:w="1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Operating (loss)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368,027</w:t>
            </w:r>
          </w:p>
        </w:tc>
        <w:tc>
          <w:tcPr>
            <w:tcW w:w="100" w:type="dxa"/>
            <w:vAlign w:val="bottom"/>
            <w:shd w:val="clear" w:color="auto" w:fill="CCEEFF"/>
          </w:tcPr>
          <w:p>
            <w:pPr>
              <w:spacing w:after="0"/>
              <w:rPr>
                <w:sz w:val="18"/>
                <w:szCs w:val="18"/>
                <w:color w:val="auto"/>
              </w:rPr>
            </w:pPr>
          </w:p>
        </w:tc>
      </w:tr>
      <w:tr>
        <w:trPr>
          <w:trHeight w:val="227"/>
        </w:trPr>
        <w:tc>
          <w:tcPr>
            <w:tcW w:w="40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24,725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(30,809)</w:t>
            </w:r>
          </w:p>
        </w:tc>
      </w:tr>
      <w:tr>
        <w:trPr>
          <w:trHeight w:val="23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(27,534)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(75,746)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(81,518)</w:t>
            </w:r>
          </w:p>
        </w:tc>
      </w:tr>
      <w:tr>
        <w:trPr>
          <w:trHeight w:val="200"/>
        </w:trPr>
        <w:tc>
          <w:tcPr>
            <w:tcW w:w="40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(loss) from continuing operations before taxes</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(72,063)</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106,188</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51,551</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255,700</w:t>
            </w:r>
          </w:p>
        </w:tc>
        <w:tc>
          <w:tcPr>
            <w:tcW w:w="100" w:type="dxa"/>
            <w:vAlign w:val="bottom"/>
            <w:tcBorders>
              <w:top w:val="single" w:sz="8" w:color="CCEEFF"/>
            </w:tcBorders>
          </w:tcPr>
          <w:p>
            <w:pPr>
              <w:spacing w:after="0"/>
              <w:rPr>
                <w:sz w:val="17"/>
                <w:szCs w:val="17"/>
                <w:color w:val="auto"/>
              </w:rPr>
            </w:pPr>
          </w:p>
        </w:tc>
      </w:tr>
      <w:tr>
        <w:trPr>
          <w:trHeight w:val="239"/>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243,541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252,179</w:t>
            </w: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65,627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0"/>
        </w:trPr>
        <w:tc>
          <w:tcPr>
            <w:tcW w:w="4020" w:type="dxa"/>
            <w:vAlign w:val="bottom"/>
          </w:tcPr>
          <w:p>
            <w:pPr>
              <w:spacing w:after="0"/>
              <w:rPr>
                <w:sz w:val="20"/>
                <w:szCs w:val="20"/>
                <w:color w:val="auto"/>
              </w:rPr>
            </w:pPr>
            <w:r>
              <w:rPr>
                <w:rFonts w:ascii="Arial" w:cs="Arial" w:eastAsia="Arial" w:hAnsi="Arial"/>
                <w:sz w:val="16"/>
                <w:szCs w:val="16"/>
                <w:color w:val="auto"/>
              </w:rPr>
              <w:t>Income (loss) from continuing operations, net of tax</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(315,604)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89,920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(200,628)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190,073</w:t>
            </w:r>
          </w:p>
        </w:tc>
        <w:tc>
          <w:tcPr>
            <w:tcW w:w="100" w:type="dxa"/>
            <w:vAlign w:val="bottom"/>
          </w:tcPr>
          <w:p>
            <w:pPr>
              <w:spacing w:after="0"/>
              <w:rPr>
                <w:sz w:val="17"/>
                <w:szCs w:val="17"/>
                <w:color w:val="auto"/>
              </w:rPr>
            </w:pPr>
          </w:p>
        </w:tc>
      </w:tr>
      <w:tr>
        <w:trPr>
          <w:trHeight w:val="239"/>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from discontinued operations, net of tax</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181,851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(14,411)</w:t>
            </w: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253,759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(320,066)</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271,771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(215,039)</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443,832</w:t>
            </w:r>
          </w:p>
        </w:tc>
        <w:tc>
          <w:tcPr>
            <w:tcW w:w="100" w:type="dxa"/>
            <w:vAlign w:val="bottom"/>
            <w:tcBorders>
              <w:bottom w:val="single" w:sz="8" w:color="CCEEFF"/>
            </w:tcBorders>
          </w:tcPr>
          <w:p>
            <w:pPr>
              <w:spacing w:after="0"/>
              <w:rPr>
                <w:sz w:val="17"/>
                <w:szCs w:val="17"/>
                <w:color w:val="auto"/>
              </w:rPr>
            </w:pPr>
          </w:p>
        </w:tc>
      </w:tr>
      <w:tr>
        <w:trPr>
          <w:trHeight w:val="216"/>
        </w:trPr>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4020" w:type="dxa"/>
            <w:vAlign w:val="bottom"/>
          </w:tcPr>
          <w:p>
            <w:pPr>
              <w:spacing w:after="0"/>
              <w:rPr>
                <w:sz w:val="20"/>
                <w:szCs w:val="20"/>
                <w:color w:val="auto"/>
              </w:rPr>
            </w:pPr>
            <w:r>
              <w:rPr>
                <w:rFonts w:ascii="Arial" w:cs="Arial" w:eastAsia="Arial" w:hAnsi="Arial"/>
                <w:sz w:val="16"/>
                <w:szCs w:val="16"/>
                <w:color w:val="auto"/>
              </w:rPr>
              <w:t>Earnings (loss) per share - basic:</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(1.66)</w:t>
            </w:r>
          </w:p>
        </w:tc>
        <w:tc>
          <w:tcPr>
            <w:tcW w:w="2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0"/>
                <w:szCs w:val="20"/>
                <w:color w:val="auto"/>
              </w:rPr>
            </w:pPr>
          </w:p>
        </w:tc>
      </w:tr>
      <w:tr>
        <w:trPr>
          <w:trHeight w:val="223"/>
        </w:trPr>
        <w:tc>
          <w:tcPr>
            <w:tcW w:w="4020" w:type="dxa"/>
            <w:vAlign w:val="bottom"/>
          </w:tcPr>
          <w:p>
            <w:pPr>
              <w:ind w:left="12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(0.12)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r>
      <w:tr>
        <w:trPr>
          <w:trHeight w:val="210"/>
        </w:trPr>
        <w:tc>
          <w:tcPr>
            <w:tcW w:w="4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income per share basic</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share - diluted: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7"/>
        </w:trPr>
        <w:tc>
          <w:tcPr>
            <w:tcW w:w="4020" w:type="dxa"/>
            <w:vAlign w:val="bottom"/>
          </w:tcPr>
          <w:p>
            <w:pPr>
              <w:ind w:left="120"/>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(2.64)</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(1.66)</w:t>
            </w:r>
          </w:p>
        </w:tc>
        <w:tc>
          <w:tcPr>
            <w:tcW w:w="2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r>
      <w:tr>
        <w:trPr>
          <w:trHeight w:val="239"/>
        </w:trPr>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Discontinued operations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0"/>
                <w:szCs w:val="20"/>
                <w:color w:val="auto"/>
              </w:rPr>
            </w:pPr>
          </w:p>
        </w:tc>
      </w:tr>
      <w:tr>
        <w:trPr>
          <w:trHeight w:val="197"/>
        </w:trPr>
        <w:tc>
          <w:tcPr>
            <w:tcW w:w="402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6"/>
                <w:szCs w:val="16"/>
                <w:color w:val="auto"/>
              </w:rPr>
              <w:t>Net (loss) income per share diluted</w:t>
            </w: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Borders>
              <w:top w:val="single" w:sz="8" w:color="CCEEFF"/>
              <w:bottom w:val="single" w:sz="8" w:color="CCEEFF"/>
            </w:tcBorders>
          </w:tcPr>
          <w:p>
            <w:pPr>
              <w:spacing w:after="0"/>
              <w:rPr>
                <w:sz w:val="17"/>
                <w:szCs w:val="17"/>
                <w:color w:val="auto"/>
              </w:rPr>
            </w:pPr>
          </w:p>
        </w:tc>
        <w:tc>
          <w:tcPr>
            <w:tcW w:w="4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top w:val="single" w:sz="8" w:color="CCEEFF"/>
              <w:bottom w:val="single" w:sz="8" w:color="CCEEFF"/>
            </w:tcBorders>
          </w:tcPr>
          <w:p>
            <w:pPr>
              <w:spacing w:after="0"/>
              <w:rPr>
                <w:sz w:val="17"/>
                <w:szCs w:val="17"/>
                <w:color w:val="auto"/>
              </w:rPr>
            </w:pPr>
          </w:p>
        </w:tc>
      </w:tr>
      <w:tr>
        <w:trPr>
          <w:trHeight w:val="216"/>
        </w:trPr>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4020" w:type="dxa"/>
            <w:vAlign w:val="bottom"/>
          </w:tcPr>
          <w:p>
            <w:pPr>
              <w:spacing w:after="0"/>
              <w:rPr>
                <w:sz w:val="20"/>
                <w:szCs w:val="20"/>
                <w:color w:val="auto"/>
              </w:rPr>
            </w:pPr>
            <w:r>
              <w:rPr>
                <w:rFonts w:ascii="Arial" w:cs="Arial" w:eastAsia="Arial" w:hAnsi="Arial"/>
                <w:sz w:val="16"/>
                <w:szCs w:val="16"/>
                <w:color w:val="auto"/>
              </w:rPr>
              <w:t>Shares used to compute earnings per share: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119,601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128,487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120,895</w:t>
            </w: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127,973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119,601</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129,432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120,895</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129,847</w:t>
            </w:r>
          </w:p>
        </w:tc>
        <w:tc>
          <w:tcPr>
            <w:tcW w:w="100" w:type="dxa"/>
            <w:vAlign w:val="bottom"/>
            <w:tcBorders>
              <w:bottom w:val="single" w:sz="8" w:color="CCEEFF"/>
            </w:tcBorders>
          </w:tcPr>
          <w:p>
            <w:pPr>
              <w:spacing w:after="0"/>
              <w:rPr>
                <w:sz w:val="17"/>
                <w:szCs w:val="17"/>
                <w:color w:val="auto"/>
              </w:rPr>
            </w:pPr>
          </w:p>
        </w:tc>
      </w:tr>
      <w:tr>
        <w:trPr>
          <w:trHeight w:val="21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paid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2"/>
              </w:rPr>
              <w:t>Third Quarters Ended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Borders>
              <w:top w:val="single" w:sz="8" w:color="auto"/>
            </w:tcBorders>
            <w:gridSpan w:val="3"/>
          </w:tcPr>
          <w:p>
            <w:pPr>
              <w:jc w:val="right"/>
              <w:ind w:right="180"/>
              <w:spacing w:after="0" w:line="198" w:lineRule="exact"/>
              <w:rPr>
                <w:sz w:val="20"/>
                <w:szCs w:val="20"/>
                <w:color w:val="auto"/>
              </w:rPr>
            </w:pPr>
            <w:r>
              <w:rPr>
                <w:rFonts w:ascii="Arial" w:cs="Arial" w:eastAsia="Arial" w:hAnsi="Arial"/>
                <w:sz w:val="18"/>
                <w:szCs w:val="18"/>
                <w:b w:val="1"/>
                <w:bCs w:val="1"/>
                <w:color w:val="auto"/>
                <w:w w:val="96"/>
              </w:rPr>
              <w:t>March 31,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4"/>
              </w:rPr>
              <w:t>April 1,</w:t>
            </w:r>
          </w:p>
        </w:tc>
        <w:tc>
          <w:tcPr>
            <w:tcW w:w="280" w:type="dxa"/>
            <w:vAlign w:val="bottom"/>
          </w:tcPr>
          <w:p>
            <w:pPr>
              <w:spacing w:after="0"/>
              <w:rPr>
                <w:sz w:val="17"/>
                <w:szCs w:val="17"/>
                <w:color w:val="auto"/>
              </w:rPr>
            </w:pPr>
          </w:p>
        </w:tc>
        <w:tc>
          <w:tcPr>
            <w:tcW w:w="114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April 1,</w:t>
            </w:r>
          </w:p>
        </w:tc>
        <w:tc>
          <w:tcPr>
            <w:tcW w:w="40" w:type="dxa"/>
            <w:vAlign w:val="bottom"/>
          </w:tcPr>
          <w:p>
            <w:pPr>
              <w:spacing w:after="0"/>
              <w:rPr>
                <w:sz w:val="17"/>
                <w:szCs w:val="17"/>
                <w:color w:val="auto"/>
              </w:rPr>
            </w:pPr>
          </w:p>
        </w:tc>
      </w:tr>
      <w:tr>
        <w:trPr>
          <w:trHeight w:val="241"/>
        </w:trPr>
        <w:tc>
          <w:tcPr>
            <w:tcW w:w="4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r>
      <w:tr>
        <w:trPr>
          <w:trHeight w:val="216"/>
        </w:trPr>
        <w:tc>
          <w:tcPr>
            <w:tcW w:w="4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(320,066)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271,771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(215,039)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443,832</w:t>
            </w:r>
          </w:p>
        </w:tc>
        <w:tc>
          <w:tcPr>
            <w:tcW w:w="40" w:type="dxa"/>
            <w:vAlign w:val="bottom"/>
            <w:shd w:val="clear" w:color="auto" w:fill="CCEEFF"/>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and other</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230,857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(58,300)</w:t>
            </w: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Impact of TS business divestiture (Note 3)</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181,465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181,465</w:t>
            </w:r>
          </w:p>
        </w:tc>
        <w:tc>
          <w:tcPr>
            <w:tcW w:w="40" w:type="dxa"/>
            <w:vAlign w:val="bottom"/>
          </w:tcPr>
          <w:p>
            <w:pPr>
              <w:spacing w:after="0"/>
              <w:rPr>
                <w:sz w:val="19"/>
                <w:szCs w:val="19"/>
                <w:color w:val="auto"/>
              </w:rPr>
            </w:pPr>
          </w:p>
        </w:tc>
      </w:tr>
      <w:tr>
        <w:trPr>
          <w:trHeight w:val="236"/>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Pension adjustments, net</w:t>
            </w: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15,310</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100" w:type="dxa"/>
            <w:vAlign w:val="bottom"/>
          </w:tcPr>
          <w:p>
            <w:pPr>
              <w:ind w:left="220"/>
              <w:spacing w:after="0" w:line="203" w:lineRule="exact"/>
              <w:rPr>
                <w:sz w:val="20"/>
                <w:szCs w:val="20"/>
                <w:color w:val="auto"/>
              </w:rPr>
            </w:pPr>
            <w:r>
              <w:rPr>
                <w:rFonts w:ascii="Arial" w:cs="Arial" w:eastAsia="Arial" w:hAnsi="Arial"/>
                <w:sz w:val="18"/>
                <w:szCs w:val="18"/>
                <w:color w:val="auto"/>
              </w:rPr>
              <w:t>Total comprehensive (loss) income</w:t>
            </w: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(200,872)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548,040</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31,128</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572,901</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563C1"/>
            </w:tcBorders>
          </w:tcPr>
          <w:p>
            <w:pPr>
              <w:spacing w:after="0"/>
              <w:rPr>
                <w:sz w:val="24"/>
                <w:szCs w:val="24"/>
                <w:color w:val="auto"/>
              </w:rPr>
            </w:pPr>
          </w:p>
        </w:tc>
        <w:tc>
          <w:tcPr>
            <w:tcW w:w="538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AVNET, INC. AND SUBSIDIARIES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38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380" w:type="dxa"/>
            <w:vAlign w:val="bottom"/>
          </w:tcPr>
          <w:p>
            <w:pPr>
              <w:jc w:val="center"/>
              <w:ind w:left="10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2300" w:type="dxa"/>
            <w:vAlign w:val="bottom"/>
            <w:gridSpan w:val="6"/>
            <w:vMerge w:val="restart"/>
          </w:tcPr>
          <w:p>
            <w:pPr>
              <w:jc w:val="right"/>
              <w:ind w:right="5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2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220"/>
              <w:spacing w:after="0" w:line="157"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30"/>
              <w:spacing w:after="0" w:line="157" w:lineRule="exact"/>
              <w:rPr>
                <w:sz w:val="20"/>
                <w:szCs w:val="20"/>
                <w:color w:val="auto"/>
              </w:rPr>
            </w:pPr>
            <w:r>
              <w:rPr>
                <w:rFonts w:ascii="Arial" w:cs="Arial" w:eastAsia="Arial" w:hAnsi="Arial"/>
                <w:sz w:val="18"/>
                <w:szCs w:val="18"/>
                <w:b w:val="1"/>
                <w:bCs w:val="1"/>
                <w:color w:val="auto"/>
              </w:rPr>
              <w:t>April 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jc w:val="right"/>
              <w:ind w:right="550"/>
              <w:spacing w:after="0" w:line="189" w:lineRule="exact"/>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(215,039)</w:t>
            </w: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443,832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(loss) from discontinued operations, net of tax</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(14,411)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253,759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6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(200,628)</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190,073</w:t>
            </w: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Non-cash and other reconciling items: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114,111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63,800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69,860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34,185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(74,126)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189"/>
        </w:trPr>
        <w:tc>
          <w:tcPr>
            <w:tcW w:w="666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18,427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41,778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Goodwill impairment expense</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181,440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66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30,305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10,563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(net of effects from businesses acquired and divested):</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(98,147)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(335,617)</w:t>
            </w: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(337,939)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86,103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180,732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86,120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Accrued expenses and other,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133,837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(20,977)</w:t>
            </w:r>
          </w:p>
        </w:tc>
        <w:tc>
          <w:tcPr>
            <w:tcW w:w="0" w:type="dxa"/>
            <w:vAlign w:val="bottom"/>
          </w:tcPr>
          <w:p>
            <w:pPr>
              <w:spacing w:after="0"/>
              <w:rPr>
                <w:sz w:val="1"/>
                <w:szCs w:val="1"/>
                <w:color w:val="auto"/>
              </w:rPr>
            </w:pPr>
          </w:p>
        </w:tc>
      </w:tr>
      <w:tr>
        <w:trPr>
          <w:trHeight w:val="183"/>
        </w:trPr>
        <w:tc>
          <w:tcPr>
            <w:tcW w:w="6660" w:type="dxa"/>
            <w:vAlign w:val="bottom"/>
            <w:tcBorders>
              <w:top w:val="single" w:sz="8" w:color="CCEEFF"/>
              <w:bottom w:val="single" w:sz="8" w:color="CCEEFF"/>
            </w:tcBorders>
            <w:gridSpan w:val="2"/>
          </w:tcPr>
          <w:p>
            <w:pPr>
              <w:ind w:left="440"/>
              <w:spacing w:after="0" w:line="176" w:lineRule="exact"/>
              <w:rPr>
                <w:sz w:val="20"/>
                <w:szCs w:val="20"/>
                <w:color w:val="auto"/>
              </w:rPr>
            </w:pPr>
            <w:r>
              <w:rPr>
                <w:rFonts w:ascii="Arial" w:cs="Arial" w:eastAsia="Arial" w:hAnsi="Arial"/>
                <w:sz w:val="18"/>
                <w:szCs w:val="18"/>
                <w:color w:val="auto"/>
              </w:rPr>
              <w:t>Net cash flows provided by operating activities - continuing operations</w:t>
            </w: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17,872</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140,466</w:t>
            </w:r>
          </w:p>
        </w:tc>
        <w:tc>
          <w:tcPr>
            <w:tcW w:w="14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Net cash flows used by operating activities -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(325,096)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gridSpan w:val="2"/>
          </w:tcPr>
          <w:p>
            <w:pPr>
              <w:ind w:left="440"/>
              <w:spacing w:after="0" w:line="176" w:lineRule="exact"/>
              <w:rPr>
                <w:sz w:val="20"/>
                <w:szCs w:val="20"/>
                <w:color w:val="auto"/>
              </w:rPr>
            </w:pPr>
            <w:r>
              <w:rPr>
                <w:rFonts w:ascii="Arial" w:cs="Arial" w:eastAsia="Arial" w:hAnsi="Arial"/>
                <w:sz w:val="18"/>
                <w:szCs w:val="18"/>
                <w:color w:val="auto"/>
              </w:rPr>
              <w:t>Net cash flows provided (used) by operating activities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17,872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(184,630)</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5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spacing w:after="0" w:line="189"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Issuance of notes, net of issuance costs</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296,374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Repayment of notes</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(530,800)</w:t>
            </w: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Repayments under accounts receivable securitization, net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(492,000)</w:t>
            </w:r>
          </w:p>
        </w:tc>
        <w:tc>
          <w:tcPr>
            <w:tcW w:w="0" w:type="dxa"/>
            <w:vAlign w:val="bottom"/>
          </w:tcPr>
          <w:p>
            <w:pPr>
              <w:spacing w:after="0"/>
              <w:rPr>
                <w:sz w:val="1"/>
                <w:szCs w:val="1"/>
                <w:color w:val="auto"/>
              </w:rPr>
            </w:pPr>
          </w:p>
        </w:tc>
      </w:tr>
      <w:tr>
        <w:trPr>
          <w:trHeight w:val="189"/>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Repayments under senior unsecured credit facility, net</w:t>
            </w:r>
          </w:p>
        </w:tc>
        <w:tc>
          <w:tcPr>
            <w:tcW w:w="10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(99,971)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Repayments under bank credit facilities and other debt, net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(44,293)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189"/>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Borrowings of term loans</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530,756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Repayments of term loans</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(511,358)</w:t>
            </w:r>
          </w:p>
        </w:tc>
        <w:tc>
          <w:tcPr>
            <w:tcW w:w="0" w:type="dxa"/>
            <w:vAlign w:val="bottom"/>
          </w:tcPr>
          <w:p>
            <w:pPr>
              <w:spacing w:after="0"/>
              <w:rPr>
                <w:sz w:val="1"/>
                <w:szCs w:val="1"/>
                <w:color w:val="auto"/>
              </w:rPr>
            </w:pPr>
          </w:p>
        </w:tc>
      </w:tr>
      <w:tr>
        <w:trPr>
          <w:trHeight w:val="189"/>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(209,466)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(124,598)</w:t>
            </w: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(66,198)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(66,477)</w:t>
            </w:r>
          </w:p>
        </w:tc>
        <w:tc>
          <w:tcPr>
            <w:tcW w:w="0" w:type="dxa"/>
            <w:vAlign w:val="bottom"/>
          </w:tcPr>
          <w:p>
            <w:pPr>
              <w:spacing w:after="0"/>
              <w:rPr>
                <w:sz w:val="1"/>
                <w:szCs w:val="1"/>
                <w:color w:val="auto"/>
              </w:rPr>
            </w:pPr>
          </w:p>
        </w:tc>
      </w:tr>
      <w:tr>
        <w:trPr>
          <w:trHeight w:val="196"/>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(2,738)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15,838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Net cash flows used for financing activities - continuing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(469,666)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(1,050,651)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gridSpan w:val="2"/>
          </w:tcPr>
          <w:p>
            <w:pPr>
              <w:ind w:left="440"/>
              <w:spacing w:after="0" w:line="176" w:lineRule="exact"/>
              <w:rPr>
                <w:sz w:val="20"/>
                <w:szCs w:val="20"/>
                <w:color w:val="auto"/>
              </w:rPr>
            </w:pPr>
            <w:r>
              <w:rPr>
                <w:rFonts w:ascii="Arial" w:cs="Arial" w:eastAsia="Arial" w:hAnsi="Arial"/>
                <w:sz w:val="18"/>
                <w:szCs w:val="18"/>
                <w:color w:val="auto"/>
              </w:rPr>
              <w:t>Net cash flows provided by financing activities - discontinued operations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3,447</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Net cash flows used for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(469,666)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(1,047,204)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(112,217)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(107,960)</w:t>
            </w: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Acquisitions of businesses, net of cash acquired (Note 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(18,621)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(801,164)</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gridSpan w:val="2"/>
          </w:tcPr>
          <w:p>
            <w:pPr>
              <w:ind w:left="120"/>
              <w:spacing w:after="0" w:line="189" w:lineRule="exact"/>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18,404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Net cash flows used for investing activities - continuing operations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(123,818)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(890,720)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gridSpan w:val="2"/>
          </w:tcPr>
          <w:p>
            <w:pPr>
              <w:ind w:left="440"/>
              <w:spacing w:after="0" w:line="176" w:lineRule="exact"/>
              <w:rPr>
                <w:sz w:val="20"/>
                <w:szCs w:val="20"/>
                <w:color w:val="auto"/>
              </w:rPr>
            </w:pPr>
            <w:r>
              <w:rPr>
                <w:rFonts w:ascii="Arial" w:cs="Arial" w:eastAsia="Arial" w:hAnsi="Arial"/>
                <w:sz w:val="18"/>
                <w:szCs w:val="18"/>
                <w:color w:val="auto"/>
              </w:rPr>
              <w:t>Net cash flows provided by investing activities - discontinued operations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153,933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2,235,384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color w:val="auto"/>
              </w:rPr>
              <w:t>Net cash flows provided by investing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30,115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1,344,664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Effect of currency exchange rate changes on cash and cash equivalents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(15,075)</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gridSpan w:val="2"/>
          </w:tcPr>
          <w:p>
            <w:pPr>
              <w:spacing w:after="0" w:line="189" w:lineRule="exact"/>
              <w:rPr>
                <w:sz w:val="20"/>
                <w:szCs w:val="20"/>
                <w:color w:val="auto"/>
              </w:rPr>
            </w:pPr>
            <w:r>
              <w:rPr>
                <w:rFonts w:ascii="Arial" w:cs="Arial" w:eastAsia="Arial" w:hAnsi="Arial"/>
                <w:sz w:val="18"/>
                <w:szCs w:val="18"/>
                <w:color w:val="auto"/>
              </w:rPr>
              <w:t>— (decrease) increase</w:t>
            </w:r>
          </w:p>
        </w:tc>
        <w:tc>
          <w:tcPr>
            <w:tcW w:w="100" w:type="dxa"/>
            <w:vAlign w:val="bottom"/>
          </w:tcPr>
          <w:p>
            <w:pPr>
              <w:spacing w:after="0"/>
              <w:rPr>
                <w:sz w:val="16"/>
                <w:szCs w:val="16"/>
                <w:color w:val="auto"/>
              </w:rPr>
            </w:pP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(406,319)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97,755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836,384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1,031,478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60" w:type="dxa"/>
            <w:vAlign w:val="bottom"/>
            <w:gridSpan w:val="2"/>
          </w:tcPr>
          <w:p>
            <w:pPr>
              <w:spacing w:after="0" w:line="176" w:lineRule="exact"/>
              <w:rPr>
                <w:sz w:val="20"/>
                <w:szCs w:val="20"/>
                <w:color w:val="auto"/>
              </w:rPr>
            </w:pPr>
            <w:r>
              <w:rPr>
                <w:rFonts w:ascii="Arial" w:cs="Arial" w:eastAsia="Arial" w:hAnsi="Arial"/>
                <w:sz w:val="18"/>
                <w:szCs w:val="18"/>
                <w:color w:val="auto"/>
              </w:rPr>
              <w:t>— at end of period</w:t>
            </w: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430,065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1,129,233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380" w:type="dxa"/>
            <w:vAlign w:val="bottom"/>
          </w:tcPr>
          <w:p>
            <w:pPr>
              <w:jc w:val="center"/>
              <w:ind w:left="1030"/>
              <w:spacing w:after="0"/>
              <w:rPr>
                <w:sz w:val="20"/>
                <w:szCs w:val="20"/>
                <w:color w:val="auto"/>
              </w:rPr>
            </w:pPr>
            <w:r>
              <w:rPr>
                <w:rFonts w:ascii="Arial" w:cs="Arial" w:eastAsia="Arial" w:hAnsi="Arial"/>
                <w:sz w:val="18"/>
                <w:szCs w:val="18"/>
                <w:color w:val="auto"/>
                <w:w w:val="88"/>
              </w:rPr>
              <w:t>See notes to consolidated financial statements.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9"/>
        </w:trPr>
        <w:tc>
          <w:tcPr>
            <w:tcW w:w="666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5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(loss)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1, 2017.</w:t>
      </w:r>
    </w:p>
    <w:p>
      <w:pPr>
        <w:spacing w:after="0" w:line="16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Certain reclassifications have been made in prior periods and the fiscal year to date current periods to conform to the current period presentation.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 xml:space="preserve">In February 2018, the Financial Accounting Standards Board (“FASB”) issued Accounting Standards Update 2018-02, </w:t>
      </w:r>
      <w:r>
        <w:rPr>
          <w:rFonts w:ascii="Arial" w:cs="Arial" w:eastAsia="Arial" w:hAnsi="Arial"/>
          <w:sz w:val="17"/>
          <w:szCs w:val="17"/>
          <w:i w:val="1"/>
          <w:iCs w:val="1"/>
          <w:color w:val="auto"/>
        </w:rPr>
        <w:t xml:space="preserve">Income Statement–Reporting Comprehensive Income (Topic 220): Reclassification of Certain Tax Effects from Accumulated Other Comprehensive Income </w:t>
      </w:r>
      <w:r>
        <w:rPr>
          <w:rFonts w:ascii="Arial" w:cs="Arial" w:eastAsia="Arial" w:hAnsi="Arial"/>
          <w:sz w:val="17"/>
          <w:szCs w:val="17"/>
          <w:color w:val="auto"/>
        </w:rPr>
        <w:t>(“ASU 2018-02”), which allows entities to reclassify accumulated other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to retained earnings for stranded tax effects resulting from the Tax Cuts and Jobs Act (the “Act”). This update is effective for interim and annual reporting periods beginning after December 15, 2018, with early adoption permitted. The update should be applied either in the period of adoption or retrospectively to each period (or periods) in which the effect of the income tax rate change resulting from the Act is recognized. The Company is currently evaluating the impact of the adoption of ASU 2018-02 on its consolidated financial statements.</w:t>
      </w:r>
    </w:p>
    <w:p>
      <w:pPr>
        <w:spacing w:after="0" w:line="17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In December 2017, the Securities and Exchange Commission issued Staff Accounting Bulletin No. 118 (“SAB 118”), which provides guidance related to the Act. The Act changes existing United States tax law and includes numerous provisions that will affect the accounting for U.S. income taxes under ASC 740. SAB 118 allows registrants to record provisional amounts during a one year “measurement period”. The measurement period ends on the earlier of finalization of accounting or one year from the date of the enactment. During the measurement period, impacts of the Act are expected to be recorded at the time a reasonable estimate for all or a portion of the effects can be made, and provisional amounts can be recognized and adjusted as information becomes available, prepared or analyzed. SAB 118 summarizes three stages of applying the impact of the Act to be applied at each reporting period, to account for and qualitatively disclose the accounting impacts of the Act: (i) the effects of the Act for which accounting is complete; (ii) provisional amounts (or adjustments to provisional amounts) for the effects of the Act where accounting is not complete, but that a reasonable estimate has been determined; and (3) a reasonable estimate cannot yet be made and therefore taxes are reflected in accordance with law prior to the enactment of the Act. See Note 8, “Income Taxes” for further discussion of the application of SAB 118 as of March 31, 2018. Additionally, as a result of the Act, the Company must make an accounting policy election as to whether to record the deferred impacts of the Global Intangible Low Taxed Income (“GILTI”) provision, or to treat it entirely as a period cost. The Company is still evaluating this GILTI accounting policy election.</w:t>
      </w:r>
    </w:p>
    <w:p>
      <w:pPr>
        <w:spacing w:after="0" w:line="16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 xml:space="preserve">In August 2017, the FASB issued Accounting Standards Update 2017-12, </w:t>
      </w:r>
      <w:r>
        <w:rPr>
          <w:rFonts w:ascii="Arial" w:cs="Arial" w:eastAsia="Arial" w:hAnsi="Arial"/>
          <w:sz w:val="16"/>
          <w:szCs w:val="16"/>
          <w:i w:val="1"/>
          <w:iCs w:val="1"/>
          <w:color w:val="auto"/>
        </w:rPr>
        <w:t>Derivatives and Hedging (Topic 815)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Targeted Improvements to Accounting for Hedging Activities </w:t>
      </w:r>
      <w:r>
        <w:rPr>
          <w:rFonts w:ascii="Arial" w:cs="Arial" w:eastAsia="Arial" w:hAnsi="Arial"/>
          <w:sz w:val="16"/>
          <w:szCs w:val="16"/>
          <w:color w:val="auto"/>
        </w:rPr>
        <w:t>(“ASU 2017-12”), which improves the financial reporting of</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relationships to better portray the economic results of an entity’s risk management activities in its financial statements and makes certain targeted improvements to simplify the qualification and application of the hedge accounting compared to current GAAP. This update is effective for fiscal years beginning after December 15, 2018, with early adoption permitted. The Company is currently evaluating the impact of the adoption of ASU 2017-12 on its consolidated financial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March 2017, the FASB issued Accounting Standards Update 2017-07, </w:t>
      </w:r>
      <w:r>
        <w:rPr>
          <w:rFonts w:ascii="Arial" w:cs="Arial" w:eastAsia="Arial" w:hAnsi="Arial"/>
          <w:sz w:val="16"/>
          <w:szCs w:val="16"/>
          <w:i w:val="1"/>
          <w:iCs w:val="1"/>
          <w:color w:val="auto"/>
        </w:rPr>
        <w:t>Compensation–Retirement Benefits (Topic</w:t>
      </w:r>
    </w:p>
    <w:p>
      <w:pPr>
        <w:spacing w:after="0" w:line="46" w:lineRule="exact"/>
        <w:rPr>
          <w:sz w:val="20"/>
          <w:szCs w:val="20"/>
          <w:color w:val="auto"/>
        </w:rPr>
      </w:pPr>
    </w:p>
    <w:p>
      <w:pPr>
        <w:jc w:val="both"/>
        <w:ind w:firstLine="3"/>
        <w:spacing w:after="0" w:line="267" w:lineRule="auto"/>
        <w:tabs>
          <w:tab w:leader="none" w:pos="383"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 Improving the Presentation of Net Periodic Pension Cost and Net Periodic Postretirement Benefit Cost </w:t>
      </w:r>
      <w:r>
        <w:rPr>
          <w:rFonts w:ascii="Arial" w:cs="Arial" w:eastAsia="Arial" w:hAnsi="Arial"/>
          <w:sz w:val="17"/>
          <w:szCs w:val="17"/>
          <w:color w:val="auto"/>
        </w:rPr>
        <w:t>(“ASU 2017-07”). The new guidance requires the service cost component of net periodic benefit cost to be presented in the same income statement line item as other employee compensation costs arising from services rendered during the period, and allows only the service cost component to be eligible for capitalization in assets. Other components of the net periodic benefit cost are to be presented separately from the line item that includes the service cost and outside of any subtotal of operating income, and the line item must be appropriately described. If a separate line item is not used, the line item used in the income statement to present the other components of net benefit cost must be disclosed. The guidance is effective for fiscal years beginning after December 15, 2017, and interim periods within that annual period, with early adoption permitted. The amendment is to be applied retrospectively. The new guidance primarily impacts the income statement presentation of net periodic benefit cost and the Company does not believe adoption of this standard will have a material impact on its consolidated financial statements including income before income taxes, but the reported amount of operating income will decrease compared to historical measurements of operating income. Refer to Note 9, “Pension Plan,” for further information on the components of net periodic benefit cost.</w:t>
      </w:r>
    </w:p>
    <w:p>
      <w:pPr>
        <w:spacing w:after="0" w:line="184"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October 2016, the FASB issued Accounting Standards Update No. 2016-16, </w:t>
      </w:r>
      <w:r>
        <w:rPr>
          <w:rFonts w:ascii="Arial" w:cs="Arial" w:eastAsia="Arial" w:hAnsi="Arial"/>
          <w:sz w:val="17"/>
          <w:szCs w:val="17"/>
          <w:i w:val="1"/>
          <w:iCs w:val="1"/>
          <w:color w:val="auto"/>
        </w:rPr>
        <w:t>Income Taxes (Topic 740): Intra-Entity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Transfers of Assets Other Than Inventory </w:t>
      </w:r>
      <w:r>
        <w:rPr>
          <w:rFonts w:ascii="Arial" w:cs="Arial" w:eastAsia="Arial" w:hAnsi="Arial"/>
          <w:sz w:val="17"/>
          <w:szCs w:val="17"/>
          <w:color w:val="auto"/>
        </w:rPr>
        <w:t>(“ASU 2016-16”). The update amends accounting guidance for intra-entity</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of assets other than inventory to require the recognition of income tax consequences when the transfer occurs. The update is effective for fiscal years, and interim periods within those fiscal years, beginning after December 15, 2017, with early adoption permitted. A modified retrospective approach should be applied. The Company is currently evaluating the impact of the adoption of ASU 2016-16 on its consolidated financial statements.</w:t>
      </w:r>
    </w:p>
    <w:p>
      <w:pPr>
        <w:spacing w:after="0" w:line="178"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update requires a lessee to recognize assets and liabilities on the consolidated balance sheets for leases with lease terms greater than 12 months. ASU 2016-02 is effective for fiscal years, and interim periods within those fiscal years, beginning after December 15, 2018. Early adoption is permitted. The update will be effective for the Company in the first quarter of fiscal 2020, using a modified retrospective approach. The Company is currently evaluating the impact of the adoption of ASU 2016-02 on its consolidated financial statements.</w:t>
      </w:r>
    </w:p>
    <w:p>
      <w:pPr>
        <w:spacing w:after="0" w:line="178"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amended </w:t>
      </w:r>
      <w:r>
        <w:rPr>
          <w:rFonts w:ascii="Arial" w:cs="Arial" w:eastAsia="Arial" w:hAnsi="Arial"/>
          <w:sz w:val="16"/>
          <w:szCs w:val="16"/>
          <w:color w:val="auto"/>
        </w:rPr>
        <w:t>(“ASU 2014-09”), to supersede nearly all existing revenue recognition guidance under GAAP. The core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of ASU 2014-09 are to recognize revenue when promised goods or services are transferred to customers in an amount that reflects the consideration that is expected to be received for those goods or services. Application of the guidance in ASU 2014-09 is expected to require more judgment and estimates within the revenue recognition process compared to existing GAAP. ASU 2014-09 is required to be adopted by the Company in the first quarter of fiscal 2019.</w:t>
      </w:r>
    </w:p>
    <w:p>
      <w:pPr>
        <w:spacing w:after="0" w:line="165"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The Company expects to adopt the requirements of ASU 2014-09 using retrospective adoption to each prior reporting period presented. The company has established an implementation team inclusive of external advisors engaged to assist in evaluating potential differences compared to existing GAAP. The Company has identified its revenue streams and is currently assessing each stream for potential impacts from the adoption of ASU 2014-09. For the revenue streams assessed, the Company does not anticipate a material impact in the timing or amount of revenue recognized.</w:t>
      </w:r>
    </w:p>
    <w:p>
      <w:pPr>
        <w:spacing w:after="0" w:line="158"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The Company’s analysis and evaluation of the new standard will continue through its effective date and a substantial amount of work remains to be completed due to the complexity of the new standard, the application of judgment and the requirement for the use of estimates in applying the new standard, as well as the significant number of customers and the related terms and conditions of our contracts that must be reviewed. The Company does not currently expect significant changes in revenue recognition practices for continuing operations compared to existing GAAP.</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Dragon Innovation</w:t>
      </w:r>
    </w:p>
    <w:p>
      <w:pPr>
        <w:spacing w:after="0" w:line="2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August 2017, the Company acquired Dragon Innovation, Inc. (“Dragon”), a provider of manufacturing logistics services. The impact of this acquisition was not material to the Company’s consolidated balance sheets or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 and gain on sale</w:t>
      </w:r>
    </w:p>
    <w:p>
      <w:pPr>
        <w:spacing w:after="0" w:line="22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In February 2017, the Company completed the sale of its Technology Solutions (“TS”) business to Tech Data Corporation (the “Buyer”). Included in the gain on sale recorded upon completion of the sale were estimates for certain income taxes due on the gain and additional cash consideration expected from the Buyer related to a closing date net working capital sales price adjustment (the “closing date adjustment”). The Company is finalizing the closing date adjustment with the Buyer as provided for in the sales agreement and has included an estimate of this amount as primary component of the $305.1 million of prepaid and other current assets as of March 31, 2018. The final closing date adjustment, as determined through the established process outlined in the sales agreement, may be materially different from the Company’s estimate. The impact of any probable changes in the closing date adjustment will be recorded as an adjustment to the gain on sale from discontinued operations in the period such change occurs. During the third quarter of fiscal 2018, the Company made certain adjustments to the closing date estimates, which were not material and have been included as an adjustment to the gain on sale of discontinued operations classified within “Income (loss) from discontinued operations, net of tax” on the Consolidated Statements of Operations.</w:t>
      </w:r>
    </w:p>
    <w:p>
      <w:pPr>
        <w:spacing w:after="0" w:line="180"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The income taxes associated with the gain will be impacted by the final geographic allocation of the sales price, which must be agreed to with the Buyer after determination of the closing date adjustment, as required in the sales agreement, and may be materially different from the Company’s estimates. The impact of any changes in estimated income taxes on the gain will be recorded as an adjustment to the gain on sale from discontinued operations in the period such change in estimate occurs. The Company currently expects the closing date adjustment to be finalized by the first half of fiscal 2019 and the income tax on the gain to be finalized by the end of fiscal 2019.</w:t>
      </w:r>
    </w:p>
    <w:p>
      <w:pPr>
        <w:spacing w:after="0" w:line="178"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 received 2.8 million shares of the Buyer’s common stock at closing (the “Shares”), which has been recorded within “Marketable securities” on the Company’s Consolidated Balance Sheets. As of March 31, 2018, the Company had 0.9 million shares remaining, which had market value of $75.1 million. Unrealized and realized gains or losses due to changes in fair value based upon Level 1 quoted active market prices of the Shares are recorded in “Other income (expense), net” on the Consolidated Statements of Operations. The sales agreement includes time based contractual restrictions related to the Company’s sale of the Shares and as such, the Company entered into economic hedges to reduce the Company’s exposure to price fluctuations of the Shares during the restricted period, which fixes the net amount that the Company will realize upon the sale of the Shares. The Company records changes in fair value related to the economic share price hedges within “Other income (expense), net”, offsetting the changes in fair value of the underlying Shares. During the nine months ended March 31, 2018, the Company sold 1.9 million Shares, the net proceeds of which have been included in “Cash flows from investing activities – discontinued operations.”</w:t>
      </w:r>
    </w:p>
    <w:p>
      <w:pPr>
        <w:spacing w:after="0" w:line="183"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 TSA are classified within selling, general and administrative expenses and amounts billed to the Buyer to provide such services are classified as a reduction of such expenses. As of March 31, 2018, the Buyer has formally terminated substantially all TSA services outside of certain minor information technology services and all remaining TSA services are expected to be terminated by the first half of fiscal 2019.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Financial results of the TS business for the third quarter and nine months ended April 1, 2017 are presented as “Income (loss) from discontinued operations, net of tax” on the Consolidated Statements of Operations and are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gridSpan w:val="3"/>
          </w:tcPr>
          <w:p>
            <w:pPr>
              <w:ind w:left="60"/>
              <w:spacing w:after="0"/>
              <w:rPr>
                <w:sz w:val="20"/>
                <w:szCs w:val="20"/>
                <w:color w:val="auto"/>
              </w:rPr>
            </w:pPr>
            <w:r>
              <w:rPr>
                <w:rFonts w:ascii="Arial" w:cs="Arial" w:eastAsia="Arial" w:hAnsi="Arial"/>
                <w:sz w:val="18"/>
                <w:szCs w:val="18"/>
                <w:b w:val="1"/>
                <w:bCs w:val="1"/>
                <w:color w:val="auto"/>
              </w:rPr>
              <w:t>Third Quarter Ended</w:t>
            </w:r>
          </w:p>
        </w:tc>
        <w:tc>
          <w:tcPr>
            <w:tcW w:w="20" w:type="dxa"/>
            <w:vAlign w:val="bottom"/>
          </w:tcPr>
          <w:p>
            <w:pPr>
              <w:spacing w:after="0"/>
              <w:rPr>
                <w:sz w:val="20"/>
                <w:szCs w:val="20"/>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Nine Months Ended</w:t>
            </w:r>
          </w:p>
        </w:tc>
      </w:tr>
      <w:tr>
        <w:trPr>
          <w:trHeight w:val="223"/>
        </w:trPr>
        <w:tc>
          <w:tcPr>
            <w:tcW w:w="4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April 1, 2017</w:t>
            </w:r>
          </w:p>
        </w:tc>
        <w:tc>
          <w:tcPr>
            <w:tcW w:w="10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(Thousands)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6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1,056,676</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5,432,140</w:t>
            </w:r>
          </w:p>
        </w:tc>
        <w:tc>
          <w:tcPr>
            <w:tcW w:w="140" w:type="dxa"/>
            <w:vAlign w:val="bottom"/>
            <w:shd w:val="clear" w:color="auto" w:fill="CCEEFF"/>
          </w:tcPr>
          <w:p>
            <w:pPr>
              <w:spacing w:after="0"/>
              <w:rPr>
                <w:sz w:val="18"/>
                <w:szCs w:val="18"/>
                <w:color w:val="auto"/>
              </w:rPr>
            </w:pPr>
          </w:p>
        </w:tc>
      </w:tr>
      <w:tr>
        <w:trPr>
          <w:trHeight w:val="223"/>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955,781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4,883,945</w:t>
            </w:r>
          </w:p>
        </w:tc>
        <w:tc>
          <w:tcPr>
            <w:tcW w:w="140" w:type="dxa"/>
            <w:vAlign w:val="bottom"/>
            <w:tcBorders>
              <w:bottom w:val="single" w:sz="8" w:color="CCEEFF"/>
            </w:tcBorders>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548,195</w:t>
            </w:r>
          </w:p>
        </w:tc>
        <w:tc>
          <w:tcPr>
            <w:tcW w:w="1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105,622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430,003</w:t>
            </w:r>
          </w:p>
        </w:tc>
        <w:tc>
          <w:tcPr>
            <w:tcW w:w="140" w:type="dxa"/>
            <w:vAlign w:val="bottom"/>
          </w:tcPr>
          <w:p>
            <w:pPr>
              <w:spacing w:after="0"/>
              <w:rPr>
                <w:sz w:val="18"/>
                <w:szCs w:val="18"/>
                <w:color w:val="auto"/>
              </w:rPr>
            </w:pPr>
          </w:p>
        </w:tc>
      </w:tr>
      <w:tr>
        <w:trPr>
          <w:trHeight w:val="236"/>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4980" w:type="dxa"/>
            <w:vAlign w:val="bottom"/>
          </w:tcPr>
          <w:p>
            <w:pPr>
              <w:spacing w:after="0" w:line="203" w:lineRule="exact"/>
              <w:rPr>
                <w:sz w:val="20"/>
                <w:szCs w:val="20"/>
                <w:color w:val="auto"/>
              </w:rPr>
            </w:pPr>
            <w:r>
              <w:rPr>
                <w:rFonts w:ascii="Arial" w:cs="Arial" w:eastAsia="Arial" w:hAnsi="Arial"/>
                <w:sz w:val="18"/>
                <w:szCs w:val="18"/>
                <w:color w:val="auto"/>
              </w:rPr>
              <w:t>Operating (loss) income</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(4,467)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110,912</w:t>
            </w:r>
          </w:p>
        </w:tc>
        <w:tc>
          <w:tcPr>
            <w:tcW w:w="140" w:type="dxa"/>
            <w:vAlign w:val="bottom"/>
          </w:tcPr>
          <w:p>
            <w:pPr>
              <w:spacing w:after="0"/>
              <w:rPr>
                <w:sz w:val="17"/>
                <w:szCs w:val="17"/>
                <w:color w:val="auto"/>
              </w:rPr>
            </w:pPr>
          </w:p>
        </w:tc>
      </w:tr>
      <w:tr>
        <w:trPr>
          <w:trHeight w:val="23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(24,292)</w:t>
            </w:r>
          </w:p>
        </w:tc>
      </w:tr>
      <w:tr>
        <w:trPr>
          <w:trHeight w:val="203"/>
        </w:trPr>
        <w:tc>
          <w:tcPr>
            <w:tcW w:w="4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96"/>
              </w:rPr>
              <w:t>(Loss) income from discontinued operations before income taxes</w:t>
            </w:r>
          </w:p>
        </w:tc>
        <w:tc>
          <w:tcPr>
            <w:tcW w:w="30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(18,129)</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86,620</w:t>
            </w:r>
          </w:p>
        </w:tc>
        <w:tc>
          <w:tcPr>
            <w:tcW w:w="140" w:type="dxa"/>
            <w:vAlign w:val="bottom"/>
            <w:tcBorders>
              <w:top w:val="single" w:sz="8" w:color="CCEEFF"/>
            </w:tcBorders>
          </w:tcPr>
          <w:p>
            <w:pPr>
              <w:spacing w:after="0"/>
              <w:rPr>
                <w:sz w:val="17"/>
                <w:szCs w:val="17"/>
                <w:color w:val="auto"/>
              </w:rPr>
            </w:pPr>
          </w:p>
        </w:tc>
      </w:tr>
      <w:tr>
        <w:trPr>
          <w:trHeight w:val="236"/>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49,949</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03"/>
        </w:trPr>
        <w:tc>
          <w:tcPr>
            <w:tcW w:w="4980" w:type="dxa"/>
            <w:vAlign w:val="bottom"/>
          </w:tcPr>
          <w:p>
            <w:pPr>
              <w:spacing w:after="0" w:line="203" w:lineRule="exact"/>
              <w:rPr>
                <w:sz w:val="20"/>
                <w:szCs w:val="20"/>
                <w:color w:val="auto"/>
              </w:rPr>
            </w:pPr>
            <w:r>
              <w:rPr>
                <w:rFonts w:ascii="Arial" w:cs="Arial" w:eastAsia="Arial" w:hAnsi="Arial"/>
                <w:sz w:val="18"/>
                <w:szCs w:val="18"/>
                <w:color w:val="auto"/>
              </w:rPr>
              <w:t>(Loss) income from discontinued operations, net of taxes</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(35,237)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36,671</w:t>
            </w:r>
          </w:p>
        </w:tc>
        <w:tc>
          <w:tcPr>
            <w:tcW w:w="140" w:type="dxa"/>
            <w:vAlign w:val="bottom"/>
          </w:tcPr>
          <w:p>
            <w:pPr>
              <w:spacing w:after="0"/>
              <w:rPr>
                <w:sz w:val="17"/>
                <w:szCs w:val="17"/>
                <w:color w:val="auto"/>
              </w:rPr>
            </w:pPr>
          </w:p>
        </w:tc>
      </w:tr>
      <w:tr>
        <w:trPr>
          <w:trHeight w:val="236"/>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sales of discontinued operations,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217,088</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217,088</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0"/>
        </w:trPr>
        <w:tc>
          <w:tcPr>
            <w:tcW w:w="4980" w:type="dxa"/>
            <w:vAlign w:val="bottom"/>
          </w:tcPr>
          <w:p>
            <w:pPr>
              <w:spacing w:after="0" w:line="203" w:lineRule="exact"/>
              <w:rPr>
                <w:sz w:val="20"/>
                <w:szCs w:val="20"/>
                <w:color w:val="auto"/>
              </w:rPr>
            </w:pPr>
            <w:r>
              <w:rPr>
                <w:rFonts w:ascii="Arial" w:cs="Arial" w:eastAsia="Arial" w:hAnsi="Arial"/>
                <w:sz w:val="18"/>
                <w:szCs w:val="18"/>
                <w:color w:val="auto"/>
              </w:rPr>
              <w:t>Net income from discontinued operations, net of taxes</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181,851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253,759</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Included within selling, general and administrative expenses of discontinued operations was $8.3 million and $34.9 million of estimated corporate expenses, excluding general overhead, specific to or benefiting the TS business for the third quarter and nine months ended April 1, 2017, respectively.</w:t>
      </w:r>
    </w:p>
    <w:p>
      <w:pPr>
        <w:spacing w:after="0" w:line="181"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The loss from discontinued operations, net of tax, in the third quarter and first nine months of fiscal 2018 substantially all relates to settlement losses associated with the Company’s pension plan due to former TS business employees requesting and receiving distributions from the Company’s pension plan during fiscal 2018 and the closing date adjustments discussed above. Refer to Note 9, “Pension plan,” for further information on the pension settlement losses.</w:t>
      </w:r>
    </w:p>
    <w:p>
      <w:pPr>
        <w:spacing w:after="0" w:line="164" w:lineRule="exact"/>
        <w:rPr>
          <w:sz w:val="20"/>
          <w:szCs w:val="20"/>
          <w:color w:val="auto"/>
        </w:rPr>
      </w:pPr>
    </w:p>
    <w:p>
      <w:pPr>
        <w:ind w:left="440" w:right="6560" w:hanging="437"/>
        <w:spacing w:after="0" w:line="503"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long-lived assets </w:t>
      </w:r>
      <w:r>
        <w:rPr>
          <w:rFonts w:ascii="Arial" w:cs="Arial" w:eastAsia="Arial" w:hAnsi="Arial"/>
          <w:sz w:val="18"/>
          <w:szCs w:val="18"/>
          <w:i w:val="1"/>
          <w:iCs w:val="1"/>
          <w:color w:val="auto"/>
        </w:rPr>
        <w:t>Goodwill</w:t>
      </w: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change in goodwill by reportable segment for the nine months ended March 31,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Electronic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Premier</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1"/>
        </w:trPr>
        <w:tc>
          <w:tcPr>
            <w:tcW w:w="2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0"/>
              </w:rPr>
              <w:t>Components</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Farnell</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(Thousands)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July 1, 2017 </w:t>
            </w:r>
            <w:r>
              <w:rPr>
                <w:rFonts w:ascii="Arial" w:cs="Arial" w:eastAsia="Arial" w:hAnsi="Arial"/>
                <w:sz w:val="8"/>
                <w:szCs w:val="8"/>
                <w:color w:val="auto"/>
              </w:rPr>
              <w:t>(1)</w:t>
            </w:r>
          </w:p>
        </w:tc>
        <w:tc>
          <w:tcPr>
            <w:tcW w:w="18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635,048</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513,299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1,148,347</w:t>
            </w:r>
          </w:p>
        </w:tc>
      </w:tr>
      <w:tr>
        <w:trPr>
          <w:trHeight w:val="216"/>
        </w:trPr>
        <w:tc>
          <w:tcPr>
            <w:tcW w:w="4260" w:type="dxa"/>
            <w:vAlign w:val="bottom"/>
            <w:gridSpan w:val="2"/>
          </w:tcPr>
          <w:p>
            <w:pPr>
              <w:ind w:left="120"/>
              <w:spacing w:after="0"/>
              <w:rPr>
                <w:sz w:val="20"/>
                <w:szCs w:val="20"/>
                <w:color w:val="auto"/>
              </w:rPr>
            </w:pPr>
            <w:r>
              <w:rPr>
                <w:rFonts w:ascii="Arial" w:cs="Arial" w:eastAsia="Arial" w:hAnsi="Arial"/>
                <w:sz w:val="18"/>
                <w:szCs w:val="18"/>
                <w:color w:val="auto"/>
              </w:rPr>
              <w:t>Additions from acquisitions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19,725</w:t>
            </w:r>
          </w:p>
        </w:tc>
      </w:tr>
      <w:tr>
        <w:trPr>
          <w:trHeight w:val="216"/>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 of goodwill</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r>
      <w:tr>
        <w:trPr>
          <w:trHeight w:val="216"/>
        </w:trPr>
        <w:tc>
          <w:tcPr>
            <w:tcW w:w="4260" w:type="dxa"/>
            <w:vAlign w:val="bottom"/>
            <w:gridSpan w:val="2"/>
          </w:tcPr>
          <w:p>
            <w:pPr>
              <w:ind w:left="120"/>
              <w:spacing w:after="0"/>
              <w:rPr>
                <w:sz w:val="20"/>
                <w:szCs w:val="20"/>
                <w:color w:val="auto"/>
              </w:rPr>
            </w:pPr>
            <w:r>
              <w:rPr>
                <w:rFonts w:ascii="Arial" w:cs="Arial" w:eastAsia="Arial" w:hAnsi="Arial"/>
                <w:sz w:val="18"/>
                <w:szCs w:val="18"/>
                <w:color w:val="auto"/>
              </w:rPr>
              <w:t>Foreign currency translation</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52,708</w:t>
            </w:r>
          </w:p>
        </w:tc>
      </w:tr>
      <w:tr>
        <w:trPr>
          <w:trHeight w:val="236"/>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Measurement period adjustments</w:t>
            </w:r>
          </w:p>
        </w:tc>
        <w:tc>
          <w:tcPr>
            <w:tcW w:w="1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(15,328)</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w:t>
            </w:r>
          </w:p>
        </w:tc>
      </w:tr>
      <w:tr>
        <w:trPr>
          <w:trHeight w:val="210"/>
        </w:trPr>
        <w:tc>
          <w:tcPr>
            <w:tcW w:w="42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 xml:space="preserve">Carrying value at March 31, 2018 </w:t>
            </w:r>
            <w:r>
              <w:rPr>
                <w:rFonts w:ascii="Arial" w:cs="Arial" w:eastAsia="Arial" w:hAnsi="Arial"/>
                <w:sz w:val="8"/>
                <w:szCs w:val="8"/>
                <w:color w:val="auto"/>
              </w:rPr>
              <w:t>(2)</w:t>
            </w:r>
          </w:p>
        </w:tc>
        <w:tc>
          <w:tcPr>
            <w:tcW w:w="16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488,395</w:t>
            </w: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538,147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1,026,542</w:t>
            </w:r>
          </w:p>
        </w:tc>
      </w:tr>
      <w:tr>
        <w:trPr>
          <w:trHeight w:val="108"/>
        </w:trPr>
        <w:tc>
          <w:tcPr>
            <w:tcW w:w="2280" w:type="dxa"/>
            <w:vAlign w:val="bottom"/>
            <w:tcBorders>
              <w:bottom w:val="single" w:sz="8" w:color="0D0D0D"/>
            </w:tcBorders>
          </w:tcPr>
          <w:p>
            <w:pPr>
              <w:spacing w:after="0"/>
              <w:rPr>
                <w:sz w:val="9"/>
                <w:szCs w:val="9"/>
                <w:color w:val="auto"/>
              </w:rPr>
            </w:pPr>
          </w:p>
        </w:tc>
        <w:tc>
          <w:tcPr>
            <w:tcW w:w="19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r>
    </w:tbl>
    <w:p>
      <w:pPr>
        <w:ind w:left="700" w:hanging="697"/>
        <w:spacing w:after="0" w:line="233" w:lineRule="auto"/>
        <w:tabs>
          <w:tab w:leader="none" w:pos="700" w:val="left"/>
        </w:tabs>
        <w:numPr>
          <w:ilvl w:val="0"/>
          <w:numId w:val="4"/>
        </w:numPr>
        <w:rPr>
          <w:rFonts w:ascii="Arial" w:cs="Arial" w:eastAsia="Arial" w:hAnsi="Arial"/>
          <w:sz w:val="32"/>
          <w:szCs w:val="32"/>
          <w:color w:val="auto"/>
          <w:vertAlign w:val="superscript"/>
        </w:rPr>
      </w:pPr>
      <w:r>
        <w:rPr>
          <w:rFonts w:ascii="Arial" w:cs="Arial" w:eastAsia="Arial" w:hAnsi="Arial"/>
          <w:sz w:val="16"/>
          <w:szCs w:val="16"/>
          <w:color w:val="auto"/>
        </w:rPr>
        <w:t>Includes accumulated impairment of $1,045,110 from fiscal 2009</w:t>
      </w:r>
    </w:p>
    <w:p>
      <w:pPr>
        <w:spacing w:after="0" w:line="38" w:lineRule="exact"/>
        <w:rPr>
          <w:rFonts w:ascii="Arial" w:cs="Arial" w:eastAsia="Arial" w:hAnsi="Arial"/>
          <w:sz w:val="32"/>
          <w:szCs w:val="32"/>
          <w:color w:val="auto"/>
          <w:vertAlign w:val="superscript"/>
        </w:rPr>
      </w:pPr>
    </w:p>
    <w:p>
      <w:pPr>
        <w:ind w:left="700" w:hanging="697"/>
        <w:spacing w:after="0" w:line="182" w:lineRule="auto"/>
        <w:tabs>
          <w:tab w:leader="none" w:pos="700" w:val="left"/>
        </w:tabs>
        <w:numPr>
          <w:ilvl w:val="0"/>
          <w:numId w:val="4"/>
        </w:numPr>
        <w:rPr>
          <w:rFonts w:ascii="Arial" w:cs="Arial" w:eastAsia="Arial" w:hAnsi="Arial"/>
          <w:sz w:val="22"/>
          <w:szCs w:val="22"/>
          <w:color w:val="auto"/>
          <w:vertAlign w:val="superscript"/>
        </w:rPr>
      </w:pPr>
      <w:r>
        <w:rPr>
          <w:rFonts w:ascii="Arial" w:cs="Arial" w:eastAsia="Arial" w:hAnsi="Arial"/>
          <w:sz w:val="13"/>
          <w:szCs w:val="13"/>
          <w:color w:val="auto"/>
        </w:rPr>
        <w:t>Includes accumulated impairment of $1,045,110 from fiscal 2009 and $181,440 from fiscal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As of December 30, 2017, the $181.4 million of goodwill related to the Electronic Components Americas core reporting unit (the “Americas”) primarily represented goodwill allocated from the acquisitions of Bell Micro, G2 and Round 2, all of which occurred prior to fiscal 2011. The allocation of goodwill to the Americas represented the expected synergies the Americas would realize from these historical acquisitions. Once goodwill has been assigned to a reporting unit, for accounting purposes, the goodwill is no longer directly associated with the underlying acquisitions that the goodwill originated from, but rather the reporting unit to which it has been allocated. In accordance with ASC 350, the Company has been monitoring the Americas each quarter for the potential need to perform an interim goodwill impairment test.</w:t>
      </w:r>
    </w:p>
    <w:p>
      <w:pPr>
        <w:spacing w:after="0" w:line="16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 the third quarter of fiscal 2018, in conjunction with the commencement of the Company’s annual long-term planning process, it became apparent that lower cash flows are expected from the Americas over such planning horizon compared to prior year long-term cash flow expectations. As a result of the lower expected cash flows as well as certain other factors, the Company concluded that an interim quantitative goodwill impairment test for the Americas was necessary in the third quarter of fiscal 2018.</w:t>
      </w:r>
    </w:p>
    <w:p>
      <w:pPr>
        <w:spacing w:after="0" w:line="188"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assessing the Americas goodwill for impairment in the third quarter of fiscal 2018, the Company was required to make significant judgments related to the fair value of the Americas. The Company used a combination of an income approach, specifically a discounted cash flow methodology, and a market approach to estimate the fair value of the Americas. The discounted cash flow methodology includes market participant assumptions for, among other factors, forecasted sales, gross profit margins, operating expenses, cash flows, perpetual growth rates and long-term discount rates, all of which required judgments and estimates by management which are inherently uncertain. The market approach methodology required significant assumptions related to comparable transactions, market multiples, capital structure and control premiums.</w:t>
      </w:r>
    </w:p>
    <w:p>
      <w:pPr>
        <w:spacing w:after="0" w:line="192"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As a result of the impairment testing and related fair value estimate of the Americas in the third quarter of fiscal 2018, the Company impaired all of the goodwill in the Americas and recorded $181.4 million of goodwill impairment expense, which is classified within goodwill impairment expense in the Consolidated Statements of Operations.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860"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at March 31, 2018, and July 1, 2017,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9"/>
              </w:rPr>
              <w:t>March 31, 2018</w:t>
            </w: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July 1, 2017</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54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Acquired</w:t>
            </w:r>
          </w:p>
        </w:tc>
        <w:tc>
          <w:tcPr>
            <w:tcW w:w="180" w:type="dxa"/>
            <w:vAlign w:val="bottom"/>
          </w:tcPr>
          <w:p>
            <w:pPr>
              <w:spacing w:after="0"/>
              <w:rPr>
                <w:sz w:val="17"/>
                <w:szCs w:val="17"/>
                <w:color w:val="auto"/>
              </w:rPr>
            </w:pPr>
          </w:p>
        </w:tc>
        <w:tc>
          <w:tcPr>
            <w:tcW w:w="11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3"/>
              </w:rPr>
              <w:t>Net Book</w:t>
            </w:r>
          </w:p>
        </w:tc>
        <w:tc>
          <w:tcPr>
            <w:tcW w:w="180" w:type="dxa"/>
            <w:vAlign w:val="bottom"/>
          </w:tcPr>
          <w:p>
            <w:pPr>
              <w:spacing w:after="0"/>
              <w:rPr>
                <w:sz w:val="17"/>
                <w:szCs w:val="17"/>
                <w:color w:val="auto"/>
              </w:rPr>
            </w:pPr>
          </w:p>
        </w:tc>
        <w:tc>
          <w:tcPr>
            <w:tcW w:w="8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Acquired</w:t>
            </w:r>
          </w:p>
        </w:tc>
        <w:tc>
          <w:tcPr>
            <w:tcW w:w="200" w:type="dxa"/>
            <w:vAlign w:val="bottom"/>
          </w:tcPr>
          <w:p>
            <w:pPr>
              <w:spacing w:after="0"/>
              <w:rPr>
                <w:sz w:val="17"/>
                <w:szCs w:val="17"/>
                <w:color w:val="auto"/>
              </w:rPr>
            </w:pPr>
          </w:p>
        </w:tc>
        <w:tc>
          <w:tcPr>
            <w:tcW w:w="132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8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25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5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$ 319,744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$ 179,856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198,287</w:t>
            </w:r>
          </w:p>
        </w:tc>
        <w:tc>
          <w:tcPr>
            <w:tcW w:w="4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Trade name</w:t>
            </w:r>
          </w:p>
        </w:tc>
        <w:tc>
          <w:tcPr>
            <w:tcW w:w="820" w:type="dxa"/>
            <w:vAlign w:val="bottom"/>
          </w:tcPr>
          <w:p>
            <w:pPr>
              <w:jc w:val="right"/>
              <w:spacing w:after="0"/>
              <w:rPr>
                <w:sz w:val="20"/>
                <w:szCs w:val="20"/>
                <w:color w:val="auto"/>
              </w:rPr>
            </w:pPr>
            <w:r>
              <w:rPr>
                <w:rFonts w:ascii="Arial" w:cs="Arial" w:eastAsia="Arial" w:hAnsi="Arial"/>
                <w:sz w:val="18"/>
                <w:szCs w:val="18"/>
                <w:color w:val="auto"/>
              </w:rPr>
              <w:t>58,382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(15,470)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42,912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(6,720)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40,195</w:t>
            </w:r>
          </w:p>
        </w:tc>
        <w:tc>
          <w:tcPr>
            <w:tcW w:w="40" w:type="dxa"/>
            <w:vAlign w:val="bottom"/>
          </w:tcPr>
          <w:p>
            <w:pPr>
              <w:spacing w:after="0"/>
              <w:rPr>
                <w:sz w:val="18"/>
                <w:szCs w:val="18"/>
                <w:color w:val="auto"/>
              </w:rPr>
            </w:pPr>
          </w:p>
        </w:tc>
      </w:tr>
      <w:tr>
        <w:trPr>
          <w:trHeight w:val="23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56,489</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(11,560)</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40" w:type="dxa"/>
            <w:vAlign w:val="bottom"/>
            <w:shd w:val="clear" w:color="auto" w:fill="CCEEFF"/>
          </w:tcPr>
          <w:p>
            <w:pPr>
              <w:spacing w:after="0"/>
              <w:rPr>
                <w:sz w:val="20"/>
                <w:szCs w:val="20"/>
                <w:color w:val="auto"/>
              </w:rPr>
            </w:pPr>
          </w:p>
        </w:tc>
      </w:tr>
      <w:tr>
        <w:trPr>
          <w:trHeight w:val="210"/>
        </w:trPr>
        <w:tc>
          <w:tcPr>
            <w:tcW w:w="25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$ 434,615</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(176,348)</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$ 258,267</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375,149</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(97,858)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277,291</w:t>
            </w:r>
          </w:p>
        </w:tc>
        <w:tc>
          <w:tcPr>
            <w:tcW w:w="40" w:type="dxa"/>
            <w:vAlign w:val="bottom"/>
            <w:tcBorders>
              <w:top w:val="single" w:sz="8" w:color="CCEEFF"/>
            </w:tcBorders>
          </w:tcPr>
          <w:p>
            <w:pPr>
              <w:spacing w:after="0"/>
              <w:rPr>
                <w:sz w:val="18"/>
                <w:szCs w:val="18"/>
                <w:color w:val="auto"/>
              </w:rPr>
            </w:pPr>
          </w:p>
        </w:tc>
      </w:tr>
      <w:tr>
        <w:trPr>
          <w:trHeight w:val="864"/>
        </w:trPr>
        <w:tc>
          <w:tcPr>
            <w:tcW w:w="2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2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Intangible asset amortization expense from continuing operations was $22.6 million and $22.4 million for the third quarters of fiscal 2018 and 2017, respectively, and $69.9 million and $34.2 million for the first nine months of fiscal 2018 and 2017, respectively. Intangible assets have a weighted average remaining useful life of approximately 3 years. The following table presents the estimated future amortization expense for the remainder of fiscal 2018, the next five fiscal years and thereafter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2018</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2019</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89,330</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87,010</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41,902</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36"/>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0"/>
        </w:trPr>
        <w:tc>
          <w:tcPr>
            <w:tcW w:w="798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258,267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ectPr>
          <w:pgSz w:w="11900" w:h="16838" w:orient="portrait"/>
          <w:cols w:equalWidth="0" w:num="1">
            <w:col w:w="9060"/>
          </w:cols>
          <w:pgMar w:left="1420" w:top="125" w:right="1419" w:bottom="1440" w:gutter="0" w:footer="0" w:header="0"/>
        </w:sectPr>
      </w:pPr>
    </w:p>
    <w:p>
      <w:pPr>
        <w:spacing w:after="0" w:line="248" w:lineRule="exact"/>
        <w:rPr>
          <w:sz w:val="20"/>
          <w:szCs w:val="20"/>
          <w:color w:val="auto"/>
        </w:rPr>
      </w:pPr>
    </w:p>
    <w:p>
      <w:pPr>
        <w:ind w:left="3600"/>
        <w:spacing w:after="0"/>
        <w:tabs>
          <w:tab w:leader="none" w:pos="5180" w:val="left"/>
        </w:tabs>
        <w:rPr>
          <w:sz w:val="20"/>
          <w:szCs w:val="20"/>
          <w:color w:val="auto"/>
        </w:rPr>
      </w:pPr>
      <w:r>
        <w:rPr>
          <w:rFonts w:ascii="Arial" w:cs="Arial" w:eastAsia="Arial" w:hAnsi="Arial"/>
          <w:sz w:val="18"/>
          <w:szCs w:val="18"/>
          <w:b w:val="1"/>
          <w:bCs w:val="1"/>
          <w:color w:val="auto"/>
        </w:rPr>
        <w:t>March 31, 2018</w:t>
      </w:r>
      <w:r>
        <w:rPr>
          <w:sz w:val="20"/>
          <w:szCs w:val="20"/>
          <w:color w:val="auto"/>
        </w:rPr>
        <w:tab/>
      </w:r>
      <w:r>
        <w:rPr>
          <w:rFonts w:ascii="Arial" w:cs="Arial" w:eastAsia="Arial" w:hAnsi="Arial"/>
          <w:sz w:val="16"/>
          <w:szCs w:val="16"/>
          <w:b w:val="1"/>
          <w:bCs w:val="1"/>
          <w:color w:val="auto"/>
        </w:rPr>
        <w:t>July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17145</wp:posOffset>
            </wp:positionV>
            <wp:extent cx="1732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Interest Rate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2018</w:t>
            </w: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0"/>
              </w:rPr>
              <w:t>July 1, 2017</w:t>
            </w:r>
          </w:p>
        </w:tc>
      </w:tr>
      <w:tr>
        <w:trPr>
          <w:trHeight w:val="216"/>
        </w:trPr>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Carrying</w:t>
            </w: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Balance</w:t>
            </w:r>
          </w:p>
        </w:tc>
      </w:tr>
    </w:tbl>
    <w:p>
      <w:pPr>
        <w:spacing w:after="0" w:line="1" w:lineRule="exact"/>
        <w:rPr>
          <w:sz w:val="20"/>
          <w:szCs w:val="20"/>
          <w:color w:val="auto"/>
        </w:rPr>
      </w:pPr>
    </w:p>
    <w:p>
      <w:pPr>
        <w:sectPr>
          <w:pgSz w:w="11900" w:h="16838" w:orient="portrait"/>
          <w:cols w:equalWidth="0" w:num="2">
            <w:col w:w="6120" w:space="220"/>
            <w:col w:w="272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3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1.86 %</w:t>
            </w:r>
          </w:p>
        </w:tc>
        <w:tc>
          <w:tcPr>
            <w:tcW w:w="14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2.27 %</w:t>
            </w:r>
          </w:p>
        </w:tc>
        <w:tc>
          <w:tcPr>
            <w:tcW w:w="2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4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50,113</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20" w:type="dxa"/>
            <w:vAlign w:val="bottom"/>
          </w:tcPr>
          <w:p>
            <w:pPr>
              <w:ind w:left="140"/>
              <w:spacing w:after="0" w:line="201" w:lineRule="exact"/>
              <w:rPr>
                <w:sz w:val="20"/>
                <w:szCs w:val="20"/>
                <w:color w:val="auto"/>
              </w:rPr>
            </w:pPr>
            <w:r>
              <w:rPr>
                <w:rFonts w:ascii="Arial" w:cs="Arial" w:eastAsia="Arial" w:hAnsi="Arial"/>
                <w:sz w:val="18"/>
                <w:szCs w:val="18"/>
                <w:color w:val="auto"/>
              </w:rPr>
              <w:t>Accounts receivable securitization</w:t>
            </w: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420" w:type="dxa"/>
            <w:vAlign w:val="bottom"/>
          </w:tcPr>
          <w:p>
            <w:pPr>
              <w:ind w:left="260"/>
              <w:spacing w:after="0"/>
              <w:rPr>
                <w:sz w:val="20"/>
                <w:szCs w:val="20"/>
                <w:color w:val="auto"/>
              </w:rPr>
            </w:pPr>
            <w:r>
              <w:rPr>
                <w:rFonts w:ascii="Arial" w:cs="Arial" w:eastAsia="Arial" w:hAnsi="Arial"/>
                <w:sz w:val="18"/>
                <w:szCs w:val="18"/>
                <w:color w:val="auto"/>
              </w:rPr>
              <w:t>program</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2.35 %</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101,979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Company has an accounts receivable securitization program (the “Program”) in the United States with a group of financial institutions to allow the Company to transfer, on an ongoing revolving basis, an undivided interest in a designated pool of trade accounts receivable, to provide security or collateral for borrowings up to a maximum of $400 million.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$774.8 million and $807.5 million at March 31, 2018, and July 1, 2017, respectively. The Program contains certain covenants relating to the quality of the receivables sold. The Program also requires the Company to maintain certain minimum interest coverage and leverage ratios, which the Company was in compliance with as of March 31, 2018, and July 1, 2017. The Program expires in August 2018 and as a result the Company has classified outstanding balances as short-term debt as of August 2017. Interest on borrowings is calculated using a base rate or a commercial paper rate plus a spread of 0.40% with a facility fee of 0.40%.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ectPr>
          <w:pgSz w:w="11900" w:h="16838" w:orient="portrait"/>
          <w:cols w:equalWidth="0" w:num="1">
            <w:col w:w="9060"/>
          </w:cols>
          <w:pgMar w:left="1420" w:top="125" w:right="1419" w:bottom="1440" w:gutter="0" w:footer="0" w:header="0"/>
        </w:sectPr>
      </w:pPr>
    </w:p>
    <w:p>
      <w:pPr>
        <w:spacing w:after="0" w:line="221" w:lineRule="exact"/>
        <w:rPr>
          <w:sz w:val="20"/>
          <w:szCs w:val="20"/>
          <w:color w:val="auto"/>
        </w:rPr>
      </w:pPr>
    </w:p>
    <w:p>
      <w:pPr>
        <w:ind w:left="3280"/>
        <w:spacing w:after="0"/>
        <w:tabs>
          <w:tab w:leader="none" w:pos="4960" w:val="left"/>
        </w:tabs>
        <w:rPr>
          <w:sz w:val="20"/>
          <w:szCs w:val="20"/>
          <w:color w:val="auto"/>
        </w:rPr>
      </w:pPr>
      <w:r>
        <w:rPr>
          <w:rFonts w:ascii="Arial" w:cs="Arial" w:eastAsia="Arial" w:hAnsi="Arial"/>
          <w:sz w:val="18"/>
          <w:szCs w:val="18"/>
          <w:b w:val="1"/>
          <w:bCs w:val="1"/>
          <w:color w:val="auto"/>
        </w:rPr>
        <w:t>March 31, 2018</w:t>
      </w:r>
      <w:r>
        <w:rPr>
          <w:sz w:val="20"/>
          <w:szCs w:val="20"/>
          <w:color w:val="auto"/>
        </w:rPr>
        <w:tab/>
      </w:r>
      <w:r>
        <w:rPr>
          <w:rFonts w:ascii="Arial" w:cs="Arial" w:eastAsia="Arial" w:hAnsi="Arial"/>
          <w:sz w:val="16"/>
          <w:szCs w:val="16"/>
          <w:b w:val="1"/>
          <w:bCs w:val="1"/>
          <w:color w:val="auto"/>
        </w:rPr>
        <w:t>July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8890</wp:posOffset>
            </wp:positionV>
            <wp:extent cx="18783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Interest Rate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March 31, 2018</w:t>
      </w:r>
      <w:r>
        <w:rPr>
          <w:sz w:val="20"/>
          <w:szCs w:val="20"/>
          <w:color w:val="auto"/>
        </w:rPr>
        <w:tab/>
      </w:r>
      <w:r>
        <w:rPr>
          <w:rFonts w:ascii="Arial" w:cs="Arial" w:eastAsia="Arial" w:hAnsi="Arial"/>
          <w:sz w:val="16"/>
          <w:szCs w:val="16"/>
          <w:b w:val="1"/>
          <w:bCs w:val="1"/>
          <w:color w:val="auto"/>
        </w:rPr>
        <w:t>July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8890</wp:posOffset>
            </wp:positionV>
            <wp:extent cx="17494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Carrying Balance</w:t>
      </w:r>
    </w:p>
    <w:p>
      <w:pPr>
        <w:spacing w:after="0" w:line="1" w:lineRule="exact"/>
        <w:rPr>
          <w:sz w:val="20"/>
          <w:szCs w:val="20"/>
          <w:color w:val="auto"/>
        </w:rPr>
      </w:pPr>
    </w:p>
    <w:p>
      <w:pPr>
        <w:sectPr>
          <w:pgSz w:w="11900" w:h="16838" w:orient="portrait"/>
          <w:cols w:equalWidth="0" w:num="2">
            <w:col w:w="5900" w:space="540"/>
            <w:col w:w="262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Revolving credit facilities:</w:t>
            </w:r>
          </w:p>
        </w:tc>
        <w:tc>
          <w:tcPr>
            <w:tcW w:w="12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100" w:type="dxa"/>
            <w:vAlign w:val="bottom"/>
          </w:tcPr>
          <w:p>
            <w:pPr>
              <w:ind w:left="120"/>
              <w:spacing w:after="0" w:line="161" w:lineRule="exact"/>
              <w:rPr>
                <w:sz w:val="20"/>
                <w:szCs w:val="20"/>
                <w:color w:val="auto"/>
              </w:rPr>
            </w:pPr>
            <w:r>
              <w:rPr>
                <w:rFonts w:ascii="Arial" w:cs="Arial" w:eastAsia="Arial" w:hAnsi="Arial"/>
                <w:sz w:val="18"/>
                <w:szCs w:val="18"/>
                <w:color w:val="auto"/>
              </w:rPr>
              <w:t>Accounts receivable securitization</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120"/>
              <w:spacing w:after="0"/>
              <w:rPr>
                <w:sz w:val="20"/>
                <w:szCs w:val="20"/>
                <w:color w:val="auto"/>
              </w:rPr>
            </w:pPr>
            <w:r>
              <w:rPr>
                <w:rFonts w:ascii="Arial" w:cs="Arial" w:eastAsia="Arial" w:hAnsi="Arial"/>
                <w:sz w:val="18"/>
                <w:szCs w:val="18"/>
                <w:color w:val="auto"/>
              </w:rPr>
              <w:t>program</w:t>
            </w:r>
          </w:p>
        </w:tc>
        <w:tc>
          <w:tcPr>
            <w:tcW w:w="12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1.53 %</w:t>
            </w: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Credit Facility</w:t>
            </w:r>
          </w:p>
        </w:tc>
        <w:tc>
          <w:tcPr>
            <w:tcW w:w="1280" w:type="dxa"/>
            <w:vAlign w:val="bottom"/>
            <w:shd w:val="clear" w:color="auto" w:fill="CCEEFF"/>
          </w:tcPr>
          <w:p>
            <w:pPr>
              <w:jc w:val="right"/>
              <w:ind w:right="630"/>
              <w:spacing w:after="0" w:line="189"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2.77 %</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99,970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line="189" w:lineRule="exact"/>
              <w:rPr>
                <w:sz w:val="20"/>
                <w:szCs w:val="20"/>
                <w:color w:val="auto"/>
              </w:rPr>
            </w:pPr>
            <w:r>
              <w:rPr>
                <w:rFonts w:ascii="Arial" w:cs="Arial" w:eastAsia="Arial" w:hAnsi="Arial"/>
                <w:sz w:val="18"/>
                <w:szCs w:val="18"/>
                <w:color w:val="auto"/>
              </w:rPr>
              <w:t>Public notes due:</w:t>
            </w:r>
          </w:p>
        </w:tc>
        <w:tc>
          <w:tcPr>
            <w:tcW w:w="1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June 2020</w:t>
            </w:r>
          </w:p>
        </w:tc>
        <w:tc>
          <w:tcPr>
            <w:tcW w:w="1280" w:type="dxa"/>
            <w:vAlign w:val="bottom"/>
            <w:shd w:val="clear" w:color="auto" w:fill="CCEEFF"/>
          </w:tcPr>
          <w:p>
            <w:pPr>
              <w:jc w:val="right"/>
              <w:ind w:right="430"/>
              <w:spacing w:after="0" w:line="189" w:lineRule="exact"/>
              <w:rPr>
                <w:sz w:val="20"/>
                <w:szCs w:val="20"/>
                <w:color w:val="auto"/>
              </w:rPr>
            </w:pPr>
            <w:r>
              <w:rPr>
                <w:rFonts w:ascii="Arial" w:cs="Arial" w:eastAsia="Arial" w:hAnsi="Arial"/>
                <w:sz w:val="18"/>
                <w:szCs w:val="18"/>
                <w:color w:val="auto"/>
              </w:rPr>
              <w:t>5.88 %</w:t>
            </w:r>
          </w:p>
        </w:tc>
        <w:tc>
          <w:tcPr>
            <w:tcW w:w="1680" w:type="dxa"/>
            <w:vAlign w:val="bottom"/>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5.88 %</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line="189" w:lineRule="exact"/>
              <w:rPr>
                <w:sz w:val="20"/>
                <w:szCs w:val="20"/>
                <w:color w:val="auto"/>
              </w:rPr>
            </w:pPr>
            <w:r>
              <w:rPr>
                <w:rFonts w:ascii="Arial" w:cs="Arial" w:eastAsia="Arial" w:hAnsi="Arial"/>
                <w:sz w:val="18"/>
                <w:szCs w:val="18"/>
                <w:color w:val="auto"/>
              </w:rPr>
              <w:t>December 2021</w:t>
            </w:r>
          </w:p>
        </w:tc>
        <w:tc>
          <w:tcPr>
            <w:tcW w:w="1280" w:type="dxa"/>
            <w:vAlign w:val="bottom"/>
          </w:tcPr>
          <w:p>
            <w:pPr>
              <w:jc w:val="right"/>
              <w:ind w:right="430"/>
              <w:spacing w:after="0" w:line="189" w:lineRule="exact"/>
              <w:rPr>
                <w:sz w:val="20"/>
                <w:szCs w:val="20"/>
                <w:color w:val="auto"/>
              </w:rPr>
            </w:pPr>
            <w:r>
              <w:rPr>
                <w:rFonts w:ascii="Arial" w:cs="Arial" w:eastAsia="Arial" w:hAnsi="Arial"/>
                <w:sz w:val="18"/>
                <w:szCs w:val="18"/>
                <w:color w:val="auto"/>
              </w:rPr>
              <w:t>3.75 %</w:t>
            </w:r>
          </w:p>
        </w:tc>
        <w:tc>
          <w:tcPr>
            <w:tcW w:w="1680" w:type="dxa"/>
            <w:vAlign w:val="bottom"/>
          </w:tcPr>
          <w:p>
            <w:pPr>
              <w:jc w:val="right"/>
              <w:ind w:right="550"/>
              <w:spacing w:after="0" w:line="189" w:lineRule="exact"/>
              <w:rPr>
                <w:sz w:val="20"/>
                <w:szCs w:val="20"/>
                <w:color w:val="auto"/>
              </w:rPr>
            </w:pPr>
            <w:r>
              <w:rPr>
                <w:rFonts w:ascii="Arial" w:cs="Arial" w:eastAsia="Arial" w:hAnsi="Arial"/>
                <w:sz w:val="18"/>
                <w:szCs w:val="18"/>
                <w:color w:val="auto"/>
              </w:rPr>
              <w:t>3.75 %</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December 2022</w:t>
            </w:r>
          </w:p>
        </w:tc>
        <w:tc>
          <w:tcPr>
            <w:tcW w:w="1280" w:type="dxa"/>
            <w:vAlign w:val="bottom"/>
            <w:shd w:val="clear" w:color="auto" w:fill="CCEEFF"/>
          </w:tcPr>
          <w:p>
            <w:pPr>
              <w:jc w:val="right"/>
              <w:ind w:right="430"/>
              <w:spacing w:after="0" w:line="189" w:lineRule="exact"/>
              <w:rPr>
                <w:sz w:val="20"/>
                <w:szCs w:val="20"/>
                <w:color w:val="auto"/>
              </w:rPr>
            </w:pPr>
            <w:r>
              <w:rPr>
                <w:rFonts w:ascii="Arial" w:cs="Arial" w:eastAsia="Arial" w:hAnsi="Arial"/>
                <w:sz w:val="18"/>
                <w:szCs w:val="18"/>
                <w:color w:val="auto"/>
              </w:rPr>
              <w:t>4.88 %</w:t>
            </w:r>
          </w:p>
        </w:tc>
        <w:tc>
          <w:tcPr>
            <w:tcW w:w="1680" w:type="dxa"/>
            <w:vAlign w:val="bottom"/>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4.88 %</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Pr>
          <w:p>
            <w:pPr>
              <w:ind w:left="120"/>
              <w:spacing w:after="0" w:line="189" w:lineRule="exact"/>
              <w:rPr>
                <w:sz w:val="20"/>
                <w:szCs w:val="20"/>
                <w:color w:val="auto"/>
              </w:rPr>
            </w:pPr>
            <w:r>
              <w:rPr>
                <w:rFonts w:ascii="Arial" w:cs="Arial" w:eastAsia="Arial" w:hAnsi="Arial"/>
                <w:sz w:val="18"/>
                <w:szCs w:val="18"/>
                <w:color w:val="auto"/>
              </w:rPr>
              <w:t>April 2026</w:t>
            </w:r>
          </w:p>
        </w:tc>
        <w:tc>
          <w:tcPr>
            <w:tcW w:w="1280" w:type="dxa"/>
            <w:vAlign w:val="bottom"/>
          </w:tcPr>
          <w:p>
            <w:pPr>
              <w:jc w:val="right"/>
              <w:ind w:right="430"/>
              <w:spacing w:after="0" w:line="189" w:lineRule="exact"/>
              <w:rPr>
                <w:sz w:val="20"/>
                <w:szCs w:val="20"/>
                <w:color w:val="auto"/>
              </w:rPr>
            </w:pPr>
            <w:r>
              <w:rPr>
                <w:rFonts w:ascii="Arial" w:cs="Arial" w:eastAsia="Arial" w:hAnsi="Arial"/>
                <w:sz w:val="18"/>
                <w:szCs w:val="18"/>
                <w:color w:val="auto"/>
              </w:rPr>
              <w:t>4.63 %</w:t>
            </w:r>
          </w:p>
        </w:tc>
        <w:tc>
          <w:tcPr>
            <w:tcW w:w="1680" w:type="dxa"/>
            <w:vAlign w:val="bottom"/>
          </w:tcPr>
          <w:p>
            <w:pPr>
              <w:jc w:val="right"/>
              <w:ind w:right="550"/>
              <w:spacing w:after="0" w:line="189" w:lineRule="exact"/>
              <w:rPr>
                <w:sz w:val="20"/>
                <w:szCs w:val="20"/>
                <w:color w:val="auto"/>
              </w:rPr>
            </w:pPr>
            <w:r>
              <w:rPr>
                <w:rFonts w:ascii="Arial" w:cs="Arial" w:eastAsia="Arial" w:hAnsi="Arial"/>
                <w:sz w:val="18"/>
                <w:szCs w:val="18"/>
                <w:color w:val="auto"/>
              </w:rPr>
              <w:t>4.63 %</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550,000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550,000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Other long-term debt</w:t>
            </w:r>
          </w:p>
        </w:tc>
        <w:tc>
          <w:tcPr>
            <w:tcW w:w="1280" w:type="dxa"/>
            <w:vAlign w:val="bottom"/>
            <w:tcBorders>
              <w:bottom w:val="single" w:sz="8" w:color="CCEEFF"/>
            </w:tcBorders>
            <w:shd w:val="clear" w:color="auto" w:fill="CCEEFF"/>
          </w:tcPr>
          <w:p>
            <w:pPr>
              <w:jc w:val="right"/>
              <w:ind w:right="430"/>
              <w:spacing w:after="0" w:line="189" w:lineRule="exact"/>
              <w:rPr>
                <w:sz w:val="20"/>
                <w:szCs w:val="20"/>
                <w:color w:val="auto"/>
              </w:rPr>
            </w:pPr>
            <w:r>
              <w:rPr>
                <w:rFonts w:ascii="Arial" w:cs="Arial" w:eastAsia="Arial" w:hAnsi="Arial"/>
                <w:sz w:val="18"/>
                <w:szCs w:val="18"/>
                <w:color w:val="auto"/>
              </w:rPr>
              <w:t>1.36 %</w:t>
            </w:r>
          </w:p>
        </w:tc>
        <w:tc>
          <w:tcPr>
            <w:tcW w:w="1680" w:type="dxa"/>
            <w:vAlign w:val="bottom"/>
            <w:tcBorders>
              <w:bottom w:val="single" w:sz="8" w:color="CCEEFF"/>
            </w:tcBorders>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1.36 %</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5"/>
                <w:szCs w:val="15"/>
                <w:color w:val="auto"/>
              </w:rPr>
              <w:t>Long-term debt before discount and</w:t>
            </w:r>
          </w:p>
        </w:tc>
        <w:tc>
          <w:tcPr>
            <w:tcW w:w="1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1,500,483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1,742,612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Discount and debt issuance costs -</w:t>
            </w:r>
          </w:p>
        </w:tc>
        <w:tc>
          <w:tcPr>
            <w:tcW w:w="1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unamortized</w:t>
            </w:r>
          </w:p>
        </w:tc>
        <w:tc>
          <w:tcPr>
            <w:tcW w:w="1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100" w:type="dxa"/>
            <w:vAlign w:val="bottom"/>
            <w:tcBorders>
              <w:top w:val="single" w:sz="8" w:color="CCEEFF"/>
            </w:tcBorders>
          </w:tcPr>
          <w:p>
            <w:pPr>
              <w:ind w:left="320"/>
              <w:spacing w:after="0" w:line="176" w:lineRule="exact"/>
              <w:rPr>
                <w:sz w:val="20"/>
                <w:szCs w:val="20"/>
                <w:color w:val="auto"/>
              </w:rPr>
            </w:pPr>
            <w:r>
              <w:rPr>
                <w:rFonts w:ascii="Arial" w:cs="Arial" w:eastAsia="Arial" w:hAnsi="Arial"/>
                <w:sz w:val="18"/>
                <w:szCs w:val="18"/>
                <w:color w:val="auto"/>
              </w:rPr>
              <w:t>Long-term debt</w:t>
            </w:r>
          </w:p>
        </w:tc>
        <w:tc>
          <w:tcPr>
            <w:tcW w:w="12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50"/>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1,488,706</w:t>
            </w: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4"/>
              </w:rPr>
              <w:t>1,729,212</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March 31, 2018, and July 1, 2017. As of March 31, 2018, and July 1, 2017, there were $2.0 million and $3.1 million, respectively, in letters of credit issued under the Credit Facility.</w:t>
      </w:r>
    </w:p>
    <w:p>
      <w:pPr>
        <w:spacing w:after="0" w:line="19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March 31, 2018, the carrying value and fair value of the Company’s total debt was $1.59 billion and $1.63 billion, respectively. At July 1, 2017, the carrying value and fair value of the Company’s total debt was $1.78 billion and $1.85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March 31, 2018, and July 1, 2017.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1" w:lineRule="exact"/>
        <w:rPr>
          <w:sz w:val="20"/>
          <w:szCs w:val="20"/>
          <w:color w:val="auto"/>
        </w:rPr>
      </w:pPr>
    </w:p>
    <w:p>
      <w:pPr>
        <w:jc w:val="both"/>
        <w:ind w:right="20" w:firstLine="428"/>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and Mexican Peso. The Company also, to a lesser extent, has foreign operations transactions in other European and Asia/Pacific foreign currencies.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3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1,</w:t>
            </w:r>
          </w:p>
        </w:tc>
      </w:tr>
      <w:tr>
        <w:trPr>
          <w:trHeight w:val="241"/>
        </w:trPr>
        <w:tc>
          <w:tcPr>
            <w:tcW w:w="5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treatment recorded in:</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7,297</w:t>
            </w:r>
          </w:p>
        </w:tc>
        <w:tc>
          <w:tcPr>
            <w:tcW w:w="6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3,015</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428"/>
        <w:spacing w:after="0" w:line="312" w:lineRule="auto"/>
        <w:rPr>
          <w:sz w:val="20"/>
          <w:szCs w:val="20"/>
          <w:color w:val="auto"/>
        </w:rPr>
      </w:pPr>
      <w:r>
        <w:rPr>
          <w:rFonts w:ascii="Arial" w:cs="Arial" w:eastAsia="Arial" w:hAnsi="Arial"/>
          <w:sz w:val="16"/>
          <w:szCs w:val="16"/>
          <w:color w:val="auto"/>
        </w:rPr>
        <w:t>In addition to amounts included in the above table, there was approximately $3.2 million of other current assets and $34.0 million of accrued expenses as of March 31, 2018 and July 1, 2017, respectively, related to derivative financial instruments used to economically hedge the fair value changes in marketable securities discussed further in Note 3.</w:t>
      </w:r>
    </w:p>
    <w:p>
      <w:pPr>
        <w:spacing w:after="0" w:line="147" w:lineRule="exact"/>
        <w:rPr>
          <w:sz w:val="20"/>
          <w:szCs w:val="20"/>
          <w:color w:val="auto"/>
        </w:rPr>
      </w:pPr>
    </w:p>
    <w:p>
      <w:pPr>
        <w:jc w:val="both"/>
        <w:ind w:right="20" w:firstLine="428"/>
        <w:spacing w:after="0" w:line="277" w:lineRule="auto"/>
        <w:rPr>
          <w:sz w:val="20"/>
          <w:szCs w:val="20"/>
          <w:color w:val="auto"/>
        </w:rPr>
      </w:pPr>
      <w:r>
        <w:rPr>
          <w:rFonts w:ascii="Arial" w:cs="Arial" w:eastAsia="Arial" w:hAnsi="Arial"/>
          <w:sz w:val="18"/>
          <w:szCs w:val="18"/>
          <w:color w:val="auto"/>
        </w:rPr>
        <w:t>The amounts recorded to other income (expense), net, related to derivative financial instruments for economic hedges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Third Quarter Ended</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4"/>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157"/>
        </w:trPr>
        <w:tc>
          <w:tcPr>
            <w:tcW w:w="3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8"/>
                <w:szCs w:val="18"/>
                <w:b w:val="1"/>
                <w:bCs w:val="1"/>
                <w:color w:val="auto"/>
              </w:rPr>
              <w:t>March 31,</w:t>
            </w:r>
          </w:p>
        </w:tc>
        <w:tc>
          <w:tcPr>
            <w:tcW w:w="960" w:type="dxa"/>
            <w:vAlign w:val="bottom"/>
            <w:tcBorders>
              <w:top w:val="single" w:sz="8" w:color="auto"/>
            </w:tcBorders>
          </w:tcPr>
          <w:p>
            <w:pPr>
              <w:jc w:val="center"/>
              <w:ind w:left="270"/>
              <w:spacing w:after="0" w:line="157" w:lineRule="exact"/>
              <w:rPr>
                <w:sz w:val="20"/>
                <w:szCs w:val="20"/>
                <w:color w:val="auto"/>
              </w:rPr>
            </w:pPr>
            <w:r>
              <w:rPr>
                <w:rFonts w:ascii="Arial" w:cs="Arial" w:eastAsia="Arial" w:hAnsi="Arial"/>
                <w:sz w:val="18"/>
                <w:szCs w:val="18"/>
                <w:b w:val="1"/>
                <w:bCs w:val="1"/>
                <w:color w:val="auto"/>
                <w:w w:val="98"/>
              </w:rPr>
              <w:t>April 1,</w:t>
            </w:r>
          </w:p>
        </w:tc>
        <w:tc>
          <w:tcPr>
            <w:tcW w:w="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10"/>
              <w:spacing w:after="0" w:line="157" w:lineRule="exact"/>
              <w:rPr>
                <w:sz w:val="20"/>
                <w:szCs w:val="20"/>
                <w:color w:val="auto"/>
              </w:rPr>
            </w:pPr>
            <w:r>
              <w:rPr>
                <w:rFonts w:ascii="Arial" w:cs="Arial" w:eastAsia="Arial" w:hAnsi="Arial"/>
                <w:sz w:val="18"/>
                <w:szCs w:val="18"/>
                <w:b w:val="1"/>
                <w:bCs w:val="1"/>
                <w:color w:val="auto"/>
                <w:w w:val="93"/>
              </w:rPr>
              <w:t>March 31,</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70"/>
              <w:spacing w:after="0" w:line="157" w:lineRule="exact"/>
              <w:rPr>
                <w:sz w:val="20"/>
                <w:szCs w:val="20"/>
                <w:color w:val="auto"/>
              </w:rPr>
            </w:pPr>
            <w:r>
              <w:rPr>
                <w:rFonts w:ascii="Arial" w:cs="Arial" w:eastAsia="Arial" w:hAnsi="Arial"/>
                <w:sz w:val="18"/>
                <w:szCs w:val="18"/>
                <w:b w:val="1"/>
                <w:bCs w:val="1"/>
                <w:color w:val="auto"/>
                <w:w w:val="94"/>
              </w:rPr>
              <w:t>April 1,</w:t>
            </w:r>
          </w:p>
        </w:tc>
        <w:tc>
          <w:tcPr>
            <w:tcW w:w="60" w:type="dxa"/>
            <w:vAlign w:val="bottom"/>
          </w:tcPr>
          <w:p>
            <w:pPr>
              <w:spacing w:after="0"/>
              <w:rPr>
                <w:sz w:val="13"/>
                <w:szCs w:val="13"/>
                <w:color w:val="auto"/>
              </w:rPr>
            </w:pPr>
          </w:p>
        </w:tc>
      </w:tr>
      <w:tr>
        <w:trPr>
          <w:trHeight w:val="228"/>
        </w:trPr>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r>
      <w:tr>
        <w:trPr>
          <w:trHeight w:val="189"/>
        </w:trPr>
        <w:tc>
          <w:tcPr>
            <w:tcW w:w="3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0" w:type="dxa"/>
            <w:vAlign w:val="bottom"/>
            <w:gridSpan w:val="5"/>
          </w:tcPr>
          <w:p>
            <w:pPr>
              <w:jc w:val="right"/>
              <w:ind w:right="610"/>
              <w:spacing w:after="0" w:line="189" w:lineRule="exact"/>
              <w:rPr>
                <w:sz w:val="20"/>
                <w:szCs w:val="20"/>
                <w:color w:val="auto"/>
              </w:rPr>
            </w:pPr>
            <w:r>
              <w:rPr>
                <w:rFonts w:ascii="Arial" w:cs="Arial" w:eastAsia="Arial" w:hAnsi="Arial"/>
                <w:sz w:val="18"/>
                <w:szCs w:val="18"/>
                <w:b w:val="1"/>
                <w:bCs w:val="1"/>
                <w:color w:val="auto"/>
              </w:rPr>
              <w:t>(Thousands)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derivative financial instrument (loss) gain</w:t>
            </w:r>
          </w:p>
        </w:tc>
        <w:tc>
          <w:tcPr>
            <w:tcW w:w="6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3,354</w:t>
            </w:r>
          </w:p>
        </w:tc>
        <w:tc>
          <w:tcPr>
            <w:tcW w:w="960" w:type="dxa"/>
            <w:vAlign w:val="bottom"/>
            <w:shd w:val="clear" w:color="auto" w:fill="CCEEFF"/>
          </w:tcPr>
          <w:p>
            <w:pPr>
              <w:jc w:val="right"/>
              <w:ind w:right="670"/>
              <w:spacing w:after="0" w:line="189" w:lineRule="exact"/>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26 $</w:t>
            </w:r>
          </w:p>
        </w:tc>
        <w:tc>
          <w:tcPr>
            <w:tcW w:w="10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5,070</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(8,711)</w:t>
            </w:r>
          </w:p>
        </w:tc>
        <w:tc>
          <w:tcPr>
            <w:tcW w:w="6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The above table excludes approximately $35.0 million of loss for the first nine months of fiscal 2017, of derivative financial instrument losses in other income (expenses), net, associated with foreign currency derivative financial instruments purchased to economically hedge the British Pound purchase price of the PF acquisition.</w:t>
      </w:r>
    </w:p>
    <w:p>
      <w:pPr>
        <w:spacing w:after="0" w:line="181"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and as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right="20"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As of March 31, 2018 and July 1, 2017, the Company had aggregate estimated liabilities of $14.2 million, classified within accrued expenses and other for such compliance-related matters that were reasonably estimable as of such dates.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third quarter of fiscal year 2018, the Company recorded a provisional amount for the one-time mandatory deemed repatriation tax liability (the “transition tax”) of $230.0 million of which $22.0 million is classified as a current income tax liability. The calculation of the transition tax is provisional and was based upon preliminary estimates of post-1986 earnings and profits and related foreign tax credits. The Act allows the transition tax to be payable over an eight year period without interest. The Company expects to elect to pay over an eight year period.</w:t>
      </w:r>
    </w:p>
    <w:p>
      <w:pPr>
        <w:spacing w:after="0" w:line="17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continues to evaluate the impact of the Act including the Company’s historical assertion related to ASC 740 unremitted earnings being permanently reinvested. The Company has not changed its historical assertion with respect to ASC 740 unremitted earnings and considers its unremitted earnings to be permanently reinvested as of March 31, 2018.</w:t>
      </w:r>
    </w:p>
    <w:p>
      <w:pPr>
        <w:spacing w:after="0" w:line="14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second quarter of fiscal year 2018, the Company recorded a provisional expense to account for the deferred tax impacts of the Act, which remained unchanged as of March 31, 2018. The estimates related to the transition tax and deferred taxes are provisional and may change as the Company continues to analyze the impacts of the Act.</w:t>
      </w:r>
    </w:p>
    <w:p>
      <w:pPr>
        <w:spacing w:after="0" w:line="1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effective tax rate on its loss before income taxes from continuing operations was (338.0)% in the third quarter of fiscal 2018. During the third quarter of fiscal 2018, the Company’s effective tax rate was unfavorably impacted primarily by (i) the provisional transition tax expense estimate recorded under the requirements of the Act and (ii) the goodwill impairment discussed in Note 4, which was not tax deductible, partially offset primarily by (i) the mix of income in lower tax jurisdictions and (ii) the release of reserves due to the expiration of the statute of limitations in various jurisdictions.</w:t>
      </w:r>
    </w:p>
    <w:p>
      <w:pPr>
        <w:spacing w:after="0" w:line="19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During the third quarter of fiscal 2017, the Company’s effective tax rate of 15.3% was favorably impacted primarily by (i) the mix of income in lower tax jurisdictions and (ii) the release of reserves and other discrete tax benefits.</w:t>
      </w:r>
    </w:p>
    <w:p>
      <w:pPr>
        <w:spacing w:after="0" w:line="14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first nine months of fiscal 2018 the Company’s effective tax rate on its income before income taxes from continuing operations was 489.2%. The effective tax rate for the first nine months of fiscal 2018 was unfavorably impacted primarily by (i) the provisional transition tax expense recorded under the requirements of the Act, (ii) the goodwill impairment, which was not tax deductible, and (iii) the tax expense created from remeasuring net deferred tax assets as a result of applying the requirements of the Act, partially offset primarily by (i) the mix of income in lower tax jurisdictions and (ii) the release of reserves.</w:t>
      </w:r>
    </w:p>
    <w:p>
      <w:pPr>
        <w:spacing w:after="0" w:line="22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first nine months of fiscal 2017, the Company’s effective tax rate of 25.7% was favorably impacted primarily by (i) the mix of income in lower tax jurisdictions, partially offset by (ii) net increases to valuation allowances against deferred tax assets that were deemed unrealizable and (iii) the impact of non-deductible acquisition related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The Company has a noncontributory defined benefit pension plan (the “Plan”) that covers substantially all U.S. employees as of January 1, 2018, and an acquired closed noncontributory defined benefit pension plan in the U.S. covering certain PF employees (collectively, the “Plans”). Components of net period pension cost for the Plans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Third Quarters Ended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April 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8"/>
              </w:rPr>
              <w:t>March 31,</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April 1,</w:t>
            </w:r>
          </w:p>
        </w:tc>
        <w:tc>
          <w:tcPr>
            <w:tcW w:w="10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8"/>
                <w:szCs w:val="8"/>
                <w:b w:val="1"/>
                <w:bCs w:val="1"/>
                <w:color w:val="auto"/>
              </w:rPr>
              <w:t>(1)</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8"/>
                <w:szCs w:val="8"/>
                <w:b w:val="1"/>
                <w:bCs w:val="1"/>
                <w:color w:val="auto"/>
              </w:rPr>
              <w:t>(1)</w:t>
            </w:r>
          </w:p>
        </w:tc>
        <w:tc>
          <w:tcPr>
            <w:tcW w:w="100" w:type="dxa"/>
            <w:vAlign w:val="bottom"/>
          </w:tcPr>
          <w:p>
            <w:pPr>
              <w:spacing w:after="0"/>
              <w:rPr>
                <w:sz w:val="20"/>
                <w:szCs w:val="20"/>
                <w:color w:val="auto"/>
              </w:rPr>
            </w:pPr>
          </w:p>
        </w:tc>
      </w:tr>
      <w:tr>
        <w:trPr>
          <w:trHeight w:val="216"/>
        </w:trPr>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10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Pr>
          <w:p>
            <w:pPr>
              <w:spacing w:after="0"/>
              <w:rPr>
                <w:sz w:val="19"/>
                <w:szCs w:val="19"/>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(32,520)</w:t>
            </w:r>
          </w:p>
        </w:tc>
        <w:tc>
          <w:tcPr>
            <w:tcW w:w="100" w:type="dxa"/>
            <w:vAlign w:val="bottom"/>
            <w:shd w:val="clear" w:color="auto" w:fill="CCEEFF"/>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Amortization of prior service credits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100" w:type="dxa"/>
            <w:vAlign w:val="bottom"/>
            <w:shd w:val="clear" w:color="auto" w:fill="CCEEFF"/>
          </w:tcPr>
          <w:p>
            <w:pPr>
              <w:spacing w:after="0"/>
              <w:rPr>
                <w:sz w:val="19"/>
                <w:szCs w:val="19"/>
                <w:color w:val="auto"/>
              </w:rPr>
            </w:pPr>
          </w:p>
        </w:tc>
      </w:tr>
      <w:tr>
        <w:trPr>
          <w:trHeight w:val="223"/>
        </w:trPr>
        <w:tc>
          <w:tcPr>
            <w:tcW w:w="3000" w:type="dxa"/>
            <w:vAlign w:val="bottom"/>
            <w:gridSpan w:val="2"/>
          </w:tcPr>
          <w:p>
            <w:pPr>
              <w:spacing w:after="0"/>
              <w:rPr>
                <w:sz w:val="20"/>
                <w:szCs w:val="20"/>
                <w:color w:val="auto"/>
              </w:rPr>
            </w:pPr>
            <w:r>
              <w:rPr>
                <w:rFonts w:ascii="Arial" w:cs="Arial" w:eastAsia="Arial" w:hAnsi="Arial"/>
                <w:sz w:val="18"/>
                <w:szCs w:val="18"/>
                <w:color w:val="auto"/>
              </w:rPr>
              <w:t>Pension settlement charge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periodic pension cost</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76"/>
        </w:trPr>
        <w:tc>
          <w:tcPr>
            <w:tcW w:w="2280" w:type="dxa"/>
            <w:vAlign w:val="bottom"/>
            <w:tcBorders>
              <w:bottom w:val="single" w:sz="8" w:color="0D0D0D"/>
            </w:tcBorders>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(1)Includes discontinued operations</w:t>
      </w:r>
    </w:p>
    <w:p>
      <w:pPr>
        <w:spacing w:after="0" w:line="239"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Company contributed $12.0 million to the Plans during the first nine months of fiscal 2018 and expects to make an additional contribution to the Plans of $4.0 million in the fourth quarter of fiscal 2018.</w:t>
      </w:r>
    </w:p>
    <w:p>
      <w:pPr>
        <w:spacing w:after="0" w:line="170"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8"/>
          <w:szCs w:val="18"/>
          <w:color w:val="auto"/>
        </w:rPr>
        <w:t>The Plans meet the definition of defined benefit plans and as a result, the Company applies ASC 715 pension accounting to the Plans. The Plans, however, are cash balance plans that are similar in nature to defined contribution plans in that a participant’s benefit is defined in terms of stated account balances. The cash balance plans provide the Company with the benefit of applying any earnings on the Plans’ investments beyond the fixed return provided to participants, toward the Company’s future cash funding obligations.</w:t>
      </w:r>
    </w:p>
    <w:p>
      <w:pPr>
        <w:spacing w:after="0" w:line="18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income (loss), net of tax, to operating expenses during the third quarters and the first nine months of fiscal 2018 and fiscal 2017 were substantially all related to net periodic pension costs including recognition of actuarial losses and amortization of prior service credits.</w:t>
      </w:r>
    </w:p>
    <w:p>
      <w:pPr>
        <w:spacing w:after="0" w:line="166" w:lineRule="exact"/>
        <w:rPr>
          <w:sz w:val="20"/>
          <w:szCs w:val="20"/>
          <w:color w:val="auto"/>
        </w:rPr>
      </w:pPr>
    </w:p>
    <w:p>
      <w:pPr>
        <w:jc w:val="both"/>
        <w:ind w:right="40" w:firstLine="432"/>
        <w:spacing w:after="0" w:line="255" w:lineRule="auto"/>
        <w:rPr>
          <w:sz w:val="20"/>
          <w:szCs w:val="20"/>
          <w:color w:val="auto"/>
        </w:rPr>
      </w:pPr>
      <w:r>
        <w:rPr>
          <w:rFonts w:ascii="Arial" w:cs="Arial" w:eastAsia="Arial" w:hAnsi="Arial"/>
          <w:sz w:val="18"/>
          <w:szCs w:val="18"/>
          <w:color w:val="auto"/>
        </w:rPr>
        <w:t>In connection with the sale of the TS business, a significant number of former employees became terminated vested employees under the Plan. During the first nine months of fiscal 2018, the aggregate amount of former employee withdrawals from the Plan exceeded the pension accounting settlement threshold for fiscal 2018, which required a settlement expense under ASC 715 pension accounting. As a result, the Company recognized a $4.9 million and $18.9 million of pension settlement expenses before taxes in the third quarter and first nine months of fiscal 2018, respectively, classified within income (loss)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440" w:right="6740" w:hanging="437"/>
        <w:spacing w:after="0" w:line="566" w:lineRule="auto"/>
        <w:tabs>
          <w:tab w:leader="none" w:pos="28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right="40" w:firstLine="428"/>
        <w:spacing w:after="0" w:line="255" w:lineRule="auto"/>
        <w:rPr>
          <w:sz w:val="20"/>
          <w:szCs w:val="20"/>
          <w:color w:val="auto"/>
        </w:rPr>
      </w:pPr>
      <w:r>
        <w:rPr>
          <w:rFonts w:ascii="Arial" w:cs="Arial" w:eastAsia="Arial" w:hAnsi="Arial"/>
          <w:sz w:val="18"/>
          <w:szCs w:val="18"/>
          <w:color w:val="auto"/>
        </w:rPr>
        <w:t>In November 2017, the Company’s Board of Directors amended the Company’s existing share repurchase program to authorize the repurchase up of to $1.95 billion of common stock in the open market or through privately negotiated transactions. The timing and actual number of shares repurchased will depend on a variety of factors such as share price, corporate and regulatory requirements, and prevailing market conditions. During the third quarter and nine months ended March 31, 2018, the Company repurchased 1.7 million and 5.3 million shares, respectively, under this program for a total cost of $70.0 million and $209.5 million, respectively. As of March 31, 2018, the Company had $389.6 million remaining under its share repurchase authorization.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 February 2018, the Company’s Board of Directors approved a dividend of $0.19 per common share and dividend payments of $22.6 million were made in March 2018. During the nine months ended March 31, 2018, the Company paid dividends of $0.55 per common share and $66.2 million in total.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11. Earnings per 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4"/>
              </w:rPr>
              <w:t>Third Quarters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gridSpan w:val="2"/>
          </w:tcPr>
          <w:p>
            <w:pPr>
              <w:jc w:val="right"/>
              <w:spacing w:after="0" w:line="157"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0"/>
              <w:spacing w:after="0" w:line="157" w:lineRule="exact"/>
              <w:rPr>
                <w:sz w:val="20"/>
                <w:szCs w:val="20"/>
                <w:color w:val="auto"/>
              </w:rPr>
            </w:pPr>
            <w:r>
              <w:rPr>
                <w:rFonts w:ascii="Arial" w:cs="Arial" w:eastAsia="Arial" w:hAnsi="Arial"/>
                <w:sz w:val="18"/>
                <w:szCs w:val="18"/>
                <w:b w:val="1"/>
                <w:bCs w:val="1"/>
                <w:color w:val="auto"/>
              </w:rPr>
              <w:t>April 1,</w:t>
            </w:r>
          </w:p>
        </w:tc>
        <w:tc>
          <w:tcPr>
            <w:tcW w:w="160" w:type="dxa"/>
            <w:vAlign w:val="bottom"/>
          </w:tcPr>
          <w:p>
            <w:pPr>
              <w:spacing w:after="0"/>
              <w:rPr>
                <w:sz w:val="13"/>
                <w:szCs w:val="13"/>
                <w:color w:val="auto"/>
              </w:rPr>
            </w:pPr>
          </w:p>
        </w:tc>
        <w:tc>
          <w:tcPr>
            <w:tcW w:w="920" w:type="dxa"/>
            <w:vAlign w:val="bottom"/>
            <w:tcBorders>
              <w:top w:val="single" w:sz="8" w:color="auto"/>
            </w:tcBorders>
            <w:gridSpan w:val="2"/>
          </w:tcPr>
          <w:p>
            <w:pPr>
              <w:jc w:val="right"/>
              <w:spacing w:after="0" w:line="157"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0"/>
              <w:spacing w:after="0" w:line="157" w:lineRule="exact"/>
              <w:rPr>
                <w:sz w:val="20"/>
                <w:szCs w:val="20"/>
                <w:color w:val="auto"/>
              </w:rPr>
            </w:pPr>
            <w:r>
              <w:rPr>
                <w:rFonts w:ascii="Arial" w:cs="Arial" w:eastAsia="Arial" w:hAnsi="Arial"/>
                <w:sz w:val="18"/>
                <w:szCs w:val="18"/>
                <w:b w:val="1"/>
                <w:bCs w:val="1"/>
                <w:color w:val="auto"/>
                <w:w w:val="91"/>
              </w:rPr>
              <w:t>April 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9"/>
          </w:tcPr>
          <w:p>
            <w:pPr>
              <w:jc w:val="right"/>
              <w:spacing w:after="0" w:line="189" w:lineRule="exact"/>
              <w:rPr>
                <w:sz w:val="20"/>
                <w:szCs w:val="20"/>
                <w:color w:val="auto"/>
              </w:rPr>
            </w:pPr>
            <w:r>
              <w:rPr>
                <w:rFonts w:ascii="Arial" w:cs="Arial" w:eastAsia="Arial" w:hAnsi="Arial"/>
                <w:sz w:val="18"/>
                <w:szCs w:val="18"/>
                <w:b w:val="1"/>
                <w:bCs w:val="1"/>
                <w:color w:val="auto"/>
              </w:rPr>
              <w:t>(Thousands, except per share data)</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line="189" w:lineRule="exact"/>
              <w:rPr>
                <w:sz w:val="20"/>
                <w:szCs w:val="20"/>
                <w:color w:val="auto"/>
              </w:rPr>
            </w:pPr>
            <w:r>
              <w:rPr>
                <w:rFonts w:ascii="Arial" w:cs="Arial" w:eastAsia="Arial" w:hAnsi="Arial"/>
                <w:sz w:val="18"/>
                <w:szCs w:val="18"/>
                <w:color w:val="auto"/>
              </w:rPr>
              <w:t>Income (loss) from continuing operations</w:t>
            </w: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(315,604)</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89,920</w:t>
            </w:r>
          </w:p>
        </w:tc>
        <w:tc>
          <w:tcPr>
            <w:tcW w:w="320" w:type="dxa"/>
            <w:vAlign w:val="bottom"/>
            <w:gridSpan w:val="2"/>
          </w:tcPr>
          <w:p>
            <w:pPr>
              <w:jc w:val="right"/>
              <w:ind w:right="2"/>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w w:val="95"/>
              </w:rPr>
              <w:t>(200,628)</w:t>
            </w:r>
          </w:p>
        </w:tc>
        <w:tc>
          <w:tcPr>
            <w:tcW w:w="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190,073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181,851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(14,411)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253,759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Net (loss) income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(320,066)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271,771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5"/>
              </w:rPr>
              <w:t>(215,039)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443,832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00" w:type="dxa"/>
            <w:vAlign w:val="bottom"/>
          </w:tcPr>
          <w:p>
            <w:pPr>
              <w:spacing w:after="0" w:line="189" w:lineRule="exact"/>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Weighted average common shares for basic earnings per share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119,601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128,487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120,895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127,973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effect of dilutive stock based compensation awards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945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1,874</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Weighted average common shares for diluted earnings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119,601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129,432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120,895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129,847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tcPr>
          <w:p>
            <w:pPr>
              <w:spacing w:after="0" w:line="176" w:lineRule="exact"/>
              <w:rPr>
                <w:sz w:val="20"/>
                <w:szCs w:val="20"/>
                <w:color w:val="auto"/>
              </w:rPr>
            </w:pPr>
            <w:r>
              <w:rPr>
                <w:rFonts w:ascii="Arial" w:cs="Arial" w:eastAsia="Arial" w:hAnsi="Arial"/>
                <w:sz w:val="18"/>
                <w:szCs w:val="18"/>
                <w:color w:val="auto"/>
              </w:rPr>
              <w:t>Basic earnings (loss) per share - continuing operations</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0.70</w:t>
            </w:r>
          </w:p>
        </w:tc>
        <w:tc>
          <w:tcPr>
            <w:tcW w:w="160" w:type="dxa"/>
            <w:vAlign w:val="bottom"/>
          </w:tcPr>
          <w:p>
            <w:pPr>
              <w:spacing w:after="0"/>
              <w:rPr>
                <w:sz w:val="15"/>
                <w:szCs w:val="15"/>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(1.66)</w:t>
            </w:r>
          </w:p>
        </w:tc>
        <w:tc>
          <w:tcPr>
            <w:tcW w:w="16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Basic earnings (loss) per share - discontinued operations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Basic earnings (loss) per share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(loss) per share - continuing operations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Diluted earnings (loss) per share - discontinued operations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Diluted earnings (loss)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line="135" w:lineRule="exact"/>
              <w:rPr>
                <w:sz w:val="20"/>
                <w:szCs w:val="20"/>
                <w:color w:val="auto"/>
              </w:rPr>
            </w:pPr>
            <w:r>
              <w:rPr>
                <w:rFonts w:ascii="Arial" w:cs="Arial" w:eastAsia="Arial" w:hAnsi="Arial"/>
                <w:sz w:val="15"/>
                <w:szCs w:val="15"/>
                <w:color w:val="auto"/>
              </w:rPr>
              <w:t>Stock options excluded from earnings per share calculation due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 anti-dilutive effect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for additional information on income (loss) from discontinued operations.</w:t>
      </w:r>
    </w:p>
    <w:p>
      <w:pPr>
        <w:spacing w:after="0" w:line="225" w:lineRule="exact"/>
        <w:rPr>
          <w:sz w:val="20"/>
          <w:szCs w:val="20"/>
          <w:color w:val="auto"/>
        </w:rPr>
      </w:pPr>
    </w:p>
    <w:p>
      <w:pPr>
        <w:ind w:right="380" w:firstLine="428"/>
        <w:spacing w:after="0" w:line="342" w:lineRule="auto"/>
        <w:rPr>
          <w:sz w:val="20"/>
          <w:szCs w:val="20"/>
          <w:color w:val="auto"/>
        </w:rPr>
      </w:pPr>
      <w:r>
        <w:rPr>
          <w:rFonts w:ascii="Arial" w:cs="Arial" w:eastAsia="Arial" w:hAnsi="Arial"/>
          <w:sz w:val="16"/>
          <w:szCs w:val="16"/>
          <w:color w:val="auto"/>
        </w:rPr>
        <w:t>For the three and nine months ended March 31, 2018, the diluted net loss per share is the same as basic net loss per share as the effects of 939,722 and 1,195,935 potential common shares, respectively, would be anti-dilutive.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March 31,</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April 1,</w:t>
            </w:r>
          </w:p>
        </w:tc>
        <w:tc>
          <w:tcPr>
            <w:tcW w:w="140" w:type="dxa"/>
            <w:vAlign w:val="bottom"/>
          </w:tcPr>
          <w:p>
            <w:pPr>
              <w:spacing w:after="0"/>
              <w:rPr>
                <w:sz w:val="17"/>
                <w:szCs w:val="17"/>
                <w:color w:val="auto"/>
              </w:rPr>
            </w:pPr>
          </w:p>
        </w:tc>
      </w:tr>
      <w:tr>
        <w:trPr>
          <w:trHeight w:val="241"/>
        </w:trPr>
        <w:tc>
          <w:tcPr>
            <w:tcW w:w="4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21,282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16,780</w:t>
            </w:r>
          </w:p>
        </w:tc>
        <w:tc>
          <w:tcPr>
            <w:tcW w:w="140" w:type="dxa"/>
            <w:vAlign w:val="bottom"/>
          </w:tcPr>
          <w:p>
            <w:pPr>
              <w:spacing w:after="0"/>
              <w:rPr>
                <w:sz w:val="19"/>
                <w:szCs w:val="19"/>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sale of marketable securities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share repurchases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w:t>
            </w:r>
          </w:p>
        </w:tc>
        <w:tc>
          <w:tcPr>
            <w:tcW w:w="140" w:type="dxa"/>
            <w:vAlign w:val="bottom"/>
            <w:shd w:val="clear" w:color="auto" w:fill="CCEEFF"/>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74,165</w:t>
            </w:r>
          </w:p>
        </w:tc>
        <w:tc>
          <w:tcPr>
            <w:tcW w:w="140" w:type="dxa"/>
            <w:vAlign w:val="bottom"/>
            <w:shd w:val="clear" w:color="auto" w:fill="CCEEFF"/>
          </w:tcPr>
          <w:p>
            <w:pPr>
              <w:spacing w:after="0"/>
              <w:rPr>
                <w:sz w:val="19"/>
                <w:szCs w:val="19"/>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94,773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106,659</w:t>
            </w:r>
          </w:p>
        </w:tc>
        <w:tc>
          <w:tcPr>
            <w:tcW w:w="140" w:type="dxa"/>
            <w:vAlign w:val="bottom"/>
          </w:tcPr>
          <w:p>
            <w:pPr>
              <w:spacing w:after="0"/>
              <w:rPr>
                <w:sz w:val="20"/>
                <w:szCs w:val="20"/>
                <w:color w:val="auto"/>
              </w:rPr>
            </w:pPr>
          </w:p>
        </w:tc>
      </w:tr>
    </w:tbl>
    <w:p>
      <w:pPr>
        <w:spacing w:after="0" w:line="20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March 31, 2018, and July 1, 2017, was $6.2 million and $208.3 million, respectively, of cash equivalents, which was primarily comprised of investment grade money market funds and overnight time deposits.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Electronic Components (“EC”) and Premier Farnell (“PF”) are the Company’s reportable segments (“operating groups”). EC markets and sells semiconductors and interconnect, passive and electromechanical devices and integrated components to a diverse customer base serving many end-markets. PF was acquired during the second quarter of fiscal 2017 and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440" w:type="dxa"/>
            <w:vAlign w:val="bottom"/>
            <w:gridSpan w:val="7"/>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680" w:type="dxa"/>
            <w:vAlign w:val="bottom"/>
            <w:gridSpan w:val="10"/>
          </w:tcPr>
          <w:p>
            <w:pPr>
              <w:jc w:val="right"/>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0"/>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ind w:left="40"/>
              <w:spacing w:after="0"/>
              <w:rPr>
                <w:sz w:val="20"/>
                <w:szCs w:val="20"/>
                <w:color w:val="auto"/>
              </w:rPr>
            </w:pPr>
            <w:r>
              <w:rPr>
                <w:rFonts w:ascii="Arial" w:cs="Arial" w:eastAsia="Arial" w:hAnsi="Arial"/>
                <w:sz w:val="18"/>
                <w:szCs w:val="18"/>
                <w:b w:val="1"/>
                <w:bCs w:val="1"/>
                <w:color w:val="auto"/>
              </w:rPr>
              <w:t>Third Quarters Ended</w:t>
            </w:r>
          </w:p>
        </w:tc>
        <w:tc>
          <w:tcPr>
            <w:tcW w:w="120" w:type="dxa"/>
            <w:vAlign w:val="bottom"/>
          </w:tcPr>
          <w:p>
            <w:pPr>
              <w:spacing w:after="0"/>
              <w:rPr>
                <w:sz w:val="24"/>
                <w:szCs w:val="24"/>
                <w:color w:val="auto"/>
              </w:rPr>
            </w:pPr>
          </w:p>
        </w:tc>
        <w:tc>
          <w:tcPr>
            <w:tcW w:w="222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2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140" w:type="dxa"/>
            <w:vAlign w:val="bottom"/>
            <w:tcBorders>
              <w:top w:val="single" w:sz="8" w:color="auto"/>
            </w:tcBorders>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April 1,</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1,</w:t>
            </w:r>
          </w:p>
        </w:tc>
        <w:tc>
          <w:tcPr>
            <w:tcW w:w="60" w:type="dxa"/>
            <w:vAlign w:val="bottom"/>
          </w:tcPr>
          <w:p>
            <w:pPr>
              <w:spacing w:after="0"/>
              <w:rPr>
                <w:sz w:val="17"/>
                <w:szCs w:val="17"/>
                <w:color w:val="auto"/>
              </w:rPr>
            </w:pPr>
          </w:p>
        </w:tc>
      </w:tr>
      <w:tr>
        <w:trPr>
          <w:trHeight w:val="241"/>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4,404,115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4,090,943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12,874,885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12,213,389</w:t>
            </w:r>
          </w:p>
        </w:tc>
        <w:tc>
          <w:tcPr>
            <w:tcW w:w="60" w:type="dxa"/>
            <w:vAlign w:val="bottom"/>
          </w:tcPr>
          <w:p>
            <w:pPr>
              <w:spacing w:after="0"/>
              <w:rPr>
                <w:sz w:val="18"/>
                <w:szCs w:val="18"/>
                <w:color w:val="auto"/>
              </w:rPr>
            </w:pPr>
          </w:p>
        </w:tc>
      </w:tr>
      <w:tr>
        <w:trPr>
          <w:trHeight w:val="22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390,978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350,953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1,102,787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620,170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4,795,093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4,441,896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13,977,672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12,833,559</w:t>
            </w:r>
          </w:p>
        </w:tc>
        <w:tc>
          <w:tcPr>
            <w:tcW w:w="6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157,713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156,831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427,162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508,587</w:t>
            </w:r>
          </w:p>
        </w:tc>
        <w:tc>
          <w:tcPr>
            <w:tcW w:w="60" w:type="dxa"/>
            <w:vAlign w:val="bottom"/>
          </w:tcPr>
          <w:p>
            <w:pPr>
              <w:spacing w:after="0"/>
              <w:rPr>
                <w:sz w:val="18"/>
                <w:szCs w:val="18"/>
                <w:color w:val="auto"/>
              </w:rPr>
            </w:pPr>
          </w:p>
        </w:tc>
      </w:tr>
      <w:tr>
        <w:trPr>
          <w:trHeight w:val="22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40,318</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197,149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541,978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572,879</w:t>
            </w:r>
          </w:p>
        </w:tc>
        <w:tc>
          <w:tcPr>
            <w:tcW w:w="6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(24,856)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(79,502)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(74,766)</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Restructuring, integration and other expenses</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(25,120)</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(35,513)</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(108,277)</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(95,382)</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(181,440)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(22,725)</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(22,497)</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(70,187)</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(34,704)</w:t>
            </w:r>
          </w:p>
        </w:tc>
      </w:tr>
      <w:tr>
        <w:trPr>
          <w:trHeight w:val="223"/>
        </w:trPr>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368,027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1,276,426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1,328,592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3,672,160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3,831,706</w:t>
            </w:r>
          </w:p>
        </w:tc>
        <w:tc>
          <w:tcPr>
            <w:tcW w:w="6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1,812,334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1,615,903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4,261,891</w:t>
            </w:r>
          </w:p>
        </w:tc>
        <w:tc>
          <w:tcPr>
            <w:tcW w:w="60" w:type="dxa"/>
            <w:vAlign w:val="bottom"/>
            <w:shd w:val="clear" w:color="auto" w:fill="CCEEFF"/>
          </w:tcPr>
          <w:p>
            <w:pPr>
              <w:spacing w:after="0"/>
              <w:rPr>
                <w:sz w:val="18"/>
                <w:szCs w:val="18"/>
                <w:color w:val="auto"/>
              </w:rPr>
            </w:pPr>
          </w:p>
        </w:tc>
      </w:tr>
      <w:tr>
        <w:trPr>
          <w:trHeight w:val="223"/>
        </w:trPr>
        <w:tc>
          <w:tcPr>
            <w:tcW w:w="4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(4)</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1,706,333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1,497,401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5,294,176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4,739,962</w:t>
            </w:r>
          </w:p>
        </w:tc>
        <w:tc>
          <w:tcPr>
            <w:tcW w:w="60" w:type="dxa"/>
            <w:vAlign w:val="bottom"/>
            <w:tcBorders>
              <w:bottom w:val="single" w:sz="8" w:color="CCEEFF"/>
            </w:tcBorders>
          </w:tcPr>
          <w:p>
            <w:pPr>
              <w:spacing w:after="0"/>
              <w:rPr>
                <w:sz w:val="19"/>
                <w:szCs w:val="19"/>
                <w:color w:val="auto"/>
              </w:rPr>
            </w:pPr>
          </w:p>
        </w:tc>
      </w:tr>
      <w:tr>
        <w:trPr>
          <w:trHeight w:val="223"/>
        </w:trPr>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4,795,093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4,441,896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13,977,672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12,833,559</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jc w:val="both"/>
        <w:ind w:left="320" w:hanging="317"/>
        <w:spacing w:after="0" w:line="312" w:lineRule="auto"/>
        <w:tabs>
          <w:tab w:leader="none" w:pos="263" w:val="left"/>
        </w:tabs>
        <w:numPr>
          <w:ilvl w:val="0"/>
          <w:numId w:val="6"/>
        </w:numPr>
        <w:rPr>
          <w:rFonts w:ascii="Arial" w:cs="Arial" w:eastAsia="Arial" w:hAnsi="Arial"/>
          <w:sz w:val="8"/>
          <w:szCs w:val="8"/>
          <w:color w:val="auto"/>
        </w:rPr>
      </w:pPr>
      <w:r>
        <w:rPr>
          <w:rFonts w:ascii="Arial" w:cs="Arial" w:eastAsia="Arial" w:hAnsi="Arial"/>
          <w:sz w:val="16"/>
          <w:szCs w:val="16"/>
          <w:color w:val="auto"/>
        </w:rPr>
        <w:t>Corporate is not a reportable segment and represents certain centrally incurred overhead expenses and assets that are not included in the EC and PF measures of profitability or assets. Corporate amounts represent a reconciling item between segment measures of profitability or assets and total Avnet amounts reported in the consolidated financial statements.</w:t>
      </w:r>
    </w:p>
    <w:p>
      <w:pPr>
        <w:spacing w:after="0" w:line="146" w:lineRule="exact"/>
        <w:rPr>
          <w:rFonts w:ascii="Arial" w:cs="Arial" w:eastAsia="Arial" w:hAnsi="Arial"/>
          <w:sz w:val="8"/>
          <w:szCs w:val="8"/>
          <w:color w:val="auto"/>
        </w:rPr>
      </w:pPr>
    </w:p>
    <w:p>
      <w:pPr>
        <w:jc w:val="both"/>
        <w:ind w:left="320" w:hanging="317"/>
        <w:spacing w:after="0" w:line="264" w:lineRule="auto"/>
        <w:tabs>
          <w:tab w:leader="none" w:pos="263" w:val="left"/>
        </w:tabs>
        <w:numPr>
          <w:ilvl w:val="0"/>
          <w:numId w:val="6"/>
        </w:numPr>
        <w:rPr>
          <w:rFonts w:ascii="Arial" w:cs="Arial" w:eastAsia="Arial" w:hAnsi="Arial"/>
          <w:sz w:val="9"/>
          <w:szCs w:val="9"/>
          <w:color w:val="auto"/>
        </w:rPr>
      </w:pPr>
      <w:r>
        <w:rPr>
          <w:rFonts w:ascii="Arial" w:cs="Arial" w:eastAsia="Arial" w:hAnsi="Arial"/>
          <w:sz w:val="18"/>
          <w:szCs w:val="18"/>
          <w:color w:val="auto"/>
        </w:rPr>
        <w:t>Includes sales from the United States of $1.18 billion and $1.23 billion for the third quarters ended March 31, 2018, and April 1, 2017, respectively. Includes sales from the United States of $3.40 billion and $3.56 billion for the first nine months of fiscal 2018 and 2017, respectively.</w:t>
      </w:r>
    </w:p>
    <w:p>
      <w:pPr>
        <w:spacing w:after="0" w:line="181" w:lineRule="exact"/>
        <w:rPr>
          <w:rFonts w:ascii="Arial" w:cs="Arial" w:eastAsia="Arial" w:hAnsi="Arial"/>
          <w:sz w:val="9"/>
          <w:szCs w:val="9"/>
          <w:color w:val="auto"/>
        </w:rPr>
      </w:pPr>
    </w:p>
    <w:p>
      <w:pPr>
        <w:jc w:val="both"/>
        <w:ind w:left="320" w:hanging="317"/>
        <w:spacing w:after="0" w:line="279" w:lineRule="auto"/>
        <w:tabs>
          <w:tab w:leader="none" w:pos="263" w:val="left"/>
        </w:tabs>
        <w:numPr>
          <w:ilvl w:val="0"/>
          <w:numId w:val="6"/>
        </w:numPr>
        <w:rPr>
          <w:rFonts w:ascii="Arial" w:cs="Arial" w:eastAsia="Arial" w:hAnsi="Arial"/>
          <w:sz w:val="9"/>
          <w:szCs w:val="9"/>
          <w:color w:val="auto"/>
        </w:rPr>
      </w:pPr>
      <w:r>
        <w:rPr>
          <w:rFonts w:ascii="Arial" w:cs="Arial" w:eastAsia="Arial" w:hAnsi="Arial"/>
          <w:sz w:val="17"/>
          <w:szCs w:val="17"/>
          <w:color w:val="auto"/>
        </w:rPr>
        <w:t>Includes sales from Germany and Belgium of $710.6 million and $281.1 million, respectively, for the third quarter ended March 31, 2018, and $1.96 billion and $786.0 million, respectively, for the first nine months of fiscal 2018. Includes sales from Germany and Belgium of $616.3 million and $248.3 million, respectively, for the third quarter ended April 1, 2017, and $1.66 billion and $678.5 million, respectively, for the first nine months of fiscal 2017.</w:t>
      </w:r>
    </w:p>
    <w:p>
      <w:pPr>
        <w:spacing w:after="0" w:line="171" w:lineRule="exact"/>
        <w:rPr>
          <w:rFonts w:ascii="Arial" w:cs="Arial" w:eastAsia="Arial" w:hAnsi="Arial"/>
          <w:sz w:val="9"/>
          <w:szCs w:val="9"/>
          <w:color w:val="auto"/>
        </w:rPr>
      </w:pPr>
    </w:p>
    <w:p>
      <w:pPr>
        <w:jc w:val="both"/>
        <w:ind w:left="320" w:hanging="317"/>
        <w:spacing w:after="0" w:line="276" w:lineRule="auto"/>
        <w:tabs>
          <w:tab w:leader="none" w:pos="263" w:val="left"/>
        </w:tabs>
        <w:numPr>
          <w:ilvl w:val="0"/>
          <w:numId w:val="6"/>
        </w:numPr>
        <w:rPr>
          <w:rFonts w:ascii="Arial" w:cs="Arial" w:eastAsia="Arial" w:hAnsi="Arial"/>
          <w:sz w:val="9"/>
          <w:szCs w:val="9"/>
          <w:color w:val="auto"/>
        </w:rPr>
      </w:pPr>
      <w:r>
        <w:rPr>
          <w:rFonts w:ascii="Arial" w:cs="Arial" w:eastAsia="Arial" w:hAnsi="Arial"/>
          <w:sz w:val="17"/>
          <w:szCs w:val="17"/>
          <w:color w:val="auto"/>
        </w:rPr>
        <w:t>Includes sales from China (including Hong Kong), Taiwan and Singapore of $645.3 million, $616.7 million and $231.6 million, respectively, for the third quarter ended March 31, 2018, and $1.94 billion, $1.99 billion and $677.8 million, respectively, for the first nine months of fiscal 2018. Includes sales from China (including Hong Kong), Taiwan and Singapore of $562.9 million, $486.9 million and $237.1 million, respectively, for the third quarter ended April 1, 2017, and $1.80 billion, $1.67 billion and $690.1 million, respectively, for the first nine months of fiscal 2017.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36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43"/>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1,</w:t>
            </w:r>
          </w:p>
        </w:tc>
      </w:tr>
      <w:tr>
        <w:trPr>
          <w:trHeight w:val="241"/>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270,972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296,038</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186,127</w:t>
            </w:r>
          </w:p>
        </w:tc>
        <w:tc>
          <w:tcPr>
            <w:tcW w:w="180" w:type="dxa"/>
            <w:vAlign w:val="bottom"/>
            <w:shd w:val="clear" w:color="auto" w:fill="CCEEFF"/>
          </w:tcPr>
          <w:p>
            <w:pPr>
              <w:spacing w:after="0"/>
              <w:rPr>
                <w:sz w:val="18"/>
                <w:szCs w:val="18"/>
                <w:color w:val="auto"/>
              </w:rPr>
            </w:pPr>
          </w:p>
        </w:tc>
      </w:tr>
      <w:tr>
        <w:trPr>
          <w:trHeight w:val="223"/>
        </w:trPr>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Asia/Pacific</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39,531</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37,410</w:t>
            </w:r>
          </w:p>
        </w:tc>
        <w:tc>
          <w:tcPr>
            <w:tcW w:w="180" w:type="dxa"/>
            <w:vAlign w:val="bottom"/>
            <w:tcBorders>
              <w:bottom w:val="single" w:sz="8" w:color="CCEEFF"/>
            </w:tcBorders>
          </w:tcPr>
          <w:p>
            <w:pPr>
              <w:spacing w:after="0"/>
              <w:rPr>
                <w:sz w:val="19"/>
                <w:szCs w:val="19"/>
                <w:color w:val="auto"/>
              </w:rPr>
            </w:pPr>
          </w:p>
        </w:tc>
      </w:tr>
      <w:tr>
        <w:trPr>
          <w:trHeight w:val="223"/>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520,922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519,575</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ind w:left="320" w:right="200" w:hanging="317"/>
        <w:spacing w:after="0" w:line="277"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Includes property, plant and equipment, net, of $265.6 million and $289.1 million as of March 31, 2018, and July 1, 2017, respectively, in the United States.</w:t>
      </w:r>
    </w:p>
    <w:p>
      <w:pPr>
        <w:spacing w:after="0" w:line="170" w:lineRule="exact"/>
        <w:rPr>
          <w:rFonts w:ascii="Arial" w:cs="Arial" w:eastAsia="Arial" w:hAnsi="Arial"/>
          <w:sz w:val="9"/>
          <w:szCs w:val="9"/>
          <w:color w:val="auto"/>
        </w:rPr>
      </w:pPr>
    </w:p>
    <w:p>
      <w:pPr>
        <w:jc w:val="both"/>
        <w:ind w:left="320" w:right="200" w:hanging="317"/>
        <w:spacing w:after="0" w:line="264"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Includes property, plant and equipment, net, of $105.4 million, $50.6 million and $44.2 million in Germany, UK and Belgium, respectively, as of March 31, 2018, and $85.6 million, $52.1 million and $39.8 million in Germany, UK and Belgium, respectively, as of July 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2018</w:t>
      </w:r>
    </w:p>
    <w:p>
      <w:pPr>
        <w:spacing w:after="0" w:line="225"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During fiscal 2018, the Company executed certain restructuring actions in an effort to integrate acquisitions and reduce future operating expenses. Restructuring expenses are included as a component of restructuring, integration and other expenses in the Consolidated Statements of Operations. The activity related to the restructuring liabilities established during fiscal 2018 is presented in the following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Facility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w w:val="91"/>
              </w:rPr>
              <w:t>Asset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Severance</w:t>
            </w:r>
          </w:p>
        </w:tc>
        <w:tc>
          <w:tcPr>
            <w:tcW w:w="18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Exit Costs</w:t>
            </w:r>
          </w:p>
        </w:tc>
        <w:tc>
          <w:tcPr>
            <w:tcW w:w="16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Impairments</w:t>
            </w: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(Thousands)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Fiscal 2018 restructuring expenses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(31,493)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amounts</w:t>
            </w: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2018</w:t>
            </w: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432"/>
        <w:spacing w:after="0" w:line="271" w:lineRule="auto"/>
        <w:rPr>
          <w:sz w:val="20"/>
          <w:szCs w:val="20"/>
          <w:color w:val="auto"/>
        </w:rPr>
      </w:pPr>
      <w:r>
        <w:rPr>
          <w:rFonts w:ascii="Arial" w:cs="Arial" w:eastAsia="Arial" w:hAnsi="Arial"/>
          <w:sz w:val="17"/>
          <w:szCs w:val="17"/>
          <w:color w:val="auto"/>
        </w:rPr>
        <w:t>Severance expense recorded in the first nine months of fiscal 2018 related to the reduction, or planned reduction of approximately 700 employees, primarily in executive management, operations, warehouse, sales and business support functions. Facility exit costs primarily consist of liabilities for remaining lease obligations for exited facilities. Asset impairments relate to the impairment of property, plant and equipment as a result of the underlying restructuring activities. Other restructuring costs related primarily to other miscellaneous restructuring and exit costs. Of the $40.1 million in restructuring expenses recorded during the first nine months of fiscal 2018, $33.5 million related to EC, $4.8 million related to PF and $1.8 million related to corporate executive and business support functions. The Company expects the majority of the remaining amounts to be paid by the end of fiscal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08" w:right="12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2017</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During fiscal 2017, the Company incurred restructuring expenses related to various restructuring actions intended to achieve planned synergies from acquired businesses and to reduce future operating expenses. The following table presents the activity during the first nine months of fiscal 2018 related to the remaining restructuring liabilities from continuing operations established during fiscal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Facility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1"/>
        </w:trPr>
        <w:tc>
          <w:tcPr>
            <w:tcW w:w="4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Severance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Exit Costs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16"/>
        </w:trPr>
        <w:tc>
          <w:tcPr>
            <w:tcW w:w="4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16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(10,747)</w:t>
            </w: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5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0"/>
        </w:trPr>
        <w:tc>
          <w:tcPr>
            <w:tcW w:w="4940" w:type="dxa"/>
            <w:vAlign w:val="bottom"/>
          </w:tcPr>
          <w:p>
            <w:pPr>
              <w:spacing w:after="0" w:line="203" w:lineRule="exact"/>
              <w:rPr>
                <w:sz w:val="20"/>
                <w:szCs w:val="20"/>
                <w:color w:val="auto"/>
              </w:rPr>
            </w:pPr>
            <w:r>
              <w:rPr>
                <w:rFonts w:ascii="Arial" w:cs="Arial" w:eastAsia="Arial" w:hAnsi="Arial"/>
                <w:sz w:val="18"/>
                <w:szCs w:val="18"/>
                <w:color w:val="auto"/>
              </w:rPr>
              <w:t>Balance at March 31, 2018</w:t>
            </w:r>
          </w:p>
        </w:tc>
        <w:tc>
          <w:tcPr>
            <w:tcW w:w="150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1,160</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the majority of the remaining amounts to be paid by the end of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and nine months ended March 31, 2018, this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(“MD&amp;A”) should be read in conjunction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consolidated financial statements, including the related notes, appearing in Item 1 of this Quarterly Report on Form 10-Q, as well as the Company’s Annual Report on Form 10-K for the fiscal year ended July 1, 2017.</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“constant currency.”</w:t>
      </w:r>
    </w:p>
    <w:p>
      <w:pPr>
        <w:spacing w:after="0" w:line="16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660" w:hanging="333"/>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6" w:lineRule="exact"/>
        <w:rPr>
          <w:rFonts w:ascii="Arial" w:cs="Arial" w:eastAsia="Arial" w:hAnsi="Arial"/>
          <w:sz w:val="18"/>
          <w:szCs w:val="18"/>
          <w:color w:val="auto"/>
        </w:rPr>
      </w:pPr>
    </w:p>
    <w:p>
      <w:pPr>
        <w:jc w:val="both"/>
        <w:ind w:left="660" w:hanging="333"/>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Operating income excluding (i) restructuring, integration and other expenses (see </w:t>
      </w:r>
      <w:r>
        <w:rPr>
          <w:rFonts w:ascii="Arial" w:cs="Arial" w:eastAsia="Arial" w:hAnsi="Arial"/>
          <w:sz w:val="17"/>
          <w:szCs w:val="17"/>
          <w:i w:val="1"/>
          <w:iCs w:val="1"/>
          <w:color w:val="auto"/>
        </w:rPr>
        <w:t>Restructuring, Integration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Expenses </w:t>
      </w:r>
      <w:r>
        <w:rPr>
          <w:rFonts w:ascii="Arial" w:cs="Arial" w:eastAsia="Arial" w:hAnsi="Arial"/>
          <w:sz w:val="17"/>
          <w:szCs w:val="17"/>
          <w:color w:val="auto"/>
        </w:rPr>
        <w:t>in this MD&amp;A), (ii) goodwill impairment expense and (iii) amortization of acquired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other. Operating income excluding such amounts is referred to as “adjusted operating income.”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reconciliation of operating income (loss) to adjusted operating income is presented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5"/>
              </w:rPr>
              <w:t>Third Quarters Ended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Nine Months Ended</w:t>
            </w:r>
          </w:p>
        </w:tc>
      </w:tr>
      <w:tr>
        <w:trPr>
          <w:trHeight w:val="157"/>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top w:val="single" w:sz="8" w:color="auto"/>
            </w:tcBorders>
            <w:gridSpan w:val="3"/>
          </w:tcPr>
          <w:p>
            <w:pPr>
              <w:ind w:left="60"/>
              <w:spacing w:after="0" w:line="157" w:lineRule="exact"/>
              <w:rPr>
                <w:sz w:val="20"/>
                <w:szCs w:val="20"/>
                <w:color w:val="auto"/>
              </w:rPr>
            </w:pPr>
            <w:r>
              <w:rPr>
                <w:rFonts w:ascii="Arial" w:cs="Arial" w:eastAsia="Arial" w:hAnsi="Arial"/>
                <w:sz w:val="18"/>
                <w:szCs w:val="18"/>
                <w:b w:val="1"/>
                <w:bCs w:val="1"/>
                <w:color w:val="auto"/>
              </w:rPr>
              <w:t>March 31,</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10"/>
              <w:spacing w:after="0" w:line="157" w:lineRule="exact"/>
              <w:rPr>
                <w:sz w:val="20"/>
                <w:szCs w:val="20"/>
                <w:color w:val="auto"/>
              </w:rPr>
            </w:pPr>
            <w:r>
              <w:rPr>
                <w:rFonts w:ascii="Arial" w:cs="Arial" w:eastAsia="Arial" w:hAnsi="Arial"/>
                <w:sz w:val="18"/>
                <w:szCs w:val="18"/>
                <w:b w:val="1"/>
                <w:bCs w:val="1"/>
                <w:color w:val="auto"/>
              </w:rPr>
              <w:t>April 1,</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0"/>
              <w:spacing w:after="0" w:line="157"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30"/>
              <w:spacing w:after="0" w:line="157" w:lineRule="exact"/>
              <w:rPr>
                <w:sz w:val="20"/>
                <w:szCs w:val="20"/>
                <w:color w:val="auto"/>
              </w:rPr>
            </w:pPr>
            <w:r>
              <w:rPr>
                <w:rFonts w:ascii="Arial" w:cs="Arial" w:eastAsia="Arial" w:hAnsi="Arial"/>
                <w:sz w:val="18"/>
                <w:szCs w:val="18"/>
                <w:b w:val="1"/>
                <w:bCs w:val="1"/>
                <w:color w:val="auto"/>
              </w:rPr>
              <w:t>April 1,</w:t>
            </w:r>
          </w:p>
        </w:tc>
        <w:tc>
          <w:tcPr>
            <w:tcW w:w="160" w:type="dxa"/>
            <w:vAlign w:val="bottom"/>
          </w:tcPr>
          <w:p>
            <w:pPr>
              <w:spacing w:after="0"/>
              <w:rPr>
                <w:sz w:val="13"/>
                <w:szCs w:val="13"/>
                <w:color w:val="auto"/>
              </w:rPr>
            </w:pPr>
          </w:p>
        </w:tc>
      </w:tr>
      <w:tr>
        <w:trPr>
          <w:trHeight w:val="228"/>
        </w:trPr>
        <w:tc>
          <w:tcPr>
            <w:tcW w:w="4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r>
      <w:tr>
        <w:trPr>
          <w:trHeight w:val="189"/>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4"/>
          </w:tcPr>
          <w:p>
            <w:pPr>
              <w:jc w:val="right"/>
              <w:ind w:right="470"/>
              <w:spacing w:after="0" w:line="189"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4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(loss) income</w:t>
            </w:r>
          </w:p>
        </w:tc>
        <w:tc>
          <w:tcPr>
            <w:tcW w:w="3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(54,401)</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114,283</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102,572</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368,027</w:t>
            </w:r>
          </w:p>
        </w:tc>
        <w:tc>
          <w:tcPr>
            <w:tcW w:w="160" w:type="dxa"/>
            <w:vAlign w:val="bottom"/>
            <w:shd w:val="clear" w:color="auto" w:fill="CCEEFF"/>
          </w:tcPr>
          <w:p>
            <w:pPr>
              <w:spacing w:after="0"/>
              <w:rPr>
                <w:sz w:val="16"/>
                <w:szCs w:val="16"/>
                <w:color w:val="auto"/>
              </w:rPr>
            </w:pPr>
          </w:p>
        </w:tc>
      </w:tr>
      <w:tr>
        <w:trPr>
          <w:trHeight w:val="189"/>
        </w:trPr>
        <w:tc>
          <w:tcPr>
            <w:tcW w:w="4120" w:type="dxa"/>
            <w:vAlign w:val="bottom"/>
          </w:tcPr>
          <w:p>
            <w:pPr>
              <w:ind w:left="120"/>
              <w:spacing w:after="0" w:line="189" w:lineRule="exact"/>
              <w:rPr>
                <w:sz w:val="20"/>
                <w:szCs w:val="20"/>
                <w:color w:val="auto"/>
              </w:rPr>
            </w:pPr>
            <w:r>
              <w:rPr>
                <w:rFonts w:ascii="Arial" w:cs="Arial" w:eastAsia="Arial" w:hAnsi="Arial"/>
                <w:sz w:val="18"/>
                <w:szCs w:val="18"/>
                <w:color w:val="auto"/>
              </w:rPr>
              <w:t>Restructuring, integration and other expenses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25,120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35,513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108,277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95,382</w:t>
            </w:r>
          </w:p>
        </w:tc>
        <w:tc>
          <w:tcPr>
            <w:tcW w:w="160" w:type="dxa"/>
            <w:vAlign w:val="bottom"/>
          </w:tcPr>
          <w:p>
            <w:pPr>
              <w:spacing w:after="0"/>
              <w:rPr>
                <w:sz w:val="16"/>
                <w:szCs w:val="16"/>
                <w:color w:val="auto"/>
              </w:rPr>
            </w:pPr>
          </w:p>
        </w:tc>
      </w:tr>
      <w:tr>
        <w:trPr>
          <w:trHeight w:val="189"/>
        </w:trPr>
        <w:tc>
          <w:tcPr>
            <w:tcW w:w="4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Goodwill impairment expense</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181,440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181,440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r>
      <w:tr>
        <w:trPr>
          <w:trHeight w:val="196"/>
        </w:trPr>
        <w:tc>
          <w:tcPr>
            <w:tcW w:w="412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w w:val="96"/>
              </w:rPr>
              <w:t>Amortization of acquired intangible assets and other</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22,725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22,497</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70,187</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34,704</w:t>
            </w:r>
          </w:p>
        </w:tc>
        <w:tc>
          <w:tcPr>
            <w:tcW w:w="160" w:type="dxa"/>
            <w:vAlign w:val="bottom"/>
            <w:tcBorders>
              <w:bottom w:val="single" w:sz="8" w:color="CCEEFF"/>
            </w:tcBorders>
          </w:tcPr>
          <w:p>
            <w:pPr>
              <w:spacing w:after="0"/>
              <w:rPr>
                <w:sz w:val="17"/>
                <w:szCs w:val="17"/>
                <w:color w:val="auto"/>
              </w:rPr>
            </w:pPr>
          </w:p>
        </w:tc>
      </w:tr>
      <w:tr>
        <w:trPr>
          <w:trHeight w:val="196"/>
        </w:trPr>
        <w:tc>
          <w:tcPr>
            <w:tcW w:w="412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174,884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172,293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462,476</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498,113</w:t>
            </w:r>
          </w:p>
        </w:tc>
        <w:tc>
          <w:tcPr>
            <w:tcW w:w="16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Avnet, Inc., founded in 1921 and incorporated in New York in 1955, together with its consolidated subsidiaries (the “Company” or “Avnet”), is a global value-added distributor of electronic components that supports customers at each stage of a product’s lifecycle. Avnet creates a vital link in the technology supply chain that connects the world’s leading electronic component manufacturers with a global customer base primarily comprised of original equipment manufacturers, electronic manufacturing services providers and original design manufacturers. Avnet distributes electronic components, as received from its suppliers or through a customized integrated solution, and offers assembly, design, supply chain and other value-added services.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Avnet’s two operating groups – Electronic Components (“EC”) and Premier Farnell (“PF”) – have operations in each of the three major economic regions of the world: the Americas; EMEA; and Asia/Pacific, consisting of Asia, Australia and New Zealand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for the third quarter of fiscal 2018 were $4.80 billion, an increase of 8.0% from sales for the third quarter of fiscal 2017 of $4.44 billion. The increase in sales was due to the increased sales in PF and the EMEA and Asia regions of EC, offset by sales declines in the EC Americas region. Sales in constant currency increased year over year by 2.4% with both EC and PF contributing to the increase.</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Gross profit margin for the third quarter of fiscal 2018 decreased 55 basis points compared to the third quarter of fiscal 2017. EC gross profit margin decreased year over year primarily due to supplier program changes, and a higher percentage of sales coming from the lower-margin Asia region. PF gross profit margin decreased year over year primarily driven by changes in product mix and the impact of foreign currency exchange rates.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Avnet operating loss margin was (1.1)% in the third quarter of fiscal 2018 as compared with 2.6% of operating income margin in the third quarter of fiscal 2017. Both periods included amortization and restructuring, integration and other expenses. The third quarter of fiscal 2018 also includes goodwill impairment expense. Excluding these expenses from both periods, adjusted operating income margin was 3.7% in the third quarter of fiscal 2018 as compared to 3.9% in the third quarter of fiscal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right="40" w:firstLine="428"/>
        <w:spacing w:after="0" w:line="246" w:lineRule="auto"/>
        <w:rPr>
          <w:sz w:val="20"/>
          <w:szCs w:val="20"/>
          <w:color w:val="auto"/>
        </w:rPr>
      </w:pPr>
      <w:r>
        <w:rPr>
          <w:rFonts w:ascii="Arial" w:cs="Arial" w:eastAsia="Arial" w:hAnsi="Arial"/>
          <w:sz w:val="18"/>
          <w:szCs w:val="18"/>
          <w:color w:val="auto"/>
        </w:rPr>
        <w:t>The following table presents reported and organic sales growth rates between fiscal 2018 and fiscal 2017 for the third quarters and first nine months of fiscal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Third Quarter Ended March 31, 2018</w:t>
            </w:r>
          </w:p>
        </w:tc>
        <w:tc>
          <w:tcPr>
            <w:tcW w:w="340" w:type="dxa"/>
            <w:vAlign w:val="bottom"/>
          </w:tcPr>
          <w:p>
            <w:pPr>
              <w:spacing w:after="0"/>
              <w:rPr>
                <w:sz w:val="19"/>
                <w:szCs w:val="19"/>
                <w:color w:val="auto"/>
              </w:rPr>
            </w:pPr>
          </w:p>
        </w:tc>
        <w:tc>
          <w:tcPr>
            <w:tcW w:w="3180" w:type="dxa"/>
            <w:vAlign w:val="bottom"/>
            <w:gridSpan w:val="4"/>
          </w:tcPr>
          <w:p>
            <w:pPr>
              <w:ind w:left="280"/>
              <w:spacing w:after="0"/>
              <w:rPr>
                <w:sz w:val="20"/>
                <w:szCs w:val="20"/>
                <w:color w:val="auto"/>
              </w:rPr>
            </w:pPr>
            <w:r>
              <w:rPr>
                <w:rFonts w:ascii="Arial" w:cs="Arial" w:eastAsia="Arial" w:hAnsi="Arial"/>
                <w:sz w:val="16"/>
                <w:szCs w:val="16"/>
                <w:b w:val="1"/>
                <w:bCs w:val="1"/>
                <w:color w:val="auto"/>
              </w:rPr>
              <w:t>Nine Months Ended March 31, 2018</w:t>
            </w:r>
          </w:p>
        </w:tc>
      </w:tr>
      <w:tr>
        <w:trPr>
          <w:trHeight w:val="202"/>
        </w:trPr>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3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120" w:type="dxa"/>
            <w:vAlign w:val="bottom"/>
          </w:tcPr>
          <w:p>
            <w:pPr>
              <w:spacing w:after="0"/>
              <w:rPr>
                <w:sz w:val="17"/>
                <w:szCs w:val="17"/>
                <w:color w:val="auto"/>
              </w:rPr>
            </w:pPr>
          </w:p>
        </w:tc>
      </w:tr>
      <w:tr>
        <w:trPr>
          <w:trHeight w:val="210"/>
        </w:trPr>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6"/>
              </w:rPr>
              <w:t>Year-Year %</w:t>
            </w:r>
          </w:p>
        </w:tc>
      </w:tr>
      <w:tr>
        <w:trPr>
          <w:trHeight w:val="216"/>
        </w:trPr>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Change in</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Change in</w:t>
            </w:r>
          </w:p>
        </w:tc>
      </w:tr>
      <w:tr>
        <w:trPr>
          <w:trHeight w:val="208"/>
        </w:trPr>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4"/>
              </w:rPr>
              <w:t>As Reported</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Year-Year</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Constant</w:t>
            </w:r>
          </w:p>
        </w:tc>
        <w:tc>
          <w:tcPr>
            <w:tcW w:w="12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As Reported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Year-Year</w:t>
            </w: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Constant</w:t>
            </w:r>
          </w:p>
        </w:tc>
      </w:tr>
      <w:tr>
        <w:trPr>
          <w:trHeight w:val="223"/>
        </w:trPr>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6"/>
              </w:rPr>
              <w:t>and Organic</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Currency</w:t>
            </w:r>
          </w:p>
        </w:tc>
        <w:tc>
          <w:tcPr>
            <w:tcW w:w="12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and Organic</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Currency</w:t>
            </w:r>
          </w:p>
        </w:tc>
      </w:tr>
      <w:tr>
        <w:trPr>
          <w:trHeight w:val="203"/>
        </w:trPr>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(Dollars in thousands)</w:t>
            </w:r>
          </w:p>
        </w:tc>
        <w:tc>
          <w:tcPr>
            <w:tcW w:w="1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4,795,093</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2"/>
              </w:rPr>
              <w:t>13,977,672</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20" w:type="dxa"/>
            <w:vAlign w:val="bottom"/>
            <w:shd w:val="clear" w:color="auto" w:fill="CCEEFF"/>
          </w:tcPr>
          <w:p>
            <w:pPr>
              <w:spacing w:after="0"/>
              <w:rPr>
                <w:sz w:val="19"/>
                <w:szCs w:val="19"/>
                <w:color w:val="auto"/>
              </w:rPr>
            </w:pPr>
          </w:p>
        </w:tc>
      </w:tr>
      <w:tr>
        <w:trPr>
          <w:trHeight w:val="227"/>
        </w:trPr>
        <w:tc>
          <w:tcPr>
            <w:tcW w:w="1700" w:type="dxa"/>
            <w:vAlign w:val="bottom"/>
          </w:tcPr>
          <w:p>
            <w:pPr>
              <w:spacing w:after="0"/>
              <w:rPr>
                <w:sz w:val="20"/>
                <w:szCs w:val="20"/>
                <w:color w:val="auto"/>
              </w:rPr>
            </w:pPr>
            <w:r>
              <w:rPr>
                <w:rFonts w:ascii="Arial" w:cs="Arial" w:eastAsia="Arial" w:hAnsi="Arial"/>
                <w:sz w:val="16"/>
                <w:szCs w:val="16"/>
                <w:color w:val="auto"/>
              </w:rPr>
              <w:t>Avnet by region</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3"/>
        </w:trPr>
        <w:tc>
          <w:tcPr>
            <w:tcW w:w="1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1,276,426</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3,672,160</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0"/>
                <w:szCs w:val="20"/>
                <w:color w:val="auto"/>
              </w:rPr>
            </w:pPr>
          </w:p>
        </w:tc>
      </w:tr>
      <w:tr>
        <w:trPr>
          <w:trHeight w:val="227"/>
        </w:trPr>
        <w:tc>
          <w:tcPr>
            <w:tcW w:w="1700" w:type="dxa"/>
            <w:vAlign w:val="bottom"/>
          </w:tcPr>
          <w:p>
            <w:pPr>
              <w:ind w:left="120"/>
              <w:spacing w:after="0"/>
              <w:rPr>
                <w:sz w:val="20"/>
                <w:szCs w:val="20"/>
                <w:color w:val="auto"/>
              </w:rPr>
            </w:pPr>
            <w:r>
              <w:rPr>
                <w:rFonts w:ascii="Arial" w:cs="Arial" w:eastAsia="Arial" w:hAnsi="Arial"/>
                <w:sz w:val="16"/>
                <w:szCs w:val="16"/>
                <w:color w:val="auto"/>
              </w:rPr>
              <w:t>EMEA</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1,812,334</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12.2</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5,011,336</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12.8</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r>
      <w:tr>
        <w:trPr>
          <w:trHeight w:val="233"/>
        </w:trPr>
        <w:tc>
          <w:tcPr>
            <w:tcW w:w="1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1,706,333</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14.0</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5,294,176</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0"/>
                <w:szCs w:val="20"/>
                <w:color w:val="auto"/>
              </w:rPr>
            </w:pPr>
          </w:p>
        </w:tc>
      </w:tr>
      <w:tr>
        <w:trPr>
          <w:trHeight w:val="227"/>
        </w:trPr>
        <w:tc>
          <w:tcPr>
            <w:tcW w:w="1700" w:type="dxa"/>
            <w:vAlign w:val="bottom"/>
          </w:tcPr>
          <w:p>
            <w:pPr>
              <w:spacing w:after="0"/>
              <w:rPr>
                <w:sz w:val="20"/>
                <w:szCs w:val="20"/>
                <w:color w:val="auto"/>
              </w:rPr>
            </w:pPr>
            <w:r>
              <w:rPr>
                <w:rFonts w:ascii="Arial" w:cs="Arial" w:eastAsia="Arial" w:hAnsi="Arial"/>
                <w:sz w:val="16"/>
                <w:szCs w:val="16"/>
                <w:color w:val="auto"/>
              </w:rPr>
              <w:t>Avnet by segment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3"/>
        </w:trPr>
        <w:tc>
          <w:tcPr>
            <w:tcW w:w="1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4,404,115</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2"/>
              </w:rPr>
              <w:t>12,874,885</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20"/>
                <w:szCs w:val="20"/>
                <w:color w:val="auto"/>
              </w:rPr>
            </w:pPr>
          </w:p>
        </w:tc>
      </w:tr>
      <w:tr>
        <w:trPr>
          <w:trHeight w:val="210"/>
        </w:trPr>
        <w:tc>
          <w:tcPr>
            <w:tcW w:w="1700" w:type="dxa"/>
            <w:vAlign w:val="bottom"/>
          </w:tcPr>
          <w:p>
            <w:pPr>
              <w:ind w:left="120"/>
              <w:spacing w:after="0"/>
              <w:rPr>
                <w:sz w:val="20"/>
                <w:szCs w:val="20"/>
                <w:color w:val="auto"/>
              </w:rPr>
            </w:pPr>
            <w:r>
              <w:rPr>
                <w:rFonts w:ascii="Arial" w:cs="Arial" w:eastAsia="Arial" w:hAnsi="Arial"/>
                <w:sz w:val="16"/>
                <w:szCs w:val="16"/>
                <w:color w:val="auto"/>
              </w:rPr>
              <w:t>PF</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390,978</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11.4</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1,102,787</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10.4</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reconciliation of reported sales to organic sales for the first nine months of fiscal 2017.</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Third Quarter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2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Ended</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2"/>
        </w:trPr>
        <w:tc>
          <w:tcPr>
            <w:tcW w:w="2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As Reported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As</w:t>
            </w: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and Organic</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Reported</w:t>
            </w: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Organic Sales</w:t>
            </w:r>
          </w:p>
        </w:tc>
      </w:tr>
      <w:tr>
        <w:trPr>
          <w:trHeight w:val="223"/>
        </w:trPr>
        <w:tc>
          <w:tcPr>
            <w:tcW w:w="2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Fiscal 2017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Fiscal 2017</w:t>
            </w:r>
          </w:p>
        </w:tc>
        <w:tc>
          <w:tcPr>
            <w:tcW w:w="560" w:type="dxa"/>
            <w:vAlign w:val="bottom"/>
          </w:tcPr>
          <w:p>
            <w:pPr>
              <w:spacing w:after="0"/>
              <w:rPr>
                <w:sz w:val="19"/>
                <w:szCs w:val="19"/>
                <w:color w:val="auto"/>
              </w:rPr>
            </w:pP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w w:val="92"/>
              </w:rPr>
              <w:t xml:space="preserve">Acquisitions </w:t>
            </w:r>
            <w:r>
              <w:rPr>
                <w:rFonts w:ascii="Arial" w:cs="Arial" w:eastAsia="Arial" w:hAnsi="Arial"/>
                <w:sz w:val="17"/>
                <w:szCs w:val="17"/>
                <w:b w:val="1"/>
                <w:bCs w:val="1"/>
                <w:color w:val="auto"/>
                <w:w w:val="92"/>
                <w:vertAlign w:val="superscript"/>
              </w:rPr>
              <w:t>(1)</w:t>
            </w:r>
          </w:p>
        </w:tc>
        <w:tc>
          <w:tcPr>
            <w:tcW w:w="28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Fiscal 2017</w:t>
            </w:r>
          </w:p>
        </w:tc>
      </w:tr>
      <w:tr>
        <w:trPr>
          <w:trHeight w:val="203"/>
        </w:trPr>
        <w:tc>
          <w:tcPr>
            <w:tcW w:w="20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gridSpan w:val="2"/>
            <w:shd w:val="clear" w:color="auto" w:fill="CCEEFF"/>
          </w:tcPr>
          <w:p>
            <w:pPr>
              <w:jc w:val="center"/>
              <w:ind w:right="1059"/>
              <w:spacing w:after="0"/>
              <w:rPr>
                <w:sz w:val="20"/>
                <w:szCs w:val="20"/>
                <w:color w:val="auto"/>
              </w:rPr>
            </w:pPr>
            <w:r>
              <w:rPr>
                <w:rFonts w:ascii="Arial" w:cs="Arial" w:eastAsia="Arial" w:hAnsi="Arial"/>
                <w:sz w:val="16"/>
                <w:szCs w:val="16"/>
                <w:b w:val="1"/>
                <w:bCs w:val="1"/>
                <w:color w:val="auto"/>
                <w:w w:val="89"/>
              </w:rPr>
              <w:t>(Thousands)</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3"/>
        </w:trPr>
        <w:tc>
          <w:tcPr>
            <w:tcW w:w="2060" w:type="dxa"/>
            <w:vAlign w:val="bottom"/>
          </w:tcPr>
          <w:p>
            <w:pPr>
              <w:ind w:left="120"/>
              <w:spacing w:after="0"/>
              <w:rPr>
                <w:sz w:val="20"/>
                <w:szCs w:val="20"/>
                <w:color w:val="auto"/>
              </w:rPr>
            </w:pPr>
            <w:r>
              <w:rPr>
                <w:rFonts w:ascii="Arial" w:cs="Arial" w:eastAsia="Arial" w:hAnsi="Arial"/>
                <w:sz w:val="16"/>
                <w:szCs w:val="16"/>
                <w:color w:val="auto"/>
              </w:rPr>
              <w:t>Avnet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4,441,896</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12,833,559</w:t>
            </w:r>
          </w:p>
        </w:tc>
        <w:tc>
          <w:tcPr>
            <w:tcW w:w="560" w:type="dxa"/>
            <w:vAlign w:val="bottom"/>
          </w:tcPr>
          <w:p>
            <w:pPr>
              <w:jc w:val="center"/>
              <w:ind w:lef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378,352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13,211,911</w:t>
            </w:r>
          </w:p>
        </w:tc>
        <w:tc>
          <w:tcPr>
            <w:tcW w:w="140" w:type="dxa"/>
            <w:vAlign w:val="bottom"/>
          </w:tcPr>
          <w:p>
            <w:pPr>
              <w:spacing w:after="0"/>
              <w:rPr>
                <w:sz w:val="18"/>
                <w:szCs w:val="18"/>
                <w:color w:val="auto"/>
              </w:rPr>
            </w:pPr>
          </w:p>
        </w:tc>
      </w:tr>
      <w:tr>
        <w:trPr>
          <w:trHeight w:val="219"/>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Avnet by region</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3"/>
        </w:trPr>
        <w:tc>
          <w:tcPr>
            <w:tcW w:w="2060" w:type="dxa"/>
            <w:vAlign w:val="bottom"/>
          </w:tcPr>
          <w:p>
            <w:pPr>
              <w:ind w:left="120"/>
              <w:spacing w:after="0"/>
              <w:rPr>
                <w:sz w:val="20"/>
                <w:szCs w:val="20"/>
                <w:color w:val="auto"/>
              </w:rPr>
            </w:pPr>
            <w:r>
              <w:rPr>
                <w:rFonts w:ascii="Arial" w:cs="Arial" w:eastAsia="Arial" w:hAnsi="Arial"/>
                <w:sz w:val="16"/>
                <w:szCs w:val="16"/>
                <w:color w:val="auto"/>
              </w:rPr>
              <w:t>Americas</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1,328,592</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3,831,706</w:t>
            </w:r>
          </w:p>
        </w:tc>
        <w:tc>
          <w:tcPr>
            <w:tcW w:w="560" w:type="dxa"/>
            <w:vAlign w:val="bottom"/>
          </w:tcPr>
          <w:p>
            <w:pPr>
              <w:jc w:val="center"/>
              <w:ind w:lef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154,426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3,986,132</w:t>
            </w:r>
          </w:p>
        </w:tc>
        <w:tc>
          <w:tcPr>
            <w:tcW w:w="140" w:type="dxa"/>
            <w:vAlign w:val="bottom"/>
          </w:tcPr>
          <w:p>
            <w:pPr>
              <w:spacing w:after="0"/>
              <w:rPr>
                <w:sz w:val="18"/>
                <w:szCs w:val="18"/>
                <w:color w:val="auto"/>
              </w:rPr>
            </w:pPr>
          </w:p>
        </w:tc>
      </w:tr>
      <w:tr>
        <w:trPr>
          <w:trHeight w:val="219"/>
        </w:trPr>
        <w:tc>
          <w:tcPr>
            <w:tcW w:w="2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EMEA</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1,615,903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4,261,891</w:t>
            </w: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178,879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4,440,770</w:t>
            </w:r>
          </w:p>
        </w:tc>
        <w:tc>
          <w:tcPr>
            <w:tcW w:w="140" w:type="dxa"/>
            <w:vAlign w:val="bottom"/>
            <w:shd w:val="clear" w:color="auto" w:fill="CCEEFF"/>
          </w:tcPr>
          <w:p>
            <w:pPr>
              <w:spacing w:after="0"/>
              <w:rPr>
                <w:sz w:val="19"/>
                <w:szCs w:val="19"/>
                <w:color w:val="auto"/>
              </w:rPr>
            </w:pPr>
          </w:p>
        </w:tc>
      </w:tr>
      <w:tr>
        <w:trPr>
          <w:trHeight w:val="213"/>
        </w:trPr>
        <w:tc>
          <w:tcPr>
            <w:tcW w:w="2060" w:type="dxa"/>
            <w:vAlign w:val="bottom"/>
          </w:tcPr>
          <w:p>
            <w:pPr>
              <w:ind w:left="120"/>
              <w:spacing w:after="0"/>
              <w:rPr>
                <w:sz w:val="20"/>
                <w:szCs w:val="20"/>
                <w:color w:val="auto"/>
              </w:rPr>
            </w:pPr>
            <w:r>
              <w:rPr>
                <w:rFonts w:ascii="Arial" w:cs="Arial" w:eastAsia="Arial" w:hAnsi="Arial"/>
                <w:sz w:val="16"/>
                <w:szCs w:val="16"/>
                <w:color w:val="auto"/>
              </w:rPr>
              <w:t>Asia</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1,497,401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4,739,962</w:t>
            </w:r>
          </w:p>
        </w:tc>
        <w:tc>
          <w:tcPr>
            <w:tcW w:w="56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45,047</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4,785,009</w:t>
            </w:r>
          </w:p>
        </w:tc>
        <w:tc>
          <w:tcPr>
            <w:tcW w:w="140" w:type="dxa"/>
            <w:vAlign w:val="bottom"/>
          </w:tcPr>
          <w:p>
            <w:pPr>
              <w:spacing w:after="0"/>
              <w:rPr>
                <w:sz w:val="18"/>
                <w:szCs w:val="18"/>
                <w:color w:val="auto"/>
              </w:rPr>
            </w:pPr>
          </w:p>
        </w:tc>
      </w:tr>
      <w:tr>
        <w:trPr>
          <w:trHeight w:val="23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Avnet by segment</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27"/>
        </w:trPr>
        <w:tc>
          <w:tcPr>
            <w:tcW w:w="2060" w:type="dxa"/>
            <w:vAlign w:val="bottom"/>
          </w:tcPr>
          <w:p>
            <w:pPr>
              <w:ind w:left="120"/>
              <w:spacing w:after="0"/>
              <w:rPr>
                <w:sz w:val="20"/>
                <w:szCs w:val="20"/>
                <w:color w:val="auto"/>
              </w:rPr>
            </w:pPr>
            <w:r>
              <w:rPr>
                <w:rFonts w:ascii="Arial" w:cs="Arial" w:eastAsia="Arial" w:hAnsi="Arial"/>
                <w:sz w:val="16"/>
                <w:szCs w:val="16"/>
                <w:color w:val="auto"/>
              </w:rPr>
              <w:t>EC</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4,090,943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12,213,389</w:t>
            </w:r>
          </w:p>
        </w:tc>
        <w:tc>
          <w:tcPr>
            <w:tcW w:w="560" w:type="dxa"/>
            <w:vAlign w:val="bottom"/>
          </w:tcPr>
          <w:p>
            <w:pPr>
              <w:jc w:val="center"/>
              <w:ind w:lef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12,213,389</w:t>
            </w:r>
          </w:p>
        </w:tc>
        <w:tc>
          <w:tcPr>
            <w:tcW w:w="140" w:type="dxa"/>
            <w:vAlign w:val="bottom"/>
          </w:tcPr>
          <w:p>
            <w:pPr>
              <w:spacing w:after="0"/>
              <w:rPr>
                <w:sz w:val="19"/>
                <w:szCs w:val="19"/>
                <w:color w:val="auto"/>
              </w:rPr>
            </w:pPr>
          </w:p>
        </w:tc>
      </w:tr>
      <w:tr>
        <w:trPr>
          <w:trHeight w:val="233"/>
        </w:trPr>
        <w:tc>
          <w:tcPr>
            <w:tcW w:w="2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PF</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350,953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620,170</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378,352</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998,522</w:t>
            </w:r>
          </w:p>
        </w:tc>
        <w:tc>
          <w:tcPr>
            <w:tcW w:w="14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4" w:lineRule="exact"/>
        <w:rPr>
          <w:sz w:val="20"/>
          <w:szCs w:val="20"/>
          <w:color w:val="auto"/>
        </w:rPr>
      </w:pPr>
    </w:p>
    <w:p>
      <w:pPr>
        <w:ind w:left="480" w:hanging="477"/>
        <w:spacing w:after="0"/>
        <w:tabs>
          <w:tab w:leader="none" w:pos="4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Includes PF acquired on October 17, 2016, which has operations in each Avnet region.</w:t>
      </w:r>
    </w:p>
    <w:p>
      <w:pPr>
        <w:spacing w:after="0" w:line="244"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Sales for the third quarter of fiscal 2018 were $4.80 billion, an increase of 8.0%, or $353.2 million, from the prior year third quarter sales of $4.44 billion. Excluding the translation impact of changes in foreign currency exchange rates, sales increased 2.4% over the prior year third quarter with both operating groups contributing to this increase.</w:t>
      </w:r>
    </w:p>
    <w:p>
      <w:pPr>
        <w:spacing w:after="0" w:line="166" w:lineRule="exact"/>
        <w:rPr>
          <w:sz w:val="20"/>
          <w:szCs w:val="20"/>
          <w:color w:val="auto"/>
        </w:rPr>
      </w:pPr>
    </w:p>
    <w:p>
      <w:pPr>
        <w:jc w:val="both"/>
        <w:ind w:right="40" w:firstLine="432"/>
        <w:spacing w:after="0" w:line="255" w:lineRule="auto"/>
        <w:rPr>
          <w:sz w:val="20"/>
          <w:szCs w:val="20"/>
          <w:color w:val="auto"/>
        </w:rPr>
      </w:pPr>
      <w:r>
        <w:rPr>
          <w:rFonts w:ascii="Arial" w:cs="Arial" w:eastAsia="Arial" w:hAnsi="Arial"/>
          <w:sz w:val="18"/>
          <w:szCs w:val="18"/>
          <w:color w:val="auto"/>
        </w:rPr>
        <w:t>EC sales of $4.40 billion in the third quarter of fiscal 2018 increased $313.2 million or 7.7% from the prior year third quarter sales of $4.09 billion. This increase was primarily driven by increased sales in Asia due to organic growth and in EMEA primarily due to the benefit from the weakening of the U.S. Dollar, partially offset by declines in the Americas region due to supplier channel and program changes. PF sales for the third quarter of fiscal 2018 were $391.0 million, an increase of $40.0 million or 11.4% from the prior year third quarter sales of $351.0 million driven by growth in all three regions including the benefit from the weakening U.S. Dollar.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Sales for the first nine months of fiscal 2018 were $13.98 billion, an increase of 8.9%, or $1.14 billion, as compared to sales of $12.83 billion for the first nine months of fiscal 2017. This increase was primarily due to the acquisition of PF, which was acquired in the second quarter of fiscal 2017, and an overall increase in sales in EC as double-digit growth in the EMEA and Asia regions of EC offset a year to date decrease of 8.9% in the EC Americas region. Organic sales for the first nine months of 2018 increased $765.8 million, or 5.8%, compared to the first nine months of fiscal 2017 primarily due to double-digit sales growth in EMEA and Asia regions, offset by a decline of 7.9% in the Americas region.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profit for the third quarter of fiscal 2018 was $653.5 million, an increase of $23.6 million, or 3.7%, from the third quarter of fiscal 2017 gross profit of $630.0 million primarily driven by the increase in sales. Gross profit margin decreased 55 basis points to 13.6% from the third quarter of fiscal 2017, with both operating groups contributing to the decrease.</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EC gross profit margin decreased year over year primarily due to supplier program changes and a sales mix shift to the lower-margin Asia region. Asia sales represented approximately 38% of the total EC sales in the third quarter of fiscal 2018 as compared with approximately 36% in the third quarter of fiscal 2017. PF gross profit margin decreased year over year primarily driven by customer mix and the impact of foreign currency exchange rates.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profit and gross profit margins were $1.87 billion and 13.4%, respectively, for the first nine months of fiscal 2018 as compared with $1.74 billion and 13.5%, respectively, for the first nine months of fiscal 2017. Decreases in EC’s gross profit margin due to supplier program changes were partially offset by increases in gross profit margin due to the acquisition of PF, which occurred in the second quarter of fiscal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(“SG&amp;A expenses”) were $501.4 million in the third quarter of fiscal 2018, an increase of $21.2 million, or 4.4%, from the third quarter of fiscal 2017. The year-over-year increase in SG&amp;A expenses was due to the impact of changes in foreign currency exchange rates, partially offset by decreases from restructuring actions taken in the trailing twelve months ended March 31, 2018.</w:t>
      </w:r>
    </w:p>
    <w:p>
      <w:pPr>
        <w:spacing w:after="0" w:line="18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third quarter of fiscal 2018, SG&amp;A expenses as a percentage of sales were 10.5% and as a percentage of gross profit were 76.7%, as compared with 10.8% and 76.2%, respectively, in the third quarter of fiscal 2017. The decrease in SG&amp;A expenses as a percentage of sales was primarily due to sales growth year over year and the increase in SG&amp;A expenses as a percentage of gross profit is due primarily to the decline in gross profit margin year over year.</w:t>
      </w:r>
    </w:p>
    <w:p>
      <w:pPr>
        <w:spacing w:after="0" w:line="193"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SG&amp;A expenses for the first nine months of fiscal 2018 were $1.48 billion, or 10.6% of sales, as compared with $1.28 billion, or 9.9% of sales, in the first nine months of fiscal 2017. SG&amp;A expenses were 79.0% of gross profit in the first nine months of 2018 as compared with 73.3% in the first nine months of fiscal 2017. The year-over-year increase in SG&amp;A expenses was primarily due to the acquisition of PF and the impact of supplier program changes on EC’s sales and gross profit.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Expenses</w:t>
      </w:r>
    </w:p>
    <w:p>
      <w:pPr>
        <w:spacing w:after="0" w:line="229"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As of December 30, 2017, the $181.4 million in goodwill related to the Electronic Components Americas core reporting unit (the “Americas”) primarily represented goodwill allocated from the acquisitions of Bell Micro, G2 and Round 2, all of which occurred prior to fiscal 2011. The allocation of goodwill to the Americas represented the expected synergies the Americas would realize from these historical acquisitions. Once goodwill has been assigned to a reporting unit, for accounting purposes, the goodwill is no longer directly associated with the underlying acquisitions that the goodwill originated from, but rather the reporting unit to which it has been allocated.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As a result of the interim impairment testing and related fair value estimate of the Americas as of the third quarter of fiscal 2018, the Company impaired all of the goodwill in the Americas and recorded $181.4 million of goodwill impairment expense in the third quarter of fiscal 2018. See Note 4 “Goodwill and long-lived assets”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As a result of the aforementioned supplier channel and program changes, the focus on lowering overall operating costs, and the integration of PF, the Company has incurred certain restructuring costs. In addition, the Company incurred integration, accelerated depreciation, acquisition/divestiture and other costs. Integration costs are primarily related to the integration of acquired businesses including PF, the integration of certain regional and global businesses including Avnet after the TS divestiture, and incremental costs incurred as part of the consolidation, relocation, and closure of warehouse and office facilities. Accelerated depreciation relates to the incremental depreciation expense incurred related to the shortening of the estimated useful life of the Company’s enterprise resource planning (“ERP”) system in the Americas compared to depreciation expense based on the original useful life of such ERP system as such ERP system is in the process of being replaced. Acquisition/divestiture costs consist primarily of professional fees and other costs incurred related to the acquisition, divestiture and closure of businesses including the acquisition of PF and the divestiture of TS. Other costs consist primarily of any other miscellaneous costs that relate to restructuring, integration and other expenses.</w:t>
      </w:r>
    </w:p>
    <w:p>
      <w:pPr>
        <w:spacing w:after="0" w:line="17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recorded restructuring, integration and other expenses of $25.1 million during the third quarter of fiscal 2018. The Company recorded $5.9 million of restructuring costs in the third quarter of fiscal 2018 in order to realize approximately $7.2 million in expected annualized operating cost savings once such restructuring actions initiated before the end of the third quarter of fiscal 2018 are completed. During the third quarter of fiscal 2018, the Company incurred integration costs of $2.5 million, accelerated depreciation of $13.1 million, other costs of $3.2 million and an expense of $0.4 million for changes in estimates for costs associated with prior year restructuring actions. The after tax impact of restructuring, integration and other expenses were $19.4 million and $0.16 per share on a diluted basis.</w:t>
      </w:r>
    </w:p>
    <w:p>
      <w:pPr>
        <w:spacing w:after="0" w:line="167"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the first nine months of fiscal 2018, the Company incurred restructuring costs of $40.1 million, integration costs of $18.8 million, accelerated depreciation of $46.4 million, other costs of $3.9 million and reversals of $0.9 million for changes in estimates for costs associated with prior year restructuring actions. The after tax impact of restructuring, integration and other expenses for the first nine months of fiscal 2018 was $76.7 million and $0.63 per share on a diluted basis.</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Comparatively, in the third quarter of fiscal 2017, restructuring, integration and other expenses from continuing operations were $35.5 million. The after tax impact of restructuring, integration, and other expenses was $23.1 million and $0.18 per share on a diluted basis.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first nine months of fiscal 2017, restructuring, integration and other expenses from continuing operations was $95.4 million. The after tax impact of restructuring, integration and other expenses for the first nine months of fiscal 2017 was $66.3 million and $0.52 per share on a diluted basis.</w:t>
      </w:r>
    </w:p>
    <w:p>
      <w:pPr>
        <w:spacing w:after="0" w:line="18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22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Operating loss for the third quarter of fiscal 2018 was $(54.4) million, a decrease of $168.7 million, or 147.6%, from the third quarter of fiscal 2017 operating income of $114.3 million. The year over year decrease in operating income was primarily driven by goodwill impairment expense, partially offset by improvements at PF and EC. Adjusted operating income for the third quarter of fiscal 2018 was $174.9 million, an increase of $2.6 million, or 1.5%, from the third quarter of fiscal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EC operating income margin decreased 25 basis points year over year to 3.6% due primarily to supplier program changes partially offset by cost reductions from restructuring actions. PF operating income margin decreased 14 basis points year over year to 11.4% due primarily to a decline in gross profit margins partially offset by the realization of post-acquisition cost synergies.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income for the first nine months of fiscal 2018 was $102.6 million, or 0.7% of consolidated sales, as compared with operating income of $368.0 million, or 2.9% in the first nine months of 2017 primarily driven by declines in EC partially offset by the acquisition of PF.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expense in the third quarter of fiscal 2018 was $26.0 million, a decrease of $1.5 million or 5.4%, as compared with interest expense of $27.5 million in the third quarter of fiscal 2017. Interest expense in the first nine months of fiscal 2018 was $75.7 million, a decrease of $5.8 million or 7.1%, as compared with interest expense of $81.5 million in the first nine months of fiscal 2017. The decrease in interest expense in the third quarter and first nine months of fiscal 2018 compared to the third quarter and first nine months of fiscal 2017 was primarily related to the impact of the Company’s repayment of its outstanding term loans and borrowings on its revolving credit facilities, which were used to help fund the PF acquisition.</w:t>
      </w:r>
    </w:p>
    <w:p>
      <w:pPr>
        <w:spacing w:after="0" w:line="189"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During the third quarter of fiscal 2018, the Company had $8.4 million of other income, net, as compared with $19.4 million of other income, net, in the third quarter of fiscal 2017. During the first nine months of fiscal 2018, the Company had $24.7 million of other income, net, as compared with $30.8 million of other expense, net, in the first nine months of fiscal 2017. In the third quarter and first nine months of fiscal 2018, the Company had foreign currency gains primarily due to the weakening of the U.S. Dollar. In the third quarter of fiscal 2017, the Company had other income due to unrealized gains on marketable securities obtained through the sale of TS. In the first nine months of fiscal 2017, the Company incurred additional financing and economic foreign currency hedging costs associated with the PF acquisition, partially offset by unrealized gains on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Company’s effective tax rate on its loss before income taxes from continuing operations was (338.0)% in the third quarter of fiscal 2018. During the third quarter of fiscal 2018, the Company’s effective tax rate was unfavorably impacted primarily by (i) the provisional transition tax expense estimate recorded under the requirements of the Act discussed in Note 8 and (ii) the goodwill impairment discussed in Note 4, which was not tax deductible, partially offset primarily by (i) the mix of income in lower tax jurisdictions and (ii) the release of reserves due to the expiration of the statute of limitations in various jurisdictions.</w:t>
      </w:r>
    </w:p>
    <w:p>
      <w:pPr>
        <w:spacing w:after="0" w:line="193" w:lineRule="exact"/>
        <w:rPr>
          <w:sz w:val="20"/>
          <w:szCs w:val="20"/>
          <w:color w:val="auto"/>
        </w:rPr>
      </w:pPr>
    </w:p>
    <w:p>
      <w:pPr>
        <w:ind w:firstLine="428"/>
        <w:spacing w:after="0" w:line="308" w:lineRule="auto"/>
        <w:rPr>
          <w:sz w:val="20"/>
          <w:szCs w:val="20"/>
          <w:color w:val="auto"/>
        </w:rPr>
      </w:pPr>
      <w:r>
        <w:rPr>
          <w:rFonts w:ascii="Arial" w:cs="Arial" w:eastAsia="Arial" w:hAnsi="Arial"/>
          <w:sz w:val="17"/>
          <w:szCs w:val="17"/>
          <w:color w:val="auto"/>
        </w:rPr>
        <w:t>During the third quarter of fiscal 2017, the Company’s effective tax rate of 15.3% was favorably impacted primarily by (i) the mix of income in lower tax jurisdictions and (ii) the release of reserves and other discrete tax benefits.</w:t>
      </w:r>
    </w:p>
    <w:p>
      <w:pPr>
        <w:spacing w:after="0" w:line="14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For the first nine months of fiscal 2018 the Company’s effective tax rate on its income before income taxes from continuing operations was 489.2%. The effective tax rate for the first nine months of fiscal 2018 was unfavorably impacted primarily by (i) the provisional transition tax expense recorded under the requirements of the Act, (ii) the goodwill impairment, which was not tax deductible, and (iii) the tax expense created from remeasuring net deferred tax assets as a result of applying the requirements of the Act, partially offset primarily by (i) the mix of income in lower tax jurisdictions and (ii) the release of reserves.</w:t>
      </w:r>
    </w:p>
    <w:p>
      <w:pPr>
        <w:spacing w:after="0" w:line="193"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During the first nine months of fiscal 2017, the Company’s effective tax rate of 25.7% was favorably impacted primarily by (i) the mix of income in lower tax jurisdictions, partially offset by (ii) net increases to valuation allowances against deferred tax assets that were deemed unrealizable and (iii) the impact of non-deductible acquisition related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 for further information including discussion of the provisional transition tax expense estimate recorded under the requirements of the Act in the third quarter of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Discontinued Operations</w:t>
      </w:r>
    </w:p>
    <w:p>
      <w:pPr>
        <w:spacing w:after="0" w:line="22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Loss from discontinued operations was $(4.5) million and $(14.4) million in the third quarter and the first nine months of fiscal 2018, respectively, primarily as a result of settlement losses associated with the Company’s pension plan due to former TS business employees requesting and receiving distributions from the Company’s pension plan during fiscal 2018. Refer to Note 9, “Pension Plan,” for further information on the pension settlement losses.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Income from discontinued operations was $181.9 million and $253.8 million in the third quarter and the first nine months of fiscal 2017, respectively, due to the operating results of the TS business, which was sold in the third quarter of fiscal 2017. Included in the income from discontinued operations in the third quarter and first nine months of fiscal 2017, was $217.1 million for the estimated gain on sale of TS, net of taxes.</w:t>
      </w:r>
    </w:p>
    <w:p>
      <w:pPr>
        <w:spacing w:after="0" w:line="18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See Note 3, “Discontinued operations” to the Company’s consolidated financial statements included in this Quarterly Report on Form 10-Q for additional information and detail on the financial results of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loss for the third quarter of fiscal 2018 was $(320.1) million, or $(2.68) per share on a diluted basis, as compared with $271.8 million of net income, or $2.10 per share on a diluted basis, in the third quarter of fiscal 2017.</w:t>
      </w:r>
    </w:p>
    <w:p>
      <w:pPr>
        <w:spacing w:after="0" w:line="18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loss for the first nine months of fiscal 2018 was $(215.0) million, or $(1.78) per share on a diluted basis, as compared with $443.8 million of net income, or $3.41 per share on a diluted basis, in the first nine months of fiscal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During the first nine months of fiscal 2018, the Company generated $17.9 million of cash from its operating activities compared to $184.6 million of cash used in the first nine months of fiscal 2017. These operating cash flows were comprised of: (i) cash flow generated from net income from continuing operations, adjusted for the impact of non-cash and other items, which includes depreciation and amortization expenses, deferred income taxes, stock-based compensation expense and other non-cash items (including provisions for doubtful accounts and net periodic pension costs), (ii) cash flows used for, or generated from, working capital and other, excluding cash and cash equivalents, and (iii) operating cash flows used for, or generated from, the TS business, which is classified as a discontinued operation. Cash used for working capital and other was $121.5 million during the first nine months of fiscal 2018, including increases in inventories of $337.9 million and accounts receivable of $98.1 million. The Company utilized cash to invest in inventory levels primarily as a result of a strong book to bill and lengthening product lead times. The increase in cash used for inventories and accounts receivable, was partially offset by increases in accounts payable of $180.7 million and accrued expenses and other of $133.8 million. Comparatively, cash used for working capital and other was $184.4 million during the first nine months of fiscal 2017, including an increase in accounts receivable of $335.6 million and a decrease in accrued expenses and other of $21.0 million, partially offset by a decrease in inventories of $86.1 million and an increase in accounts payable of $86.1 million.</w:t>
      </w:r>
    </w:p>
    <w:p>
      <w:pPr>
        <w:spacing w:after="0" w:line="17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used for operating activities of discontinued operations was $325.1 million in the first nine months of fiscal 2017 as the sale of the TS business was completed in the third quarter of fiscal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first nine months of fiscal 2018, the Company made net repayments of $47.0 million under the Company’s accounts receivable securitization program. Additionally, the Company repaid $44.3 million from borrowings of various bank credit facilities and $100.0 million under the Company’s Credit Facility. During the first nine months of fiscal 2018, the Company paid dividends on common stock of $66.2 million and repurchased $209.5 million of common stock.</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nine months of fiscal 2017, the Company received net proceeds of $296.4 million as a result of the issuance of $300.0 million of 3.75% Notes due December 2021. Additionally, the Company received net proceeds of $530.8 million under the Term Loan. During the first nine months of fiscal 2017, the Company repaid $530.8 million of notes and acquired debt, $512.0 million from borrowings under the Term Loan, $150.0 million under the Company’s Credit Facility and made net repayments of $492.0 million under the Company’s accounts receivable securitization program. During the first nine months of fiscal 2017, the Company paid dividends on common stock of $66.5 million and repurchased $124.6 million of common stock.</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the first nine months of fiscal 2018, the Company used $112.2 million for capital expenditures primarily related to information system development costs, computer hardware and software purchases and facilities costs compared to $108.0 million for capital expenditures in the first nine months of fiscal 2017. During the first nine months of fiscal 2018, the Company used $18.6 million of cash for acquisitions, which is net of the cash acquired compared to $801.2 million of cash for acquisitions, which is net of the cash acquired in the first nine months of fiscal 2017. Additionally, with the sale of the TS business, the Company received $2.24 billion of proceeds from the sale of TS business, net of cash divested, which is reflected as an investing activity from discontinued operations.</w:t>
      </w:r>
    </w:p>
    <w:p>
      <w:pPr>
        <w:spacing w:after="0" w:line="17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first nine months of fiscal 2018, the Company generated $153.9 million of cash from investing activities – discontinued operations as a result of the sale of marketable securities obtained through the sale of the TS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July 1, 2017.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5, “Debt” to the Company’s consolidated financial statements included in this Quarterly Report on Form 10-Q for additional information on financing transactions including the Credit Facility, the Program, and other outstanding debt as of March 31, 2018. The Company was in compliance with all covenants under the Credit Facility and the Program as of March 31, 2018.</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various lines of credit and other forms of bank debt in the U.S. and various foreign locations to fund the short-term working capital, foreign exchange, overdraft and letter of credit needs of its wholly owned subsidiaries. Avnet generally guarantees its subsidiaries’ obligations under such debt facilities. Outstanding borrowings under such forms of debt at the end of third quarter of fiscal 2018 was $7.5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$430.1 million as of March 31, 2018, of which $396.3 million was held outside the United States. As of July 1, 2017, the Company held cash and cash equivalents of $836.4 million, of which $619.5 million was held outside of the United States.</w:t>
      </w:r>
    </w:p>
    <w:p>
      <w:pPr>
        <w:spacing w:after="0" w:line="18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As of the end of the third quarter of fiscal 2018, the Company had a combined total borrowing capacity of $1.65 billion under the Credit Facility and the Program. There were no borrowings outstanding and $2.0 million in letters of credit issued under the Credit Facility and $95.0 million in borrowings outstanding under the Program, resulting in approximately $1.55 billion of total availability as of March 31, 2018. Availability under the Program is subject to the Company having sufficient eligible trade accounts receivable to support desired borrowings. The Company currently expects to utilize availability under credit facilities to support working capital and other general corporate purposes to the extent such incremental borrowings do not impact the Company’s investment grade credit rating. During the third quarter and first nine months of fiscal 2018, the Company had an average daily balance outstanding of approximately $0.6 million and $3.0 million, respectively, under the Credit Facility and approximately $298.0 million and $230.0 million, respectively, under the Program. During the third quarter and first nine months of fiscal 2017, the Company had an average daily balance outstanding of approximately $516.0 million and $596.5 million, respectively, under the Credit Facility and approximately $437.0 million and $592.0 million, respectively, under the Program.</w:t>
      </w:r>
    </w:p>
    <w:p>
      <w:pPr>
        <w:spacing w:after="0" w:line="1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$98.5 million in cash flows from operating activities over the trailing four fiscal quarters ended March 31, 2018 for continuing operations.</w:t>
      </w:r>
    </w:p>
    <w:p>
      <w:pPr>
        <w:spacing w:after="0" w:line="187"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As a result of tax law changes created from the Act, the Company repatriated approximately $248 million of foreign cash to the United States at the end of the third quarter of fiscal 2018, which was used to repay outstanding revolving debt facilities.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United States. The Company is still evaluating the impact of repatriating any additional foreign cash as a result of the Act.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including the remaining proceeds and marketable securities from the sale of the TS business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Historically the Company has made, and expects to continue to make, strategic investments through acquisition activity to the extent the investments strengthen Avnet’s competitive position, further its business strategies and meet management’s return on capital thresholds. The Company also expects to make capital expenditures, including expenditures for ERP systems. Additionally, as the Company integrates PF and restructures to transform Avnet into an electronic components focused business, the Company expects to use cash for restructuring, integration and other expenses.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In addition to continuing to make investments in acquisitions, as of March 31, 2018, the Company may repurchase up to an aggregate of $389.6 million of shares of the Company’s common stock through a $1.95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third quarter of fiscal 2018, the Board of Directors approved a dividend of $0.19 per share, which resulted in $22.6 million of dividend payments during the quarter.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July 1, 2017, for further discussion of market risks associated with foreign currency exchange rates and interest rates. Avnet’s exposure to such risks has not changed materially since July 1, 2017,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 to mitigate the exposure to fluctuation in market interest rates. The Company’s exposure to market price risk related to marketable securities is mitigated through the purchase of a derivative financial instrument that economically fixes the value of the marketable securities.</w:t>
      </w:r>
    </w:p>
    <w:p>
      <w:pPr>
        <w:spacing w:after="0" w:line="18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March 31, 2018, 94% of the Company’s debt bears interest at a fixed rate and 6% of the Company’s debt bears interest at variable rates. Therefore, a hypothetical 1.0% (100 basis points) increase in interest rates would result in a $0.3 million decrease in income from continuing operations before income taxes in the Company’s consolidated statement of operations for the third quarter of fiscal 2018.</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fiscal 2018,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Section 27A of the Securities Act of 1933, as amended,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July 1, 2017, could affect the Company’s future results of operations, and could cause those results or other outcomes to differ materially from those expressed or implied in the forward-looking statements:</w:t>
      </w:r>
    </w:p>
    <w:p>
      <w:pPr>
        <w:spacing w:after="0" w:line="167"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industry down-cycle in semiconductors;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relating to acquisitions, divestitures and investments;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170" w:lineRule="exact"/>
        <w:rPr>
          <w:rFonts w:ascii="Arial" w:cs="Arial" w:eastAsia="Arial" w:hAnsi="Arial"/>
          <w:sz w:val="18"/>
          <w:szCs w:val="18"/>
          <w:color w:val="auto"/>
        </w:rPr>
      </w:pPr>
    </w:p>
    <w:p>
      <w:pPr>
        <w:ind w:left="660" w:right="64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cyber-attacks and the Company’s information systems, including related to current or future implementations;</w:t>
      </w:r>
    </w:p>
    <w:p>
      <w:pPr>
        <w:spacing w:after="0" w:line="170"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economic and business conditions (domestic and foreign) affecting Avnet's financial performance and, indirectly, Avnet's credit ratings, debt covenant compliance, and liquidity and access to financing; and</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July 1, 2017,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March 31, 2018, there have been no material changes to the risk factors set forth in the Company’s Annual Report on Form 10-K for the fiscal year ended July 1, 2017.</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Board of Directors has approved the repurchase of up to $1.95 billion of the Company’s common stock under the Company’s share repurchase program. The following table includes the Company’s monthly purchases of the Company’s common stock during the third quarter of fiscal 2018, under the share repurchase program, which is part of a publicly announced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Shares</w:t>
            </w:r>
          </w:p>
        </w:tc>
        <w:tc>
          <w:tcPr>
            <w:tcW w:w="2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Purchased under the</w:t>
            </w:r>
          </w:p>
        </w:tc>
      </w:tr>
      <w:tr>
        <w:trPr>
          <w:trHeight w:val="241"/>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Programs</w:t>
            </w:r>
          </w:p>
        </w:tc>
        <w:tc>
          <w:tcPr>
            <w:tcW w:w="8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5"/>
              </w:rPr>
              <w:t>165,445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452,859,000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840" w:type="dxa"/>
            <w:vAlign w:val="bottom"/>
          </w:tcPr>
          <w:p>
            <w:pPr>
              <w:ind w:left="200"/>
              <w:spacing w:after="0"/>
              <w:rPr>
                <w:sz w:val="20"/>
                <w:szCs w:val="20"/>
                <w:color w:val="auto"/>
              </w:rPr>
            </w:pPr>
            <w:r>
              <w:rPr>
                <w:rFonts w:ascii="Arial" w:cs="Arial" w:eastAsia="Arial" w:hAnsi="Arial"/>
                <w:sz w:val="18"/>
                <w:szCs w:val="18"/>
                <w:color w:val="auto"/>
                <w:w w:val="95"/>
              </w:rPr>
              <w:t>790,000</w:t>
            </w:r>
          </w:p>
        </w:tc>
        <w:tc>
          <w:tcPr>
            <w:tcW w:w="16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41.07</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790,000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420,414,000</w:t>
            </w:r>
          </w:p>
        </w:tc>
        <w:tc>
          <w:tcPr>
            <w:tcW w:w="4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710,009</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389,595,000</w:t>
            </w:r>
          </w:p>
        </w:tc>
        <w:tc>
          <w:tcPr>
            <w:tcW w:w="40" w:type="dxa"/>
            <w:vAlign w:val="bottom"/>
            <w:shd w:val="clear" w:color="auto" w:fill="CCEEFF"/>
          </w:tcPr>
          <w:p>
            <w:pPr>
              <w:spacing w:after="0"/>
              <w:rPr>
                <w:sz w:val="18"/>
                <w:szCs w:val="18"/>
                <w:color w:val="auto"/>
              </w:rPr>
            </w:pPr>
          </w:p>
        </w:tc>
      </w:tr>
      <w:tr>
        <w:trPr>
          <w:trHeight w:val="918"/>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9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238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302 of the Sarbanes-Oxley Act of 2002.</w:t>
            </w:r>
          </w:p>
        </w:tc>
        <w:tc>
          <w:tcPr>
            <w:tcW w:w="238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238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2380" w:type="dxa"/>
            <w:vAlign w:val="bottom"/>
          </w:tcPr>
          <w:p>
            <w:pPr>
              <w:spacing w:after="0"/>
              <w:rPr>
                <w:sz w:val="24"/>
                <w:szCs w:val="24"/>
                <w:color w:val="auto"/>
              </w:rPr>
            </w:pPr>
          </w:p>
        </w:tc>
      </w:tr>
      <w:tr>
        <w:trPr>
          <w:trHeight w:val="46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40" w:hanging="32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17" w:lineRule="exact"/>
        <w:rPr>
          <w:sz w:val="20"/>
          <w:szCs w:val="20"/>
          <w:color w:val="auto"/>
        </w:rPr>
      </w:pPr>
    </w:p>
    <w:p>
      <w:pPr>
        <w:ind w:left="640" w:hanging="32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THOMAS LIGUORI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661225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Quarterly Report on Form 10-Q for the period ended March 31, 2018 (the “Report”), I, William J.</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660" w:right="2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140"/>
        <w:spacing w:after="0" w:line="308" w:lineRule="auto"/>
        <w:rPr>
          <w:sz w:val="20"/>
          <w:szCs w:val="20"/>
          <w:color w:val="auto"/>
        </w:rPr>
      </w:pPr>
      <w:r>
        <w:rPr>
          <w:rFonts w:ascii="Arial" w:cs="Arial" w:eastAsia="Arial" w:hAnsi="Arial"/>
          <w:sz w:val="17"/>
          <w:szCs w:val="17"/>
          <w:color w:val="auto"/>
        </w:rPr>
        <w:t>In connection with the Quarterly Report on Form 10-Q for the period ended March 31, 2018 (the “Report”), I, Thomas Liguori, Chief Financial Officer of Avnet, Inc. (the “Company”) hereby certify that:</w:t>
      </w:r>
    </w:p>
    <w:p>
      <w:pPr>
        <w:spacing w:after="0" w:line="38" w:lineRule="exact"/>
        <w:rPr>
          <w:sz w:val="20"/>
          <w:szCs w:val="20"/>
          <w:color w:val="auto"/>
        </w:rPr>
      </w:pPr>
    </w:p>
    <w:p>
      <w:pPr>
        <w:ind w:left="660" w:right="2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2018</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715"/>
    </w:lvl>
  </w:abstractNum>
  <w:abstractNum w:abstractNumId="2">
    <w:nsid w:val="4DB127F8"/>
    <w:multiLevelType w:val="hybridMultilevel"/>
    <w:lvl w:ilvl="0">
      <w:lvlJc w:val="left"/>
      <w:lvlText w:val="%1."/>
      <w:numFmt w:val="decimal"/>
      <w:start w:val="4"/>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0"/>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2019-12-05T01:26:43Z</dcterms:created>
  <dcterms:modified xsi:type="dcterms:W3CDTF">2019-12-05T01:26:43Z</dcterms:modified>
</cp:coreProperties>
</file>