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149860</wp:posOffset>
            </wp:positionV>
            <wp:extent cx="6335395" cy="24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35395" cy="24765"/>
                    </a:xfrm>
                    <a:prstGeom prst="rect">
                      <a:avLst/>
                    </a:prstGeom>
                    <a:noFill/>
                  </pic:spPr>
                </pic:pic>
              </a:graphicData>
            </a:graphic>
          </wp:anchor>
        </w:drawing>
      </w:r>
    </w:p>
    <w:p>
      <w:pPr>
        <w:spacing w:after="0" w:line="298" w:lineRule="exact"/>
        <w:rPr>
          <w:sz w:val="20"/>
          <w:szCs w:val="20"/>
          <w:color w:val="auto"/>
        </w:rPr>
      </w:pPr>
    </w:p>
    <w:p>
      <w:pPr>
        <w:jc w:val="center"/>
        <w:ind w:right="-759"/>
        <w:spacing w:after="0"/>
        <w:rPr>
          <w:sz w:val="20"/>
          <w:szCs w:val="20"/>
          <w:color w:val="auto"/>
        </w:rPr>
      </w:pPr>
      <w:r>
        <w:rPr>
          <w:rFonts w:ascii="Arial" w:cs="Arial" w:eastAsia="Arial" w:hAnsi="Arial"/>
          <w:sz w:val="18"/>
          <w:szCs w:val="18"/>
          <w:b w:val="1"/>
          <w:bCs w:val="1"/>
          <w:color w:val="auto"/>
        </w:rPr>
        <w:t>SECURITIES AND EXCHANGE COMMISSION</w:t>
      </w:r>
    </w:p>
    <w:p>
      <w:pPr>
        <w:spacing w:after="0" w:line="23" w:lineRule="exact"/>
        <w:rPr>
          <w:sz w:val="20"/>
          <w:szCs w:val="20"/>
          <w:color w:val="auto"/>
        </w:rPr>
      </w:pPr>
    </w:p>
    <w:p>
      <w:pPr>
        <w:jc w:val="center"/>
        <w:ind w:right="-759"/>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66040</wp:posOffset>
            </wp:positionV>
            <wp:extent cx="1142365"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42365" cy="6350"/>
                    </a:xfrm>
                    <a:prstGeom prst="rect">
                      <a:avLst/>
                    </a:prstGeom>
                    <a:noFill/>
                  </pic:spPr>
                </pic:pic>
              </a:graphicData>
            </a:graphic>
          </wp:anchor>
        </w:drawing>
      </w:r>
    </w:p>
    <w:p>
      <w:pPr>
        <w:spacing w:after="0" w:line="162" w:lineRule="exact"/>
        <w:rPr>
          <w:sz w:val="20"/>
          <w:szCs w:val="20"/>
          <w:color w:val="auto"/>
        </w:rPr>
      </w:pPr>
    </w:p>
    <w:p>
      <w:pPr>
        <w:jc w:val="center"/>
        <w:ind w:right="-759"/>
        <w:spacing w:after="0"/>
        <w:rPr>
          <w:sz w:val="20"/>
          <w:szCs w:val="20"/>
          <w:color w:val="auto"/>
        </w:rPr>
      </w:pPr>
      <w:r>
        <w:rPr>
          <w:rFonts w:ascii="Arial" w:cs="Arial" w:eastAsia="Arial" w:hAnsi="Arial"/>
          <w:sz w:val="24"/>
          <w:szCs w:val="24"/>
          <w:b w:val="1"/>
          <w:bCs w:val="1"/>
          <w:color w:val="auto"/>
        </w:rPr>
        <w:t>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74295</wp:posOffset>
            </wp:positionV>
            <wp:extent cx="1142365"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42365" cy="6350"/>
                    </a:xfrm>
                    <a:prstGeom prst="rect">
                      <a:avLst/>
                    </a:prstGeom>
                    <a:noFill/>
                  </pic:spPr>
                </pic:pic>
              </a:graphicData>
            </a:graphic>
          </wp:anchor>
        </w:drawing>
      </w:r>
    </w:p>
    <w:p>
      <w:pPr>
        <w:spacing w:after="0" w:line="185" w:lineRule="exact"/>
        <w:rPr>
          <w:sz w:val="20"/>
          <w:szCs w:val="20"/>
          <w:color w:val="auto"/>
        </w:rPr>
      </w:pPr>
    </w:p>
    <w:p>
      <w:pPr>
        <w:jc w:val="center"/>
        <w:ind w:right="-759"/>
        <w:spacing w:after="0"/>
        <w:rPr>
          <w:sz w:val="20"/>
          <w:szCs w:val="20"/>
          <w:color w:val="auto"/>
        </w:rPr>
      </w:pPr>
      <w:r>
        <w:rPr>
          <w:rFonts w:ascii="Arial" w:cs="Arial" w:eastAsia="Arial" w:hAnsi="Arial"/>
          <w:sz w:val="16"/>
          <w:szCs w:val="16"/>
          <w:b w:val="1"/>
          <w:bCs w:val="1"/>
          <w:color w:val="auto"/>
        </w:rPr>
        <w:t>QUARTERLY REPORT PURSUANT TO SECTION 13 OR 15(d)</w:t>
      </w:r>
    </w:p>
    <w:p>
      <w:pPr>
        <w:spacing w:after="0" w:line="11" w:lineRule="exact"/>
        <w:rPr>
          <w:sz w:val="20"/>
          <w:szCs w:val="20"/>
          <w:color w:val="auto"/>
        </w:rPr>
      </w:pPr>
    </w:p>
    <w:p>
      <w:pPr>
        <w:jc w:val="center"/>
        <w:ind w:right="-759"/>
        <w:spacing w:after="0"/>
        <w:rPr>
          <w:sz w:val="20"/>
          <w:szCs w:val="20"/>
          <w:color w:val="auto"/>
        </w:rPr>
      </w:pPr>
      <w:r>
        <w:rPr>
          <w:rFonts w:ascii="Arial" w:cs="Arial" w:eastAsia="Arial" w:hAnsi="Arial"/>
          <w:sz w:val="16"/>
          <w:szCs w:val="16"/>
          <w:b w:val="1"/>
          <w:bCs w:val="1"/>
          <w:color w:val="auto"/>
        </w:rPr>
        <w:t>OF THE SECURITIES EXCHANGE ACT OF 1934</w:t>
      </w:r>
    </w:p>
    <w:p>
      <w:pPr>
        <w:spacing w:after="0" w:line="110" w:lineRule="exact"/>
        <w:rPr>
          <w:sz w:val="20"/>
          <w:szCs w:val="20"/>
          <w:color w:val="auto"/>
        </w:rPr>
      </w:pPr>
    </w:p>
    <w:p>
      <w:pPr>
        <w:ind w:left="4240"/>
        <w:spacing w:after="0"/>
        <w:rPr>
          <w:sz w:val="20"/>
          <w:szCs w:val="20"/>
          <w:color w:val="auto"/>
        </w:rPr>
      </w:pPr>
      <w:r>
        <w:rPr>
          <w:rFonts w:ascii="Arial" w:cs="Arial" w:eastAsia="Arial" w:hAnsi="Arial"/>
          <w:sz w:val="13"/>
          <w:szCs w:val="13"/>
          <w:b w:val="1"/>
          <w:bCs w:val="1"/>
          <w:color w:val="auto"/>
        </w:rPr>
        <w:t>For the quarterly period ended September 30,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75565</wp:posOffset>
            </wp:positionV>
            <wp:extent cx="1142365"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42365" cy="6350"/>
                    </a:xfrm>
                    <a:prstGeom prst="rect">
                      <a:avLst/>
                    </a:prstGeom>
                    <a:noFill/>
                  </pic:spPr>
                </pic:pic>
              </a:graphicData>
            </a:graphic>
          </wp:anchor>
        </w:drawing>
      </w:r>
    </w:p>
    <w:p>
      <w:pPr>
        <w:spacing w:after="0" w:line="194" w:lineRule="exact"/>
        <w:rPr>
          <w:sz w:val="20"/>
          <w:szCs w:val="20"/>
          <w:color w:val="auto"/>
        </w:rPr>
      </w:pPr>
    </w:p>
    <w:p>
      <w:pPr>
        <w:jc w:val="center"/>
        <w:ind w:right="-759"/>
        <w:spacing w:after="0"/>
        <w:rPr>
          <w:sz w:val="20"/>
          <w:szCs w:val="20"/>
          <w:color w:val="auto"/>
        </w:rPr>
      </w:pPr>
      <w:r>
        <w:rPr>
          <w:rFonts w:ascii="Arial" w:cs="Arial" w:eastAsia="Arial" w:hAnsi="Arial"/>
          <w:sz w:val="13"/>
          <w:szCs w:val="13"/>
          <w:b w:val="1"/>
          <w:bCs w:val="1"/>
          <w:color w:val="auto"/>
        </w:rPr>
        <w:t>Commission File #1-4224</w:t>
      </w:r>
    </w:p>
    <w:p>
      <w:pPr>
        <w:spacing w:after="0" w:line="117" w:lineRule="exact"/>
        <w:rPr>
          <w:sz w:val="20"/>
          <w:szCs w:val="20"/>
          <w:color w:val="auto"/>
        </w:rPr>
      </w:pPr>
    </w:p>
    <w:p>
      <w:pPr>
        <w:jc w:val="center"/>
        <w:ind w:right="-759"/>
        <w:spacing w:after="0"/>
        <w:rPr>
          <w:sz w:val="20"/>
          <w:szCs w:val="20"/>
          <w:color w:val="auto"/>
        </w:rPr>
      </w:pPr>
      <w:r>
        <w:rPr>
          <w:rFonts w:ascii="Arial" w:cs="Arial" w:eastAsia="Arial" w:hAnsi="Arial"/>
          <w:sz w:val="31"/>
          <w:szCs w:val="31"/>
          <w:b w:val="1"/>
          <w:bCs w:val="1"/>
          <w:color w:val="auto"/>
        </w:rPr>
        <w:t>AVNET, INC.</w:t>
      </w:r>
    </w:p>
    <w:p>
      <w:pPr>
        <w:spacing w:after="0" w:line="153" w:lineRule="exact"/>
        <w:rPr>
          <w:sz w:val="20"/>
          <w:szCs w:val="20"/>
          <w:color w:val="auto"/>
        </w:rPr>
      </w:pPr>
    </w:p>
    <w:p>
      <w:pPr>
        <w:ind w:left="4940"/>
        <w:spacing w:after="0"/>
        <w:rPr>
          <w:sz w:val="20"/>
          <w:szCs w:val="20"/>
          <w:color w:val="auto"/>
        </w:rPr>
      </w:pPr>
      <w:r>
        <w:rPr>
          <w:rFonts w:ascii="Arial" w:cs="Arial" w:eastAsia="Arial" w:hAnsi="Arial"/>
          <w:sz w:val="13"/>
          <w:szCs w:val="13"/>
          <w:b w:val="1"/>
          <w:bCs w:val="1"/>
          <w:color w:val="auto"/>
        </w:rPr>
        <w:t>Incorporated in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81915</wp:posOffset>
            </wp:positionV>
            <wp:extent cx="1142365"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42365" cy="6350"/>
                    </a:xfrm>
                    <a:prstGeom prst="rect">
                      <a:avLst/>
                    </a:prstGeom>
                    <a:noFill/>
                  </pic:spPr>
                </pic:pic>
              </a:graphicData>
            </a:graphic>
          </wp:anchor>
        </w:drawing>
      </w:r>
    </w:p>
    <w:p>
      <w:pPr>
        <w:spacing w:after="0" w:line="204" w:lineRule="exact"/>
        <w:rPr>
          <w:sz w:val="20"/>
          <w:szCs w:val="20"/>
          <w:color w:val="auto"/>
        </w:rPr>
      </w:pPr>
    </w:p>
    <w:p>
      <w:pPr>
        <w:ind w:left="4440"/>
        <w:spacing w:after="0"/>
        <w:rPr>
          <w:sz w:val="20"/>
          <w:szCs w:val="20"/>
          <w:color w:val="auto"/>
        </w:rPr>
      </w:pPr>
      <w:r>
        <w:rPr>
          <w:rFonts w:ascii="Arial" w:cs="Arial" w:eastAsia="Arial" w:hAnsi="Arial"/>
          <w:sz w:val="13"/>
          <w:szCs w:val="13"/>
          <w:b w:val="1"/>
          <w:bCs w:val="1"/>
          <w:color w:val="auto"/>
        </w:rPr>
        <w:t>IRS Employer Identification No. 11-1890605</w:t>
      </w:r>
    </w:p>
    <w:p>
      <w:pPr>
        <w:spacing w:after="0" w:line="57" w:lineRule="exact"/>
        <w:rPr>
          <w:sz w:val="20"/>
          <w:szCs w:val="20"/>
          <w:color w:val="auto"/>
        </w:rPr>
      </w:pPr>
    </w:p>
    <w:p>
      <w:pPr>
        <w:ind w:left="4360"/>
        <w:spacing w:after="0"/>
        <w:rPr>
          <w:sz w:val="20"/>
          <w:szCs w:val="20"/>
          <w:color w:val="auto"/>
        </w:rPr>
      </w:pPr>
      <w:r>
        <w:rPr>
          <w:rFonts w:ascii="Arial" w:cs="Arial" w:eastAsia="Arial" w:hAnsi="Arial"/>
          <w:sz w:val="13"/>
          <w:szCs w:val="13"/>
          <w:b w:val="1"/>
          <w:bCs w:val="1"/>
          <w:color w:val="auto"/>
        </w:rPr>
        <w:t>2211 South 47</w:t>
      </w:r>
      <w:r>
        <w:rPr>
          <w:rFonts w:ascii="Arial" w:cs="Arial" w:eastAsia="Arial" w:hAnsi="Arial"/>
          <w:sz w:val="11"/>
          <w:szCs w:val="11"/>
          <w:b w:val="1"/>
          <w:bCs w:val="1"/>
          <w:color w:val="auto"/>
        </w:rPr>
        <w:t>th</w:t>
      </w:r>
      <w:r>
        <w:rPr>
          <w:rFonts w:ascii="Arial" w:cs="Arial" w:eastAsia="Arial" w:hAnsi="Arial"/>
          <w:sz w:val="13"/>
          <w:szCs w:val="13"/>
          <w:b w:val="1"/>
          <w:bCs w:val="1"/>
          <w:color w:val="auto"/>
        </w:rPr>
        <w:t xml:space="preserve"> Street, Phoenix, Arizona 85034</w:t>
      </w:r>
    </w:p>
    <w:p>
      <w:pPr>
        <w:spacing w:after="0" w:line="19" w:lineRule="exact"/>
        <w:rPr>
          <w:sz w:val="20"/>
          <w:szCs w:val="20"/>
          <w:color w:val="auto"/>
        </w:rPr>
      </w:pPr>
    </w:p>
    <w:p>
      <w:pPr>
        <w:ind w:left="5260"/>
        <w:spacing w:after="0"/>
        <w:rPr>
          <w:sz w:val="20"/>
          <w:szCs w:val="20"/>
          <w:color w:val="auto"/>
        </w:rPr>
      </w:pPr>
      <w:r>
        <w:rPr>
          <w:rFonts w:ascii="Arial" w:cs="Arial" w:eastAsia="Arial" w:hAnsi="Arial"/>
          <w:sz w:val="13"/>
          <w:szCs w:val="13"/>
          <w:b w:val="1"/>
          <w:bCs w:val="1"/>
          <w:color w:val="auto"/>
        </w:rPr>
        <w:t>(480) 643-2000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67945</wp:posOffset>
            </wp:positionV>
            <wp:extent cx="1142365"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42365" cy="6350"/>
                    </a:xfrm>
                    <a:prstGeom prst="rect">
                      <a:avLst/>
                    </a:prstGeom>
                    <a:noFill/>
                  </pic:spPr>
                </pic:pic>
              </a:graphicData>
            </a:graphic>
          </wp:anchor>
        </w:drawing>
      </w:r>
    </w:p>
    <w:p>
      <w:pPr>
        <w:spacing w:after="0" w:line="187" w:lineRule="exact"/>
        <w:rPr>
          <w:sz w:val="20"/>
          <w:szCs w:val="20"/>
          <w:color w:val="auto"/>
        </w:rPr>
      </w:pPr>
    </w:p>
    <w:p>
      <w:pPr>
        <w:ind w:left="680" w:right="440" w:firstLine="399"/>
        <w:spacing w:after="0" w:line="169" w:lineRule="exact"/>
        <w:rPr>
          <w:sz w:val="20"/>
          <w:szCs w:val="20"/>
          <w:color w:val="auto"/>
        </w:rPr>
      </w:pPr>
      <w:r>
        <w:rPr>
          <w:rFonts w:ascii="Arial" w:cs="Arial" w:eastAsia="Arial" w:hAnsi="Arial"/>
          <w:sz w:val="11"/>
          <w:szCs w:val="1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o</w:t>
      </w:r>
    </w:p>
    <w:p>
      <w:pPr>
        <w:spacing w:after="0" w:line="66" w:lineRule="exact"/>
        <w:rPr>
          <w:sz w:val="20"/>
          <w:szCs w:val="20"/>
          <w:color w:val="auto"/>
        </w:rPr>
      </w:pPr>
    </w:p>
    <w:p>
      <w:pPr>
        <w:ind w:left="680" w:firstLine="399"/>
        <w:spacing w:after="0" w:line="256" w:lineRule="auto"/>
        <w:rPr>
          <w:sz w:val="20"/>
          <w:szCs w:val="20"/>
          <w:color w:val="auto"/>
        </w:rPr>
      </w:pPr>
      <w:r>
        <w:rPr>
          <w:rFonts w:ascii="Arial" w:cs="Arial" w:eastAsia="Arial" w:hAnsi="Arial"/>
          <w:sz w:val="13"/>
          <w:szCs w:val="13"/>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1" w:lineRule="exact"/>
        <w:rPr>
          <w:sz w:val="20"/>
          <w:szCs w:val="20"/>
          <w:color w:val="auto"/>
        </w:rPr>
      </w:pPr>
    </w:p>
    <w:p>
      <w:pPr>
        <w:ind w:left="3760"/>
        <w:spacing w:after="0" w:line="150" w:lineRule="exact"/>
        <w:tabs>
          <w:tab w:leader="none" w:pos="5220" w:val="left"/>
          <w:tab w:leader="none" w:pos="6360" w:val="left"/>
        </w:tabs>
        <w:rPr>
          <w:sz w:val="20"/>
          <w:szCs w:val="20"/>
          <w:color w:val="auto"/>
        </w:rPr>
      </w:pPr>
      <w:r>
        <w:rPr>
          <w:rFonts w:ascii="Arial" w:cs="Arial" w:eastAsia="Arial" w:hAnsi="Arial"/>
          <w:sz w:val="13"/>
          <w:szCs w:val="13"/>
          <w:color w:val="auto"/>
        </w:rPr>
        <w:t xml:space="preserve">Large accelerated filer </w:t>
      </w:r>
      <w:r>
        <w:rPr>
          <w:rFonts w:ascii="MS PGothic" w:cs="MS PGothic" w:eastAsia="MS PGothic" w:hAnsi="MS PGothic"/>
          <w:sz w:val="13"/>
          <w:szCs w:val="13"/>
          <w:color w:val="auto"/>
        </w:rPr>
        <w:t>☑</w:t>
      </w:r>
      <w:r>
        <w:rPr>
          <w:rFonts w:ascii="Arial" w:cs="Arial" w:eastAsia="Arial" w:hAnsi="Arial"/>
          <w:sz w:val="13"/>
          <w:szCs w:val="13"/>
          <w:color w:val="auto"/>
        </w:rPr>
        <w:tab/>
        <w:t>Accelerated filer o</w:t>
      </w:r>
      <w:r>
        <w:rPr>
          <w:sz w:val="20"/>
          <w:szCs w:val="20"/>
          <w:color w:val="auto"/>
        </w:rPr>
        <w:tab/>
      </w:r>
      <w:r>
        <w:rPr>
          <w:rFonts w:ascii="Arial" w:cs="Arial" w:eastAsia="Arial" w:hAnsi="Arial"/>
          <w:sz w:val="12"/>
          <w:szCs w:val="12"/>
          <w:color w:val="auto"/>
        </w:rPr>
        <w:t>Non-accelerated filer o</w:t>
      </w:r>
    </w:p>
    <w:p>
      <w:pPr>
        <w:spacing w:after="0" w:line="66" w:lineRule="exact"/>
        <w:rPr>
          <w:sz w:val="20"/>
          <w:szCs w:val="20"/>
          <w:color w:val="auto"/>
        </w:rPr>
      </w:pPr>
    </w:p>
    <w:p>
      <w:pPr>
        <w:ind w:left="1080"/>
        <w:spacing w:after="0" w:line="138" w:lineRule="exact"/>
        <w:tabs>
          <w:tab w:leader="none" w:pos="7500" w:val="left"/>
        </w:tabs>
        <w:rPr>
          <w:sz w:val="20"/>
          <w:szCs w:val="20"/>
          <w:color w:val="auto"/>
        </w:rPr>
      </w:pPr>
      <w:r>
        <w:rPr>
          <w:rFonts w:ascii="Arial" w:cs="Arial" w:eastAsia="Arial" w:hAnsi="Arial"/>
          <w:sz w:val="12"/>
          <w:szCs w:val="12"/>
          <w:color w:val="auto"/>
        </w:rPr>
        <w:t>Indicate by checkmark whether the registrant is a shell company (as defined in Rule 12b-2 of the Exchange Act). Yes o</w:t>
      </w:r>
      <w:r>
        <w:rPr>
          <w:sz w:val="20"/>
          <w:szCs w:val="20"/>
          <w:color w:val="auto"/>
        </w:rPr>
        <w:tab/>
      </w:r>
      <w:r>
        <w:rPr>
          <w:rFonts w:ascii="Arial" w:cs="Arial" w:eastAsia="Arial" w:hAnsi="Arial"/>
          <w:sz w:val="11"/>
          <w:szCs w:val="11"/>
          <w:color w:val="auto"/>
        </w:rPr>
        <w:t xml:space="preserve">No </w:t>
      </w:r>
      <w:r>
        <w:rPr>
          <w:rFonts w:ascii="MS PGothic" w:cs="MS PGothic" w:eastAsia="MS PGothic" w:hAnsi="MS PGothic"/>
          <w:sz w:val="11"/>
          <w:szCs w:val="11"/>
          <w:color w:val="auto"/>
        </w:rPr>
        <w:t>☑</w:t>
      </w:r>
    </w:p>
    <w:p>
      <w:pPr>
        <w:spacing w:after="0" w:line="133"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total number of shares outstanding of the registrant’s Common Stock (net of treasury shares) as of October 27, 2006 — 146,706,985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85725</wp:posOffset>
            </wp:positionV>
            <wp:extent cx="6335395" cy="247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335395" cy="2476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207010</wp:posOffset>
            </wp:positionV>
            <wp:extent cx="7290435" cy="19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00"/>
          </w:cols>
          <w:pgMar w:left="220" w:top="127" w:right="107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3"/>
          <w:szCs w:val="13"/>
          <w:b w:val="1"/>
          <w:bCs w:val="1"/>
          <w:color w:val="auto"/>
        </w:rPr>
        <w:t>AVNET, INC. AND SUBSIDIARIES</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INDEX</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Page No.</w:t>
            </w:r>
          </w:p>
        </w:tc>
      </w:tr>
      <w:tr>
        <w:trPr>
          <w:trHeight w:val="157"/>
        </w:trPr>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40" w:type="dxa"/>
            <w:vAlign w:val="bottom"/>
            <w:tcBorders>
              <w:bottom w:val="single" w:sz="8" w:color="0000EE"/>
            </w:tcBorders>
            <w:gridSpan w:val="6"/>
          </w:tcPr>
          <w:p>
            <w:pPr>
              <w:jc w:val="center"/>
              <w:spacing w:after="0"/>
              <w:rPr>
                <w:rFonts w:ascii="Arial" w:cs="Arial" w:eastAsia="Arial" w:hAnsi="Arial"/>
                <w:sz w:val="13"/>
                <w:szCs w:val="13"/>
                <w:b w:val="1"/>
                <w:bCs w:val="1"/>
                <w:color w:val="0000EE"/>
              </w:rPr>
            </w:pPr>
            <w:hyperlink w:anchor="page4">
              <w:r>
                <w:rPr>
                  <w:rFonts w:ascii="Arial" w:cs="Arial" w:eastAsia="Arial" w:hAnsi="Arial"/>
                  <w:sz w:val="13"/>
                  <w:szCs w:val="13"/>
                  <w:b w:val="1"/>
                  <w:bCs w:val="1"/>
                  <w:color w:val="0000EE"/>
                </w:rPr>
                <w:t>PART I. FINANCIAL INFORMATION</w:t>
              </w:r>
            </w:hyperlink>
          </w:p>
        </w:tc>
        <w:tc>
          <w:tcPr>
            <w:tcW w:w="3340" w:type="dxa"/>
            <w:vAlign w:val="bottom"/>
            <w:gridSpan w:val="3"/>
          </w:tcPr>
          <w:p>
            <w:pPr>
              <w:spacing w:after="0"/>
              <w:rPr>
                <w:sz w:val="13"/>
                <w:szCs w:val="13"/>
                <w:color w:val="auto"/>
              </w:rPr>
            </w:pPr>
          </w:p>
        </w:tc>
        <w:tc>
          <w:tcPr>
            <w:tcW w:w="520" w:type="dxa"/>
            <w:vAlign w:val="bottom"/>
          </w:tcPr>
          <w:p>
            <w:pPr>
              <w:spacing w:after="0"/>
              <w:rPr>
                <w:sz w:val="13"/>
                <w:szCs w:val="13"/>
                <w:color w:val="auto"/>
              </w:rPr>
            </w:pPr>
          </w:p>
        </w:tc>
      </w:tr>
      <w:tr>
        <w:trPr>
          <w:trHeight w:val="137"/>
        </w:trPr>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Borders>
              <w:bottom w:val="single" w:sz="8" w:color="0000EE"/>
            </w:tcBorders>
            <w:gridSpan w:val="2"/>
          </w:tcPr>
          <w:p>
            <w:pPr>
              <w:spacing w:after="0" w:line="138" w:lineRule="exact"/>
              <w:rPr>
                <w:rFonts w:ascii="Arial" w:cs="Arial" w:eastAsia="Arial" w:hAnsi="Arial"/>
                <w:sz w:val="13"/>
                <w:szCs w:val="13"/>
                <w:color w:val="0000EE"/>
                <w:w w:val="90"/>
              </w:rPr>
            </w:pPr>
            <w:hyperlink w:anchor="page4">
              <w:r>
                <w:rPr>
                  <w:rFonts w:ascii="Arial" w:cs="Arial" w:eastAsia="Arial" w:hAnsi="Arial"/>
                  <w:sz w:val="13"/>
                  <w:szCs w:val="13"/>
                  <w:color w:val="0000EE"/>
                  <w:w w:val="90"/>
                </w:rPr>
                <w:t>Item 1.</w:t>
              </w:r>
            </w:hyperlink>
          </w:p>
        </w:tc>
        <w:tc>
          <w:tcPr>
            <w:tcW w:w="380" w:type="dxa"/>
            <w:vAlign w:val="bottom"/>
            <w:gridSpan w:val="2"/>
          </w:tcPr>
          <w:p>
            <w:pPr>
              <w:spacing w:after="0"/>
              <w:rPr>
                <w:sz w:val="11"/>
                <w:szCs w:val="11"/>
                <w:color w:val="auto"/>
              </w:rPr>
            </w:pPr>
          </w:p>
        </w:tc>
        <w:tc>
          <w:tcPr>
            <w:tcW w:w="280" w:type="dxa"/>
            <w:vAlign w:val="bottom"/>
          </w:tcPr>
          <w:p>
            <w:pPr>
              <w:spacing w:after="0"/>
              <w:rPr>
                <w:sz w:val="11"/>
                <w:szCs w:val="11"/>
                <w:color w:val="auto"/>
              </w:rPr>
            </w:pPr>
          </w:p>
        </w:tc>
        <w:tc>
          <w:tcPr>
            <w:tcW w:w="1100" w:type="dxa"/>
            <w:vAlign w:val="bottom"/>
            <w:tcBorders>
              <w:bottom w:val="single" w:sz="8" w:color="0000EE"/>
            </w:tcBorders>
            <w:gridSpan w:val="4"/>
          </w:tcPr>
          <w:p>
            <w:pPr>
              <w:spacing w:after="0" w:line="138" w:lineRule="exact"/>
              <w:rPr>
                <w:rFonts w:ascii="Arial" w:cs="Arial" w:eastAsia="Arial" w:hAnsi="Arial"/>
                <w:sz w:val="13"/>
                <w:szCs w:val="13"/>
                <w:color w:val="0000EE"/>
                <w:w w:val="88"/>
              </w:rPr>
            </w:pPr>
            <w:hyperlink w:anchor="page4">
              <w:r>
                <w:rPr>
                  <w:rFonts w:ascii="Arial" w:cs="Arial" w:eastAsia="Arial" w:hAnsi="Arial"/>
                  <w:sz w:val="13"/>
                  <w:szCs w:val="13"/>
                  <w:color w:val="0000EE"/>
                  <w:w w:val="88"/>
                </w:rPr>
                <w:t>Financial Statements</w:t>
              </w:r>
            </w:hyperlink>
          </w:p>
        </w:tc>
        <w:tc>
          <w:tcPr>
            <w:tcW w:w="6940" w:type="dxa"/>
            <w:vAlign w:val="bottom"/>
            <w:gridSpan w:val="12"/>
          </w:tcPr>
          <w:p>
            <w:pPr>
              <w:spacing w:after="0"/>
              <w:rPr>
                <w:sz w:val="11"/>
                <w:szCs w:val="11"/>
                <w:color w:val="auto"/>
              </w:rPr>
            </w:pPr>
          </w:p>
        </w:tc>
        <w:tc>
          <w:tcPr>
            <w:tcW w:w="520" w:type="dxa"/>
            <w:vAlign w:val="bottom"/>
          </w:tcPr>
          <w:p>
            <w:pPr>
              <w:spacing w:after="0"/>
              <w:rPr>
                <w:sz w:val="11"/>
                <w:szCs w:val="11"/>
                <w:color w:val="auto"/>
              </w:rPr>
            </w:pPr>
          </w:p>
        </w:tc>
      </w:tr>
      <w:tr>
        <w:trPr>
          <w:trHeight w:val="137"/>
        </w:trPr>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40" w:type="dxa"/>
            <w:vAlign w:val="bottom"/>
            <w:gridSpan w:val="16"/>
          </w:tcPr>
          <w:p>
            <w:pPr>
              <w:ind w:left="60"/>
              <w:spacing w:after="0" w:line="138" w:lineRule="exact"/>
              <w:rPr>
                <w:rFonts w:ascii="Arial" w:cs="Arial" w:eastAsia="Arial" w:hAnsi="Arial"/>
                <w:sz w:val="13"/>
                <w:szCs w:val="13"/>
                <w:color w:val="0000EE"/>
              </w:rPr>
            </w:pPr>
            <w:hyperlink w:anchor="page4">
              <w:r>
                <w:rPr>
                  <w:rFonts w:ascii="Arial" w:cs="Arial" w:eastAsia="Arial" w:hAnsi="Arial"/>
                  <w:sz w:val="13"/>
                  <w:szCs w:val="13"/>
                  <w:color w:val="0000EE"/>
                </w:rPr>
                <w:t>Consolidated Balance Sheets at September 30, 2006 and July 1, 2006</w:t>
              </w:r>
            </w:hyperlink>
          </w:p>
        </w:tc>
        <w:tc>
          <w:tcPr>
            <w:tcW w:w="520" w:type="dxa"/>
            <w:vAlign w:val="bottom"/>
          </w:tcPr>
          <w:p>
            <w:pPr>
              <w:jc w:val="right"/>
              <w:ind w:right="135"/>
              <w:spacing w:after="0" w:line="138" w:lineRule="exact"/>
              <w:rPr>
                <w:sz w:val="20"/>
                <w:szCs w:val="20"/>
                <w:color w:val="auto"/>
              </w:rPr>
            </w:pPr>
            <w:r>
              <w:rPr>
                <w:rFonts w:ascii="Arial" w:cs="Arial" w:eastAsia="Arial" w:hAnsi="Arial"/>
                <w:sz w:val="13"/>
                <w:szCs w:val="13"/>
                <w:color w:val="auto"/>
              </w:rPr>
              <w:t>2</w:t>
            </w:r>
          </w:p>
        </w:tc>
      </w:tr>
      <w:tr>
        <w:trPr>
          <w:trHeight w:val="20"/>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37"/>
        </w:trPr>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40" w:type="dxa"/>
            <w:vAlign w:val="bottom"/>
            <w:gridSpan w:val="16"/>
          </w:tcPr>
          <w:p>
            <w:pPr>
              <w:ind w:left="60"/>
              <w:spacing w:after="0" w:line="138" w:lineRule="exact"/>
              <w:rPr>
                <w:rFonts w:ascii="Arial" w:cs="Arial" w:eastAsia="Arial" w:hAnsi="Arial"/>
                <w:sz w:val="13"/>
                <w:szCs w:val="13"/>
                <w:color w:val="0000EE"/>
              </w:rPr>
            </w:pPr>
            <w:hyperlink w:anchor="page5">
              <w:r>
                <w:rPr>
                  <w:rFonts w:ascii="Arial" w:cs="Arial" w:eastAsia="Arial" w:hAnsi="Arial"/>
                  <w:sz w:val="13"/>
                  <w:szCs w:val="13"/>
                  <w:color w:val="0000EE"/>
                </w:rPr>
                <w:t>Consolidated Statements of Operations for the first quarters ended September 30, 2006 and October 1, 2005</w:t>
              </w:r>
            </w:hyperlink>
          </w:p>
        </w:tc>
        <w:tc>
          <w:tcPr>
            <w:tcW w:w="520" w:type="dxa"/>
            <w:vAlign w:val="bottom"/>
          </w:tcPr>
          <w:p>
            <w:pPr>
              <w:jc w:val="right"/>
              <w:ind w:right="135"/>
              <w:spacing w:after="0" w:line="138" w:lineRule="exact"/>
              <w:rPr>
                <w:sz w:val="20"/>
                <w:szCs w:val="20"/>
                <w:color w:val="auto"/>
              </w:rPr>
            </w:pPr>
            <w:r>
              <w:rPr>
                <w:rFonts w:ascii="Arial" w:cs="Arial" w:eastAsia="Arial" w:hAnsi="Arial"/>
                <w:sz w:val="13"/>
                <w:szCs w:val="13"/>
                <w:color w:val="auto"/>
              </w:rPr>
              <w:t>3</w:t>
            </w:r>
          </w:p>
        </w:tc>
      </w:tr>
      <w:tr>
        <w:trPr>
          <w:trHeight w:val="20"/>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37"/>
        </w:trPr>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40" w:type="dxa"/>
            <w:vAlign w:val="bottom"/>
            <w:gridSpan w:val="16"/>
          </w:tcPr>
          <w:p>
            <w:pPr>
              <w:ind w:left="60"/>
              <w:spacing w:after="0" w:line="138" w:lineRule="exact"/>
              <w:rPr>
                <w:rFonts w:ascii="Arial" w:cs="Arial" w:eastAsia="Arial" w:hAnsi="Arial"/>
                <w:sz w:val="13"/>
                <w:szCs w:val="13"/>
                <w:color w:val="0000EE"/>
              </w:rPr>
            </w:pPr>
            <w:hyperlink w:anchor="page6">
              <w:r>
                <w:rPr>
                  <w:rFonts w:ascii="Arial" w:cs="Arial" w:eastAsia="Arial" w:hAnsi="Arial"/>
                  <w:sz w:val="13"/>
                  <w:szCs w:val="13"/>
                  <w:color w:val="0000EE"/>
                </w:rPr>
                <w:t>Consolidated Statements of Cash Flows for the first quarters ended September 30, 2006 and October 1, 2005</w:t>
              </w:r>
            </w:hyperlink>
          </w:p>
        </w:tc>
        <w:tc>
          <w:tcPr>
            <w:tcW w:w="520" w:type="dxa"/>
            <w:vAlign w:val="bottom"/>
          </w:tcPr>
          <w:p>
            <w:pPr>
              <w:jc w:val="right"/>
              <w:ind w:right="135"/>
              <w:spacing w:after="0" w:line="138" w:lineRule="exact"/>
              <w:rPr>
                <w:sz w:val="20"/>
                <w:szCs w:val="20"/>
                <w:color w:val="auto"/>
              </w:rPr>
            </w:pPr>
            <w:r>
              <w:rPr>
                <w:rFonts w:ascii="Arial" w:cs="Arial" w:eastAsia="Arial" w:hAnsi="Arial"/>
                <w:sz w:val="13"/>
                <w:szCs w:val="13"/>
                <w:color w:val="auto"/>
              </w:rPr>
              <w:t>4</w:t>
            </w:r>
          </w:p>
        </w:tc>
      </w:tr>
      <w:tr>
        <w:trPr>
          <w:trHeight w:val="137"/>
        </w:trPr>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760" w:type="dxa"/>
            <w:vAlign w:val="bottom"/>
            <w:tcBorders>
              <w:top w:val="single" w:sz="8" w:color="0000EE"/>
            </w:tcBorders>
            <w:gridSpan w:val="15"/>
          </w:tcPr>
          <w:p>
            <w:pPr>
              <w:ind w:left="60"/>
              <w:spacing w:after="0" w:line="138" w:lineRule="exact"/>
              <w:rPr>
                <w:rFonts w:ascii="Arial" w:cs="Arial" w:eastAsia="Arial" w:hAnsi="Arial"/>
                <w:sz w:val="13"/>
                <w:szCs w:val="13"/>
                <w:color w:val="0000EE"/>
              </w:rPr>
            </w:pPr>
            <w:hyperlink w:anchor="page7">
              <w:r>
                <w:rPr>
                  <w:rFonts w:ascii="Arial" w:cs="Arial" w:eastAsia="Arial" w:hAnsi="Arial"/>
                  <w:sz w:val="13"/>
                  <w:szCs w:val="13"/>
                  <w:color w:val="0000EE"/>
                </w:rPr>
                <w:t>Notes to Consolidated Financial Statements</w:t>
              </w:r>
            </w:hyperlink>
          </w:p>
        </w:tc>
        <w:tc>
          <w:tcPr>
            <w:tcW w:w="2280" w:type="dxa"/>
            <w:vAlign w:val="bottom"/>
          </w:tcPr>
          <w:p>
            <w:pPr>
              <w:spacing w:after="0"/>
              <w:rPr>
                <w:sz w:val="11"/>
                <w:szCs w:val="11"/>
                <w:color w:val="auto"/>
              </w:rPr>
            </w:pPr>
          </w:p>
        </w:tc>
        <w:tc>
          <w:tcPr>
            <w:tcW w:w="520" w:type="dxa"/>
            <w:vAlign w:val="bottom"/>
          </w:tcPr>
          <w:p>
            <w:pPr>
              <w:jc w:val="right"/>
              <w:ind w:right="135"/>
              <w:spacing w:after="0" w:line="138" w:lineRule="exact"/>
              <w:rPr>
                <w:sz w:val="20"/>
                <w:szCs w:val="20"/>
                <w:color w:val="auto"/>
              </w:rPr>
            </w:pPr>
            <w:r>
              <w:rPr>
                <w:rFonts w:ascii="Arial" w:cs="Arial" w:eastAsia="Arial" w:hAnsi="Arial"/>
                <w:sz w:val="13"/>
                <w:szCs w:val="13"/>
                <w:color w:val="auto"/>
              </w:rPr>
              <w:t>5</w:t>
            </w:r>
          </w:p>
        </w:tc>
      </w:tr>
      <w:tr>
        <w:trPr>
          <w:trHeight w:val="20"/>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34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37"/>
        </w:trPr>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gridSpan w:val="2"/>
          </w:tcPr>
          <w:p>
            <w:pPr>
              <w:spacing w:after="0" w:line="138" w:lineRule="exact"/>
              <w:rPr>
                <w:rFonts w:ascii="Arial" w:cs="Arial" w:eastAsia="Arial" w:hAnsi="Arial"/>
                <w:sz w:val="13"/>
                <w:szCs w:val="13"/>
                <w:color w:val="0000EE"/>
                <w:w w:val="90"/>
              </w:rPr>
            </w:pPr>
            <w:hyperlink w:anchor="page16">
              <w:r>
                <w:rPr>
                  <w:rFonts w:ascii="Arial" w:cs="Arial" w:eastAsia="Arial" w:hAnsi="Arial"/>
                  <w:sz w:val="13"/>
                  <w:szCs w:val="13"/>
                  <w:color w:val="0000EE"/>
                  <w:w w:val="90"/>
                </w:rPr>
                <w:t>Item 2.</w:t>
              </w:r>
            </w:hyperlink>
          </w:p>
        </w:tc>
        <w:tc>
          <w:tcPr>
            <w:tcW w:w="380" w:type="dxa"/>
            <w:vAlign w:val="bottom"/>
            <w:gridSpan w:val="2"/>
          </w:tcPr>
          <w:p>
            <w:pPr>
              <w:spacing w:after="0"/>
              <w:rPr>
                <w:sz w:val="11"/>
                <w:szCs w:val="11"/>
                <w:color w:val="auto"/>
              </w:rPr>
            </w:pPr>
          </w:p>
        </w:tc>
        <w:tc>
          <w:tcPr>
            <w:tcW w:w="280" w:type="dxa"/>
            <w:vAlign w:val="bottom"/>
          </w:tcPr>
          <w:p>
            <w:pPr>
              <w:spacing w:after="0"/>
              <w:rPr>
                <w:sz w:val="11"/>
                <w:szCs w:val="11"/>
                <w:color w:val="auto"/>
              </w:rPr>
            </w:pPr>
          </w:p>
        </w:tc>
        <w:tc>
          <w:tcPr>
            <w:tcW w:w="8040" w:type="dxa"/>
            <w:vAlign w:val="bottom"/>
            <w:gridSpan w:val="16"/>
          </w:tcPr>
          <w:p>
            <w:pPr>
              <w:spacing w:after="0" w:line="138" w:lineRule="exact"/>
              <w:rPr>
                <w:rFonts w:ascii="Arial" w:cs="Arial" w:eastAsia="Arial" w:hAnsi="Arial"/>
                <w:sz w:val="13"/>
                <w:szCs w:val="13"/>
                <w:color w:val="0000EE"/>
              </w:rPr>
            </w:pPr>
            <w:hyperlink w:anchor="page16">
              <w:r>
                <w:rPr>
                  <w:rFonts w:ascii="Arial" w:cs="Arial" w:eastAsia="Arial" w:hAnsi="Arial"/>
                  <w:sz w:val="13"/>
                  <w:szCs w:val="13"/>
                  <w:color w:val="0000EE"/>
                </w:rPr>
                <w:t>Management’s Discussion and Analysis of Financial Condition and Results of Operations</w:t>
              </w:r>
            </w:hyperlink>
          </w:p>
        </w:tc>
        <w:tc>
          <w:tcPr>
            <w:tcW w:w="520" w:type="dxa"/>
            <w:vAlign w:val="bottom"/>
          </w:tcPr>
          <w:p>
            <w:pPr>
              <w:jc w:val="right"/>
              <w:ind w:right="135"/>
              <w:spacing w:after="0" w:line="138" w:lineRule="exact"/>
              <w:rPr>
                <w:sz w:val="20"/>
                <w:szCs w:val="20"/>
                <w:color w:val="auto"/>
              </w:rPr>
            </w:pPr>
            <w:r>
              <w:rPr>
                <w:rFonts w:ascii="Arial" w:cs="Arial" w:eastAsia="Arial" w:hAnsi="Arial"/>
                <w:sz w:val="13"/>
                <w:szCs w:val="13"/>
                <w:color w:val="auto"/>
              </w:rPr>
              <w:t>14</w:t>
            </w:r>
          </w:p>
        </w:tc>
      </w:tr>
      <w:tr>
        <w:trPr>
          <w:trHeight w:val="137"/>
        </w:trPr>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Borders>
              <w:top w:val="single" w:sz="8" w:color="0000EE"/>
              <w:bottom w:val="single" w:sz="8" w:color="0000EE"/>
            </w:tcBorders>
            <w:gridSpan w:val="2"/>
          </w:tcPr>
          <w:p>
            <w:pPr>
              <w:spacing w:after="0" w:line="138" w:lineRule="exact"/>
              <w:rPr>
                <w:rFonts w:ascii="Arial" w:cs="Arial" w:eastAsia="Arial" w:hAnsi="Arial"/>
                <w:sz w:val="13"/>
                <w:szCs w:val="13"/>
                <w:color w:val="0000EE"/>
                <w:w w:val="90"/>
              </w:rPr>
            </w:pPr>
            <w:hyperlink w:anchor="page28">
              <w:r>
                <w:rPr>
                  <w:rFonts w:ascii="Arial" w:cs="Arial" w:eastAsia="Arial" w:hAnsi="Arial"/>
                  <w:sz w:val="13"/>
                  <w:szCs w:val="13"/>
                  <w:color w:val="0000EE"/>
                  <w:w w:val="90"/>
                </w:rPr>
                <w:t>Item 3.</w:t>
              </w:r>
            </w:hyperlink>
          </w:p>
        </w:tc>
        <w:tc>
          <w:tcPr>
            <w:tcW w:w="380" w:type="dxa"/>
            <w:vAlign w:val="bottom"/>
            <w:gridSpan w:val="2"/>
          </w:tcPr>
          <w:p>
            <w:pPr>
              <w:spacing w:after="0"/>
              <w:rPr>
                <w:sz w:val="11"/>
                <w:szCs w:val="11"/>
                <w:color w:val="auto"/>
              </w:rPr>
            </w:pPr>
          </w:p>
        </w:tc>
        <w:tc>
          <w:tcPr>
            <w:tcW w:w="280" w:type="dxa"/>
            <w:vAlign w:val="bottom"/>
          </w:tcPr>
          <w:p>
            <w:pPr>
              <w:spacing w:after="0"/>
              <w:rPr>
                <w:sz w:val="11"/>
                <w:szCs w:val="11"/>
                <w:color w:val="auto"/>
              </w:rPr>
            </w:pPr>
          </w:p>
        </w:tc>
        <w:tc>
          <w:tcPr>
            <w:tcW w:w="3180" w:type="dxa"/>
            <w:vAlign w:val="bottom"/>
            <w:tcBorders>
              <w:top w:val="single" w:sz="8" w:color="0000EE"/>
              <w:bottom w:val="single" w:sz="8" w:color="0000EE"/>
            </w:tcBorders>
            <w:gridSpan w:val="10"/>
          </w:tcPr>
          <w:p>
            <w:pPr>
              <w:spacing w:after="0" w:line="138" w:lineRule="exact"/>
              <w:rPr>
                <w:rFonts w:ascii="Arial" w:cs="Arial" w:eastAsia="Arial" w:hAnsi="Arial"/>
                <w:sz w:val="13"/>
                <w:szCs w:val="13"/>
                <w:color w:val="0000EE"/>
                <w:w w:val="92"/>
              </w:rPr>
            </w:pPr>
            <w:hyperlink w:anchor="page28">
              <w:r>
                <w:rPr>
                  <w:rFonts w:ascii="Arial" w:cs="Arial" w:eastAsia="Arial" w:hAnsi="Arial"/>
                  <w:sz w:val="13"/>
                  <w:szCs w:val="13"/>
                  <w:color w:val="0000EE"/>
                  <w:w w:val="92"/>
                </w:rPr>
                <w:t>Quantitative and Qualitative Disclosures About Market Risk</w:t>
              </w:r>
            </w:hyperlink>
          </w:p>
        </w:tc>
        <w:tc>
          <w:tcPr>
            <w:tcW w:w="1520" w:type="dxa"/>
            <w:vAlign w:val="bottom"/>
            <w:tcBorders>
              <w:top w:val="single" w:sz="8" w:color="0000EE"/>
            </w:tcBorders>
            <w:gridSpan w:val="3"/>
          </w:tcPr>
          <w:p>
            <w:pPr>
              <w:spacing w:after="0"/>
              <w:rPr>
                <w:sz w:val="11"/>
                <w:szCs w:val="11"/>
                <w:color w:val="auto"/>
              </w:rPr>
            </w:pPr>
          </w:p>
        </w:tc>
        <w:tc>
          <w:tcPr>
            <w:tcW w:w="3340" w:type="dxa"/>
            <w:vAlign w:val="bottom"/>
            <w:gridSpan w:val="3"/>
          </w:tcPr>
          <w:p>
            <w:pPr>
              <w:spacing w:after="0"/>
              <w:rPr>
                <w:sz w:val="11"/>
                <w:szCs w:val="11"/>
                <w:color w:val="auto"/>
              </w:rPr>
            </w:pPr>
          </w:p>
        </w:tc>
        <w:tc>
          <w:tcPr>
            <w:tcW w:w="520" w:type="dxa"/>
            <w:vAlign w:val="bottom"/>
          </w:tcPr>
          <w:p>
            <w:pPr>
              <w:jc w:val="right"/>
              <w:ind w:right="135"/>
              <w:spacing w:after="0" w:line="138" w:lineRule="exact"/>
              <w:rPr>
                <w:sz w:val="20"/>
                <w:szCs w:val="20"/>
                <w:color w:val="auto"/>
              </w:rPr>
            </w:pPr>
            <w:r>
              <w:rPr>
                <w:rFonts w:ascii="Arial" w:cs="Arial" w:eastAsia="Arial" w:hAnsi="Arial"/>
                <w:sz w:val="13"/>
                <w:szCs w:val="13"/>
                <w:color w:val="auto"/>
              </w:rPr>
              <w:t>26</w:t>
            </w:r>
          </w:p>
        </w:tc>
      </w:tr>
      <w:tr>
        <w:trPr>
          <w:trHeight w:val="137"/>
        </w:trPr>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4"/>
          </w:tcPr>
          <w:p>
            <w:pPr>
              <w:spacing w:after="0" w:line="138" w:lineRule="exact"/>
              <w:rPr>
                <w:rFonts w:ascii="Arial" w:cs="Arial" w:eastAsia="Arial" w:hAnsi="Arial"/>
                <w:sz w:val="13"/>
                <w:szCs w:val="13"/>
                <w:color w:val="0000EE"/>
              </w:rPr>
            </w:pPr>
            <w:hyperlink w:anchor="page28">
              <w:r>
                <w:rPr>
                  <w:rFonts w:ascii="Arial" w:cs="Arial" w:eastAsia="Arial" w:hAnsi="Arial"/>
                  <w:sz w:val="13"/>
                  <w:szCs w:val="13"/>
                  <w:color w:val="0000EE"/>
                </w:rPr>
                <w:t>Item 4.</w:t>
              </w:r>
            </w:hyperlink>
          </w:p>
        </w:tc>
        <w:tc>
          <w:tcPr>
            <w:tcW w:w="8320" w:type="dxa"/>
            <w:vAlign w:val="bottom"/>
            <w:gridSpan w:val="17"/>
          </w:tcPr>
          <w:p>
            <w:pPr>
              <w:ind w:left="280"/>
              <w:spacing w:after="0" w:line="138" w:lineRule="exact"/>
              <w:rPr>
                <w:rFonts w:ascii="Arial" w:cs="Arial" w:eastAsia="Arial" w:hAnsi="Arial"/>
                <w:sz w:val="13"/>
                <w:szCs w:val="13"/>
                <w:color w:val="0000EE"/>
              </w:rPr>
            </w:pPr>
            <w:hyperlink w:anchor="page28">
              <w:r>
                <w:rPr>
                  <w:rFonts w:ascii="Arial" w:cs="Arial" w:eastAsia="Arial" w:hAnsi="Arial"/>
                  <w:sz w:val="13"/>
                  <w:szCs w:val="13"/>
                  <w:color w:val="0000EE"/>
                </w:rPr>
                <w:t>Controls and Procedures</w:t>
              </w:r>
            </w:hyperlink>
          </w:p>
        </w:tc>
        <w:tc>
          <w:tcPr>
            <w:tcW w:w="520" w:type="dxa"/>
            <w:vAlign w:val="bottom"/>
          </w:tcPr>
          <w:p>
            <w:pPr>
              <w:jc w:val="right"/>
              <w:ind w:right="135"/>
              <w:spacing w:after="0" w:line="138" w:lineRule="exact"/>
              <w:rPr>
                <w:sz w:val="20"/>
                <w:szCs w:val="20"/>
                <w:color w:val="auto"/>
              </w:rPr>
            </w:pPr>
            <w:r>
              <w:rPr>
                <w:rFonts w:ascii="Arial" w:cs="Arial" w:eastAsia="Arial" w:hAnsi="Arial"/>
                <w:sz w:val="13"/>
                <w:szCs w:val="13"/>
                <w:color w:val="auto"/>
              </w:rPr>
              <w:t>26</w:t>
            </w:r>
          </w:p>
        </w:tc>
      </w:tr>
      <w:tr>
        <w:trPr>
          <w:trHeight w:val="255"/>
        </w:trPr>
        <w:tc>
          <w:tcPr>
            <w:tcW w:w="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 w:type="dxa"/>
            <w:vAlign w:val="bottom"/>
            <w:tcBorders>
              <w:top w:val="single" w:sz="8" w:color="0000EE"/>
            </w:tcBorders>
          </w:tcPr>
          <w:p>
            <w:pPr>
              <w:spacing w:after="0"/>
              <w:rPr>
                <w:sz w:val="22"/>
                <w:szCs w:val="22"/>
                <w:color w:val="auto"/>
              </w:rPr>
            </w:pPr>
          </w:p>
        </w:tc>
        <w:tc>
          <w:tcPr>
            <w:tcW w:w="280" w:type="dxa"/>
            <w:vAlign w:val="bottom"/>
            <w:tcBorders>
              <w:top w:val="single" w:sz="8" w:color="0000EE"/>
            </w:tcBorders>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40" w:type="dxa"/>
            <w:vAlign w:val="bottom"/>
            <w:tcBorders>
              <w:top w:val="single" w:sz="8" w:color="0000EE"/>
            </w:tcBorders>
          </w:tcPr>
          <w:p>
            <w:pPr>
              <w:spacing w:after="0"/>
              <w:rPr>
                <w:sz w:val="22"/>
                <w:szCs w:val="22"/>
                <w:color w:val="auto"/>
              </w:rPr>
            </w:pPr>
          </w:p>
        </w:tc>
        <w:tc>
          <w:tcPr>
            <w:tcW w:w="220" w:type="dxa"/>
            <w:vAlign w:val="bottom"/>
            <w:tcBorders>
              <w:top w:val="single" w:sz="8" w:color="0000EE"/>
            </w:tcBorders>
          </w:tcPr>
          <w:p>
            <w:pPr>
              <w:spacing w:after="0"/>
              <w:rPr>
                <w:sz w:val="22"/>
                <w:szCs w:val="22"/>
                <w:color w:val="auto"/>
              </w:rPr>
            </w:pPr>
          </w:p>
        </w:tc>
        <w:tc>
          <w:tcPr>
            <w:tcW w:w="320" w:type="dxa"/>
            <w:vAlign w:val="bottom"/>
            <w:tcBorders>
              <w:top w:val="single" w:sz="8" w:color="0000EE"/>
            </w:tcBorders>
          </w:tcPr>
          <w:p>
            <w:pPr>
              <w:spacing w:after="0"/>
              <w:rPr>
                <w:sz w:val="22"/>
                <w:szCs w:val="22"/>
                <w:color w:val="auto"/>
              </w:rPr>
            </w:pPr>
          </w:p>
        </w:tc>
        <w:tc>
          <w:tcPr>
            <w:tcW w:w="120" w:type="dxa"/>
            <w:vAlign w:val="bottom"/>
            <w:tcBorders>
              <w:top w:val="single" w:sz="8" w:color="0000EE"/>
            </w:tcBorders>
          </w:tcPr>
          <w:p>
            <w:pPr>
              <w:spacing w:after="0"/>
              <w:rPr>
                <w:sz w:val="22"/>
                <w:szCs w:val="22"/>
                <w:color w:val="auto"/>
              </w:rPr>
            </w:pPr>
          </w:p>
        </w:tc>
        <w:tc>
          <w:tcPr>
            <w:tcW w:w="200" w:type="dxa"/>
            <w:vAlign w:val="bottom"/>
            <w:tcBorders>
              <w:top w:val="single" w:sz="8" w:color="0000EE"/>
            </w:tcBorders>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60" w:type="dxa"/>
            <w:vAlign w:val="bottom"/>
            <w:gridSpan w:val="8"/>
          </w:tcPr>
          <w:p>
            <w:pPr>
              <w:jc w:val="center"/>
              <w:ind w:right="3460"/>
              <w:spacing w:after="0"/>
              <w:rPr>
                <w:rFonts w:ascii="Arial" w:cs="Arial" w:eastAsia="Arial" w:hAnsi="Arial"/>
                <w:sz w:val="13"/>
                <w:szCs w:val="13"/>
                <w:b w:val="1"/>
                <w:bCs w:val="1"/>
                <w:color w:val="0000EE"/>
              </w:rPr>
            </w:pPr>
            <w:hyperlink w:anchor="page29">
              <w:r>
                <w:rPr>
                  <w:rFonts w:ascii="Arial" w:cs="Arial" w:eastAsia="Arial" w:hAnsi="Arial"/>
                  <w:sz w:val="13"/>
                  <w:szCs w:val="13"/>
                  <w:b w:val="1"/>
                  <w:bCs w:val="1"/>
                  <w:color w:val="0000EE"/>
                </w:rPr>
                <w:t>PART II. OTHER INFORMATION</w:t>
              </w:r>
            </w:hyperlink>
          </w:p>
        </w:tc>
        <w:tc>
          <w:tcPr>
            <w:tcW w:w="520" w:type="dxa"/>
            <w:vAlign w:val="bottom"/>
          </w:tcPr>
          <w:p>
            <w:pPr>
              <w:spacing w:after="0"/>
              <w:rPr>
                <w:sz w:val="22"/>
                <w:szCs w:val="22"/>
                <w:color w:val="auto"/>
              </w:rPr>
            </w:pPr>
          </w:p>
        </w:tc>
      </w:tr>
      <w:tr>
        <w:trPr>
          <w:trHeight w:val="137"/>
        </w:trPr>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Borders>
              <w:bottom w:val="single" w:sz="8" w:color="0000EE"/>
            </w:tcBorders>
            <w:gridSpan w:val="2"/>
          </w:tcPr>
          <w:p>
            <w:pPr>
              <w:spacing w:after="0" w:line="138" w:lineRule="exact"/>
              <w:rPr>
                <w:rFonts w:ascii="Arial" w:cs="Arial" w:eastAsia="Arial" w:hAnsi="Arial"/>
                <w:sz w:val="13"/>
                <w:szCs w:val="13"/>
                <w:color w:val="0000EE"/>
                <w:w w:val="90"/>
              </w:rPr>
            </w:pPr>
            <w:hyperlink w:anchor="page29">
              <w:r>
                <w:rPr>
                  <w:rFonts w:ascii="Arial" w:cs="Arial" w:eastAsia="Arial" w:hAnsi="Arial"/>
                  <w:sz w:val="13"/>
                  <w:szCs w:val="13"/>
                  <w:color w:val="0000EE"/>
                  <w:w w:val="90"/>
                </w:rPr>
                <w:t>Item 1.</w:t>
              </w:r>
            </w:hyperlink>
          </w:p>
        </w:tc>
        <w:tc>
          <w:tcPr>
            <w:tcW w:w="380" w:type="dxa"/>
            <w:vAlign w:val="bottom"/>
            <w:gridSpan w:val="2"/>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tcBorders>
              <w:bottom w:val="single" w:sz="8" w:color="0000EE"/>
            </w:tcBorders>
            <w:gridSpan w:val="3"/>
          </w:tcPr>
          <w:p>
            <w:pPr>
              <w:spacing w:after="0" w:line="138" w:lineRule="exact"/>
              <w:rPr>
                <w:rFonts w:ascii="Arial" w:cs="Arial" w:eastAsia="Arial" w:hAnsi="Arial"/>
                <w:sz w:val="13"/>
                <w:szCs w:val="13"/>
                <w:color w:val="0000EE"/>
                <w:w w:val="89"/>
              </w:rPr>
            </w:pPr>
            <w:hyperlink w:anchor="page29">
              <w:r>
                <w:rPr>
                  <w:rFonts w:ascii="Arial" w:cs="Arial" w:eastAsia="Arial" w:hAnsi="Arial"/>
                  <w:sz w:val="13"/>
                  <w:szCs w:val="13"/>
                  <w:color w:val="0000EE"/>
                  <w:w w:val="89"/>
                </w:rPr>
                <w:t>Legal Proceedings</w:t>
              </w:r>
            </w:hyperlink>
          </w:p>
        </w:tc>
        <w:tc>
          <w:tcPr>
            <w:tcW w:w="1600" w:type="dxa"/>
            <w:vAlign w:val="bottom"/>
            <w:gridSpan w:val="5"/>
          </w:tcPr>
          <w:p>
            <w:pPr>
              <w:spacing w:after="0"/>
              <w:rPr>
                <w:sz w:val="11"/>
                <w:szCs w:val="11"/>
                <w:color w:val="auto"/>
              </w:rPr>
            </w:pPr>
          </w:p>
        </w:tc>
        <w:tc>
          <w:tcPr>
            <w:tcW w:w="2000" w:type="dxa"/>
            <w:vAlign w:val="bottom"/>
            <w:tcBorders>
              <w:top w:val="single" w:sz="8" w:color="0000EE"/>
            </w:tcBorders>
            <w:gridSpan w:val="4"/>
          </w:tcPr>
          <w:p>
            <w:pPr>
              <w:spacing w:after="0"/>
              <w:rPr>
                <w:sz w:val="11"/>
                <w:szCs w:val="11"/>
                <w:color w:val="auto"/>
              </w:rPr>
            </w:pPr>
          </w:p>
        </w:tc>
        <w:tc>
          <w:tcPr>
            <w:tcW w:w="3460" w:type="dxa"/>
            <w:vAlign w:val="bottom"/>
            <w:gridSpan w:val="4"/>
          </w:tcPr>
          <w:p>
            <w:pPr>
              <w:spacing w:after="0"/>
              <w:rPr>
                <w:sz w:val="11"/>
                <w:szCs w:val="11"/>
                <w:color w:val="auto"/>
              </w:rPr>
            </w:pPr>
          </w:p>
        </w:tc>
        <w:tc>
          <w:tcPr>
            <w:tcW w:w="520" w:type="dxa"/>
            <w:vAlign w:val="bottom"/>
          </w:tcPr>
          <w:p>
            <w:pPr>
              <w:jc w:val="right"/>
              <w:ind w:right="135"/>
              <w:spacing w:after="0" w:line="138" w:lineRule="exact"/>
              <w:rPr>
                <w:sz w:val="20"/>
                <w:szCs w:val="20"/>
                <w:color w:val="auto"/>
              </w:rPr>
            </w:pPr>
            <w:r>
              <w:rPr>
                <w:rFonts w:ascii="Arial" w:cs="Arial" w:eastAsia="Arial" w:hAnsi="Arial"/>
                <w:sz w:val="13"/>
                <w:szCs w:val="13"/>
                <w:color w:val="auto"/>
              </w:rPr>
              <w:t>27</w:t>
            </w:r>
          </w:p>
        </w:tc>
      </w:tr>
      <w:tr>
        <w:trPr>
          <w:trHeight w:val="137"/>
        </w:trPr>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4"/>
          </w:tcPr>
          <w:p>
            <w:pPr>
              <w:spacing w:after="0" w:line="138" w:lineRule="exact"/>
              <w:rPr>
                <w:rFonts w:ascii="Arial" w:cs="Arial" w:eastAsia="Arial" w:hAnsi="Arial"/>
                <w:sz w:val="13"/>
                <w:szCs w:val="13"/>
                <w:color w:val="0000EE"/>
              </w:rPr>
            </w:pPr>
            <w:hyperlink w:anchor="page29">
              <w:r>
                <w:rPr>
                  <w:rFonts w:ascii="Arial" w:cs="Arial" w:eastAsia="Arial" w:hAnsi="Arial"/>
                  <w:sz w:val="13"/>
                  <w:szCs w:val="13"/>
                  <w:color w:val="0000EE"/>
                </w:rPr>
                <w:t>Item 1A.</w:t>
              </w:r>
            </w:hyperlink>
          </w:p>
        </w:tc>
        <w:tc>
          <w:tcPr>
            <w:tcW w:w="8320" w:type="dxa"/>
            <w:vAlign w:val="bottom"/>
            <w:gridSpan w:val="17"/>
          </w:tcPr>
          <w:p>
            <w:pPr>
              <w:ind w:left="280"/>
              <w:spacing w:after="0" w:line="138" w:lineRule="exact"/>
              <w:rPr>
                <w:rFonts w:ascii="Arial" w:cs="Arial" w:eastAsia="Arial" w:hAnsi="Arial"/>
                <w:sz w:val="13"/>
                <w:szCs w:val="13"/>
                <w:color w:val="0000EE"/>
              </w:rPr>
            </w:pPr>
            <w:hyperlink w:anchor="page29">
              <w:r>
                <w:rPr>
                  <w:rFonts w:ascii="Arial" w:cs="Arial" w:eastAsia="Arial" w:hAnsi="Arial"/>
                  <w:sz w:val="13"/>
                  <w:szCs w:val="13"/>
                  <w:color w:val="0000EE"/>
                </w:rPr>
                <w:t>Risk Factors</w:t>
              </w:r>
            </w:hyperlink>
          </w:p>
        </w:tc>
        <w:tc>
          <w:tcPr>
            <w:tcW w:w="520" w:type="dxa"/>
            <w:vAlign w:val="bottom"/>
          </w:tcPr>
          <w:p>
            <w:pPr>
              <w:jc w:val="right"/>
              <w:ind w:right="135"/>
              <w:spacing w:after="0" w:line="138" w:lineRule="exact"/>
              <w:rPr>
                <w:sz w:val="20"/>
                <w:szCs w:val="20"/>
                <w:color w:val="auto"/>
              </w:rPr>
            </w:pPr>
            <w:r>
              <w:rPr>
                <w:rFonts w:ascii="Arial" w:cs="Arial" w:eastAsia="Arial" w:hAnsi="Arial"/>
                <w:sz w:val="13"/>
                <w:szCs w:val="13"/>
                <w:color w:val="auto"/>
              </w:rPr>
              <w:t>27</w:t>
            </w:r>
          </w:p>
        </w:tc>
      </w:tr>
      <w:tr>
        <w:trPr>
          <w:trHeight w:val="20"/>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500" w:type="dxa"/>
            <w:vAlign w:val="bottom"/>
            <w:gridSpan w:val="7"/>
          </w:tcPr>
          <w:p>
            <w:pPr>
              <w:spacing w:after="0" w:line="20" w:lineRule="exact"/>
              <w:rPr>
                <w:sz w:val="1"/>
                <w:szCs w:val="1"/>
                <w:color w:val="auto"/>
              </w:rPr>
            </w:pPr>
          </w:p>
        </w:tc>
        <w:tc>
          <w:tcPr>
            <w:tcW w:w="4880" w:type="dxa"/>
            <w:vAlign w:val="bottom"/>
            <w:gridSpan w:val="7"/>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37"/>
        </w:trPr>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gridSpan w:val="2"/>
          </w:tcPr>
          <w:p>
            <w:pPr>
              <w:spacing w:after="0" w:line="138" w:lineRule="exact"/>
              <w:rPr>
                <w:rFonts w:ascii="Arial" w:cs="Arial" w:eastAsia="Arial" w:hAnsi="Arial"/>
                <w:sz w:val="13"/>
                <w:szCs w:val="13"/>
                <w:color w:val="0000EE"/>
                <w:w w:val="90"/>
              </w:rPr>
            </w:pPr>
            <w:hyperlink w:anchor="page30">
              <w:r>
                <w:rPr>
                  <w:rFonts w:ascii="Arial" w:cs="Arial" w:eastAsia="Arial" w:hAnsi="Arial"/>
                  <w:sz w:val="13"/>
                  <w:szCs w:val="13"/>
                  <w:color w:val="0000EE"/>
                  <w:w w:val="90"/>
                </w:rPr>
                <w:t>Item 2.</w:t>
              </w:r>
            </w:hyperlink>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40" w:type="dxa"/>
            <w:vAlign w:val="bottom"/>
            <w:gridSpan w:val="16"/>
          </w:tcPr>
          <w:p>
            <w:pPr>
              <w:spacing w:after="0" w:line="138" w:lineRule="exact"/>
              <w:rPr>
                <w:rFonts w:ascii="Arial" w:cs="Arial" w:eastAsia="Arial" w:hAnsi="Arial"/>
                <w:sz w:val="13"/>
                <w:szCs w:val="13"/>
                <w:color w:val="0000EE"/>
              </w:rPr>
            </w:pPr>
            <w:hyperlink w:anchor="page30">
              <w:r>
                <w:rPr>
                  <w:rFonts w:ascii="Arial" w:cs="Arial" w:eastAsia="Arial" w:hAnsi="Arial"/>
                  <w:sz w:val="13"/>
                  <w:szCs w:val="13"/>
                  <w:color w:val="0000EE"/>
                </w:rPr>
                <w:t>Unregistered Sales of Equity Securities and Use of Proceeds</w:t>
              </w:r>
            </w:hyperlink>
          </w:p>
        </w:tc>
        <w:tc>
          <w:tcPr>
            <w:tcW w:w="520" w:type="dxa"/>
            <w:vAlign w:val="bottom"/>
          </w:tcPr>
          <w:p>
            <w:pPr>
              <w:jc w:val="right"/>
              <w:ind w:right="135"/>
              <w:spacing w:after="0" w:line="138" w:lineRule="exact"/>
              <w:rPr>
                <w:sz w:val="20"/>
                <w:szCs w:val="20"/>
                <w:color w:val="auto"/>
              </w:rPr>
            </w:pPr>
            <w:r>
              <w:rPr>
                <w:rFonts w:ascii="Arial" w:cs="Arial" w:eastAsia="Arial" w:hAnsi="Arial"/>
                <w:sz w:val="13"/>
                <w:szCs w:val="13"/>
                <w:color w:val="auto"/>
              </w:rPr>
              <w:t>28</w:t>
            </w:r>
          </w:p>
        </w:tc>
      </w:tr>
      <w:tr>
        <w:trPr>
          <w:trHeight w:val="137"/>
        </w:trPr>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Borders>
              <w:top w:val="single" w:sz="8" w:color="0000EE"/>
            </w:tcBorders>
            <w:gridSpan w:val="2"/>
          </w:tcPr>
          <w:p>
            <w:pPr>
              <w:spacing w:after="0" w:line="138" w:lineRule="exact"/>
              <w:rPr>
                <w:rFonts w:ascii="Arial" w:cs="Arial" w:eastAsia="Arial" w:hAnsi="Arial"/>
                <w:sz w:val="13"/>
                <w:szCs w:val="13"/>
                <w:color w:val="0000EE"/>
                <w:w w:val="90"/>
              </w:rPr>
            </w:pPr>
            <w:hyperlink w:anchor="page30">
              <w:r>
                <w:rPr>
                  <w:rFonts w:ascii="Arial" w:cs="Arial" w:eastAsia="Arial" w:hAnsi="Arial"/>
                  <w:sz w:val="13"/>
                  <w:szCs w:val="13"/>
                  <w:color w:val="0000EE"/>
                  <w:w w:val="90"/>
                </w:rPr>
                <w:t>Item 6.</w:t>
              </w:r>
            </w:hyperlink>
          </w:p>
        </w:tc>
        <w:tc>
          <w:tcPr>
            <w:tcW w:w="380" w:type="dxa"/>
            <w:vAlign w:val="bottom"/>
            <w:gridSpan w:val="2"/>
          </w:tcPr>
          <w:p>
            <w:pPr>
              <w:spacing w:after="0"/>
              <w:rPr>
                <w:sz w:val="11"/>
                <w:szCs w:val="11"/>
                <w:color w:val="auto"/>
              </w:rPr>
            </w:pPr>
          </w:p>
        </w:tc>
        <w:tc>
          <w:tcPr>
            <w:tcW w:w="280" w:type="dxa"/>
            <w:vAlign w:val="bottom"/>
          </w:tcPr>
          <w:p>
            <w:pPr>
              <w:spacing w:after="0"/>
              <w:rPr>
                <w:sz w:val="11"/>
                <w:szCs w:val="11"/>
                <w:color w:val="auto"/>
              </w:rPr>
            </w:pPr>
          </w:p>
        </w:tc>
        <w:tc>
          <w:tcPr>
            <w:tcW w:w="3160" w:type="dxa"/>
            <w:vAlign w:val="bottom"/>
            <w:tcBorders>
              <w:top w:val="single" w:sz="8" w:color="0000EE"/>
            </w:tcBorders>
            <w:gridSpan w:val="9"/>
          </w:tcPr>
          <w:p>
            <w:pPr>
              <w:spacing w:after="0" w:line="138" w:lineRule="exact"/>
              <w:rPr>
                <w:rFonts w:ascii="Arial" w:cs="Arial" w:eastAsia="Arial" w:hAnsi="Arial"/>
                <w:sz w:val="13"/>
                <w:szCs w:val="13"/>
                <w:color w:val="0000EE"/>
              </w:rPr>
            </w:pPr>
            <w:hyperlink w:anchor="page30">
              <w:r>
                <w:rPr>
                  <w:rFonts w:ascii="Arial" w:cs="Arial" w:eastAsia="Arial" w:hAnsi="Arial"/>
                  <w:sz w:val="13"/>
                  <w:szCs w:val="13"/>
                  <w:color w:val="0000EE"/>
                </w:rPr>
                <w:t>Exhibits</w:t>
              </w:r>
            </w:hyperlink>
          </w:p>
        </w:tc>
        <w:tc>
          <w:tcPr>
            <w:tcW w:w="4880" w:type="dxa"/>
            <w:vAlign w:val="bottom"/>
            <w:gridSpan w:val="7"/>
          </w:tcPr>
          <w:p>
            <w:pPr>
              <w:spacing w:after="0"/>
              <w:rPr>
                <w:sz w:val="11"/>
                <w:szCs w:val="11"/>
                <w:color w:val="auto"/>
              </w:rPr>
            </w:pPr>
          </w:p>
        </w:tc>
        <w:tc>
          <w:tcPr>
            <w:tcW w:w="520" w:type="dxa"/>
            <w:vAlign w:val="bottom"/>
          </w:tcPr>
          <w:p>
            <w:pPr>
              <w:jc w:val="right"/>
              <w:ind w:right="135"/>
              <w:spacing w:after="0" w:line="138" w:lineRule="exact"/>
              <w:rPr>
                <w:sz w:val="20"/>
                <w:szCs w:val="20"/>
                <w:color w:val="auto"/>
              </w:rPr>
            </w:pPr>
            <w:r>
              <w:rPr>
                <w:rFonts w:ascii="Arial" w:cs="Arial" w:eastAsia="Arial" w:hAnsi="Arial"/>
                <w:sz w:val="13"/>
                <w:szCs w:val="13"/>
                <w:color w:val="auto"/>
              </w:rPr>
              <w:t>28</w:t>
            </w:r>
          </w:p>
        </w:tc>
      </w:tr>
      <w:tr>
        <w:trPr>
          <w:trHeight w:val="20"/>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37"/>
        </w:trPr>
        <w:tc>
          <w:tcPr>
            <w:tcW w:w="840" w:type="dxa"/>
            <w:vAlign w:val="bottom"/>
            <w:tcBorders>
              <w:bottom w:val="single" w:sz="8" w:color="0000EE"/>
            </w:tcBorders>
            <w:gridSpan w:val="5"/>
          </w:tcPr>
          <w:p>
            <w:pPr>
              <w:spacing w:after="0" w:line="138" w:lineRule="exact"/>
              <w:rPr>
                <w:rFonts w:ascii="Arial" w:cs="Arial" w:eastAsia="Arial" w:hAnsi="Arial"/>
                <w:sz w:val="13"/>
                <w:szCs w:val="13"/>
                <w:color w:val="0000EE"/>
                <w:w w:val="89"/>
              </w:rPr>
            </w:pPr>
            <w:hyperlink w:anchor="page31">
              <w:r>
                <w:rPr>
                  <w:rFonts w:ascii="Arial" w:cs="Arial" w:eastAsia="Arial" w:hAnsi="Arial"/>
                  <w:sz w:val="13"/>
                  <w:szCs w:val="13"/>
                  <w:color w:val="0000EE"/>
                  <w:w w:val="89"/>
                </w:rPr>
                <w:t>Signature Page</w:t>
              </w:r>
            </w:hyperlink>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520" w:type="dxa"/>
            <w:vAlign w:val="bottom"/>
          </w:tcPr>
          <w:p>
            <w:pPr>
              <w:jc w:val="right"/>
              <w:ind w:right="135"/>
              <w:spacing w:after="0" w:line="138" w:lineRule="exact"/>
              <w:rPr>
                <w:sz w:val="20"/>
                <w:szCs w:val="20"/>
                <w:color w:val="auto"/>
              </w:rPr>
            </w:pPr>
            <w:r>
              <w:rPr>
                <w:rFonts w:ascii="Arial" w:cs="Arial" w:eastAsia="Arial" w:hAnsi="Arial"/>
                <w:sz w:val="13"/>
                <w:szCs w:val="13"/>
                <w:color w:val="auto"/>
              </w:rPr>
              <w:t>29</w:t>
            </w:r>
          </w:p>
        </w:tc>
      </w:tr>
      <w:tr>
        <w:trPr>
          <w:trHeight w:val="137"/>
        </w:trPr>
        <w:tc>
          <w:tcPr>
            <w:tcW w:w="40" w:type="dxa"/>
            <w:vAlign w:val="bottom"/>
          </w:tcPr>
          <w:p>
            <w:pPr>
              <w:spacing w:after="0"/>
              <w:rPr>
                <w:sz w:val="11"/>
                <w:szCs w:val="11"/>
                <w:color w:val="auto"/>
              </w:rPr>
            </w:pPr>
          </w:p>
        </w:tc>
        <w:tc>
          <w:tcPr>
            <w:tcW w:w="440" w:type="dxa"/>
            <w:vAlign w:val="bottom"/>
            <w:tcBorders>
              <w:bottom w:val="single" w:sz="8" w:color="0000EE"/>
            </w:tcBorders>
            <w:gridSpan w:val="2"/>
          </w:tcPr>
          <w:p>
            <w:pPr>
              <w:spacing w:after="0" w:line="138" w:lineRule="exact"/>
              <w:rPr>
                <w:sz w:val="20"/>
                <w:szCs w:val="20"/>
                <w:color w:val="auto"/>
              </w:rPr>
            </w:pPr>
            <w:r>
              <w:rPr>
                <w:rFonts w:ascii="Arial" w:cs="Arial" w:eastAsia="Arial" w:hAnsi="Arial"/>
                <w:sz w:val="13"/>
                <w:szCs w:val="13"/>
                <w:color w:val="0000EE"/>
                <w:w w:val="89"/>
              </w:rPr>
              <w:t>EX-31.1</w:t>
            </w:r>
          </w:p>
        </w:tc>
        <w:tc>
          <w:tcPr>
            <w:tcW w:w="660" w:type="dxa"/>
            <w:vAlign w:val="bottom"/>
            <w:gridSpan w:val="3"/>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520" w:type="dxa"/>
            <w:vAlign w:val="bottom"/>
          </w:tcPr>
          <w:p>
            <w:pPr>
              <w:spacing w:after="0"/>
              <w:rPr>
                <w:sz w:val="11"/>
                <w:szCs w:val="11"/>
                <w:color w:val="auto"/>
              </w:rPr>
            </w:pPr>
          </w:p>
        </w:tc>
      </w:tr>
    </w:tbl>
    <w:p>
      <w:pPr>
        <w:spacing w:after="0" w:line="14"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EX-31.2</w:t>
      </w:r>
    </w:p>
    <w:p>
      <w:pPr>
        <w:spacing w:after="0" w:line="12"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EX-32.1</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EX-32.2</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16" w:right="10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49"/>
        </w:trPr>
        <w:tc>
          <w:tcPr>
            <w:tcW w:w="1480" w:type="dxa"/>
            <w:vAlign w:val="bottom"/>
            <w:gridSpan w:val="3"/>
          </w:tcPr>
          <w:p>
            <w:pPr>
              <w:spacing w:after="0"/>
              <w:rPr>
                <w:rFonts w:ascii="Arial" w:cs="Arial" w:eastAsia="Arial" w:hAnsi="Arial"/>
                <w:sz w:val="13"/>
                <w:szCs w:val="13"/>
                <w:b w:val="1"/>
                <w:bCs w:val="1"/>
                <w:color w:val="0000EE"/>
              </w:rPr>
            </w:pPr>
            <w:hyperlink w:anchor="page3">
              <w:r>
                <w:rPr>
                  <w:rFonts w:ascii="Arial" w:cs="Arial" w:eastAsia="Arial" w:hAnsi="Arial"/>
                  <w:sz w:val="13"/>
                  <w:szCs w:val="13"/>
                  <w:b w:val="1"/>
                  <w:bCs w:val="1"/>
                  <w:color w:val="0000EE"/>
                </w:rPr>
                <w:t>Table of Contents</w:t>
              </w:r>
            </w:hyperlink>
          </w:p>
        </w:tc>
        <w:tc>
          <w:tcPr>
            <w:tcW w:w="7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1"/>
        </w:trPr>
        <w:tc>
          <w:tcPr>
            <w:tcW w:w="6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500" w:type="dxa"/>
            <w:vAlign w:val="bottom"/>
          </w:tcPr>
          <w:p>
            <w:pPr>
              <w:spacing w:after="0"/>
              <w:rPr>
                <w:sz w:val="24"/>
                <w:szCs w:val="24"/>
                <w:color w:val="auto"/>
              </w:rPr>
            </w:pPr>
          </w:p>
        </w:tc>
        <w:tc>
          <w:tcPr>
            <w:tcW w:w="7000" w:type="dxa"/>
            <w:vAlign w:val="bottom"/>
          </w:tcPr>
          <w:p>
            <w:pPr>
              <w:jc w:val="center"/>
              <w:ind w:left="1314"/>
              <w:spacing w:after="0"/>
              <w:rPr>
                <w:sz w:val="20"/>
                <w:szCs w:val="20"/>
                <w:color w:val="auto"/>
              </w:rPr>
            </w:pPr>
            <w:r>
              <w:rPr>
                <w:rFonts w:ascii="Arial" w:cs="Arial" w:eastAsia="Arial" w:hAnsi="Arial"/>
                <w:sz w:val="13"/>
                <w:szCs w:val="13"/>
                <w:b w:val="1"/>
                <w:bCs w:val="1"/>
                <w:color w:val="auto"/>
                <w:w w:val="98"/>
              </w:rPr>
              <w:t>PART I</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6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000" w:type="dxa"/>
            <w:vAlign w:val="bottom"/>
          </w:tcPr>
          <w:p>
            <w:pPr>
              <w:jc w:val="center"/>
              <w:ind w:left="1314"/>
              <w:spacing w:after="0"/>
              <w:rPr>
                <w:sz w:val="20"/>
                <w:szCs w:val="20"/>
                <w:color w:val="auto"/>
              </w:rPr>
            </w:pPr>
            <w:r>
              <w:rPr>
                <w:rFonts w:ascii="Arial" w:cs="Arial" w:eastAsia="Arial" w:hAnsi="Arial"/>
                <w:sz w:val="13"/>
                <w:szCs w:val="13"/>
                <w:b w:val="1"/>
                <w:bCs w:val="1"/>
                <w:color w:val="auto"/>
              </w:rPr>
              <w:t>FINANCIAL INFORMATION</w:t>
            </w: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680" w:type="dxa"/>
            <w:vAlign w:val="bottom"/>
          </w:tcPr>
          <w:p>
            <w:pPr>
              <w:spacing w:after="0"/>
              <w:rPr>
                <w:sz w:val="24"/>
                <w:szCs w:val="24"/>
                <w:color w:val="auto"/>
              </w:rPr>
            </w:pPr>
          </w:p>
        </w:tc>
        <w:tc>
          <w:tcPr>
            <w:tcW w:w="800" w:type="dxa"/>
            <w:vAlign w:val="bottom"/>
            <w:gridSpan w:val="2"/>
          </w:tcPr>
          <w:p>
            <w:pPr>
              <w:spacing w:after="0"/>
              <w:rPr>
                <w:sz w:val="20"/>
                <w:szCs w:val="20"/>
                <w:color w:val="auto"/>
              </w:rPr>
            </w:pPr>
            <w:r>
              <w:rPr>
                <w:rFonts w:ascii="Arial" w:cs="Arial" w:eastAsia="Arial" w:hAnsi="Arial"/>
                <w:sz w:val="13"/>
                <w:szCs w:val="13"/>
                <w:b w:val="1"/>
                <w:bCs w:val="1"/>
                <w:color w:val="auto"/>
              </w:rPr>
              <w:t>Item 1.</w:t>
            </w:r>
          </w:p>
        </w:tc>
        <w:tc>
          <w:tcPr>
            <w:tcW w:w="7000" w:type="dxa"/>
            <w:vAlign w:val="bottom"/>
          </w:tcPr>
          <w:p>
            <w:pPr>
              <w:ind w:left="20"/>
              <w:spacing w:after="0"/>
              <w:rPr>
                <w:sz w:val="20"/>
                <w:szCs w:val="20"/>
                <w:color w:val="auto"/>
              </w:rPr>
            </w:pPr>
            <w:r>
              <w:rPr>
                <w:rFonts w:ascii="Arial" w:cs="Arial" w:eastAsia="Arial" w:hAnsi="Arial"/>
                <w:sz w:val="13"/>
                <w:szCs w:val="13"/>
                <w:b w:val="1"/>
                <w:bCs w:val="1"/>
                <w:i w:val="1"/>
                <w:iCs w:val="1"/>
                <w:color w:val="auto"/>
              </w:rPr>
              <w:t>Financial Statements</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3"/>
        </w:trPr>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0" w:type="dxa"/>
            <w:vAlign w:val="bottom"/>
          </w:tcPr>
          <w:p>
            <w:pPr>
              <w:jc w:val="center"/>
              <w:ind w:left="1334"/>
              <w:spacing w:after="0"/>
              <w:rPr>
                <w:sz w:val="20"/>
                <w:szCs w:val="20"/>
                <w:color w:val="auto"/>
              </w:rPr>
            </w:pPr>
            <w:r>
              <w:rPr>
                <w:rFonts w:ascii="Arial" w:cs="Arial" w:eastAsia="Arial" w:hAnsi="Arial"/>
                <w:sz w:val="13"/>
                <w:szCs w:val="13"/>
                <w:b w:val="1"/>
                <w:bCs w:val="1"/>
                <w:color w:val="auto"/>
                <w:w w:val="99"/>
              </w:rPr>
              <w:t>AVNET, INC. AND SUBSIDIARIES</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000" w:type="dxa"/>
            <w:vAlign w:val="bottom"/>
          </w:tcPr>
          <w:p>
            <w:pPr>
              <w:jc w:val="center"/>
              <w:ind w:left="1334"/>
              <w:spacing w:after="0"/>
              <w:rPr>
                <w:sz w:val="20"/>
                <w:szCs w:val="20"/>
                <w:color w:val="auto"/>
              </w:rPr>
            </w:pPr>
            <w:r>
              <w:rPr>
                <w:rFonts w:ascii="Arial" w:cs="Arial" w:eastAsia="Arial" w:hAnsi="Arial"/>
                <w:sz w:val="13"/>
                <w:szCs w:val="13"/>
                <w:b w:val="1"/>
                <w:bCs w:val="1"/>
                <w:color w:val="auto"/>
              </w:rPr>
              <w:t>CONSOLIDATED BALANCE SHEETS</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0" w:type="dxa"/>
            <w:vAlign w:val="bottom"/>
          </w:tcPr>
          <w:p>
            <w:pPr>
              <w:jc w:val="center"/>
              <w:ind w:left="1334"/>
              <w:spacing w:after="0"/>
              <w:rPr>
                <w:sz w:val="20"/>
                <w:szCs w:val="20"/>
                <w:color w:val="auto"/>
              </w:rPr>
            </w:pPr>
            <w:r>
              <w:rPr>
                <w:rFonts w:ascii="Arial" w:cs="Arial" w:eastAsia="Arial" w:hAnsi="Arial"/>
                <w:sz w:val="13"/>
                <w:szCs w:val="13"/>
                <w:b w:val="1"/>
                <w:bCs w:val="1"/>
                <w:color w:val="auto"/>
                <w:w w:val="94"/>
              </w:rPr>
              <w:t>(Unaudited)</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9"/>
        </w:trPr>
        <w:tc>
          <w:tcPr>
            <w:tcW w:w="6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0"/>
                <w:szCs w:val="10"/>
                <w:b w:val="1"/>
                <w:bCs w:val="1"/>
                <w:color w:val="auto"/>
                <w:w w:val="93"/>
              </w:rPr>
              <w:t>September 30,</w:t>
            </w:r>
          </w:p>
        </w:tc>
        <w:tc>
          <w:tcPr>
            <w:tcW w:w="220" w:type="dxa"/>
            <w:vAlign w:val="bottom"/>
          </w:tcPr>
          <w:p>
            <w:pPr>
              <w:spacing w:after="0"/>
              <w:rPr>
                <w:sz w:val="23"/>
                <w:szCs w:val="23"/>
                <w:color w:val="auto"/>
              </w:rPr>
            </w:pPr>
          </w:p>
        </w:tc>
        <w:tc>
          <w:tcPr>
            <w:tcW w:w="68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96"/>
              </w:rPr>
              <w:t>July 1,</w:t>
            </w: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0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ind w:right="277"/>
              <w:spacing w:after="0"/>
              <w:rPr>
                <w:sz w:val="20"/>
                <w:szCs w:val="20"/>
                <w:color w:val="auto"/>
              </w:rPr>
            </w:pPr>
            <w:r>
              <w:rPr>
                <w:rFonts w:ascii="Arial" w:cs="Arial" w:eastAsia="Arial" w:hAnsi="Arial"/>
                <w:sz w:val="10"/>
                <w:szCs w:val="10"/>
                <w:b w:val="1"/>
                <w:bCs w:val="1"/>
                <w:color w:val="auto"/>
              </w:rPr>
              <w:t>2006</w:t>
            </w:r>
          </w:p>
        </w:tc>
        <w:tc>
          <w:tcPr>
            <w:tcW w:w="38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ind w:right="216"/>
              <w:spacing w:after="0"/>
              <w:rPr>
                <w:sz w:val="20"/>
                <w:szCs w:val="20"/>
                <w:color w:val="auto"/>
              </w:rPr>
            </w:pPr>
            <w:r>
              <w:rPr>
                <w:rFonts w:ascii="Arial" w:cs="Arial" w:eastAsia="Arial" w:hAnsi="Arial"/>
                <w:sz w:val="10"/>
                <w:szCs w:val="10"/>
                <w:b w:val="1"/>
                <w:bCs w:val="1"/>
                <w:color w:val="auto"/>
              </w:rPr>
              <w:t>2006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680" w:type="dxa"/>
            <w:vAlign w:val="bottom"/>
          </w:tcPr>
          <w:p>
            <w:pPr>
              <w:spacing w:after="0"/>
              <w:rPr>
                <w:sz w:val="7"/>
                <w:szCs w:val="7"/>
                <w:color w:val="auto"/>
              </w:rPr>
            </w:pPr>
          </w:p>
        </w:tc>
        <w:tc>
          <w:tcPr>
            <w:tcW w:w="300" w:type="dxa"/>
            <w:vAlign w:val="bottom"/>
          </w:tcPr>
          <w:p>
            <w:pPr>
              <w:spacing w:after="0"/>
              <w:rPr>
                <w:sz w:val="7"/>
                <w:szCs w:val="7"/>
                <w:color w:val="auto"/>
              </w:rPr>
            </w:pPr>
          </w:p>
        </w:tc>
        <w:tc>
          <w:tcPr>
            <w:tcW w:w="500" w:type="dxa"/>
            <w:vAlign w:val="bottom"/>
          </w:tcPr>
          <w:p>
            <w:pPr>
              <w:spacing w:after="0"/>
              <w:rPr>
                <w:sz w:val="7"/>
                <w:szCs w:val="7"/>
                <w:color w:val="auto"/>
              </w:rPr>
            </w:pPr>
          </w:p>
        </w:tc>
        <w:tc>
          <w:tcPr>
            <w:tcW w:w="7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0" w:type="dxa"/>
            <w:vAlign w:val="bottom"/>
            <w:gridSpan w:val="3"/>
          </w:tcPr>
          <w:p>
            <w:pPr>
              <w:jc w:val="right"/>
              <w:spacing w:after="0" w:line="81" w:lineRule="exact"/>
              <w:rPr>
                <w:sz w:val="20"/>
                <w:szCs w:val="20"/>
                <w:color w:val="auto"/>
              </w:rPr>
            </w:pPr>
            <w:r>
              <w:rPr>
                <w:rFonts w:ascii="Arial" w:cs="Arial" w:eastAsia="Arial" w:hAnsi="Arial"/>
                <w:sz w:val="9"/>
                <w:szCs w:val="9"/>
                <w:b w:val="1"/>
                <w:bCs w:val="1"/>
                <w:color w:val="auto"/>
              </w:rPr>
              <w:t>(Thousands, except</w:t>
            </w: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gridSpan w:val="3"/>
          </w:tcPr>
          <w:p>
            <w:pPr>
              <w:jc w:val="right"/>
              <w:ind w:right="54"/>
              <w:spacing w:after="0"/>
              <w:rPr>
                <w:sz w:val="20"/>
                <w:szCs w:val="20"/>
                <w:color w:val="auto"/>
              </w:rPr>
            </w:pPr>
            <w:r>
              <w:rPr>
                <w:rFonts w:ascii="Arial" w:cs="Arial" w:eastAsia="Arial" w:hAnsi="Arial"/>
                <w:sz w:val="10"/>
                <w:szCs w:val="10"/>
                <w:b w:val="1"/>
                <w:bCs w:val="1"/>
                <w:color w:val="auto"/>
              </w:rPr>
              <w:t>share amounts)</w:t>
            </w: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7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7000" w:type="dxa"/>
            <w:vAlign w:val="bottom"/>
            <w:shd w:val="clear" w:color="auto" w:fill="CCEEFF"/>
          </w:tcPr>
          <w:p>
            <w:pPr>
              <w:jc w:val="center"/>
              <w:ind w:left="1334"/>
              <w:spacing w:after="0"/>
              <w:rPr>
                <w:sz w:val="20"/>
                <w:szCs w:val="20"/>
                <w:color w:val="auto"/>
              </w:rPr>
            </w:pPr>
            <w:r>
              <w:rPr>
                <w:rFonts w:ascii="Arial" w:cs="Arial" w:eastAsia="Arial" w:hAnsi="Arial"/>
                <w:sz w:val="13"/>
                <w:szCs w:val="13"/>
                <w:b w:val="1"/>
                <w:bCs w:val="1"/>
                <w:color w:val="auto"/>
                <w:w w:val="92"/>
              </w:rPr>
              <w:t>ASSETS</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800" w:type="dxa"/>
            <w:vAlign w:val="bottom"/>
            <w:gridSpan w:val="2"/>
          </w:tcPr>
          <w:p>
            <w:pPr>
              <w:spacing w:after="0"/>
              <w:rPr>
                <w:sz w:val="20"/>
                <w:szCs w:val="20"/>
                <w:color w:val="auto"/>
              </w:rPr>
            </w:pPr>
            <w:r>
              <w:rPr>
                <w:rFonts w:ascii="Arial" w:cs="Arial" w:eastAsia="Arial" w:hAnsi="Arial"/>
                <w:sz w:val="13"/>
                <w:szCs w:val="13"/>
                <w:color w:val="auto"/>
                <w:w w:val="88"/>
              </w:rPr>
              <w:t>Current assets:</w:t>
            </w:r>
          </w:p>
        </w:tc>
        <w:tc>
          <w:tcPr>
            <w:tcW w:w="7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800" w:type="dxa"/>
            <w:vAlign w:val="bottom"/>
            <w:gridSpan w:val="3"/>
            <w:shd w:val="clear" w:color="auto" w:fill="CCEEFF"/>
          </w:tcPr>
          <w:p>
            <w:pPr>
              <w:ind w:left="140"/>
              <w:spacing w:after="0"/>
              <w:rPr>
                <w:sz w:val="20"/>
                <w:szCs w:val="20"/>
                <w:color w:val="auto"/>
              </w:rPr>
            </w:pPr>
            <w:r>
              <w:rPr>
                <w:rFonts w:ascii="Arial" w:cs="Arial" w:eastAsia="Arial" w:hAnsi="Arial"/>
                <w:sz w:val="13"/>
                <w:szCs w:val="13"/>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481,779</w:t>
            </w:r>
          </w:p>
        </w:tc>
        <w:tc>
          <w:tcPr>
            <w:tcW w:w="220" w:type="dxa"/>
            <w:vAlign w:val="bottom"/>
            <w:shd w:val="clear" w:color="auto" w:fill="CCEEFF"/>
          </w:tcPr>
          <w:p>
            <w:pPr>
              <w:jc w:val="right"/>
              <w:ind w:right="74"/>
              <w:spacing w:after="0"/>
              <w:rPr>
                <w:sz w:val="20"/>
                <w:szCs w:val="20"/>
                <w:color w:val="auto"/>
              </w:rPr>
            </w:pPr>
            <w:r>
              <w:rPr>
                <w:rFonts w:ascii="Arial" w:cs="Arial" w:eastAsia="Arial" w:hAnsi="Arial"/>
                <w:sz w:val="13"/>
                <w:szCs w:val="13"/>
                <w:color w:val="auto"/>
                <w:w w:val="82"/>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276,713</w:t>
            </w: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800" w:type="dxa"/>
            <w:vAlign w:val="bottom"/>
            <w:gridSpan w:val="3"/>
          </w:tcPr>
          <w:p>
            <w:pPr>
              <w:ind w:left="140"/>
              <w:spacing w:after="0"/>
              <w:rPr>
                <w:sz w:val="20"/>
                <w:szCs w:val="20"/>
                <w:color w:val="auto"/>
              </w:rPr>
            </w:pPr>
            <w:r>
              <w:rPr>
                <w:rFonts w:ascii="Arial" w:cs="Arial" w:eastAsia="Arial" w:hAnsi="Arial"/>
                <w:sz w:val="13"/>
                <w:szCs w:val="13"/>
                <w:color w:val="auto"/>
              </w:rPr>
              <w:t>Receivables, less allowances of $89,354 and $88,983, respectively</w:t>
            </w:r>
          </w:p>
        </w:tc>
        <w:tc>
          <w:tcPr>
            <w:tcW w:w="100" w:type="dxa"/>
            <w:vAlign w:val="bottom"/>
          </w:tcPr>
          <w:p>
            <w:pPr>
              <w:spacing w:after="0"/>
              <w:rPr>
                <w:sz w:val="13"/>
                <w:szCs w:val="13"/>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3"/>
                <w:szCs w:val="13"/>
                <w:color w:val="auto"/>
              </w:rPr>
              <w:t>2,557,413</w:t>
            </w:r>
          </w:p>
        </w:tc>
        <w:tc>
          <w:tcPr>
            <w:tcW w:w="22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w w:val="96"/>
              </w:rPr>
              <w:t>2,477,043</w:t>
            </w: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8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Inventories</w:t>
            </w:r>
          </w:p>
        </w:tc>
        <w:tc>
          <w:tcPr>
            <w:tcW w:w="7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1,652,661</w:t>
            </w:r>
          </w:p>
        </w:tc>
        <w:tc>
          <w:tcPr>
            <w:tcW w:w="2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6"/>
              </w:rPr>
              <w:t>1,616,580</w:t>
            </w: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800" w:type="dxa"/>
            <w:vAlign w:val="bottom"/>
            <w:gridSpan w:val="3"/>
          </w:tcPr>
          <w:p>
            <w:pPr>
              <w:ind w:left="140"/>
              <w:spacing w:after="0"/>
              <w:rPr>
                <w:sz w:val="20"/>
                <w:szCs w:val="20"/>
                <w:color w:val="auto"/>
              </w:rPr>
            </w:pPr>
            <w:r>
              <w:rPr>
                <w:rFonts w:ascii="Arial" w:cs="Arial" w:eastAsia="Arial" w:hAnsi="Arial"/>
                <w:sz w:val="13"/>
                <w:szCs w:val="13"/>
                <w:color w:val="auto"/>
              </w:rPr>
              <w:t>Prepaid and other current assets</w:t>
            </w: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129,390</w:t>
            </w: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97,126</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7800" w:type="dxa"/>
            <w:vAlign w:val="bottom"/>
            <w:gridSpan w:val="3"/>
            <w:shd w:val="clear" w:color="auto" w:fill="CCEEFF"/>
          </w:tcPr>
          <w:p>
            <w:pPr>
              <w:ind w:left="280"/>
              <w:spacing w:after="0"/>
              <w:rPr>
                <w:sz w:val="20"/>
                <w:szCs w:val="20"/>
                <w:color w:val="auto"/>
              </w:rPr>
            </w:pPr>
            <w:r>
              <w:rPr>
                <w:rFonts w:ascii="Arial" w:cs="Arial" w:eastAsia="Arial" w:hAnsi="Arial"/>
                <w:sz w:val="13"/>
                <w:szCs w:val="13"/>
                <w:color w:val="auto"/>
              </w:rPr>
              <w:t>Total current assets</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4,821,243</w:t>
            </w:r>
          </w:p>
        </w:tc>
        <w:tc>
          <w:tcPr>
            <w:tcW w:w="3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6"/>
              </w:rPr>
              <w:t>4,467,462</w:t>
            </w: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800" w:type="dxa"/>
            <w:vAlign w:val="bottom"/>
            <w:gridSpan w:val="3"/>
          </w:tcPr>
          <w:p>
            <w:pPr>
              <w:spacing w:after="0"/>
              <w:rPr>
                <w:sz w:val="20"/>
                <w:szCs w:val="20"/>
                <w:color w:val="auto"/>
              </w:rPr>
            </w:pPr>
            <w:r>
              <w:rPr>
                <w:rFonts w:ascii="Arial" w:cs="Arial" w:eastAsia="Arial" w:hAnsi="Arial"/>
                <w:sz w:val="13"/>
                <w:szCs w:val="13"/>
                <w:color w:val="auto"/>
              </w:rPr>
              <w:t>Property, plant and equipment, net</w:t>
            </w:r>
          </w:p>
        </w:tc>
        <w:tc>
          <w:tcPr>
            <w:tcW w:w="100" w:type="dxa"/>
            <w:vAlign w:val="bottom"/>
          </w:tcPr>
          <w:p>
            <w:pPr>
              <w:spacing w:after="0"/>
              <w:rPr>
                <w:sz w:val="13"/>
                <w:szCs w:val="13"/>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3"/>
                <w:szCs w:val="13"/>
                <w:color w:val="auto"/>
              </w:rPr>
              <w:t>161,860</w:t>
            </w:r>
          </w:p>
        </w:tc>
        <w:tc>
          <w:tcPr>
            <w:tcW w:w="22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159,433</w:t>
            </w: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8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Goodwill (Notes 3 and 4)</w:t>
            </w: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1,296,468</w:t>
            </w:r>
          </w:p>
        </w:tc>
        <w:tc>
          <w:tcPr>
            <w:tcW w:w="2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6"/>
              </w:rPr>
              <w:t>1,296,597</w:t>
            </w: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800" w:type="dxa"/>
            <w:vAlign w:val="bottom"/>
            <w:gridSpan w:val="2"/>
          </w:tcPr>
          <w:p>
            <w:pPr>
              <w:spacing w:after="0"/>
              <w:rPr>
                <w:sz w:val="20"/>
                <w:szCs w:val="20"/>
                <w:color w:val="auto"/>
              </w:rPr>
            </w:pPr>
            <w:r>
              <w:rPr>
                <w:rFonts w:ascii="Arial" w:cs="Arial" w:eastAsia="Arial" w:hAnsi="Arial"/>
                <w:sz w:val="13"/>
                <w:szCs w:val="13"/>
                <w:color w:val="auto"/>
              </w:rPr>
              <w:t>Other assets</w:t>
            </w:r>
          </w:p>
        </w:tc>
        <w:tc>
          <w:tcPr>
            <w:tcW w:w="7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242,917</w:t>
            </w: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292,201</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7800" w:type="dxa"/>
            <w:vAlign w:val="bottom"/>
            <w:gridSpan w:val="3"/>
            <w:shd w:val="clear" w:color="auto" w:fill="CCEEFF"/>
          </w:tcPr>
          <w:p>
            <w:pPr>
              <w:ind w:left="280"/>
              <w:spacing w:after="0"/>
              <w:rPr>
                <w:sz w:val="20"/>
                <w:szCs w:val="20"/>
                <w:color w:val="auto"/>
              </w:rPr>
            </w:pPr>
            <w:r>
              <w:rPr>
                <w:rFonts w:ascii="Arial" w:cs="Arial" w:eastAsia="Arial" w:hAnsi="Arial"/>
                <w:sz w:val="13"/>
                <w:szCs w:val="13"/>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6,522,488</w:t>
            </w:r>
          </w:p>
        </w:tc>
        <w:tc>
          <w:tcPr>
            <w:tcW w:w="3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74"/>
              <w:spacing w:after="0"/>
              <w:rPr>
                <w:sz w:val="20"/>
                <w:szCs w:val="20"/>
                <w:color w:val="auto"/>
              </w:rPr>
            </w:pPr>
            <w:r>
              <w:rPr>
                <w:rFonts w:ascii="Arial" w:cs="Arial" w:eastAsia="Arial" w:hAnsi="Arial"/>
                <w:sz w:val="13"/>
                <w:szCs w:val="13"/>
                <w:color w:val="auto"/>
                <w:w w:val="82"/>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6"/>
              </w:rPr>
              <w:t>6,215,693</w:t>
            </w:r>
          </w:p>
        </w:tc>
        <w:tc>
          <w:tcPr>
            <w:tcW w:w="0" w:type="dxa"/>
            <w:vAlign w:val="bottom"/>
          </w:tcPr>
          <w:p>
            <w:pPr>
              <w:spacing w:after="0"/>
              <w:rPr>
                <w:sz w:val="1"/>
                <w:szCs w:val="1"/>
                <w:color w:val="auto"/>
              </w:rPr>
            </w:pPr>
          </w:p>
        </w:tc>
      </w:tr>
      <w:tr>
        <w:trPr>
          <w:trHeight w:val="284"/>
        </w:trPr>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0" w:type="dxa"/>
            <w:vAlign w:val="bottom"/>
          </w:tcPr>
          <w:p>
            <w:pPr>
              <w:jc w:val="center"/>
              <w:ind w:left="1334"/>
              <w:spacing w:after="0"/>
              <w:rPr>
                <w:sz w:val="20"/>
                <w:szCs w:val="20"/>
                <w:color w:val="auto"/>
              </w:rPr>
            </w:pPr>
            <w:r>
              <w:rPr>
                <w:rFonts w:ascii="Arial" w:cs="Arial" w:eastAsia="Arial" w:hAnsi="Arial"/>
                <w:sz w:val="13"/>
                <w:szCs w:val="13"/>
                <w:b w:val="1"/>
                <w:bCs w:val="1"/>
                <w:color w:val="auto"/>
              </w:rPr>
              <w:t>LIABILITIES AND SHAREHOLDERS’ EQUITY</w:t>
            </w:r>
          </w:p>
        </w:tc>
        <w:tc>
          <w:tcPr>
            <w:tcW w:w="100" w:type="dxa"/>
            <w:vAlign w:val="bottom"/>
            <w:tcBorders>
              <w:top w:val="single" w:sz="8" w:color="000003"/>
            </w:tcBorders>
          </w:tcPr>
          <w:p>
            <w:pPr>
              <w:spacing w:after="0"/>
              <w:rPr>
                <w:sz w:val="24"/>
                <w:szCs w:val="24"/>
                <w:color w:val="auto"/>
              </w:rPr>
            </w:pPr>
          </w:p>
        </w:tc>
        <w:tc>
          <w:tcPr>
            <w:tcW w:w="800" w:type="dxa"/>
            <w:vAlign w:val="bottom"/>
            <w:tcBorders>
              <w:top w:val="single" w:sz="8" w:color="000003"/>
            </w:tcBorders>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Borders>
              <w:top w:val="single" w:sz="8" w:color="000003"/>
            </w:tcBorders>
          </w:tcPr>
          <w:p>
            <w:pPr>
              <w:spacing w:after="0"/>
              <w:rPr>
                <w:sz w:val="24"/>
                <w:szCs w:val="24"/>
                <w:color w:val="auto"/>
              </w:rPr>
            </w:pPr>
          </w:p>
        </w:tc>
        <w:tc>
          <w:tcPr>
            <w:tcW w:w="580" w:type="dxa"/>
            <w:vAlign w:val="bottom"/>
            <w:tcBorders>
              <w:top w:val="single" w:sz="8" w:color="000003"/>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8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Current liabilities:</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800" w:type="dxa"/>
            <w:vAlign w:val="bottom"/>
            <w:gridSpan w:val="3"/>
          </w:tcPr>
          <w:p>
            <w:pPr>
              <w:ind w:left="140"/>
              <w:spacing w:after="0"/>
              <w:rPr>
                <w:sz w:val="20"/>
                <w:szCs w:val="20"/>
                <w:color w:val="auto"/>
              </w:rPr>
            </w:pPr>
            <w:r>
              <w:rPr>
                <w:rFonts w:ascii="Arial" w:cs="Arial" w:eastAsia="Arial" w:hAnsi="Arial"/>
                <w:sz w:val="13"/>
                <w:szCs w:val="13"/>
                <w:color w:val="auto"/>
              </w:rPr>
              <w:t>Borrowings due within one year (Note 5)</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gridSpan w:val="2"/>
          </w:tcPr>
          <w:p>
            <w:pPr>
              <w:jc w:val="right"/>
              <w:ind w:right="380"/>
              <w:spacing w:after="0"/>
              <w:rPr>
                <w:sz w:val="20"/>
                <w:szCs w:val="20"/>
                <w:color w:val="auto"/>
              </w:rPr>
            </w:pPr>
            <w:r>
              <w:rPr>
                <w:rFonts w:ascii="Arial" w:cs="Arial" w:eastAsia="Arial" w:hAnsi="Arial"/>
                <w:sz w:val="13"/>
                <w:szCs w:val="13"/>
                <w:color w:val="auto"/>
              </w:rPr>
              <w:t>628,254</w:t>
            </w:r>
          </w:p>
        </w:tc>
        <w:tc>
          <w:tcPr>
            <w:tcW w:w="220" w:type="dxa"/>
            <w:vAlign w:val="bottom"/>
          </w:tcPr>
          <w:p>
            <w:pPr>
              <w:jc w:val="right"/>
              <w:ind w:right="74"/>
              <w:spacing w:after="0"/>
              <w:rPr>
                <w:sz w:val="20"/>
                <w:szCs w:val="20"/>
                <w:color w:val="auto"/>
              </w:rPr>
            </w:pPr>
            <w:r>
              <w:rPr>
                <w:rFonts w:ascii="Arial" w:cs="Arial" w:eastAsia="Arial" w:hAnsi="Arial"/>
                <w:sz w:val="13"/>
                <w:szCs w:val="13"/>
                <w:color w:val="auto"/>
                <w:w w:val="82"/>
              </w:rPr>
              <w:t>$</w:t>
            </w: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316,016</w:t>
            </w: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800" w:type="dxa"/>
            <w:vAlign w:val="bottom"/>
            <w:gridSpan w:val="3"/>
            <w:shd w:val="clear" w:color="auto" w:fill="CCEEFF"/>
          </w:tcPr>
          <w:p>
            <w:pPr>
              <w:ind w:left="140"/>
              <w:spacing w:after="0"/>
              <w:rPr>
                <w:sz w:val="20"/>
                <w:szCs w:val="20"/>
                <w:color w:val="auto"/>
              </w:rPr>
            </w:pPr>
            <w:r>
              <w:rPr>
                <w:rFonts w:ascii="Arial" w:cs="Arial" w:eastAsia="Arial" w:hAnsi="Arial"/>
                <w:sz w:val="13"/>
                <w:szCs w:val="13"/>
                <w:color w:val="auto"/>
              </w:rPr>
              <w:t>Accounts payable</w:t>
            </w: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1,647,128</w:t>
            </w:r>
          </w:p>
        </w:tc>
        <w:tc>
          <w:tcPr>
            <w:tcW w:w="2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6"/>
              </w:rPr>
              <w:t>1,654,154</w:t>
            </w: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800" w:type="dxa"/>
            <w:vAlign w:val="bottom"/>
            <w:gridSpan w:val="3"/>
          </w:tcPr>
          <w:p>
            <w:pPr>
              <w:ind w:left="140"/>
              <w:spacing w:after="0"/>
              <w:rPr>
                <w:sz w:val="20"/>
                <w:szCs w:val="20"/>
                <w:color w:val="auto"/>
              </w:rPr>
            </w:pPr>
            <w:r>
              <w:rPr>
                <w:rFonts w:ascii="Arial" w:cs="Arial" w:eastAsia="Arial" w:hAnsi="Arial"/>
                <w:sz w:val="13"/>
                <w:szCs w:val="13"/>
                <w:color w:val="auto"/>
              </w:rPr>
              <w:t>Accrued expenses and other</w:t>
            </w: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457,637</w:t>
            </w: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468,154</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7800" w:type="dxa"/>
            <w:vAlign w:val="bottom"/>
            <w:gridSpan w:val="3"/>
            <w:shd w:val="clear" w:color="auto" w:fill="CCEEFF"/>
          </w:tcPr>
          <w:p>
            <w:pPr>
              <w:ind w:left="280"/>
              <w:spacing w:after="0"/>
              <w:rPr>
                <w:sz w:val="20"/>
                <w:szCs w:val="20"/>
                <w:color w:val="auto"/>
              </w:rPr>
            </w:pPr>
            <w:r>
              <w:rPr>
                <w:rFonts w:ascii="Arial" w:cs="Arial" w:eastAsia="Arial" w:hAnsi="Arial"/>
                <w:sz w:val="13"/>
                <w:szCs w:val="13"/>
                <w:color w:val="auto"/>
              </w:rPr>
              <w:t>Total current liabilities</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2,733,019</w:t>
            </w:r>
          </w:p>
        </w:tc>
        <w:tc>
          <w:tcPr>
            <w:tcW w:w="3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6"/>
              </w:rPr>
              <w:t>2,438,324</w:t>
            </w: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800" w:type="dxa"/>
            <w:vAlign w:val="bottom"/>
            <w:gridSpan w:val="3"/>
          </w:tcPr>
          <w:p>
            <w:pPr>
              <w:spacing w:after="0"/>
              <w:rPr>
                <w:sz w:val="20"/>
                <w:szCs w:val="20"/>
                <w:color w:val="auto"/>
              </w:rPr>
            </w:pPr>
            <w:r>
              <w:rPr>
                <w:rFonts w:ascii="Arial" w:cs="Arial" w:eastAsia="Arial" w:hAnsi="Arial"/>
                <w:sz w:val="13"/>
                <w:szCs w:val="13"/>
                <w:color w:val="auto"/>
              </w:rPr>
              <w:t>Long-term debt, less due within one year (Note 5)</w:t>
            </w:r>
          </w:p>
        </w:tc>
        <w:tc>
          <w:tcPr>
            <w:tcW w:w="100" w:type="dxa"/>
            <w:vAlign w:val="bottom"/>
          </w:tcPr>
          <w:p>
            <w:pPr>
              <w:spacing w:after="0"/>
              <w:rPr>
                <w:sz w:val="13"/>
                <w:szCs w:val="13"/>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3"/>
                <w:szCs w:val="13"/>
                <w:color w:val="auto"/>
              </w:rPr>
              <w:t>857,310</w:t>
            </w:r>
          </w:p>
        </w:tc>
        <w:tc>
          <w:tcPr>
            <w:tcW w:w="22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918,810</w:t>
            </w: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8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Other long-term liabilities</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23,096</w:t>
            </w:r>
          </w:p>
        </w:tc>
        <w:tc>
          <w:tcPr>
            <w:tcW w:w="3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27,376</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7800" w:type="dxa"/>
            <w:vAlign w:val="bottom"/>
            <w:gridSpan w:val="3"/>
            <w:vMerge w:val="restart"/>
          </w:tcPr>
          <w:p>
            <w:pPr>
              <w:ind w:left="280"/>
              <w:spacing w:after="0"/>
              <w:rPr>
                <w:sz w:val="20"/>
                <w:szCs w:val="20"/>
                <w:color w:val="auto"/>
              </w:rPr>
            </w:pPr>
            <w:r>
              <w:rPr>
                <w:rFonts w:ascii="Arial" w:cs="Arial" w:eastAsia="Arial" w:hAnsi="Arial"/>
                <w:sz w:val="13"/>
                <w:szCs w:val="13"/>
                <w:color w:val="auto"/>
              </w:rPr>
              <w:t>Total liabilities</w:t>
            </w: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780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3,613,425</w:t>
            </w: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w w:val="96"/>
              </w:rPr>
              <w:t>3,384,510</w:t>
            </w: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8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Commitments and contingencies (Note 6)</w:t>
            </w:r>
          </w:p>
        </w:tc>
        <w:tc>
          <w:tcPr>
            <w:tcW w:w="10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800" w:type="dxa"/>
            <w:vAlign w:val="bottom"/>
            <w:gridSpan w:val="3"/>
          </w:tcPr>
          <w:p>
            <w:pPr>
              <w:spacing w:after="0"/>
              <w:rPr>
                <w:sz w:val="20"/>
                <w:szCs w:val="20"/>
                <w:color w:val="auto"/>
              </w:rPr>
            </w:pPr>
            <w:r>
              <w:rPr>
                <w:rFonts w:ascii="Arial" w:cs="Arial" w:eastAsia="Arial" w:hAnsi="Arial"/>
                <w:sz w:val="13"/>
                <w:szCs w:val="13"/>
                <w:color w:val="auto"/>
              </w:rPr>
              <w:t>Shareholders’ equity (Notes 8 and 9):</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800" w:type="dxa"/>
            <w:vAlign w:val="bottom"/>
            <w:gridSpan w:val="3"/>
            <w:shd w:val="clear" w:color="auto" w:fill="CCEEFF"/>
          </w:tcPr>
          <w:p>
            <w:pPr>
              <w:ind w:left="140"/>
              <w:spacing w:after="0"/>
              <w:rPr>
                <w:sz w:val="20"/>
                <w:szCs w:val="20"/>
                <w:color w:val="auto"/>
              </w:rPr>
            </w:pPr>
            <w:r>
              <w:rPr>
                <w:rFonts w:ascii="Arial" w:cs="Arial" w:eastAsia="Arial" w:hAnsi="Arial"/>
                <w:sz w:val="13"/>
                <w:szCs w:val="13"/>
                <w:color w:val="auto"/>
              </w:rPr>
              <w:t>Common stock $1.00 par; authorized 300,000,000 shares; issued 146,679,000 shares and 146,667,000 shares, respectively</w:t>
            </w: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146,679</w:t>
            </w:r>
          </w:p>
        </w:tc>
        <w:tc>
          <w:tcPr>
            <w:tcW w:w="2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146,667</w:t>
            </w: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800" w:type="dxa"/>
            <w:vAlign w:val="bottom"/>
            <w:gridSpan w:val="3"/>
          </w:tcPr>
          <w:p>
            <w:pPr>
              <w:ind w:left="140"/>
              <w:spacing w:after="0"/>
              <w:rPr>
                <w:sz w:val="20"/>
                <w:szCs w:val="20"/>
                <w:color w:val="auto"/>
              </w:rPr>
            </w:pPr>
            <w:r>
              <w:rPr>
                <w:rFonts w:ascii="Arial" w:cs="Arial" w:eastAsia="Arial" w:hAnsi="Arial"/>
                <w:sz w:val="13"/>
                <w:szCs w:val="13"/>
                <w:color w:val="auto"/>
              </w:rPr>
              <w:t>Additional paid-in capital</w:t>
            </w:r>
          </w:p>
        </w:tc>
        <w:tc>
          <w:tcPr>
            <w:tcW w:w="100" w:type="dxa"/>
            <w:vAlign w:val="bottom"/>
          </w:tcPr>
          <w:p>
            <w:pPr>
              <w:spacing w:after="0"/>
              <w:rPr>
                <w:sz w:val="13"/>
                <w:szCs w:val="13"/>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3"/>
                <w:szCs w:val="13"/>
                <w:color w:val="auto"/>
              </w:rPr>
              <w:t>1,020,413</w:t>
            </w:r>
          </w:p>
        </w:tc>
        <w:tc>
          <w:tcPr>
            <w:tcW w:w="22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w w:val="96"/>
              </w:rPr>
              <w:t>1,010,336</w:t>
            </w: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800" w:type="dxa"/>
            <w:vAlign w:val="bottom"/>
            <w:gridSpan w:val="3"/>
            <w:shd w:val="clear" w:color="auto" w:fill="CCEEFF"/>
          </w:tcPr>
          <w:p>
            <w:pPr>
              <w:ind w:left="140"/>
              <w:spacing w:after="0"/>
              <w:rPr>
                <w:sz w:val="20"/>
                <w:szCs w:val="20"/>
                <w:color w:val="auto"/>
              </w:rPr>
            </w:pPr>
            <w:r>
              <w:rPr>
                <w:rFonts w:ascii="Arial" w:cs="Arial" w:eastAsia="Arial" w:hAnsi="Arial"/>
                <w:sz w:val="13"/>
                <w:szCs w:val="13"/>
                <w:color w:val="auto"/>
              </w:rPr>
              <w:t>Retained earnings</w:t>
            </w: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1,551,718</w:t>
            </w:r>
          </w:p>
        </w:tc>
        <w:tc>
          <w:tcPr>
            <w:tcW w:w="2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6"/>
              </w:rPr>
              <w:t>1,487,575</w:t>
            </w: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800" w:type="dxa"/>
            <w:vAlign w:val="bottom"/>
            <w:gridSpan w:val="3"/>
          </w:tcPr>
          <w:p>
            <w:pPr>
              <w:ind w:left="140"/>
              <w:spacing w:after="0"/>
              <w:rPr>
                <w:sz w:val="20"/>
                <w:szCs w:val="20"/>
                <w:color w:val="auto"/>
              </w:rPr>
            </w:pPr>
            <w:r>
              <w:rPr>
                <w:rFonts w:ascii="Arial" w:cs="Arial" w:eastAsia="Arial" w:hAnsi="Arial"/>
                <w:sz w:val="13"/>
                <w:szCs w:val="13"/>
                <w:color w:val="auto"/>
              </w:rPr>
              <w:t>Cumulative other comprehensive income (Note 8)</w:t>
            </w:r>
          </w:p>
        </w:tc>
        <w:tc>
          <w:tcPr>
            <w:tcW w:w="100" w:type="dxa"/>
            <w:vAlign w:val="bottom"/>
          </w:tcPr>
          <w:p>
            <w:pPr>
              <w:spacing w:after="0"/>
              <w:rPr>
                <w:sz w:val="13"/>
                <w:szCs w:val="13"/>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3"/>
                <w:szCs w:val="13"/>
                <w:color w:val="auto"/>
              </w:rPr>
              <w:t>190,489</w:t>
            </w:r>
          </w:p>
        </w:tc>
        <w:tc>
          <w:tcPr>
            <w:tcW w:w="22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186,876</w:t>
            </w: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800" w:type="dxa"/>
            <w:vAlign w:val="bottom"/>
            <w:gridSpan w:val="3"/>
            <w:shd w:val="clear" w:color="auto" w:fill="CCEEFF"/>
          </w:tcPr>
          <w:p>
            <w:pPr>
              <w:ind w:left="140"/>
              <w:spacing w:after="0"/>
              <w:rPr>
                <w:sz w:val="20"/>
                <w:szCs w:val="20"/>
                <w:color w:val="auto"/>
              </w:rPr>
            </w:pPr>
            <w:r>
              <w:rPr>
                <w:rFonts w:ascii="Arial" w:cs="Arial" w:eastAsia="Arial" w:hAnsi="Arial"/>
                <w:sz w:val="13"/>
                <w:szCs w:val="13"/>
                <w:color w:val="auto"/>
              </w:rPr>
              <w:t>Treasury stock at cost, 14,603 shares and 11,846 shares, respectively</w:t>
            </w: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(236)</w:t>
            </w:r>
          </w:p>
        </w:tc>
        <w:tc>
          <w:tcPr>
            <w:tcW w:w="2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(271)</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7800" w:type="dxa"/>
            <w:vAlign w:val="bottom"/>
            <w:gridSpan w:val="3"/>
            <w:vMerge w:val="restart"/>
          </w:tcPr>
          <w:p>
            <w:pPr>
              <w:ind w:left="280"/>
              <w:spacing w:after="0"/>
              <w:rPr>
                <w:sz w:val="20"/>
                <w:szCs w:val="20"/>
                <w:color w:val="auto"/>
              </w:rPr>
            </w:pPr>
            <w:r>
              <w:rPr>
                <w:rFonts w:ascii="Arial" w:cs="Arial" w:eastAsia="Arial" w:hAnsi="Arial"/>
                <w:sz w:val="13"/>
                <w:szCs w:val="13"/>
                <w:color w:val="auto"/>
              </w:rPr>
              <w:t>Total shareholders’ equity</w:t>
            </w: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780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2,909,063</w:t>
            </w: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w w:val="96"/>
              </w:rPr>
              <w:t>2,831,183</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7800" w:type="dxa"/>
            <w:vAlign w:val="bottom"/>
            <w:gridSpan w:val="3"/>
            <w:shd w:val="clear" w:color="auto" w:fill="CCEEFF"/>
          </w:tcPr>
          <w:p>
            <w:pPr>
              <w:ind w:left="280"/>
              <w:spacing w:after="0"/>
              <w:rPr>
                <w:sz w:val="20"/>
                <w:szCs w:val="20"/>
                <w:color w:val="auto"/>
              </w:rPr>
            </w:pPr>
            <w:r>
              <w:rPr>
                <w:rFonts w:ascii="Arial" w:cs="Arial" w:eastAsia="Arial" w:hAnsi="Arial"/>
                <w:sz w:val="13"/>
                <w:szCs w:val="13"/>
                <w:color w:val="auto"/>
              </w:rPr>
              <w:t>Total liabilities and shareholders’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6,522,488</w:t>
            </w:r>
          </w:p>
        </w:tc>
        <w:tc>
          <w:tcPr>
            <w:tcW w:w="38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74"/>
              <w:spacing w:after="0"/>
              <w:rPr>
                <w:sz w:val="20"/>
                <w:szCs w:val="20"/>
                <w:color w:val="auto"/>
              </w:rPr>
            </w:pPr>
            <w:r>
              <w:rPr>
                <w:rFonts w:ascii="Arial" w:cs="Arial" w:eastAsia="Arial" w:hAnsi="Arial"/>
                <w:sz w:val="13"/>
                <w:szCs w:val="13"/>
                <w:color w:val="auto"/>
                <w:w w:val="82"/>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6"/>
              </w:rPr>
              <w:t>6,215,693</w:t>
            </w: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7000" w:type="dxa"/>
            <w:vAlign w:val="bottom"/>
          </w:tcPr>
          <w:p>
            <w:pPr>
              <w:spacing w:after="0"/>
              <w:rPr>
                <w:sz w:val="2"/>
                <w:szCs w:val="2"/>
                <w:color w:val="auto"/>
              </w:rPr>
            </w:pPr>
          </w:p>
        </w:tc>
        <w:tc>
          <w:tcPr>
            <w:tcW w:w="100" w:type="dxa"/>
            <w:vAlign w:val="bottom"/>
            <w:shd w:val="clear" w:color="auto" w:fill="000003"/>
          </w:tcPr>
          <w:p>
            <w:pPr>
              <w:spacing w:after="0"/>
              <w:rPr>
                <w:sz w:val="2"/>
                <w:szCs w:val="2"/>
                <w:color w:val="auto"/>
              </w:rPr>
            </w:pPr>
          </w:p>
        </w:tc>
        <w:tc>
          <w:tcPr>
            <w:tcW w:w="800" w:type="dxa"/>
            <w:vAlign w:val="bottom"/>
            <w:shd w:val="clear" w:color="auto" w:fill="000003"/>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shd w:val="clear" w:color="auto" w:fill="000003"/>
          </w:tcPr>
          <w:p>
            <w:pPr>
              <w:spacing w:after="0"/>
              <w:rPr>
                <w:sz w:val="2"/>
                <w:szCs w:val="2"/>
                <w:color w:val="auto"/>
              </w:rPr>
            </w:pPr>
          </w:p>
        </w:tc>
        <w:tc>
          <w:tcPr>
            <w:tcW w:w="580" w:type="dxa"/>
            <w:vAlign w:val="bottom"/>
            <w:shd w:val="clear" w:color="auto" w:fill="000003"/>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50" w:lineRule="exact"/>
        <w:rPr>
          <w:sz w:val="20"/>
          <w:szCs w:val="20"/>
          <w:color w:val="auto"/>
        </w:rPr>
      </w:pPr>
    </w:p>
    <w:p>
      <w:pPr>
        <w:ind w:left="4460"/>
        <w:spacing w:after="0"/>
        <w:rPr>
          <w:sz w:val="20"/>
          <w:szCs w:val="20"/>
          <w:color w:val="auto"/>
        </w:rPr>
      </w:pPr>
      <w:r>
        <w:rPr>
          <w:rFonts w:ascii="Arial" w:cs="Arial" w:eastAsia="Arial" w:hAnsi="Arial"/>
          <w:sz w:val="13"/>
          <w:szCs w:val="13"/>
          <w:color w:val="auto"/>
        </w:rPr>
        <w:t>See notes to consolidated financial statements.</w:t>
      </w:r>
    </w:p>
    <w:p>
      <w:pPr>
        <w:spacing w:after="0" w:line="303"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34" w:right="1019" w:bottom="1440" w:gutter="0" w:footer="0" w:header="0"/>
        </w:sectPr>
      </w:pPr>
    </w:p>
    <w:bookmarkStart w:id="4" w:name="page5"/>
    <w:bookmarkEnd w:id="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4660"/>
        <w:spacing w:after="0"/>
        <w:rPr>
          <w:sz w:val="20"/>
          <w:szCs w:val="20"/>
          <w:color w:val="auto"/>
        </w:rPr>
      </w:pPr>
      <w:r>
        <w:rPr>
          <w:rFonts w:ascii="Arial" w:cs="Arial" w:eastAsia="Arial" w:hAnsi="Arial"/>
          <w:sz w:val="13"/>
          <w:szCs w:val="13"/>
          <w:b w:val="1"/>
          <w:bCs w:val="1"/>
          <w:color w:val="auto"/>
        </w:rPr>
        <w:t>AVNET, INC. AND SUBSIDIARIES</w:t>
      </w:r>
    </w:p>
    <w:p>
      <w:pPr>
        <w:spacing w:after="0" w:line="96" w:lineRule="exact"/>
        <w:rPr>
          <w:sz w:val="20"/>
          <w:szCs w:val="20"/>
          <w:color w:val="auto"/>
        </w:rPr>
      </w:pPr>
    </w:p>
    <w:p>
      <w:pPr>
        <w:ind w:left="4140"/>
        <w:spacing w:after="0"/>
        <w:rPr>
          <w:sz w:val="20"/>
          <w:szCs w:val="20"/>
          <w:color w:val="auto"/>
        </w:rPr>
      </w:pPr>
      <w:r>
        <w:rPr>
          <w:rFonts w:ascii="Arial" w:cs="Arial" w:eastAsia="Arial" w:hAnsi="Arial"/>
          <w:sz w:val="13"/>
          <w:szCs w:val="13"/>
          <w:b w:val="1"/>
          <w:bCs w:val="1"/>
          <w:color w:val="auto"/>
        </w:rPr>
        <w:t>CONSOLIDATED STATEMENTS OF OPERATIONS</w:t>
      </w:r>
    </w:p>
    <w:p>
      <w:pPr>
        <w:spacing w:after="0" w:line="19"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(Unaudited)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3260" w:type="dxa"/>
            <w:vAlign w:val="bottom"/>
          </w:tcPr>
          <w:p>
            <w:pPr>
              <w:spacing w:after="0"/>
              <w:rPr>
                <w:sz w:val="10"/>
                <w:szCs w:val="10"/>
                <w:color w:val="auto"/>
              </w:rPr>
            </w:pPr>
          </w:p>
        </w:tc>
        <w:tc>
          <w:tcPr>
            <w:tcW w:w="4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80" w:type="dxa"/>
            <w:vAlign w:val="bottom"/>
            <w:gridSpan w:val="5"/>
          </w:tcPr>
          <w:p>
            <w:pPr>
              <w:jc w:val="center"/>
              <w:ind w:right="200"/>
              <w:spacing w:after="0"/>
              <w:rPr>
                <w:sz w:val="20"/>
                <w:szCs w:val="20"/>
                <w:color w:val="auto"/>
              </w:rPr>
            </w:pPr>
            <w:r>
              <w:rPr>
                <w:rFonts w:ascii="Arial" w:cs="Arial" w:eastAsia="Arial" w:hAnsi="Arial"/>
                <w:sz w:val="10"/>
                <w:szCs w:val="10"/>
                <w:b w:val="1"/>
                <w:bCs w:val="1"/>
                <w:color w:val="auto"/>
                <w:w w:val="96"/>
              </w:rPr>
              <w:t>First Quarters Ended</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680" w:type="dxa"/>
            <w:vAlign w:val="bottom"/>
          </w:tcPr>
          <w:p>
            <w:pPr>
              <w:spacing w:after="0"/>
              <w:rPr>
                <w:sz w:val="7"/>
                <w:szCs w:val="7"/>
                <w:color w:val="auto"/>
              </w:rPr>
            </w:pPr>
          </w:p>
        </w:tc>
        <w:tc>
          <w:tcPr>
            <w:tcW w:w="3260" w:type="dxa"/>
            <w:vAlign w:val="bottom"/>
          </w:tcPr>
          <w:p>
            <w:pPr>
              <w:spacing w:after="0"/>
              <w:rPr>
                <w:sz w:val="7"/>
                <w:szCs w:val="7"/>
                <w:color w:val="auto"/>
              </w:rPr>
            </w:pPr>
          </w:p>
        </w:tc>
        <w:tc>
          <w:tcPr>
            <w:tcW w:w="454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1180" w:type="dxa"/>
            <w:vAlign w:val="bottom"/>
            <w:tcBorders>
              <w:top w:val="single" w:sz="8" w:color="auto"/>
            </w:tcBorders>
            <w:gridSpan w:val="2"/>
          </w:tcPr>
          <w:p>
            <w:pPr>
              <w:jc w:val="right"/>
              <w:ind w:right="520"/>
              <w:spacing w:after="0" w:line="81" w:lineRule="exact"/>
              <w:rPr>
                <w:sz w:val="20"/>
                <w:szCs w:val="20"/>
                <w:color w:val="auto"/>
              </w:rPr>
            </w:pPr>
            <w:r>
              <w:rPr>
                <w:rFonts w:ascii="Arial" w:cs="Arial" w:eastAsia="Arial" w:hAnsi="Arial"/>
                <w:sz w:val="9"/>
                <w:szCs w:val="9"/>
                <w:b w:val="1"/>
                <w:bCs w:val="1"/>
                <w:color w:val="auto"/>
              </w:rPr>
              <w:t>September 30,</w:t>
            </w:r>
          </w:p>
        </w:tc>
        <w:tc>
          <w:tcPr>
            <w:tcW w:w="140" w:type="dxa"/>
            <w:vAlign w:val="bottom"/>
            <w:tcBorders>
              <w:top w:val="single" w:sz="8" w:color="auto"/>
            </w:tcBorders>
          </w:tcPr>
          <w:p>
            <w:pPr>
              <w:spacing w:after="0"/>
              <w:rPr>
                <w:sz w:val="7"/>
                <w:szCs w:val="7"/>
                <w:color w:val="auto"/>
              </w:rPr>
            </w:pPr>
          </w:p>
        </w:tc>
        <w:tc>
          <w:tcPr>
            <w:tcW w:w="660" w:type="dxa"/>
            <w:vAlign w:val="bottom"/>
            <w:tcBorders>
              <w:top w:val="single" w:sz="8" w:color="auto"/>
            </w:tcBorders>
          </w:tcPr>
          <w:p>
            <w:pPr>
              <w:jc w:val="center"/>
              <w:ind w:right="56"/>
              <w:spacing w:after="0" w:line="81" w:lineRule="exact"/>
              <w:rPr>
                <w:sz w:val="20"/>
                <w:szCs w:val="20"/>
                <w:color w:val="auto"/>
              </w:rPr>
            </w:pPr>
            <w:r>
              <w:rPr>
                <w:rFonts w:ascii="Arial" w:cs="Arial" w:eastAsia="Arial" w:hAnsi="Arial"/>
                <w:sz w:val="9"/>
                <w:szCs w:val="9"/>
                <w:b w:val="1"/>
                <w:bCs w:val="1"/>
                <w:color w:val="auto"/>
              </w:rPr>
              <w:t>October 1,</w:t>
            </w: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3260" w:type="dxa"/>
            <w:vAlign w:val="bottom"/>
          </w:tcPr>
          <w:p>
            <w:pPr>
              <w:spacing w:after="0"/>
              <w:rPr>
                <w:sz w:val="10"/>
                <w:szCs w:val="10"/>
                <w:color w:val="auto"/>
              </w:rPr>
            </w:pPr>
          </w:p>
        </w:tc>
        <w:tc>
          <w:tcPr>
            <w:tcW w:w="45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ind w:right="278"/>
              <w:spacing w:after="0"/>
              <w:rPr>
                <w:sz w:val="20"/>
                <w:szCs w:val="20"/>
                <w:color w:val="auto"/>
              </w:rPr>
            </w:pPr>
            <w:r>
              <w:rPr>
                <w:rFonts w:ascii="Arial" w:cs="Arial" w:eastAsia="Arial" w:hAnsi="Arial"/>
                <w:sz w:val="10"/>
                <w:szCs w:val="10"/>
                <w:b w:val="1"/>
                <w:bCs w:val="1"/>
                <w:color w:val="auto"/>
              </w:rPr>
              <w:t>2006</w:t>
            </w:r>
          </w:p>
        </w:tc>
        <w:tc>
          <w:tcPr>
            <w:tcW w:w="38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ind w:right="216"/>
              <w:spacing w:after="0"/>
              <w:rPr>
                <w:sz w:val="20"/>
                <w:szCs w:val="20"/>
                <w:color w:val="auto"/>
              </w:rPr>
            </w:pPr>
            <w:r>
              <w:rPr>
                <w:rFonts w:ascii="Arial" w:cs="Arial" w:eastAsia="Arial" w:hAnsi="Arial"/>
                <w:sz w:val="10"/>
                <w:szCs w:val="10"/>
                <w:b w:val="1"/>
                <w:bCs w:val="1"/>
                <w:color w:val="auto"/>
              </w:rPr>
              <w:t>2005</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680" w:type="dxa"/>
            <w:vAlign w:val="bottom"/>
          </w:tcPr>
          <w:p>
            <w:pPr>
              <w:spacing w:after="0"/>
              <w:rPr>
                <w:sz w:val="7"/>
                <w:szCs w:val="7"/>
                <w:color w:val="auto"/>
              </w:rPr>
            </w:pPr>
          </w:p>
        </w:tc>
        <w:tc>
          <w:tcPr>
            <w:tcW w:w="3260" w:type="dxa"/>
            <w:vAlign w:val="bottom"/>
          </w:tcPr>
          <w:p>
            <w:pPr>
              <w:spacing w:after="0"/>
              <w:rPr>
                <w:sz w:val="7"/>
                <w:szCs w:val="7"/>
                <w:color w:val="auto"/>
              </w:rPr>
            </w:pPr>
          </w:p>
        </w:tc>
        <w:tc>
          <w:tcPr>
            <w:tcW w:w="4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80" w:type="dxa"/>
            <w:vAlign w:val="bottom"/>
            <w:gridSpan w:val="5"/>
          </w:tcPr>
          <w:p>
            <w:pPr>
              <w:jc w:val="center"/>
              <w:ind w:right="180"/>
              <w:spacing w:after="0" w:line="81" w:lineRule="exact"/>
              <w:rPr>
                <w:sz w:val="20"/>
                <w:szCs w:val="20"/>
                <w:color w:val="auto"/>
              </w:rPr>
            </w:pPr>
            <w:r>
              <w:rPr>
                <w:rFonts w:ascii="Arial" w:cs="Arial" w:eastAsia="Arial" w:hAnsi="Arial"/>
                <w:sz w:val="9"/>
                <w:szCs w:val="9"/>
                <w:b w:val="1"/>
                <w:bCs w:val="1"/>
                <w:color w:val="auto"/>
              </w:rPr>
              <w:t>(Thousands, except</w:t>
            </w: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68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4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gridSpan w:val="3"/>
          </w:tcPr>
          <w:p>
            <w:pPr>
              <w:jc w:val="center"/>
              <w:ind w:left="498"/>
              <w:spacing w:after="0"/>
              <w:rPr>
                <w:sz w:val="20"/>
                <w:szCs w:val="20"/>
                <w:color w:val="auto"/>
              </w:rPr>
            </w:pPr>
            <w:r>
              <w:rPr>
                <w:rFonts w:ascii="Arial" w:cs="Arial" w:eastAsia="Arial" w:hAnsi="Arial"/>
                <w:sz w:val="10"/>
                <w:szCs w:val="10"/>
                <w:b w:val="1"/>
                <w:bCs w:val="1"/>
                <w:color w:val="auto"/>
                <w:w w:val="94"/>
              </w:rPr>
              <w:t>per share data)</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4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3"/>
                <w:szCs w:val="13"/>
                <w:color w:val="auto"/>
              </w:rPr>
              <w:t>Sales</w:t>
            </w:r>
          </w:p>
        </w:tc>
        <w:tc>
          <w:tcPr>
            <w:tcW w:w="46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3,648,400</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3,268,265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260" w:type="dxa"/>
            <w:vAlign w:val="bottom"/>
          </w:tcPr>
          <w:p>
            <w:pPr>
              <w:spacing w:after="0"/>
              <w:rPr>
                <w:sz w:val="20"/>
                <w:szCs w:val="20"/>
                <w:color w:val="auto"/>
              </w:rPr>
            </w:pPr>
            <w:r>
              <w:rPr>
                <w:rFonts w:ascii="Arial" w:cs="Arial" w:eastAsia="Arial" w:hAnsi="Arial"/>
                <w:sz w:val="13"/>
                <w:szCs w:val="13"/>
                <w:color w:val="auto"/>
              </w:rPr>
              <w:t>Cost of sales</w:t>
            </w:r>
          </w:p>
        </w:tc>
        <w:tc>
          <w:tcPr>
            <w:tcW w:w="4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3,180,035</w:t>
            </w: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3"/>
                <w:szCs w:val="13"/>
                <w:color w:val="auto"/>
              </w:rPr>
              <w:t>2,845,032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3"/>
                <w:szCs w:val="13"/>
                <w:color w:val="auto"/>
              </w:rPr>
              <w:t>Gross profit</w:t>
            </w:r>
          </w:p>
        </w:tc>
        <w:tc>
          <w:tcPr>
            <w:tcW w:w="4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468,365</w:t>
            </w:r>
          </w:p>
        </w:tc>
        <w:tc>
          <w:tcPr>
            <w:tcW w:w="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423,233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260" w:type="dxa"/>
            <w:vAlign w:val="bottom"/>
          </w:tcPr>
          <w:p>
            <w:pPr>
              <w:spacing w:after="0"/>
              <w:rPr>
                <w:sz w:val="20"/>
                <w:szCs w:val="20"/>
                <w:color w:val="auto"/>
              </w:rPr>
            </w:pPr>
            <w:r>
              <w:rPr>
                <w:rFonts w:ascii="Arial" w:cs="Arial" w:eastAsia="Arial" w:hAnsi="Arial"/>
                <w:sz w:val="13"/>
                <w:szCs w:val="13"/>
                <w:color w:val="auto"/>
              </w:rPr>
              <w:t>Selling, general and administrative expenses</w:t>
            </w:r>
          </w:p>
        </w:tc>
        <w:tc>
          <w:tcPr>
            <w:tcW w:w="4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3"/>
                <w:szCs w:val="13"/>
                <w:color w:val="auto"/>
              </w:rPr>
              <w:t>323,394</w:t>
            </w:r>
          </w:p>
        </w:tc>
        <w:tc>
          <w:tcPr>
            <w:tcW w:w="140" w:type="dxa"/>
            <w:vAlign w:val="bottom"/>
          </w:tcPr>
          <w:p>
            <w:pPr>
              <w:spacing w:after="0"/>
              <w:rPr>
                <w:sz w:val="13"/>
                <w:szCs w:val="13"/>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3"/>
                <w:szCs w:val="13"/>
                <w:color w:val="auto"/>
              </w:rPr>
              <w:t>338,770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3"/>
                <w:szCs w:val="13"/>
                <w:color w:val="auto"/>
              </w:rPr>
              <w:t>Restructuring and integration charges (Note 12)</w:t>
            </w:r>
          </w:p>
        </w:tc>
        <w:tc>
          <w:tcPr>
            <w:tcW w:w="4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13,786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260" w:type="dxa"/>
            <w:vAlign w:val="bottom"/>
            <w:vMerge w:val="restart"/>
          </w:tcPr>
          <w:p>
            <w:pPr>
              <w:spacing w:after="0"/>
              <w:rPr>
                <w:sz w:val="20"/>
                <w:szCs w:val="20"/>
                <w:color w:val="auto"/>
              </w:rPr>
            </w:pPr>
            <w:r>
              <w:rPr>
                <w:rFonts w:ascii="Arial" w:cs="Arial" w:eastAsia="Arial" w:hAnsi="Arial"/>
                <w:sz w:val="13"/>
                <w:szCs w:val="13"/>
                <w:color w:val="auto"/>
              </w:rPr>
              <w:t>Operating income</w:t>
            </w:r>
          </w:p>
        </w:tc>
        <w:tc>
          <w:tcPr>
            <w:tcW w:w="4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3260" w:type="dxa"/>
            <w:vAlign w:val="bottom"/>
            <w:vMerge w:val="continue"/>
          </w:tcPr>
          <w:p>
            <w:pPr>
              <w:spacing w:after="0"/>
              <w:rPr>
                <w:sz w:val="13"/>
                <w:szCs w:val="13"/>
                <w:color w:val="auto"/>
              </w:rPr>
            </w:pPr>
          </w:p>
        </w:tc>
        <w:tc>
          <w:tcPr>
            <w:tcW w:w="4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144,971</w:t>
            </w: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3"/>
                <w:szCs w:val="13"/>
                <w:color w:val="auto"/>
              </w:rPr>
              <w:t>70,677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3"/>
                <w:szCs w:val="13"/>
                <w:color w:val="auto"/>
              </w:rPr>
              <w:t>Other income, net</w:t>
            </w:r>
          </w:p>
        </w:tc>
        <w:tc>
          <w:tcPr>
            <w:tcW w:w="4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3,746</w:t>
            </w: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1,877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260" w:type="dxa"/>
            <w:vAlign w:val="bottom"/>
          </w:tcPr>
          <w:p>
            <w:pPr>
              <w:spacing w:after="0"/>
              <w:rPr>
                <w:sz w:val="20"/>
                <w:szCs w:val="20"/>
                <w:color w:val="auto"/>
              </w:rPr>
            </w:pPr>
            <w:r>
              <w:rPr>
                <w:rFonts w:ascii="Arial" w:cs="Arial" w:eastAsia="Arial" w:hAnsi="Arial"/>
                <w:sz w:val="13"/>
                <w:szCs w:val="13"/>
                <w:color w:val="auto"/>
              </w:rPr>
              <w:t>Interest expense</w:t>
            </w:r>
          </w:p>
        </w:tc>
        <w:tc>
          <w:tcPr>
            <w:tcW w:w="4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3"/>
                <w:szCs w:val="13"/>
                <w:color w:val="auto"/>
              </w:rPr>
              <w:t>(22,286)</w:t>
            </w:r>
          </w:p>
        </w:tc>
        <w:tc>
          <w:tcPr>
            <w:tcW w:w="140" w:type="dxa"/>
            <w:vAlign w:val="bottom"/>
          </w:tcPr>
          <w:p>
            <w:pPr>
              <w:spacing w:after="0"/>
              <w:rPr>
                <w:sz w:val="13"/>
                <w:szCs w:val="13"/>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3"/>
                <w:szCs w:val="13"/>
                <w:color w:val="auto"/>
              </w:rPr>
              <w:t>(23,729)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3"/>
                <w:szCs w:val="13"/>
                <w:color w:val="auto"/>
              </w:rPr>
              <w:t>Debt extinguishment costs (Note 5)</w:t>
            </w:r>
          </w:p>
        </w:tc>
        <w:tc>
          <w:tcPr>
            <w:tcW w:w="4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(27,358)</w:t>
            </w: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(11,665)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260" w:type="dxa"/>
            <w:vAlign w:val="bottom"/>
            <w:vMerge w:val="restart"/>
          </w:tcPr>
          <w:p>
            <w:pPr>
              <w:spacing w:after="0"/>
              <w:rPr>
                <w:sz w:val="20"/>
                <w:szCs w:val="20"/>
                <w:color w:val="auto"/>
              </w:rPr>
            </w:pPr>
            <w:r>
              <w:rPr>
                <w:rFonts w:ascii="Arial" w:cs="Arial" w:eastAsia="Arial" w:hAnsi="Arial"/>
                <w:sz w:val="13"/>
                <w:szCs w:val="13"/>
                <w:color w:val="auto"/>
              </w:rPr>
              <w:t>Income before income taxes</w:t>
            </w:r>
          </w:p>
        </w:tc>
        <w:tc>
          <w:tcPr>
            <w:tcW w:w="4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3260" w:type="dxa"/>
            <w:vAlign w:val="bottom"/>
            <w:vMerge w:val="continue"/>
          </w:tcPr>
          <w:p>
            <w:pPr>
              <w:spacing w:after="0"/>
              <w:rPr>
                <w:sz w:val="13"/>
                <w:szCs w:val="13"/>
                <w:color w:val="auto"/>
              </w:rPr>
            </w:pPr>
          </w:p>
        </w:tc>
        <w:tc>
          <w:tcPr>
            <w:tcW w:w="4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99,073</w:t>
            </w: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3"/>
                <w:szCs w:val="13"/>
                <w:color w:val="auto"/>
              </w:rPr>
              <w:t>37,160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3"/>
                <w:szCs w:val="13"/>
                <w:color w:val="auto"/>
              </w:rPr>
              <w:t>Income tax provision</w:t>
            </w:r>
          </w:p>
        </w:tc>
        <w:tc>
          <w:tcPr>
            <w:tcW w:w="4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34,930</w:t>
            </w:r>
          </w:p>
        </w:tc>
        <w:tc>
          <w:tcPr>
            <w:tcW w:w="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12,263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260" w:type="dxa"/>
            <w:vAlign w:val="bottom"/>
            <w:vMerge w:val="restart"/>
          </w:tcPr>
          <w:p>
            <w:pPr>
              <w:spacing w:after="0"/>
              <w:rPr>
                <w:sz w:val="20"/>
                <w:szCs w:val="20"/>
                <w:color w:val="auto"/>
              </w:rPr>
            </w:pPr>
            <w:r>
              <w:rPr>
                <w:rFonts w:ascii="Arial" w:cs="Arial" w:eastAsia="Arial" w:hAnsi="Arial"/>
                <w:sz w:val="13"/>
                <w:szCs w:val="13"/>
                <w:color w:val="auto"/>
              </w:rPr>
              <w:t>Net income</w:t>
            </w:r>
          </w:p>
        </w:tc>
        <w:tc>
          <w:tcPr>
            <w:tcW w:w="4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80" w:type="dxa"/>
            <w:vAlign w:val="bottom"/>
          </w:tcPr>
          <w:p>
            <w:pPr>
              <w:spacing w:after="0"/>
              <w:rPr>
                <w:sz w:val="14"/>
                <w:szCs w:val="14"/>
                <w:color w:val="auto"/>
              </w:rPr>
            </w:pPr>
          </w:p>
        </w:tc>
        <w:tc>
          <w:tcPr>
            <w:tcW w:w="3260" w:type="dxa"/>
            <w:vAlign w:val="bottom"/>
            <w:vMerge w:val="continue"/>
          </w:tcPr>
          <w:p>
            <w:pPr>
              <w:spacing w:after="0"/>
              <w:rPr>
                <w:sz w:val="14"/>
                <w:szCs w:val="14"/>
                <w:color w:val="auto"/>
              </w:rPr>
            </w:pPr>
          </w:p>
        </w:tc>
        <w:tc>
          <w:tcPr>
            <w:tcW w:w="454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64,143</w:t>
            </w:r>
          </w:p>
        </w:tc>
        <w:tc>
          <w:tcPr>
            <w:tcW w:w="38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2"/>
          </w:tcPr>
          <w:p>
            <w:pPr>
              <w:jc w:val="right"/>
              <w:ind w:right="100"/>
              <w:spacing w:after="0"/>
              <w:rPr>
                <w:sz w:val="20"/>
                <w:szCs w:val="20"/>
                <w:color w:val="auto"/>
              </w:rPr>
            </w:pPr>
            <w:r>
              <w:rPr>
                <w:rFonts w:ascii="Arial" w:cs="Arial" w:eastAsia="Arial" w:hAnsi="Arial"/>
                <w:sz w:val="13"/>
                <w:szCs w:val="13"/>
                <w:color w:val="auto"/>
              </w:rPr>
              <w:t>24,897</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3"/>
                <w:szCs w:val="13"/>
                <w:color w:val="auto"/>
              </w:rPr>
              <w:t>Net earnings per share (Note 9):</w:t>
            </w:r>
          </w:p>
        </w:tc>
        <w:tc>
          <w:tcPr>
            <w:tcW w:w="4540" w:type="dxa"/>
            <w:vAlign w:val="bottom"/>
            <w:shd w:val="clear" w:color="auto" w:fill="CCEEFF"/>
          </w:tcPr>
          <w:p>
            <w:pPr>
              <w:spacing w:after="0"/>
              <w:rPr>
                <w:sz w:val="14"/>
                <w:szCs w:val="14"/>
                <w:color w:val="auto"/>
              </w:rPr>
            </w:pPr>
          </w:p>
        </w:tc>
        <w:tc>
          <w:tcPr>
            <w:tcW w:w="100" w:type="dxa"/>
            <w:vAlign w:val="bottom"/>
            <w:tcBorders>
              <w:top w:val="single" w:sz="8" w:color="000003"/>
            </w:tcBorders>
            <w:shd w:val="clear" w:color="auto" w:fill="CCEEFF"/>
          </w:tcPr>
          <w:p>
            <w:pPr>
              <w:spacing w:after="0"/>
              <w:rPr>
                <w:sz w:val="14"/>
                <w:szCs w:val="14"/>
                <w:color w:val="auto"/>
              </w:rPr>
            </w:pPr>
          </w:p>
        </w:tc>
        <w:tc>
          <w:tcPr>
            <w:tcW w:w="800" w:type="dxa"/>
            <w:vAlign w:val="bottom"/>
            <w:tcBorders>
              <w:top w:val="single" w:sz="8" w:color="000003"/>
            </w:tcBorders>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40" w:type="dxa"/>
            <w:vAlign w:val="bottom"/>
            <w:tcBorders>
              <w:top w:val="single" w:sz="8" w:color="000003"/>
            </w:tcBorders>
            <w:shd w:val="clear" w:color="auto" w:fill="CCEEFF"/>
          </w:tcPr>
          <w:p>
            <w:pPr>
              <w:spacing w:after="0"/>
              <w:rPr>
                <w:sz w:val="14"/>
                <w:szCs w:val="14"/>
                <w:color w:val="auto"/>
              </w:rPr>
            </w:pPr>
          </w:p>
        </w:tc>
        <w:tc>
          <w:tcPr>
            <w:tcW w:w="660" w:type="dxa"/>
            <w:vAlign w:val="bottom"/>
            <w:tcBorders>
              <w:top w:val="single" w:sz="8" w:color="000003"/>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260" w:type="dxa"/>
            <w:vAlign w:val="bottom"/>
          </w:tcPr>
          <w:p>
            <w:pPr>
              <w:ind w:left="140"/>
              <w:spacing w:after="0"/>
              <w:rPr>
                <w:sz w:val="20"/>
                <w:szCs w:val="20"/>
                <w:color w:val="auto"/>
              </w:rPr>
            </w:pPr>
            <w:r>
              <w:rPr>
                <w:rFonts w:ascii="Arial" w:cs="Arial" w:eastAsia="Arial" w:hAnsi="Arial"/>
                <w:sz w:val="13"/>
                <w:szCs w:val="13"/>
                <w:color w:val="auto"/>
              </w:rPr>
              <w:t>Basic</w:t>
            </w:r>
          </w:p>
        </w:tc>
        <w:tc>
          <w:tcPr>
            <w:tcW w:w="454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0.44</w:t>
            </w:r>
          </w:p>
        </w:tc>
        <w:tc>
          <w:tcPr>
            <w:tcW w:w="38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2"/>
          </w:tcPr>
          <w:p>
            <w:pPr>
              <w:jc w:val="right"/>
              <w:ind w:right="100"/>
              <w:spacing w:after="0"/>
              <w:rPr>
                <w:sz w:val="20"/>
                <w:szCs w:val="20"/>
                <w:color w:val="auto"/>
              </w:rPr>
            </w:pPr>
            <w:r>
              <w:rPr>
                <w:rFonts w:ascii="Arial" w:cs="Arial" w:eastAsia="Arial" w:hAnsi="Arial"/>
                <w:sz w:val="13"/>
                <w:szCs w:val="13"/>
                <w:color w:val="auto"/>
              </w:rPr>
              <w:t>0.17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4540" w:type="dxa"/>
            <w:vAlign w:val="bottom"/>
          </w:tcPr>
          <w:p>
            <w:pPr>
              <w:spacing w:after="0"/>
              <w:rPr>
                <w:sz w:val="2"/>
                <w:szCs w:val="2"/>
                <w:color w:val="auto"/>
              </w:rPr>
            </w:pPr>
          </w:p>
        </w:tc>
        <w:tc>
          <w:tcPr>
            <w:tcW w:w="100" w:type="dxa"/>
            <w:vAlign w:val="bottom"/>
            <w:shd w:val="clear" w:color="auto" w:fill="000003"/>
          </w:tcPr>
          <w:p>
            <w:pPr>
              <w:spacing w:after="0"/>
              <w:rPr>
                <w:sz w:val="2"/>
                <w:szCs w:val="2"/>
                <w:color w:val="auto"/>
              </w:rPr>
            </w:pPr>
          </w:p>
        </w:tc>
        <w:tc>
          <w:tcPr>
            <w:tcW w:w="800" w:type="dxa"/>
            <w:vAlign w:val="bottom"/>
            <w:shd w:val="clear" w:color="auto" w:fill="000003"/>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3"/>
          </w:tcPr>
          <w:p>
            <w:pPr>
              <w:spacing w:after="0"/>
              <w:rPr>
                <w:sz w:val="2"/>
                <w:szCs w:val="2"/>
                <w:color w:val="auto"/>
              </w:rPr>
            </w:pPr>
          </w:p>
        </w:tc>
        <w:tc>
          <w:tcPr>
            <w:tcW w:w="660" w:type="dxa"/>
            <w:vAlign w:val="bottom"/>
            <w:shd w:val="clear" w:color="auto" w:fill="000003"/>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680" w:type="dxa"/>
            <w:vAlign w:val="bottom"/>
          </w:tcPr>
          <w:p>
            <w:pPr>
              <w:spacing w:after="0"/>
              <w:rPr>
                <w:sz w:val="14"/>
                <w:szCs w:val="14"/>
                <w:color w:val="auto"/>
              </w:rPr>
            </w:pPr>
          </w:p>
        </w:tc>
        <w:tc>
          <w:tcPr>
            <w:tcW w:w="32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Diluted</w:t>
            </w:r>
          </w:p>
        </w:tc>
        <w:tc>
          <w:tcPr>
            <w:tcW w:w="454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0.44</w:t>
            </w: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0.17</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80" w:type="dxa"/>
            <w:vAlign w:val="bottom"/>
          </w:tcPr>
          <w:p>
            <w:pPr>
              <w:spacing w:after="0"/>
              <w:rPr>
                <w:sz w:val="14"/>
                <w:szCs w:val="14"/>
                <w:color w:val="auto"/>
              </w:rPr>
            </w:pPr>
          </w:p>
        </w:tc>
        <w:tc>
          <w:tcPr>
            <w:tcW w:w="3260" w:type="dxa"/>
            <w:vAlign w:val="bottom"/>
          </w:tcPr>
          <w:p>
            <w:pPr>
              <w:spacing w:after="0"/>
              <w:rPr>
                <w:sz w:val="20"/>
                <w:szCs w:val="20"/>
                <w:color w:val="auto"/>
              </w:rPr>
            </w:pPr>
            <w:r>
              <w:rPr>
                <w:rFonts w:ascii="Arial" w:cs="Arial" w:eastAsia="Arial" w:hAnsi="Arial"/>
                <w:sz w:val="13"/>
                <w:szCs w:val="13"/>
                <w:color w:val="auto"/>
              </w:rPr>
              <w:t>Shares used to compute earnings per share (Note 9):</w:t>
            </w:r>
          </w:p>
        </w:tc>
        <w:tc>
          <w:tcPr>
            <w:tcW w:w="4540" w:type="dxa"/>
            <w:vAlign w:val="bottom"/>
          </w:tcPr>
          <w:p>
            <w:pPr>
              <w:spacing w:after="0"/>
              <w:rPr>
                <w:sz w:val="14"/>
                <w:szCs w:val="14"/>
                <w:color w:val="auto"/>
              </w:rPr>
            </w:pPr>
          </w:p>
        </w:tc>
        <w:tc>
          <w:tcPr>
            <w:tcW w:w="100" w:type="dxa"/>
            <w:vAlign w:val="bottom"/>
            <w:tcBorders>
              <w:top w:val="single" w:sz="8" w:color="000003"/>
            </w:tcBorders>
          </w:tcPr>
          <w:p>
            <w:pPr>
              <w:spacing w:after="0"/>
              <w:rPr>
                <w:sz w:val="14"/>
                <w:szCs w:val="14"/>
                <w:color w:val="auto"/>
              </w:rPr>
            </w:pPr>
          </w:p>
        </w:tc>
        <w:tc>
          <w:tcPr>
            <w:tcW w:w="800" w:type="dxa"/>
            <w:vAlign w:val="bottom"/>
            <w:tcBorders>
              <w:top w:val="single" w:sz="8" w:color="000003"/>
            </w:tcBorders>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Borders>
              <w:top w:val="single" w:sz="8" w:color="000003"/>
            </w:tcBorders>
          </w:tcPr>
          <w:p>
            <w:pPr>
              <w:spacing w:after="0"/>
              <w:rPr>
                <w:sz w:val="14"/>
                <w:szCs w:val="14"/>
                <w:color w:val="auto"/>
              </w:rPr>
            </w:pPr>
          </w:p>
        </w:tc>
        <w:tc>
          <w:tcPr>
            <w:tcW w:w="660" w:type="dxa"/>
            <w:vAlign w:val="bottom"/>
            <w:tcBorders>
              <w:top w:val="single" w:sz="8" w:color="000003"/>
            </w:tcBorders>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2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Basic</w:t>
            </w:r>
          </w:p>
        </w:tc>
        <w:tc>
          <w:tcPr>
            <w:tcW w:w="4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146,718</w:t>
            </w:r>
          </w:p>
        </w:tc>
        <w:tc>
          <w:tcPr>
            <w:tcW w:w="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144,769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260" w:type="dxa"/>
            <w:vAlign w:val="bottom"/>
            <w:vMerge w:val="restart"/>
          </w:tcPr>
          <w:p>
            <w:pPr>
              <w:ind w:left="140"/>
              <w:spacing w:after="0"/>
              <w:rPr>
                <w:sz w:val="20"/>
                <w:szCs w:val="20"/>
                <w:color w:val="auto"/>
              </w:rPr>
            </w:pPr>
            <w:r>
              <w:rPr>
                <w:rFonts w:ascii="Arial" w:cs="Arial" w:eastAsia="Arial" w:hAnsi="Arial"/>
                <w:sz w:val="13"/>
                <w:szCs w:val="13"/>
                <w:color w:val="auto"/>
              </w:rPr>
              <w:t>Diluted</w:t>
            </w:r>
          </w:p>
        </w:tc>
        <w:tc>
          <w:tcPr>
            <w:tcW w:w="4540" w:type="dxa"/>
            <w:vAlign w:val="bottom"/>
          </w:tcPr>
          <w:p>
            <w:pPr>
              <w:spacing w:after="0"/>
              <w:rPr>
                <w:sz w:val="2"/>
                <w:szCs w:val="2"/>
                <w:color w:val="auto"/>
              </w:rPr>
            </w:pPr>
          </w:p>
        </w:tc>
        <w:tc>
          <w:tcPr>
            <w:tcW w:w="100" w:type="dxa"/>
            <w:vAlign w:val="bottom"/>
            <w:shd w:val="clear" w:color="auto" w:fill="000003"/>
          </w:tcPr>
          <w:p>
            <w:pPr>
              <w:spacing w:after="0"/>
              <w:rPr>
                <w:sz w:val="2"/>
                <w:szCs w:val="2"/>
                <w:color w:val="auto"/>
              </w:rPr>
            </w:pPr>
          </w:p>
        </w:tc>
        <w:tc>
          <w:tcPr>
            <w:tcW w:w="800" w:type="dxa"/>
            <w:vAlign w:val="bottom"/>
            <w:shd w:val="clear" w:color="auto" w:fill="000003"/>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3"/>
          </w:tcPr>
          <w:p>
            <w:pPr>
              <w:spacing w:after="0"/>
              <w:rPr>
                <w:sz w:val="2"/>
                <w:szCs w:val="2"/>
                <w:color w:val="auto"/>
              </w:rPr>
            </w:pPr>
          </w:p>
        </w:tc>
        <w:tc>
          <w:tcPr>
            <w:tcW w:w="660" w:type="dxa"/>
            <w:vAlign w:val="bottom"/>
            <w:shd w:val="clear" w:color="auto" w:fill="000003"/>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680" w:type="dxa"/>
            <w:vAlign w:val="bottom"/>
          </w:tcPr>
          <w:p>
            <w:pPr>
              <w:spacing w:after="0"/>
              <w:rPr>
                <w:sz w:val="16"/>
                <w:szCs w:val="16"/>
                <w:color w:val="auto"/>
              </w:rPr>
            </w:pPr>
          </w:p>
        </w:tc>
        <w:tc>
          <w:tcPr>
            <w:tcW w:w="3260" w:type="dxa"/>
            <w:vAlign w:val="bottom"/>
            <w:vMerge w:val="continue"/>
          </w:tcPr>
          <w:p>
            <w:pPr>
              <w:spacing w:after="0"/>
              <w:rPr>
                <w:sz w:val="16"/>
                <w:szCs w:val="16"/>
                <w:color w:val="auto"/>
              </w:rPr>
            </w:pPr>
          </w:p>
        </w:tc>
        <w:tc>
          <w:tcPr>
            <w:tcW w:w="4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147,201</w:t>
            </w: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3"/>
                <w:szCs w:val="13"/>
                <w:color w:val="auto"/>
              </w:rPr>
              <w:t>146,951</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68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4540" w:type="dxa"/>
            <w:vAlign w:val="bottom"/>
          </w:tcPr>
          <w:p>
            <w:pPr>
              <w:jc w:val="center"/>
              <w:ind w:right="994"/>
              <w:spacing w:after="0"/>
              <w:rPr>
                <w:sz w:val="20"/>
                <w:szCs w:val="20"/>
                <w:color w:val="auto"/>
              </w:rPr>
            </w:pPr>
            <w:r>
              <w:rPr>
                <w:rFonts w:ascii="Arial" w:cs="Arial" w:eastAsia="Arial" w:hAnsi="Arial"/>
                <w:sz w:val="13"/>
                <w:szCs w:val="13"/>
                <w:color w:val="auto"/>
                <w:w w:val="89"/>
              </w:rPr>
              <w:t>See notes to consolidated financial statements.</w:t>
            </w:r>
          </w:p>
        </w:tc>
        <w:tc>
          <w:tcPr>
            <w:tcW w:w="100" w:type="dxa"/>
            <w:vAlign w:val="bottom"/>
            <w:tcBorders>
              <w:top w:val="single" w:sz="8" w:color="000003"/>
            </w:tcBorders>
          </w:tcPr>
          <w:p>
            <w:pPr>
              <w:spacing w:after="0"/>
              <w:rPr>
                <w:sz w:val="17"/>
                <w:szCs w:val="17"/>
                <w:color w:val="auto"/>
              </w:rPr>
            </w:pPr>
          </w:p>
        </w:tc>
        <w:tc>
          <w:tcPr>
            <w:tcW w:w="800" w:type="dxa"/>
            <w:vAlign w:val="bottom"/>
            <w:tcBorders>
              <w:top w:val="single" w:sz="8" w:color="000003"/>
            </w:tcBorders>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Borders>
              <w:top w:val="single" w:sz="8" w:color="000003"/>
            </w:tcBorders>
          </w:tcPr>
          <w:p>
            <w:pPr>
              <w:spacing w:after="0"/>
              <w:rPr>
                <w:sz w:val="17"/>
                <w:szCs w:val="17"/>
                <w:color w:val="auto"/>
              </w:rPr>
            </w:pPr>
          </w:p>
        </w:tc>
        <w:tc>
          <w:tcPr>
            <w:tcW w:w="660" w:type="dxa"/>
            <w:vAlign w:val="bottom"/>
            <w:tcBorders>
              <w:top w:val="single" w:sz="8" w:color="000003"/>
            </w:tcBorders>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2"/>
        </w:trPr>
        <w:tc>
          <w:tcPr>
            <w:tcW w:w="68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4540" w:type="dxa"/>
            <w:vAlign w:val="bottom"/>
          </w:tcPr>
          <w:p>
            <w:pPr>
              <w:jc w:val="right"/>
              <w:ind w:right="2714"/>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260" w:type="dxa"/>
            <w:vAlign w:val="bottom"/>
            <w:tcBorders>
              <w:bottom w:val="single" w:sz="8" w:color="808080"/>
            </w:tcBorders>
          </w:tcPr>
          <w:p>
            <w:pPr>
              <w:spacing w:after="0"/>
              <w:rPr>
                <w:sz w:val="14"/>
                <w:szCs w:val="14"/>
                <w:color w:val="auto"/>
              </w:rPr>
            </w:pPr>
          </w:p>
        </w:tc>
        <w:tc>
          <w:tcPr>
            <w:tcW w:w="454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66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5" w:name="page6"/>
    <w:bookmarkEnd w:id="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4660"/>
        <w:spacing w:after="0"/>
        <w:rPr>
          <w:sz w:val="20"/>
          <w:szCs w:val="20"/>
          <w:color w:val="auto"/>
        </w:rPr>
      </w:pPr>
      <w:r>
        <w:rPr>
          <w:rFonts w:ascii="Arial" w:cs="Arial" w:eastAsia="Arial" w:hAnsi="Arial"/>
          <w:sz w:val="13"/>
          <w:szCs w:val="13"/>
          <w:b w:val="1"/>
          <w:bCs w:val="1"/>
          <w:color w:val="auto"/>
        </w:rPr>
        <w:t>AVNET, INC. AND SUBSIDIARIES</w:t>
      </w:r>
    </w:p>
    <w:p>
      <w:pPr>
        <w:spacing w:after="0" w:line="96" w:lineRule="exact"/>
        <w:rPr>
          <w:sz w:val="20"/>
          <w:szCs w:val="20"/>
          <w:color w:val="auto"/>
        </w:rPr>
      </w:pPr>
    </w:p>
    <w:p>
      <w:pPr>
        <w:ind w:left="4140"/>
        <w:spacing w:after="0"/>
        <w:rPr>
          <w:sz w:val="20"/>
          <w:szCs w:val="20"/>
          <w:color w:val="auto"/>
        </w:rPr>
      </w:pPr>
      <w:r>
        <w:rPr>
          <w:rFonts w:ascii="Arial" w:cs="Arial" w:eastAsia="Arial" w:hAnsi="Arial"/>
          <w:sz w:val="13"/>
          <w:szCs w:val="13"/>
          <w:b w:val="1"/>
          <w:bCs w:val="1"/>
          <w:color w:val="auto"/>
        </w:rPr>
        <w:t>CONSOLIDATED STATEMENTS OF CASH FLOWS</w:t>
      </w:r>
    </w:p>
    <w:p>
      <w:pPr>
        <w:spacing w:after="0" w:line="19" w:lineRule="exact"/>
        <w:rPr>
          <w:sz w:val="20"/>
          <w:szCs w:val="20"/>
          <w:color w:val="auto"/>
        </w:rPr>
      </w:pPr>
    </w:p>
    <w:p>
      <w:pPr>
        <w:ind w:left="5340"/>
        <w:spacing w:after="0"/>
        <w:rPr>
          <w:sz w:val="20"/>
          <w:szCs w:val="20"/>
          <w:color w:val="auto"/>
        </w:rPr>
      </w:pPr>
      <w:r>
        <w:rPr>
          <w:rFonts w:ascii="Arial" w:cs="Arial" w:eastAsia="Arial" w:hAnsi="Arial"/>
          <w:sz w:val="13"/>
          <w:szCs w:val="13"/>
          <w:b w:val="1"/>
          <w:bCs w:val="1"/>
          <w:color w:val="auto"/>
        </w:rPr>
        <w:t>(Unaudited)</w:t>
      </w:r>
    </w:p>
    <w:p>
      <w:pPr>
        <w:spacing w:after="0" w:line="169"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980" w:type="dxa"/>
            <w:vAlign w:val="bottom"/>
            <w:gridSpan w:val="5"/>
          </w:tcPr>
          <w:p>
            <w:pPr>
              <w:jc w:val="right"/>
              <w:ind w:right="600"/>
              <w:spacing w:after="0"/>
              <w:rPr>
                <w:sz w:val="20"/>
                <w:szCs w:val="20"/>
                <w:color w:val="auto"/>
              </w:rPr>
            </w:pPr>
            <w:r>
              <w:rPr>
                <w:rFonts w:ascii="Arial" w:cs="Arial" w:eastAsia="Arial" w:hAnsi="Arial"/>
                <w:sz w:val="10"/>
                <w:szCs w:val="10"/>
                <w:b w:val="1"/>
                <w:bCs w:val="1"/>
                <w:color w:val="auto"/>
              </w:rPr>
              <w:t>First Quarters Ended</w:t>
            </w:r>
          </w:p>
        </w:tc>
        <w:tc>
          <w:tcPr>
            <w:tcW w:w="0" w:type="dxa"/>
            <w:vAlign w:val="bottom"/>
          </w:tcPr>
          <w:p>
            <w:pPr>
              <w:spacing w:after="0"/>
              <w:rPr>
                <w:sz w:val="1"/>
                <w:szCs w:val="1"/>
                <w:color w:val="auto"/>
              </w:rPr>
            </w:pPr>
          </w:p>
        </w:tc>
      </w:tr>
      <w:tr>
        <w:trPr>
          <w:trHeight w:val="81"/>
        </w:trPr>
        <w:tc>
          <w:tcPr>
            <w:tcW w:w="790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1200" w:type="dxa"/>
            <w:vAlign w:val="bottom"/>
            <w:tcBorders>
              <w:top w:val="single" w:sz="8" w:color="auto"/>
            </w:tcBorders>
            <w:gridSpan w:val="2"/>
          </w:tcPr>
          <w:p>
            <w:pPr>
              <w:jc w:val="right"/>
              <w:ind w:right="520"/>
              <w:spacing w:after="0" w:line="81" w:lineRule="exact"/>
              <w:rPr>
                <w:sz w:val="20"/>
                <w:szCs w:val="20"/>
                <w:color w:val="auto"/>
              </w:rPr>
            </w:pPr>
            <w:r>
              <w:rPr>
                <w:rFonts w:ascii="Arial" w:cs="Arial" w:eastAsia="Arial" w:hAnsi="Arial"/>
                <w:sz w:val="9"/>
                <w:szCs w:val="9"/>
                <w:b w:val="1"/>
                <w:bCs w:val="1"/>
                <w:color w:val="auto"/>
              </w:rPr>
              <w:t>September 30,</w:t>
            </w:r>
          </w:p>
        </w:tc>
        <w:tc>
          <w:tcPr>
            <w:tcW w:w="80" w:type="dxa"/>
            <w:vAlign w:val="bottom"/>
            <w:tcBorders>
              <w:top w:val="single" w:sz="8" w:color="auto"/>
            </w:tcBorders>
          </w:tcPr>
          <w:p>
            <w:pPr>
              <w:spacing w:after="0"/>
              <w:rPr>
                <w:sz w:val="7"/>
                <w:szCs w:val="7"/>
                <w:color w:val="auto"/>
              </w:rPr>
            </w:pPr>
          </w:p>
        </w:tc>
        <w:tc>
          <w:tcPr>
            <w:tcW w:w="600" w:type="dxa"/>
            <w:vAlign w:val="bottom"/>
            <w:tcBorders>
              <w:top w:val="single" w:sz="8" w:color="auto"/>
            </w:tcBorders>
          </w:tcPr>
          <w:p>
            <w:pPr>
              <w:jc w:val="right"/>
              <w:ind w:right="36"/>
              <w:spacing w:after="0" w:line="81" w:lineRule="exact"/>
              <w:rPr>
                <w:sz w:val="20"/>
                <w:szCs w:val="20"/>
                <w:color w:val="auto"/>
              </w:rPr>
            </w:pPr>
            <w:r>
              <w:rPr>
                <w:rFonts w:ascii="Arial" w:cs="Arial" w:eastAsia="Arial" w:hAnsi="Arial"/>
                <w:sz w:val="9"/>
                <w:szCs w:val="9"/>
                <w:b w:val="1"/>
                <w:bCs w:val="1"/>
                <w:color w:val="auto"/>
              </w:rPr>
              <w:t>October 1,</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79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ind w:right="277"/>
              <w:spacing w:after="0"/>
              <w:rPr>
                <w:sz w:val="20"/>
                <w:szCs w:val="20"/>
                <w:color w:val="auto"/>
              </w:rPr>
            </w:pPr>
            <w:r>
              <w:rPr>
                <w:rFonts w:ascii="Arial" w:cs="Arial" w:eastAsia="Arial" w:hAnsi="Arial"/>
                <w:sz w:val="10"/>
                <w:szCs w:val="10"/>
                <w:b w:val="1"/>
                <w:bCs w:val="1"/>
                <w:color w:val="auto"/>
              </w:rPr>
              <w:t>2006</w:t>
            </w: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76"/>
              <w:spacing w:after="0"/>
              <w:rPr>
                <w:sz w:val="20"/>
                <w:szCs w:val="20"/>
                <w:color w:val="auto"/>
              </w:rPr>
            </w:pPr>
            <w:r>
              <w:rPr>
                <w:rFonts w:ascii="Arial" w:cs="Arial" w:eastAsia="Arial" w:hAnsi="Arial"/>
                <w:sz w:val="10"/>
                <w:szCs w:val="10"/>
                <w:b w:val="1"/>
                <w:bCs w:val="1"/>
                <w:color w:val="auto"/>
              </w:rPr>
              <w:t>2005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7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0"/>
                <w:szCs w:val="10"/>
                <w:b w:val="1"/>
                <w:bCs w:val="1"/>
                <w:color w:val="auto"/>
              </w:rPr>
              <w:t>(Thousands)</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7900" w:type="dxa"/>
            <w:vAlign w:val="bottom"/>
            <w:shd w:val="clear" w:color="auto" w:fill="CCEEFF"/>
          </w:tcPr>
          <w:p>
            <w:pPr>
              <w:spacing w:after="0"/>
              <w:rPr>
                <w:sz w:val="20"/>
                <w:szCs w:val="20"/>
                <w:color w:val="auto"/>
              </w:rPr>
            </w:pPr>
            <w:r>
              <w:rPr>
                <w:rFonts w:ascii="Arial" w:cs="Arial" w:eastAsia="Arial" w:hAnsi="Arial"/>
                <w:sz w:val="13"/>
                <w:szCs w:val="13"/>
                <w:color w:val="auto"/>
              </w:rPr>
              <w:t>Cash flows from operating activities:</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7900" w:type="dxa"/>
            <w:vAlign w:val="bottom"/>
          </w:tcPr>
          <w:p>
            <w:pPr>
              <w:ind w:left="140"/>
              <w:spacing w:after="0"/>
              <w:rPr>
                <w:sz w:val="20"/>
                <w:szCs w:val="20"/>
                <w:color w:val="auto"/>
              </w:rPr>
            </w:pPr>
            <w:r>
              <w:rPr>
                <w:rFonts w:ascii="Arial" w:cs="Arial" w:eastAsia="Arial" w:hAnsi="Arial"/>
                <w:sz w:val="13"/>
                <w:szCs w:val="13"/>
                <w:color w:val="auto"/>
              </w:rPr>
              <w:t>Net income</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64,143</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24,897</w:t>
            </w:r>
          </w:p>
        </w:tc>
        <w:tc>
          <w:tcPr>
            <w:tcW w:w="0" w:type="dxa"/>
            <w:vAlign w:val="bottom"/>
          </w:tcPr>
          <w:p>
            <w:pPr>
              <w:spacing w:after="0"/>
              <w:rPr>
                <w:sz w:val="1"/>
                <w:szCs w:val="1"/>
                <w:color w:val="auto"/>
              </w:rPr>
            </w:pPr>
          </w:p>
        </w:tc>
      </w:tr>
      <w:tr>
        <w:trPr>
          <w:trHeight w:val="157"/>
        </w:trPr>
        <w:tc>
          <w:tcPr>
            <w:tcW w:w="7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Non-cash and other reconciling items:</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900" w:type="dxa"/>
            <w:vAlign w:val="bottom"/>
          </w:tcPr>
          <w:p>
            <w:pPr>
              <w:ind w:left="280"/>
              <w:spacing w:after="0"/>
              <w:rPr>
                <w:sz w:val="20"/>
                <w:szCs w:val="20"/>
                <w:color w:val="auto"/>
              </w:rPr>
            </w:pPr>
            <w:r>
              <w:rPr>
                <w:rFonts w:ascii="Arial" w:cs="Arial" w:eastAsia="Arial" w:hAnsi="Arial"/>
                <w:sz w:val="13"/>
                <w:szCs w:val="13"/>
                <w:color w:val="auto"/>
              </w:rPr>
              <w:t>Depreciation and amortization</w:t>
            </w:r>
          </w:p>
        </w:tc>
        <w:tc>
          <w:tcPr>
            <w:tcW w:w="100" w:type="dxa"/>
            <w:vAlign w:val="bottom"/>
          </w:tcPr>
          <w:p>
            <w:pPr>
              <w:spacing w:after="0"/>
              <w:rPr>
                <w:sz w:val="13"/>
                <w:szCs w:val="13"/>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13,260</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16,742</w:t>
            </w:r>
          </w:p>
        </w:tc>
        <w:tc>
          <w:tcPr>
            <w:tcW w:w="0" w:type="dxa"/>
            <w:vAlign w:val="bottom"/>
          </w:tcPr>
          <w:p>
            <w:pPr>
              <w:spacing w:after="0"/>
              <w:rPr>
                <w:sz w:val="1"/>
                <w:szCs w:val="1"/>
                <w:color w:val="auto"/>
              </w:rPr>
            </w:pPr>
          </w:p>
        </w:tc>
      </w:tr>
      <w:tr>
        <w:trPr>
          <w:trHeight w:val="157"/>
        </w:trPr>
        <w:tc>
          <w:tcPr>
            <w:tcW w:w="79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Deferred income taxes</w:t>
            </w:r>
          </w:p>
        </w:tc>
        <w:tc>
          <w:tcPr>
            <w:tcW w:w="1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22,121</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(572)</w:t>
            </w:r>
          </w:p>
        </w:tc>
        <w:tc>
          <w:tcPr>
            <w:tcW w:w="0" w:type="dxa"/>
            <w:vAlign w:val="bottom"/>
          </w:tcPr>
          <w:p>
            <w:pPr>
              <w:spacing w:after="0"/>
              <w:rPr>
                <w:sz w:val="1"/>
                <w:szCs w:val="1"/>
                <w:color w:val="auto"/>
              </w:rPr>
            </w:pPr>
          </w:p>
        </w:tc>
      </w:tr>
      <w:tr>
        <w:trPr>
          <w:trHeight w:val="157"/>
        </w:trPr>
        <w:tc>
          <w:tcPr>
            <w:tcW w:w="7900" w:type="dxa"/>
            <w:vAlign w:val="bottom"/>
          </w:tcPr>
          <w:p>
            <w:pPr>
              <w:ind w:left="280"/>
              <w:spacing w:after="0"/>
              <w:rPr>
                <w:sz w:val="20"/>
                <w:szCs w:val="20"/>
                <w:color w:val="auto"/>
              </w:rPr>
            </w:pPr>
            <w:r>
              <w:rPr>
                <w:rFonts w:ascii="Arial" w:cs="Arial" w:eastAsia="Arial" w:hAnsi="Arial"/>
                <w:sz w:val="13"/>
                <w:szCs w:val="13"/>
                <w:color w:val="auto"/>
              </w:rPr>
              <w:t>Non-cash restructuring and other charges (Note 12)</w:t>
            </w:r>
          </w:p>
        </w:tc>
        <w:tc>
          <w:tcPr>
            <w:tcW w:w="100" w:type="dxa"/>
            <w:vAlign w:val="bottom"/>
          </w:tcPr>
          <w:p>
            <w:pPr>
              <w:spacing w:after="0"/>
              <w:rPr>
                <w:sz w:val="13"/>
                <w:szCs w:val="13"/>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2,359</w:t>
            </w:r>
          </w:p>
        </w:tc>
        <w:tc>
          <w:tcPr>
            <w:tcW w:w="0" w:type="dxa"/>
            <w:vAlign w:val="bottom"/>
          </w:tcPr>
          <w:p>
            <w:pPr>
              <w:spacing w:after="0"/>
              <w:rPr>
                <w:sz w:val="1"/>
                <w:szCs w:val="1"/>
                <w:color w:val="auto"/>
              </w:rPr>
            </w:pPr>
          </w:p>
        </w:tc>
      </w:tr>
      <w:tr>
        <w:trPr>
          <w:trHeight w:val="157"/>
        </w:trPr>
        <w:tc>
          <w:tcPr>
            <w:tcW w:w="79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Other, net (Note 10)</w:t>
            </w:r>
          </w:p>
        </w:tc>
        <w:tc>
          <w:tcPr>
            <w:tcW w:w="1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15,469</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15,329</w:t>
            </w:r>
          </w:p>
        </w:tc>
        <w:tc>
          <w:tcPr>
            <w:tcW w:w="0" w:type="dxa"/>
            <w:vAlign w:val="bottom"/>
          </w:tcPr>
          <w:p>
            <w:pPr>
              <w:spacing w:after="0"/>
              <w:rPr>
                <w:sz w:val="1"/>
                <w:szCs w:val="1"/>
                <w:color w:val="auto"/>
              </w:rPr>
            </w:pPr>
          </w:p>
        </w:tc>
      </w:tr>
      <w:tr>
        <w:trPr>
          <w:trHeight w:val="157"/>
        </w:trPr>
        <w:tc>
          <w:tcPr>
            <w:tcW w:w="7900" w:type="dxa"/>
            <w:vAlign w:val="bottom"/>
          </w:tcPr>
          <w:p>
            <w:pPr>
              <w:ind w:left="140"/>
              <w:spacing w:after="0"/>
              <w:rPr>
                <w:sz w:val="20"/>
                <w:szCs w:val="20"/>
                <w:color w:val="auto"/>
              </w:rPr>
            </w:pPr>
            <w:r>
              <w:rPr>
                <w:rFonts w:ascii="Arial" w:cs="Arial" w:eastAsia="Arial" w:hAnsi="Arial"/>
                <w:sz w:val="13"/>
                <w:szCs w:val="13"/>
                <w:color w:val="auto"/>
              </w:rPr>
              <w:t>Changes in (net of effects from business acquisitions):</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9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Receivables</w:t>
            </w:r>
          </w:p>
        </w:tc>
        <w:tc>
          <w:tcPr>
            <w:tcW w:w="1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(80,583)</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(21,202)</w:t>
            </w:r>
          </w:p>
        </w:tc>
        <w:tc>
          <w:tcPr>
            <w:tcW w:w="0" w:type="dxa"/>
            <w:vAlign w:val="bottom"/>
          </w:tcPr>
          <w:p>
            <w:pPr>
              <w:spacing w:after="0"/>
              <w:rPr>
                <w:sz w:val="1"/>
                <w:szCs w:val="1"/>
                <w:color w:val="auto"/>
              </w:rPr>
            </w:pPr>
          </w:p>
        </w:tc>
      </w:tr>
      <w:tr>
        <w:trPr>
          <w:trHeight w:val="157"/>
        </w:trPr>
        <w:tc>
          <w:tcPr>
            <w:tcW w:w="7900" w:type="dxa"/>
            <w:vAlign w:val="bottom"/>
          </w:tcPr>
          <w:p>
            <w:pPr>
              <w:ind w:left="280"/>
              <w:spacing w:after="0"/>
              <w:rPr>
                <w:sz w:val="20"/>
                <w:szCs w:val="20"/>
                <w:color w:val="auto"/>
              </w:rPr>
            </w:pPr>
            <w:r>
              <w:rPr>
                <w:rFonts w:ascii="Arial" w:cs="Arial" w:eastAsia="Arial" w:hAnsi="Arial"/>
                <w:sz w:val="13"/>
                <w:szCs w:val="13"/>
                <w:color w:val="auto"/>
              </w:rPr>
              <w:t>Inventories</w:t>
            </w:r>
          </w:p>
        </w:tc>
        <w:tc>
          <w:tcPr>
            <w:tcW w:w="100" w:type="dxa"/>
            <w:vAlign w:val="bottom"/>
          </w:tcPr>
          <w:p>
            <w:pPr>
              <w:spacing w:after="0"/>
              <w:rPr>
                <w:sz w:val="13"/>
                <w:szCs w:val="13"/>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3"/>
                <w:szCs w:val="13"/>
                <w:color w:val="auto"/>
              </w:rPr>
              <w:t>(34,328)</w:t>
            </w:r>
          </w:p>
        </w:tc>
        <w:tc>
          <w:tcPr>
            <w:tcW w:w="80" w:type="dxa"/>
            <w:vAlign w:val="bottom"/>
          </w:tcPr>
          <w:p>
            <w:pPr>
              <w:spacing w:after="0"/>
              <w:rPr>
                <w:sz w:val="13"/>
                <w:szCs w:val="13"/>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(88,603)</w:t>
            </w:r>
          </w:p>
        </w:tc>
        <w:tc>
          <w:tcPr>
            <w:tcW w:w="0" w:type="dxa"/>
            <w:vAlign w:val="bottom"/>
          </w:tcPr>
          <w:p>
            <w:pPr>
              <w:spacing w:after="0"/>
              <w:rPr>
                <w:sz w:val="1"/>
                <w:szCs w:val="1"/>
                <w:color w:val="auto"/>
              </w:rPr>
            </w:pPr>
          </w:p>
        </w:tc>
      </w:tr>
      <w:tr>
        <w:trPr>
          <w:trHeight w:val="157"/>
        </w:trPr>
        <w:tc>
          <w:tcPr>
            <w:tcW w:w="79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Accounts payable</w:t>
            </w:r>
          </w:p>
        </w:tc>
        <w:tc>
          <w:tcPr>
            <w:tcW w:w="1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(9,522)</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(11,849)</w:t>
            </w:r>
          </w:p>
        </w:tc>
        <w:tc>
          <w:tcPr>
            <w:tcW w:w="0" w:type="dxa"/>
            <w:vAlign w:val="bottom"/>
          </w:tcPr>
          <w:p>
            <w:pPr>
              <w:spacing w:after="0"/>
              <w:rPr>
                <w:sz w:val="1"/>
                <w:szCs w:val="1"/>
                <w:color w:val="auto"/>
              </w:rPr>
            </w:pPr>
          </w:p>
        </w:tc>
      </w:tr>
      <w:tr>
        <w:trPr>
          <w:trHeight w:val="157"/>
        </w:trPr>
        <w:tc>
          <w:tcPr>
            <w:tcW w:w="7900" w:type="dxa"/>
            <w:vAlign w:val="bottom"/>
          </w:tcPr>
          <w:p>
            <w:pPr>
              <w:ind w:left="280"/>
              <w:spacing w:after="0"/>
              <w:rPr>
                <w:sz w:val="20"/>
                <w:szCs w:val="20"/>
                <w:color w:val="auto"/>
              </w:rPr>
            </w:pPr>
            <w:r>
              <w:rPr>
                <w:rFonts w:ascii="Arial" w:cs="Arial" w:eastAsia="Arial" w:hAnsi="Arial"/>
                <w:sz w:val="13"/>
                <w:szCs w:val="13"/>
                <w:color w:val="auto"/>
              </w:rPr>
              <w:t>Accrued expenses and other, net</w:t>
            </w:r>
          </w:p>
        </w:tc>
        <w:tc>
          <w:tcPr>
            <w:tcW w:w="100" w:type="dxa"/>
            <w:vAlign w:val="bottom"/>
          </w:tcPr>
          <w:p>
            <w:pPr>
              <w:spacing w:after="0"/>
              <w:rPr>
                <w:sz w:val="13"/>
                <w:szCs w:val="13"/>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3"/>
                <w:szCs w:val="13"/>
                <w:color w:val="auto"/>
              </w:rPr>
              <w:t>(17,177)</w:t>
            </w:r>
          </w:p>
        </w:tc>
        <w:tc>
          <w:tcPr>
            <w:tcW w:w="80" w:type="dxa"/>
            <w:vAlign w:val="bottom"/>
          </w:tcPr>
          <w:p>
            <w:pPr>
              <w:spacing w:after="0"/>
              <w:rPr>
                <w:sz w:val="13"/>
                <w:szCs w:val="13"/>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(86,359)</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900" w:type="dxa"/>
            <w:vAlign w:val="bottom"/>
            <w:shd w:val="clear" w:color="auto" w:fill="CCEEFF"/>
          </w:tcPr>
          <w:p>
            <w:pPr>
              <w:ind w:left="400"/>
              <w:spacing w:after="0"/>
              <w:rPr>
                <w:sz w:val="20"/>
                <w:szCs w:val="20"/>
                <w:color w:val="auto"/>
              </w:rPr>
            </w:pPr>
            <w:r>
              <w:rPr>
                <w:rFonts w:ascii="Arial" w:cs="Arial" w:eastAsia="Arial" w:hAnsi="Arial"/>
                <w:sz w:val="13"/>
                <w:szCs w:val="13"/>
                <w:color w:val="auto"/>
              </w:rPr>
              <w:t>Net cash flows used for operating activities</w:t>
            </w:r>
          </w:p>
        </w:tc>
        <w:tc>
          <w:tcPr>
            <w:tcW w:w="1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(26,617)</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(149,258)</w:t>
            </w:r>
          </w:p>
        </w:tc>
        <w:tc>
          <w:tcPr>
            <w:tcW w:w="0" w:type="dxa"/>
            <w:vAlign w:val="bottom"/>
          </w:tcPr>
          <w:p>
            <w:pPr>
              <w:spacing w:after="0"/>
              <w:rPr>
                <w:sz w:val="1"/>
                <w:szCs w:val="1"/>
                <w:color w:val="auto"/>
              </w:rPr>
            </w:pPr>
          </w:p>
        </w:tc>
      </w:tr>
      <w:tr>
        <w:trPr>
          <w:trHeight w:val="156"/>
        </w:trPr>
        <w:tc>
          <w:tcPr>
            <w:tcW w:w="7900" w:type="dxa"/>
            <w:vAlign w:val="bottom"/>
          </w:tcPr>
          <w:p>
            <w:pPr>
              <w:spacing w:after="0"/>
              <w:rPr>
                <w:sz w:val="20"/>
                <w:szCs w:val="20"/>
                <w:color w:val="auto"/>
              </w:rPr>
            </w:pPr>
            <w:r>
              <w:rPr>
                <w:rFonts w:ascii="Arial" w:cs="Arial" w:eastAsia="Arial" w:hAnsi="Arial"/>
                <w:sz w:val="13"/>
                <w:szCs w:val="13"/>
                <w:color w:val="auto"/>
              </w:rPr>
              <w:t>Cash flows from financing activities:</w:t>
            </w:r>
          </w:p>
        </w:tc>
        <w:tc>
          <w:tcPr>
            <w:tcW w:w="1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Issuance of notes in public offering, net of issuance costs (Note 5)</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296,085</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246,483</w:t>
            </w:r>
          </w:p>
        </w:tc>
        <w:tc>
          <w:tcPr>
            <w:tcW w:w="0" w:type="dxa"/>
            <w:vAlign w:val="bottom"/>
          </w:tcPr>
          <w:p>
            <w:pPr>
              <w:spacing w:after="0"/>
              <w:rPr>
                <w:sz w:val="1"/>
                <w:szCs w:val="1"/>
                <w:color w:val="auto"/>
              </w:rPr>
            </w:pPr>
          </w:p>
        </w:tc>
      </w:tr>
      <w:tr>
        <w:trPr>
          <w:trHeight w:val="157"/>
        </w:trPr>
        <w:tc>
          <w:tcPr>
            <w:tcW w:w="7900" w:type="dxa"/>
            <w:vAlign w:val="bottom"/>
          </w:tcPr>
          <w:p>
            <w:pPr>
              <w:ind w:left="140"/>
              <w:spacing w:after="0"/>
              <w:rPr>
                <w:sz w:val="20"/>
                <w:szCs w:val="20"/>
                <w:color w:val="auto"/>
              </w:rPr>
            </w:pPr>
            <w:r>
              <w:rPr>
                <w:rFonts w:ascii="Arial" w:cs="Arial" w:eastAsia="Arial" w:hAnsi="Arial"/>
                <w:sz w:val="13"/>
                <w:szCs w:val="13"/>
                <w:color w:val="auto"/>
              </w:rPr>
              <w:t>Repayment of notes (Note 5)</w:t>
            </w:r>
          </w:p>
        </w:tc>
        <w:tc>
          <w:tcPr>
            <w:tcW w:w="100" w:type="dxa"/>
            <w:vAlign w:val="bottom"/>
          </w:tcPr>
          <w:p>
            <w:pPr>
              <w:spacing w:after="0"/>
              <w:rPr>
                <w:sz w:val="13"/>
                <w:szCs w:val="13"/>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3"/>
                <w:szCs w:val="13"/>
                <w:color w:val="auto"/>
              </w:rPr>
              <w:t>(46,000)</w:t>
            </w:r>
          </w:p>
        </w:tc>
        <w:tc>
          <w:tcPr>
            <w:tcW w:w="80" w:type="dxa"/>
            <w:vAlign w:val="bottom"/>
          </w:tcPr>
          <w:p>
            <w:pPr>
              <w:spacing w:after="0"/>
              <w:rPr>
                <w:sz w:val="13"/>
                <w:szCs w:val="13"/>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(254,095)</w:t>
            </w:r>
          </w:p>
        </w:tc>
        <w:tc>
          <w:tcPr>
            <w:tcW w:w="0" w:type="dxa"/>
            <w:vAlign w:val="bottom"/>
          </w:tcPr>
          <w:p>
            <w:pPr>
              <w:spacing w:after="0"/>
              <w:rPr>
                <w:sz w:val="1"/>
                <w:szCs w:val="1"/>
                <w:color w:val="auto"/>
              </w:rPr>
            </w:pPr>
          </w:p>
        </w:tc>
      </w:tr>
      <w:tr>
        <w:trPr>
          <w:trHeight w:val="157"/>
        </w:trPr>
        <w:tc>
          <w:tcPr>
            <w:tcW w:w="7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(Repayment of) proceeds from bank debt, net (Note 5)</w:t>
            </w:r>
          </w:p>
        </w:tc>
        <w:tc>
          <w:tcPr>
            <w:tcW w:w="1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(8,258)</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14,064</w:t>
            </w:r>
          </w:p>
        </w:tc>
        <w:tc>
          <w:tcPr>
            <w:tcW w:w="0" w:type="dxa"/>
            <w:vAlign w:val="bottom"/>
          </w:tcPr>
          <w:p>
            <w:pPr>
              <w:spacing w:after="0"/>
              <w:rPr>
                <w:sz w:val="1"/>
                <w:szCs w:val="1"/>
                <w:color w:val="auto"/>
              </w:rPr>
            </w:pPr>
          </w:p>
        </w:tc>
      </w:tr>
      <w:tr>
        <w:trPr>
          <w:trHeight w:val="157"/>
        </w:trPr>
        <w:tc>
          <w:tcPr>
            <w:tcW w:w="7900" w:type="dxa"/>
            <w:vAlign w:val="bottom"/>
          </w:tcPr>
          <w:p>
            <w:pPr>
              <w:ind w:left="140"/>
              <w:spacing w:after="0"/>
              <w:rPr>
                <w:sz w:val="20"/>
                <w:szCs w:val="20"/>
                <w:color w:val="auto"/>
              </w:rPr>
            </w:pPr>
            <w:r>
              <w:rPr>
                <w:rFonts w:ascii="Arial" w:cs="Arial" w:eastAsia="Arial" w:hAnsi="Arial"/>
                <w:sz w:val="13"/>
                <w:szCs w:val="13"/>
                <w:color w:val="auto"/>
              </w:rPr>
              <w:t>Proceeds from (repayment of) other debt, net (Note 5)</w:t>
            </w: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(578)</w:t>
            </w:r>
          </w:p>
        </w:tc>
        <w:tc>
          <w:tcPr>
            <w:tcW w:w="0" w:type="dxa"/>
            <w:vAlign w:val="bottom"/>
          </w:tcPr>
          <w:p>
            <w:pPr>
              <w:spacing w:after="0"/>
              <w:rPr>
                <w:sz w:val="1"/>
                <w:szCs w:val="1"/>
                <w:color w:val="auto"/>
              </w:rPr>
            </w:pPr>
          </w:p>
        </w:tc>
      </w:tr>
      <w:tr>
        <w:trPr>
          <w:trHeight w:val="157"/>
        </w:trPr>
        <w:tc>
          <w:tcPr>
            <w:tcW w:w="7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net (Note 10)</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3,082</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22,069</w:t>
            </w:r>
          </w:p>
        </w:tc>
        <w:tc>
          <w:tcPr>
            <w:tcW w:w="0" w:type="dxa"/>
            <w:vAlign w:val="bottom"/>
          </w:tcPr>
          <w:p>
            <w:pPr>
              <w:spacing w:after="0"/>
              <w:rPr>
                <w:sz w:val="1"/>
                <w:szCs w:val="1"/>
                <w:color w:val="auto"/>
              </w:rPr>
            </w:pPr>
          </w:p>
        </w:tc>
      </w:tr>
      <w:tr>
        <w:trPr>
          <w:trHeight w:val="20"/>
        </w:trPr>
        <w:tc>
          <w:tcPr>
            <w:tcW w:w="7900" w:type="dxa"/>
            <w:vAlign w:val="bottom"/>
            <w:vMerge w:val="restart"/>
          </w:tcPr>
          <w:p>
            <w:pPr>
              <w:ind w:left="400"/>
              <w:spacing w:after="0"/>
              <w:rPr>
                <w:sz w:val="20"/>
                <w:szCs w:val="20"/>
                <w:color w:val="auto"/>
              </w:rPr>
            </w:pPr>
            <w:r>
              <w:rPr>
                <w:rFonts w:ascii="Arial" w:cs="Arial" w:eastAsia="Arial" w:hAnsi="Arial"/>
                <w:sz w:val="13"/>
                <w:szCs w:val="13"/>
                <w:color w:val="auto"/>
              </w:rPr>
              <w:t>Net cash flows provided by financing activities</w:t>
            </w: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9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244,912</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27,943</w:t>
            </w:r>
          </w:p>
        </w:tc>
        <w:tc>
          <w:tcPr>
            <w:tcW w:w="0" w:type="dxa"/>
            <w:vAlign w:val="bottom"/>
          </w:tcPr>
          <w:p>
            <w:pPr>
              <w:spacing w:after="0"/>
              <w:rPr>
                <w:sz w:val="1"/>
                <w:szCs w:val="1"/>
                <w:color w:val="auto"/>
              </w:rPr>
            </w:pPr>
          </w:p>
        </w:tc>
      </w:tr>
      <w:tr>
        <w:trPr>
          <w:trHeight w:val="157"/>
        </w:trPr>
        <w:tc>
          <w:tcPr>
            <w:tcW w:w="7900" w:type="dxa"/>
            <w:vAlign w:val="bottom"/>
            <w:shd w:val="clear" w:color="auto" w:fill="CCEEFF"/>
          </w:tcPr>
          <w:p>
            <w:pPr>
              <w:spacing w:after="0"/>
              <w:rPr>
                <w:sz w:val="20"/>
                <w:szCs w:val="20"/>
                <w:color w:val="auto"/>
              </w:rPr>
            </w:pPr>
            <w:r>
              <w:rPr>
                <w:rFonts w:ascii="Arial" w:cs="Arial" w:eastAsia="Arial" w:hAnsi="Arial"/>
                <w:sz w:val="13"/>
                <w:szCs w:val="13"/>
                <w:color w:val="auto"/>
              </w:rPr>
              <w:t>Cash flows from investing activities:</w:t>
            </w:r>
          </w:p>
        </w:tc>
        <w:tc>
          <w:tcPr>
            <w:tcW w:w="10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900" w:type="dxa"/>
            <w:vAlign w:val="bottom"/>
          </w:tcPr>
          <w:p>
            <w:pPr>
              <w:ind w:left="140"/>
              <w:spacing w:after="0"/>
              <w:rPr>
                <w:sz w:val="20"/>
                <w:szCs w:val="20"/>
                <w:color w:val="auto"/>
              </w:rPr>
            </w:pPr>
            <w:r>
              <w:rPr>
                <w:rFonts w:ascii="Arial" w:cs="Arial" w:eastAsia="Arial" w:hAnsi="Arial"/>
                <w:sz w:val="13"/>
                <w:szCs w:val="13"/>
                <w:color w:val="auto"/>
              </w:rPr>
              <w:t>Purchases of property, plant and equipment</w:t>
            </w:r>
          </w:p>
        </w:tc>
        <w:tc>
          <w:tcPr>
            <w:tcW w:w="100" w:type="dxa"/>
            <w:vAlign w:val="bottom"/>
          </w:tcPr>
          <w:p>
            <w:pPr>
              <w:spacing w:after="0"/>
              <w:rPr>
                <w:sz w:val="13"/>
                <w:szCs w:val="13"/>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3"/>
                <w:szCs w:val="13"/>
                <w:color w:val="auto"/>
              </w:rPr>
              <w:t>(14,045)</w:t>
            </w:r>
          </w:p>
        </w:tc>
        <w:tc>
          <w:tcPr>
            <w:tcW w:w="80" w:type="dxa"/>
            <w:vAlign w:val="bottom"/>
          </w:tcPr>
          <w:p>
            <w:pPr>
              <w:spacing w:after="0"/>
              <w:rPr>
                <w:sz w:val="13"/>
                <w:szCs w:val="13"/>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(13,149)</w:t>
            </w:r>
          </w:p>
        </w:tc>
        <w:tc>
          <w:tcPr>
            <w:tcW w:w="0" w:type="dxa"/>
            <w:vAlign w:val="bottom"/>
          </w:tcPr>
          <w:p>
            <w:pPr>
              <w:spacing w:after="0"/>
              <w:rPr>
                <w:sz w:val="1"/>
                <w:szCs w:val="1"/>
                <w:color w:val="auto"/>
              </w:rPr>
            </w:pPr>
          </w:p>
        </w:tc>
      </w:tr>
      <w:tr>
        <w:trPr>
          <w:trHeight w:val="157"/>
        </w:trPr>
        <w:tc>
          <w:tcPr>
            <w:tcW w:w="7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Cash proceeds from sales of property, plant and equipment</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728</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292</w:t>
            </w:r>
          </w:p>
        </w:tc>
        <w:tc>
          <w:tcPr>
            <w:tcW w:w="0" w:type="dxa"/>
            <w:vAlign w:val="bottom"/>
          </w:tcPr>
          <w:p>
            <w:pPr>
              <w:spacing w:after="0"/>
              <w:rPr>
                <w:sz w:val="1"/>
                <w:szCs w:val="1"/>
                <w:color w:val="auto"/>
              </w:rPr>
            </w:pPr>
          </w:p>
        </w:tc>
      </w:tr>
      <w:tr>
        <w:trPr>
          <w:trHeight w:val="157"/>
        </w:trPr>
        <w:tc>
          <w:tcPr>
            <w:tcW w:w="7900" w:type="dxa"/>
            <w:vAlign w:val="bottom"/>
          </w:tcPr>
          <w:p>
            <w:pPr>
              <w:ind w:left="140"/>
              <w:spacing w:after="0"/>
              <w:rPr>
                <w:sz w:val="20"/>
                <w:szCs w:val="20"/>
                <w:color w:val="auto"/>
              </w:rPr>
            </w:pPr>
            <w:r>
              <w:rPr>
                <w:rFonts w:ascii="Arial" w:cs="Arial" w:eastAsia="Arial" w:hAnsi="Arial"/>
                <w:sz w:val="13"/>
                <w:szCs w:val="13"/>
                <w:color w:val="auto"/>
              </w:rPr>
              <w:t>Acquisition of operations, net (Note 3)</w:t>
            </w:r>
          </w:p>
        </w:tc>
        <w:tc>
          <w:tcPr>
            <w:tcW w:w="100" w:type="dxa"/>
            <w:vAlign w:val="bottom"/>
          </w:tcPr>
          <w:p>
            <w:pPr>
              <w:spacing w:after="0"/>
              <w:rPr>
                <w:sz w:val="13"/>
                <w:szCs w:val="13"/>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(297,990)</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900" w:type="dxa"/>
            <w:vAlign w:val="bottom"/>
            <w:shd w:val="clear" w:color="auto" w:fill="CCEEFF"/>
          </w:tcPr>
          <w:p>
            <w:pPr>
              <w:ind w:left="400"/>
              <w:spacing w:after="0"/>
              <w:rPr>
                <w:sz w:val="20"/>
                <w:szCs w:val="20"/>
                <w:color w:val="auto"/>
              </w:rPr>
            </w:pPr>
            <w:r>
              <w:rPr>
                <w:rFonts w:ascii="Arial" w:cs="Arial" w:eastAsia="Arial" w:hAnsi="Arial"/>
                <w:sz w:val="13"/>
                <w:szCs w:val="13"/>
                <w:color w:val="auto"/>
              </w:rPr>
              <w:t>Net cash flows used for investing activities</w:t>
            </w:r>
          </w:p>
        </w:tc>
        <w:tc>
          <w:tcPr>
            <w:tcW w:w="1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(13,317)</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(310,847)</w:t>
            </w:r>
          </w:p>
        </w:tc>
        <w:tc>
          <w:tcPr>
            <w:tcW w:w="0" w:type="dxa"/>
            <w:vAlign w:val="bottom"/>
          </w:tcPr>
          <w:p>
            <w:pPr>
              <w:spacing w:after="0"/>
              <w:rPr>
                <w:sz w:val="1"/>
                <w:szCs w:val="1"/>
                <w:color w:val="auto"/>
              </w:rPr>
            </w:pPr>
          </w:p>
        </w:tc>
      </w:tr>
      <w:tr>
        <w:trPr>
          <w:trHeight w:val="20"/>
        </w:trPr>
        <w:tc>
          <w:tcPr>
            <w:tcW w:w="7900" w:type="dxa"/>
            <w:vAlign w:val="bottom"/>
            <w:vMerge w:val="restart"/>
          </w:tcPr>
          <w:p>
            <w:pPr>
              <w:spacing w:after="0"/>
              <w:rPr>
                <w:sz w:val="20"/>
                <w:szCs w:val="20"/>
                <w:color w:val="auto"/>
              </w:rPr>
            </w:pPr>
            <w:r>
              <w:rPr>
                <w:rFonts w:ascii="Arial" w:cs="Arial" w:eastAsia="Arial" w:hAnsi="Arial"/>
                <w:sz w:val="13"/>
                <w:szCs w:val="13"/>
                <w:color w:val="auto"/>
              </w:rPr>
              <w:t>Effect of exchange rate changes on cash and cash equivalents</w:t>
            </w: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9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88</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(1,039)</w:t>
            </w:r>
          </w:p>
        </w:tc>
        <w:tc>
          <w:tcPr>
            <w:tcW w:w="0" w:type="dxa"/>
            <w:vAlign w:val="bottom"/>
          </w:tcPr>
          <w:p>
            <w:pPr>
              <w:spacing w:after="0"/>
              <w:rPr>
                <w:sz w:val="1"/>
                <w:szCs w:val="1"/>
                <w:color w:val="auto"/>
              </w:rPr>
            </w:pPr>
          </w:p>
        </w:tc>
      </w:tr>
      <w:tr>
        <w:trPr>
          <w:trHeight w:val="157"/>
        </w:trPr>
        <w:tc>
          <w:tcPr>
            <w:tcW w:w="7900" w:type="dxa"/>
            <w:vAlign w:val="bottom"/>
            <w:shd w:val="clear" w:color="auto" w:fill="CCEEFF"/>
          </w:tcPr>
          <w:p>
            <w:pPr>
              <w:spacing w:after="0"/>
              <w:rPr>
                <w:sz w:val="20"/>
                <w:szCs w:val="20"/>
                <w:color w:val="auto"/>
              </w:rPr>
            </w:pPr>
            <w:r>
              <w:rPr>
                <w:rFonts w:ascii="Arial" w:cs="Arial" w:eastAsia="Arial" w:hAnsi="Arial"/>
                <w:sz w:val="13"/>
                <w:szCs w:val="13"/>
                <w:color w:val="auto"/>
              </w:rPr>
              <w:t>Cash and cash equivalents:</w:t>
            </w:r>
          </w:p>
        </w:tc>
        <w:tc>
          <w:tcPr>
            <w:tcW w:w="10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900" w:type="dxa"/>
            <w:vAlign w:val="bottom"/>
          </w:tcPr>
          <w:p>
            <w:pPr>
              <w:ind w:left="180"/>
              <w:spacing w:after="0"/>
              <w:rPr>
                <w:sz w:val="20"/>
                <w:szCs w:val="20"/>
                <w:color w:val="auto"/>
              </w:rPr>
            </w:pPr>
            <w:r>
              <w:rPr>
                <w:rFonts w:ascii="Arial" w:cs="Arial" w:eastAsia="Arial" w:hAnsi="Arial"/>
                <w:sz w:val="13"/>
                <w:szCs w:val="13"/>
                <w:color w:val="auto"/>
              </w:rPr>
              <w:t>— increase (decrease)</w:t>
            </w: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205,066</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(433,201)</w:t>
            </w:r>
          </w:p>
        </w:tc>
        <w:tc>
          <w:tcPr>
            <w:tcW w:w="0" w:type="dxa"/>
            <w:vAlign w:val="bottom"/>
          </w:tcPr>
          <w:p>
            <w:pPr>
              <w:spacing w:after="0"/>
              <w:rPr>
                <w:sz w:val="1"/>
                <w:szCs w:val="1"/>
                <w:color w:val="auto"/>
              </w:rPr>
            </w:pPr>
          </w:p>
        </w:tc>
      </w:tr>
      <w:tr>
        <w:trPr>
          <w:trHeight w:val="157"/>
        </w:trPr>
        <w:tc>
          <w:tcPr>
            <w:tcW w:w="79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 at beginning of period</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276,713</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637,867</w:t>
            </w:r>
          </w:p>
        </w:tc>
        <w:tc>
          <w:tcPr>
            <w:tcW w:w="0" w:type="dxa"/>
            <w:vAlign w:val="bottom"/>
          </w:tcPr>
          <w:p>
            <w:pPr>
              <w:spacing w:after="0"/>
              <w:rPr>
                <w:sz w:val="1"/>
                <w:szCs w:val="1"/>
                <w:color w:val="auto"/>
              </w:rPr>
            </w:pPr>
          </w:p>
        </w:tc>
      </w:tr>
      <w:tr>
        <w:trPr>
          <w:trHeight w:val="20"/>
        </w:trPr>
        <w:tc>
          <w:tcPr>
            <w:tcW w:w="7900" w:type="dxa"/>
            <w:vAlign w:val="bottom"/>
            <w:vMerge w:val="restart"/>
          </w:tcPr>
          <w:p>
            <w:pPr>
              <w:ind w:left="180"/>
              <w:spacing w:after="0"/>
              <w:rPr>
                <w:sz w:val="20"/>
                <w:szCs w:val="20"/>
                <w:color w:val="auto"/>
              </w:rPr>
            </w:pPr>
            <w:r>
              <w:rPr>
                <w:rFonts w:ascii="Arial" w:cs="Arial" w:eastAsia="Arial" w:hAnsi="Arial"/>
                <w:sz w:val="13"/>
                <w:szCs w:val="13"/>
                <w:color w:val="auto"/>
              </w:rPr>
              <w:t>— at end of period</w:t>
            </w: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900" w:type="dxa"/>
            <w:vAlign w:val="bottom"/>
            <w:vMerge w:val="continue"/>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481,779</w:t>
            </w:r>
          </w:p>
        </w:tc>
        <w:tc>
          <w:tcPr>
            <w:tcW w:w="4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204,666</w:t>
            </w:r>
          </w:p>
        </w:tc>
        <w:tc>
          <w:tcPr>
            <w:tcW w:w="0" w:type="dxa"/>
            <w:vAlign w:val="bottom"/>
          </w:tcPr>
          <w:p>
            <w:pPr>
              <w:spacing w:after="0"/>
              <w:rPr>
                <w:sz w:val="1"/>
                <w:szCs w:val="1"/>
                <w:color w:val="auto"/>
              </w:rPr>
            </w:pPr>
          </w:p>
        </w:tc>
      </w:tr>
      <w:tr>
        <w:trPr>
          <w:trHeight w:val="30"/>
        </w:trPr>
        <w:tc>
          <w:tcPr>
            <w:tcW w:w="7900" w:type="dxa"/>
            <w:vAlign w:val="bottom"/>
          </w:tcPr>
          <w:p>
            <w:pPr>
              <w:spacing w:after="0"/>
              <w:rPr>
                <w:sz w:val="2"/>
                <w:szCs w:val="2"/>
                <w:color w:val="auto"/>
              </w:rPr>
            </w:pPr>
          </w:p>
        </w:tc>
        <w:tc>
          <w:tcPr>
            <w:tcW w:w="100" w:type="dxa"/>
            <w:vAlign w:val="bottom"/>
            <w:shd w:val="clear" w:color="auto" w:fill="000003"/>
          </w:tcPr>
          <w:p>
            <w:pPr>
              <w:spacing w:after="0"/>
              <w:rPr>
                <w:sz w:val="2"/>
                <w:szCs w:val="2"/>
                <w:color w:val="auto"/>
              </w:rPr>
            </w:pPr>
          </w:p>
        </w:tc>
        <w:tc>
          <w:tcPr>
            <w:tcW w:w="800" w:type="dxa"/>
            <w:vAlign w:val="bottom"/>
            <w:shd w:val="clear" w:color="auto" w:fill="000003"/>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3"/>
          </w:tcPr>
          <w:p>
            <w:pPr>
              <w:spacing w:after="0"/>
              <w:rPr>
                <w:sz w:val="2"/>
                <w:szCs w:val="2"/>
                <w:color w:val="auto"/>
              </w:rPr>
            </w:pPr>
          </w:p>
        </w:tc>
        <w:tc>
          <w:tcPr>
            <w:tcW w:w="600" w:type="dxa"/>
            <w:vAlign w:val="bottom"/>
            <w:shd w:val="clear" w:color="auto" w:fill="000003"/>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Additional cash flow information (Note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-88900</wp:posOffset>
            </wp:positionV>
            <wp:extent cx="6335395" cy="996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335395" cy="99695"/>
                    </a:xfrm>
                    <a:prstGeom prst="rect">
                      <a:avLst/>
                    </a:prstGeom>
                    <a:noFill/>
                  </pic:spPr>
                </pic:pic>
              </a:graphicData>
            </a:graphic>
          </wp:anchor>
        </w:drawing>
      </w:r>
    </w:p>
    <w:p>
      <w:pPr>
        <w:spacing w:after="0" w:line="37" w:lineRule="exact"/>
        <w:rPr>
          <w:sz w:val="20"/>
          <w:szCs w:val="20"/>
          <w:color w:val="auto"/>
        </w:rPr>
      </w:pPr>
    </w:p>
    <w:p>
      <w:pPr>
        <w:ind w:left="4460"/>
        <w:spacing w:after="0"/>
        <w:rPr>
          <w:sz w:val="20"/>
          <w:szCs w:val="20"/>
          <w:color w:val="auto"/>
        </w:rPr>
      </w:pPr>
      <w:r>
        <w:rPr>
          <w:rFonts w:ascii="Arial" w:cs="Arial" w:eastAsia="Arial" w:hAnsi="Arial"/>
          <w:sz w:val="13"/>
          <w:szCs w:val="13"/>
          <w:color w:val="auto"/>
        </w:rPr>
        <w:t>See notes to consolidated financial statements.</w:t>
      </w:r>
    </w:p>
    <w:p>
      <w:pPr>
        <w:spacing w:after="0" w:line="303"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 w:name="page7"/>
    <w:bookmarkEnd w:id="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AVNET, INC. AND SUBSIDIARIES</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100" w:lineRule="exact"/>
        <w:rPr>
          <w:sz w:val="20"/>
          <w:szCs w:val="20"/>
          <w:color w:val="auto"/>
        </w:rPr>
      </w:pPr>
    </w:p>
    <w:p>
      <w:pPr>
        <w:ind w:left="680" w:right="900" w:firstLine="7"/>
        <w:spacing w:after="0" w:line="260" w:lineRule="auto"/>
        <w:tabs>
          <w:tab w:leader="none" w:pos="844" w:val="left"/>
        </w:tabs>
        <w:numPr>
          <w:ilvl w:val="0"/>
          <w:numId w:val="1"/>
        </w:numPr>
        <w:rPr>
          <w:rFonts w:ascii="Arial" w:cs="Arial" w:eastAsia="Arial" w:hAnsi="Arial"/>
          <w:sz w:val="13"/>
          <w:szCs w:val="13"/>
          <w:b w:val="1"/>
          <w:bCs w:val="1"/>
          <w:color w:val="auto"/>
        </w:rPr>
      </w:pPr>
      <w:r>
        <w:rPr>
          <w:rFonts w:ascii="Arial" w:cs="Arial" w:eastAsia="Arial" w:hAnsi="Arial"/>
          <w:sz w:val="13"/>
          <w:szCs w:val="13"/>
          <w:color w:val="auto"/>
        </w:rPr>
        <w:t>In the opinion of management, the accompanying unaudited interim consolidated financial statements contain all adjustments necessary, all of which are of a normal recurring nature except for the debt extinguishment costs discussed in Note 5 and the restructuring and integration charges discussed in Note 12, to present fairly the Company’s financial position, results of operations and cash flows. For further information, refer to the consolidated financial statements and accompanying notes included in the Company’s Annual Report on Form 10-K for the fiscal year ended July 1, 2006.</w:t>
      </w:r>
    </w:p>
    <w:p>
      <w:pPr>
        <w:spacing w:after="0" w:line="69" w:lineRule="exact"/>
        <w:rPr>
          <w:rFonts w:ascii="Arial" w:cs="Arial" w:eastAsia="Arial" w:hAnsi="Arial"/>
          <w:sz w:val="13"/>
          <w:szCs w:val="13"/>
          <w:b w:val="1"/>
          <w:bCs w:val="1"/>
          <w:color w:val="auto"/>
        </w:rPr>
      </w:pPr>
    </w:p>
    <w:p>
      <w:pPr>
        <w:ind w:left="860" w:hanging="173"/>
        <w:spacing w:after="0"/>
        <w:tabs>
          <w:tab w:leader="none" w:pos="860" w:val="left"/>
        </w:tabs>
        <w:numPr>
          <w:ilvl w:val="0"/>
          <w:numId w:val="1"/>
        </w:numPr>
        <w:rPr>
          <w:rFonts w:ascii="Arial" w:cs="Arial" w:eastAsia="Arial" w:hAnsi="Arial"/>
          <w:sz w:val="13"/>
          <w:szCs w:val="13"/>
          <w:b w:val="1"/>
          <w:bCs w:val="1"/>
          <w:color w:val="auto"/>
        </w:rPr>
      </w:pPr>
      <w:r>
        <w:rPr>
          <w:rFonts w:ascii="Arial" w:cs="Arial" w:eastAsia="Arial" w:hAnsi="Arial"/>
          <w:sz w:val="13"/>
          <w:szCs w:val="13"/>
          <w:color w:val="auto"/>
        </w:rPr>
        <w:t>The results of operations for the first quarter ended September 30, 2006 are not necessarily indicative of the results to be expected for the full year.</w:t>
      </w:r>
    </w:p>
    <w:p>
      <w:pPr>
        <w:spacing w:after="0" w:line="170" w:lineRule="exact"/>
        <w:rPr>
          <w:rFonts w:ascii="Arial" w:cs="Arial" w:eastAsia="Arial" w:hAnsi="Arial"/>
          <w:sz w:val="13"/>
          <w:szCs w:val="13"/>
          <w:b w:val="1"/>
          <w:bCs w:val="1"/>
          <w:color w:val="auto"/>
        </w:rPr>
      </w:pPr>
    </w:p>
    <w:p>
      <w:pPr>
        <w:ind w:left="1000" w:hanging="313"/>
        <w:spacing w:after="0"/>
        <w:tabs>
          <w:tab w:leader="none" w:pos="1000" w:val="left"/>
        </w:tabs>
        <w:numPr>
          <w:ilvl w:val="0"/>
          <w:numId w:val="1"/>
        </w:numPr>
        <w:rPr>
          <w:rFonts w:ascii="Arial" w:cs="Arial" w:eastAsia="Arial" w:hAnsi="Arial"/>
          <w:sz w:val="13"/>
          <w:szCs w:val="13"/>
          <w:b w:val="1"/>
          <w:bCs w:val="1"/>
          <w:color w:val="auto"/>
        </w:rPr>
      </w:pPr>
      <w:r>
        <w:rPr>
          <w:rFonts w:ascii="Arial" w:cs="Arial" w:eastAsia="Arial" w:hAnsi="Arial"/>
          <w:sz w:val="13"/>
          <w:szCs w:val="13"/>
          <w:b w:val="1"/>
          <w:bCs w:val="1"/>
          <w:color w:val="auto"/>
        </w:rPr>
        <w:t>Acquisitions</w:t>
      </w:r>
    </w:p>
    <w:p>
      <w:pPr>
        <w:spacing w:after="0" w:line="100" w:lineRule="exact"/>
        <w:rPr>
          <w:sz w:val="20"/>
          <w:szCs w:val="20"/>
          <w:color w:val="auto"/>
        </w:rPr>
      </w:pPr>
    </w:p>
    <w:p>
      <w:pPr>
        <w:ind w:left="680" w:right="880" w:firstLine="399"/>
        <w:spacing w:after="0" w:line="276" w:lineRule="auto"/>
        <w:rPr>
          <w:sz w:val="20"/>
          <w:szCs w:val="20"/>
          <w:color w:val="auto"/>
        </w:rPr>
      </w:pPr>
      <w:r>
        <w:rPr>
          <w:rFonts w:ascii="Arial" w:cs="Arial" w:eastAsia="Arial" w:hAnsi="Arial"/>
          <w:sz w:val="13"/>
          <w:szCs w:val="13"/>
          <w:color w:val="auto"/>
        </w:rPr>
        <w:t>On July 5, 2005, the Company acquired Memec Group Holdings Limited (“Memec”), a global distributor that marketed and sold a portfolio of semiconductor devices from industry-leading suppliers in addition to providing customers with engineering expertise and design services.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Acquisition-related exit activity accounted for in purchase accounting</w:t>
      </w:r>
    </w:p>
    <w:p>
      <w:pPr>
        <w:spacing w:after="0" w:line="96" w:lineRule="exact"/>
        <w:rPr>
          <w:sz w:val="20"/>
          <w:szCs w:val="20"/>
          <w:color w:val="auto"/>
        </w:rPr>
      </w:pPr>
    </w:p>
    <w:p>
      <w:pPr>
        <w:ind w:left="680" w:right="800" w:firstLine="399"/>
        <w:spacing w:after="0" w:line="264" w:lineRule="auto"/>
        <w:rPr>
          <w:sz w:val="20"/>
          <w:szCs w:val="20"/>
          <w:color w:val="auto"/>
        </w:rPr>
      </w:pPr>
      <w:r>
        <w:rPr>
          <w:rFonts w:ascii="Arial" w:cs="Arial" w:eastAsia="Arial" w:hAnsi="Arial"/>
          <w:sz w:val="13"/>
          <w:szCs w:val="13"/>
          <w:color w:val="auto"/>
        </w:rPr>
        <w:t>As a result of the acquisition and subsequent integration of Memec, the Company recorded certain exit-related liabilities during the purchase price allocation period which closed at the end of fiscal 2006. These exit-related liabilities consisted of severance for workforce reductions, non-cancelable lease commitments and lease termination charges for leased facilities, and other contract termination costs associated with the exit activities.</w:t>
      </w:r>
    </w:p>
    <w:p>
      <w:pPr>
        <w:spacing w:after="0" w:line="67" w:lineRule="exact"/>
        <w:rPr>
          <w:sz w:val="20"/>
          <w:szCs w:val="20"/>
          <w:color w:val="auto"/>
        </w:rPr>
      </w:pPr>
    </w:p>
    <w:p>
      <w:pPr>
        <w:ind w:left="680" w:right="920" w:firstLine="399"/>
        <w:spacing w:after="0" w:line="276" w:lineRule="auto"/>
        <w:rPr>
          <w:sz w:val="20"/>
          <w:szCs w:val="20"/>
          <w:color w:val="auto"/>
        </w:rPr>
      </w:pPr>
      <w:r>
        <w:rPr>
          <w:rFonts w:ascii="Arial" w:cs="Arial" w:eastAsia="Arial" w:hAnsi="Arial"/>
          <w:sz w:val="13"/>
          <w:szCs w:val="13"/>
          <w:color w:val="auto"/>
        </w:rPr>
        <w:t>The following table summarizes the utilization of reserves during first quarter of fiscal 2007 related to exit activities established through purchase accounting in connection with the acquisition of Memec:</w:t>
      </w:r>
    </w:p>
    <w:p>
      <w:pPr>
        <w:spacing w:after="0" w:line="5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6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vMerge w:val="restart"/>
          </w:tcPr>
          <w:p>
            <w:pPr>
              <w:jc w:val="right"/>
              <w:ind w:right="540"/>
              <w:spacing w:after="0"/>
              <w:rPr>
                <w:sz w:val="20"/>
                <w:szCs w:val="20"/>
                <w:color w:val="auto"/>
              </w:rPr>
            </w:pPr>
            <w:r>
              <w:rPr>
                <w:rFonts w:ascii="Arial" w:cs="Arial" w:eastAsia="Arial" w:hAnsi="Arial"/>
                <w:sz w:val="10"/>
                <w:szCs w:val="10"/>
                <w:b w:val="1"/>
                <w:bCs w:val="1"/>
                <w:color w:val="auto"/>
                <w:w w:val="91"/>
              </w:rPr>
              <w:t>Severance</w:t>
            </w:r>
          </w:p>
        </w:tc>
        <w:tc>
          <w:tcPr>
            <w:tcW w:w="120" w:type="dxa"/>
            <w:vAlign w:val="bottom"/>
          </w:tcPr>
          <w:p>
            <w:pPr>
              <w:spacing w:after="0"/>
              <w:rPr>
                <w:sz w:val="10"/>
                <w:szCs w:val="10"/>
                <w:color w:val="auto"/>
              </w:rPr>
            </w:pPr>
          </w:p>
        </w:tc>
        <w:tc>
          <w:tcPr>
            <w:tcW w:w="1180" w:type="dxa"/>
            <w:vAlign w:val="bottom"/>
            <w:gridSpan w:val="2"/>
          </w:tcPr>
          <w:p>
            <w:pPr>
              <w:jc w:val="center"/>
              <w:ind w:right="520"/>
              <w:spacing w:after="0"/>
              <w:rPr>
                <w:sz w:val="20"/>
                <w:szCs w:val="20"/>
                <w:color w:val="auto"/>
              </w:rPr>
            </w:pPr>
            <w:r>
              <w:rPr>
                <w:rFonts w:ascii="Arial" w:cs="Arial" w:eastAsia="Arial" w:hAnsi="Arial"/>
                <w:sz w:val="10"/>
                <w:szCs w:val="10"/>
                <w:b w:val="1"/>
                <w:bCs w:val="1"/>
                <w:color w:val="auto"/>
                <w:w w:val="97"/>
              </w:rPr>
              <w:t>Facility Exit</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gridSpan w:val="2"/>
          </w:tcPr>
          <w:p>
            <w:pPr>
              <w:jc w:val="center"/>
              <w:ind w:right="520"/>
              <w:spacing w:after="0" w:line="108" w:lineRule="exact"/>
              <w:rPr>
                <w:sz w:val="20"/>
                <w:szCs w:val="20"/>
                <w:color w:val="auto"/>
              </w:rPr>
            </w:pPr>
            <w:r>
              <w:rPr>
                <w:rFonts w:ascii="Arial" w:cs="Arial" w:eastAsia="Arial" w:hAnsi="Arial"/>
                <w:sz w:val="10"/>
                <w:szCs w:val="10"/>
                <w:b w:val="1"/>
                <w:bCs w:val="1"/>
                <w:color w:val="auto"/>
                <w:w w:val="88"/>
              </w:rPr>
              <w:t>Reserves/</w:t>
            </w:r>
          </w:p>
        </w:tc>
        <w:tc>
          <w:tcPr>
            <w:tcW w:w="80" w:type="dxa"/>
            <w:vAlign w:val="bottom"/>
          </w:tcPr>
          <w:p>
            <w:pPr>
              <w:spacing w:after="0"/>
              <w:rPr>
                <w:sz w:val="9"/>
                <w:szCs w:val="9"/>
                <w:color w:val="auto"/>
              </w:rPr>
            </w:pPr>
          </w:p>
        </w:tc>
        <w:tc>
          <w:tcPr>
            <w:tcW w:w="400" w:type="dxa"/>
            <w:vAlign w:val="bottom"/>
            <w:vMerge w:val="restart"/>
          </w:tcPr>
          <w:p>
            <w:pPr>
              <w:ind w:left="20"/>
              <w:spacing w:after="0"/>
              <w:rPr>
                <w:sz w:val="20"/>
                <w:szCs w:val="20"/>
                <w:color w:val="auto"/>
              </w:rPr>
            </w:pPr>
            <w:r>
              <w:rPr>
                <w:rFonts w:ascii="Arial" w:cs="Arial" w:eastAsia="Arial" w:hAnsi="Arial"/>
                <w:sz w:val="10"/>
                <w:szCs w:val="10"/>
                <w:b w:val="1"/>
                <w:bCs w:val="1"/>
                <w:color w:val="auto"/>
              </w:rPr>
              <w:t>Other</w:t>
            </w:r>
          </w:p>
        </w:tc>
        <w:tc>
          <w:tcPr>
            <w:tcW w:w="400" w:type="dxa"/>
            <w:vAlign w:val="bottom"/>
            <w:vMerge w:val="restart"/>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vMerge w:val="restart"/>
          </w:tcPr>
          <w:p>
            <w:pPr>
              <w:ind w:left="60"/>
              <w:spacing w:after="0"/>
              <w:rPr>
                <w:sz w:val="20"/>
                <w:szCs w:val="20"/>
                <w:color w:val="auto"/>
              </w:rPr>
            </w:pPr>
            <w:r>
              <w:rPr>
                <w:rFonts w:ascii="Arial" w:cs="Arial" w:eastAsia="Arial" w:hAnsi="Arial"/>
                <w:sz w:val="10"/>
                <w:szCs w:val="10"/>
                <w:b w:val="1"/>
                <w:bCs w:val="1"/>
                <w:color w:val="auto"/>
              </w:rPr>
              <w:t>Total</w:t>
            </w:r>
          </w:p>
        </w:tc>
        <w:tc>
          <w:tcPr>
            <w:tcW w:w="10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60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99"/>
              <w:spacing w:after="0"/>
              <w:rPr>
                <w:sz w:val="20"/>
                <w:szCs w:val="20"/>
                <w:color w:val="auto"/>
              </w:rPr>
            </w:pPr>
            <w:r>
              <w:rPr>
                <w:rFonts w:ascii="Arial" w:cs="Arial" w:eastAsia="Arial" w:hAnsi="Arial"/>
                <w:sz w:val="10"/>
                <w:szCs w:val="10"/>
                <w:b w:val="1"/>
                <w:bCs w:val="1"/>
                <w:color w:val="auto"/>
                <w:w w:val="98"/>
              </w:rPr>
              <w:t>Reserves</w:t>
            </w: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center"/>
              <w:ind w:right="61"/>
              <w:spacing w:after="0"/>
              <w:rPr>
                <w:sz w:val="20"/>
                <w:szCs w:val="20"/>
                <w:color w:val="auto"/>
              </w:rPr>
            </w:pPr>
            <w:r>
              <w:rPr>
                <w:rFonts w:ascii="Arial" w:cs="Arial" w:eastAsia="Arial" w:hAnsi="Arial"/>
                <w:sz w:val="10"/>
                <w:szCs w:val="10"/>
                <w:b w:val="1"/>
                <w:bCs w:val="1"/>
                <w:color w:val="auto"/>
                <w:w w:val="96"/>
              </w:rPr>
              <w:t>Write-downs</w:t>
            </w: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vMerge w:val="continue"/>
          </w:tcPr>
          <w:p>
            <w:pPr>
              <w:spacing w:after="0"/>
              <w:rPr>
                <w:sz w:val="10"/>
                <w:szCs w:val="10"/>
                <w:color w:val="auto"/>
              </w:rPr>
            </w:pPr>
          </w:p>
        </w:tc>
        <w:tc>
          <w:tcPr>
            <w:tcW w:w="400" w:type="dxa"/>
            <w:vAlign w:val="bottom"/>
            <w:vMerge w:val="continue"/>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6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0"/>
                <w:szCs w:val="10"/>
                <w:b w:val="1"/>
                <w:bCs w:val="1"/>
                <w:color w:val="auto"/>
              </w:rPr>
              <w:t>(Thousands)</w:t>
            </w: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000" w:type="dxa"/>
            <w:vAlign w:val="bottom"/>
            <w:shd w:val="clear" w:color="auto" w:fill="CCEEFF"/>
          </w:tcPr>
          <w:p>
            <w:pPr>
              <w:spacing w:after="0"/>
              <w:rPr>
                <w:sz w:val="20"/>
                <w:szCs w:val="20"/>
                <w:color w:val="auto"/>
              </w:rPr>
            </w:pPr>
            <w:r>
              <w:rPr>
                <w:rFonts w:ascii="Arial" w:cs="Arial" w:eastAsia="Arial" w:hAnsi="Arial"/>
                <w:sz w:val="13"/>
                <w:szCs w:val="13"/>
                <w:color w:val="auto"/>
              </w:rPr>
              <w:t>Balance at July 1, 2006</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1,610</w:t>
            </w: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18,605</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2,457</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22,672</w:t>
            </w:r>
          </w:p>
        </w:tc>
        <w:tc>
          <w:tcPr>
            <w:tcW w:w="0" w:type="dxa"/>
            <w:vAlign w:val="bottom"/>
          </w:tcPr>
          <w:p>
            <w:pPr>
              <w:spacing w:after="0"/>
              <w:rPr>
                <w:sz w:val="1"/>
                <w:szCs w:val="1"/>
                <w:color w:val="auto"/>
              </w:rPr>
            </w:pPr>
          </w:p>
        </w:tc>
      </w:tr>
      <w:tr>
        <w:trPr>
          <w:trHeight w:val="157"/>
        </w:trPr>
        <w:tc>
          <w:tcPr>
            <w:tcW w:w="6000" w:type="dxa"/>
            <w:vAlign w:val="bottom"/>
          </w:tcPr>
          <w:p>
            <w:pPr>
              <w:ind w:left="140"/>
              <w:spacing w:after="0"/>
              <w:rPr>
                <w:sz w:val="20"/>
                <w:szCs w:val="20"/>
                <w:color w:val="auto"/>
              </w:rPr>
            </w:pPr>
            <w:r>
              <w:rPr>
                <w:rFonts w:ascii="Arial" w:cs="Arial" w:eastAsia="Arial" w:hAnsi="Arial"/>
                <w:sz w:val="13"/>
                <w:szCs w:val="13"/>
                <w:color w:val="auto"/>
              </w:rPr>
              <w:t>Amounts utilized</w:t>
            </w:r>
          </w:p>
        </w:tc>
        <w:tc>
          <w:tcPr>
            <w:tcW w:w="100" w:type="dxa"/>
            <w:vAlign w:val="bottom"/>
          </w:tcPr>
          <w:p>
            <w:pPr>
              <w:spacing w:after="0"/>
              <w:rPr>
                <w:sz w:val="13"/>
                <w:szCs w:val="13"/>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3"/>
                <w:szCs w:val="13"/>
                <w:color w:val="auto"/>
              </w:rPr>
              <w:t>(312)</w:t>
            </w:r>
          </w:p>
        </w:tc>
        <w:tc>
          <w:tcPr>
            <w:tcW w:w="120" w:type="dxa"/>
            <w:vAlign w:val="bottom"/>
          </w:tcPr>
          <w:p>
            <w:pPr>
              <w:spacing w:after="0"/>
              <w:rPr>
                <w:sz w:val="13"/>
                <w:szCs w:val="13"/>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3"/>
                <w:szCs w:val="13"/>
                <w:color w:val="auto"/>
              </w:rPr>
              <w:t>(2,144)</w:t>
            </w:r>
          </w:p>
        </w:tc>
        <w:tc>
          <w:tcPr>
            <w:tcW w:w="80" w:type="dxa"/>
            <w:vAlign w:val="bottom"/>
          </w:tcPr>
          <w:p>
            <w:pPr>
              <w:spacing w:after="0"/>
              <w:rPr>
                <w:sz w:val="13"/>
                <w:szCs w:val="13"/>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3"/>
                <w:szCs w:val="13"/>
                <w:color w:val="auto"/>
              </w:rPr>
              <w:t>(265)</w:t>
            </w:r>
          </w:p>
        </w:tc>
        <w:tc>
          <w:tcPr>
            <w:tcW w:w="12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(2,721)</w:t>
            </w:r>
          </w:p>
        </w:tc>
        <w:tc>
          <w:tcPr>
            <w:tcW w:w="0" w:type="dxa"/>
            <w:vAlign w:val="bottom"/>
          </w:tcPr>
          <w:p>
            <w:pPr>
              <w:spacing w:after="0"/>
              <w:rPr>
                <w:sz w:val="1"/>
                <w:szCs w:val="1"/>
                <w:color w:val="auto"/>
              </w:rPr>
            </w:pPr>
          </w:p>
        </w:tc>
      </w:tr>
      <w:tr>
        <w:trPr>
          <w:trHeight w:val="157"/>
        </w:trPr>
        <w:tc>
          <w:tcPr>
            <w:tcW w:w="6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principally foreign currency translation</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20"/>
        </w:trPr>
        <w:tc>
          <w:tcPr>
            <w:tcW w:w="6000" w:type="dxa"/>
            <w:vAlign w:val="bottom"/>
            <w:vMerge w:val="restart"/>
          </w:tcPr>
          <w:p>
            <w:pPr>
              <w:spacing w:after="0"/>
              <w:rPr>
                <w:sz w:val="20"/>
                <w:szCs w:val="20"/>
                <w:color w:val="auto"/>
              </w:rPr>
            </w:pPr>
            <w:r>
              <w:rPr>
                <w:rFonts w:ascii="Arial" w:cs="Arial" w:eastAsia="Arial" w:hAnsi="Arial"/>
                <w:sz w:val="13"/>
                <w:szCs w:val="13"/>
                <w:color w:val="auto"/>
              </w:rPr>
              <w:t>Balance at September 30, 2006</w:t>
            </w: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000" w:type="dxa"/>
            <w:vAlign w:val="bottom"/>
            <w:vMerge w:val="continue"/>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1,305</w:t>
            </w:r>
          </w:p>
        </w:tc>
        <w:tc>
          <w:tcPr>
            <w:tcW w:w="4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16,465</w:t>
            </w:r>
          </w:p>
        </w:tc>
        <w:tc>
          <w:tcPr>
            <w:tcW w:w="4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2,193</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19,963</w:t>
            </w:r>
          </w:p>
        </w:tc>
        <w:tc>
          <w:tcPr>
            <w:tcW w:w="0" w:type="dxa"/>
            <w:vAlign w:val="bottom"/>
          </w:tcPr>
          <w:p>
            <w:pPr>
              <w:spacing w:after="0"/>
              <w:rPr>
                <w:sz w:val="1"/>
                <w:szCs w:val="1"/>
                <w:color w:val="auto"/>
              </w:rPr>
            </w:pPr>
          </w:p>
        </w:tc>
      </w:tr>
      <w:tr>
        <w:trPr>
          <w:trHeight w:val="30"/>
        </w:trPr>
        <w:tc>
          <w:tcPr>
            <w:tcW w:w="6000" w:type="dxa"/>
            <w:vAlign w:val="bottom"/>
          </w:tcPr>
          <w:p>
            <w:pPr>
              <w:spacing w:after="0"/>
              <w:rPr>
                <w:sz w:val="2"/>
                <w:szCs w:val="2"/>
                <w:color w:val="auto"/>
              </w:rPr>
            </w:pPr>
          </w:p>
        </w:tc>
        <w:tc>
          <w:tcPr>
            <w:tcW w:w="100" w:type="dxa"/>
            <w:vAlign w:val="bottom"/>
            <w:shd w:val="clear" w:color="auto" w:fill="000003"/>
          </w:tcPr>
          <w:p>
            <w:pPr>
              <w:spacing w:after="0"/>
              <w:rPr>
                <w:sz w:val="2"/>
                <w:szCs w:val="2"/>
                <w:color w:val="auto"/>
              </w:rPr>
            </w:pPr>
          </w:p>
        </w:tc>
        <w:tc>
          <w:tcPr>
            <w:tcW w:w="620" w:type="dxa"/>
            <w:vAlign w:val="bottom"/>
            <w:shd w:val="clear" w:color="auto" w:fill="000003"/>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3"/>
          </w:tcPr>
          <w:p>
            <w:pPr>
              <w:spacing w:after="0"/>
              <w:rPr>
                <w:sz w:val="2"/>
                <w:szCs w:val="2"/>
                <w:color w:val="auto"/>
              </w:rPr>
            </w:pPr>
          </w:p>
        </w:tc>
        <w:tc>
          <w:tcPr>
            <w:tcW w:w="780" w:type="dxa"/>
            <w:vAlign w:val="bottom"/>
            <w:shd w:val="clear" w:color="auto" w:fill="000003"/>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3"/>
          </w:tcPr>
          <w:p>
            <w:pPr>
              <w:spacing w:after="0"/>
              <w:rPr>
                <w:sz w:val="2"/>
                <w:szCs w:val="2"/>
                <w:color w:val="auto"/>
              </w:rPr>
            </w:pPr>
          </w:p>
        </w:tc>
        <w:tc>
          <w:tcPr>
            <w:tcW w:w="400" w:type="dxa"/>
            <w:vAlign w:val="bottom"/>
            <w:shd w:val="clear" w:color="auto" w:fill="000003"/>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3"/>
          </w:tcPr>
          <w:p>
            <w:pPr>
              <w:spacing w:after="0"/>
              <w:rPr>
                <w:sz w:val="2"/>
                <w:szCs w:val="2"/>
                <w:color w:val="auto"/>
              </w:rPr>
            </w:pPr>
          </w:p>
        </w:tc>
        <w:tc>
          <w:tcPr>
            <w:tcW w:w="460" w:type="dxa"/>
            <w:vAlign w:val="bottom"/>
            <w:shd w:val="clear" w:color="auto" w:fill="000003"/>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1120" w:firstLine="399"/>
        <w:spacing w:after="0" w:line="320" w:lineRule="auto"/>
        <w:rPr>
          <w:sz w:val="20"/>
          <w:szCs w:val="20"/>
          <w:color w:val="auto"/>
        </w:rPr>
      </w:pPr>
      <w:r>
        <w:rPr>
          <w:rFonts w:ascii="Arial" w:cs="Arial" w:eastAsia="Arial" w:hAnsi="Arial"/>
          <w:sz w:val="12"/>
          <w:szCs w:val="12"/>
          <w:color w:val="auto"/>
        </w:rPr>
        <w:t>Total amounts utilized for exit-related activities during the first quarter of fiscal 2007 consisted of $2,721,000 in cash payments. Cash payments for severance are expected to be substantially paid out by the end of fiscal 2008, whereas reserves for other contractual commitments, particularly for certain lease commitments, will extend into fiscal 2013.</w:t>
      </w:r>
    </w:p>
    <w:p>
      <w:pPr>
        <w:spacing w:after="0" w:line="110" w:lineRule="exact"/>
        <w:rPr>
          <w:sz w:val="20"/>
          <w:szCs w:val="20"/>
          <w:color w:val="auto"/>
        </w:rPr>
      </w:pPr>
    </w:p>
    <w:p>
      <w:pPr>
        <w:ind w:left="1000" w:hanging="313"/>
        <w:spacing w:after="0"/>
        <w:tabs>
          <w:tab w:leader="none" w:pos="1000" w:val="left"/>
        </w:tabs>
        <w:numPr>
          <w:ilvl w:val="0"/>
          <w:numId w:val="2"/>
        </w:numPr>
        <w:rPr>
          <w:rFonts w:ascii="Arial" w:cs="Arial" w:eastAsia="Arial" w:hAnsi="Arial"/>
          <w:sz w:val="13"/>
          <w:szCs w:val="13"/>
          <w:b w:val="1"/>
          <w:bCs w:val="1"/>
          <w:color w:val="auto"/>
        </w:rPr>
      </w:pPr>
      <w:r>
        <w:rPr>
          <w:rFonts w:ascii="Arial" w:cs="Arial" w:eastAsia="Arial" w:hAnsi="Arial"/>
          <w:sz w:val="13"/>
          <w:szCs w:val="13"/>
          <w:b w:val="1"/>
          <w:bCs w:val="1"/>
          <w:color w:val="auto"/>
        </w:rPr>
        <w:t>Goodwill and intangible assets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presents the carrying amount of goodwill, by reportable segment, for the three months ended September 30, 2006:</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0"/>
                <w:szCs w:val="10"/>
                <w:b w:val="1"/>
                <w:bCs w:val="1"/>
                <w:color w:val="auto"/>
              </w:rPr>
              <w:t>Electronics</w:t>
            </w:r>
          </w:p>
        </w:tc>
        <w:tc>
          <w:tcPr>
            <w:tcW w:w="100" w:type="dxa"/>
            <w:vAlign w:val="bottom"/>
          </w:tcPr>
          <w:p>
            <w:pPr>
              <w:spacing w:after="0"/>
              <w:rPr>
                <w:sz w:val="10"/>
                <w:szCs w:val="10"/>
                <w:color w:val="auto"/>
              </w:rPr>
            </w:pPr>
          </w:p>
        </w:tc>
        <w:tc>
          <w:tcPr>
            <w:tcW w:w="110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2"/>
              </w:rPr>
              <w:t>Technology</w:t>
            </w:r>
          </w:p>
        </w:tc>
        <w:tc>
          <w:tcPr>
            <w:tcW w:w="200" w:type="dxa"/>
            <w:vAlign w:val="bottom"/>
          </w:tcPr>
          <w:p>
            <w:pPr>
              <w:spacing w:after="0"/>
              <w:rPr>
                <w:sz w:val="10"/>
                <w:szCs w:val="10"/>
                <w:color w:val="auto"/>
              </w:rPr>
            </w:pPr>
          </w:p>
        </w:tc>
        <w:tc>
          <w:tcPr>
            <w:tcW w:w="780" w:type="dxa"/>
            <w:vAlign w:val="bottom"/>
            <w:gridSpan w:val="2"/>
            <w:vMerge w:val="restart"/>
          </w:tcPr>
          <w:p>
            <w:pPr>
              <w:jc w:val="right"/>
              <w:ind w:right="420"/>
              <w:spacing w:after="0"/>
              <w:rPr>
                <w:sz w:val="20"/>
                <w:szCs w:val="20"/>
                <w:color w:val="auto"/>
              </w:rPr>
            </w:pPr>
            <w:r>
              <w:rPr>
                <w:rFonts w:ascii="Arial" w:cs="Arial" w:eastAsia="Arial" w:hAnsi="Arial"/>
                <w:sz w:val="10"/>
                <w:szCs w:val="10"/>
                <w:b w:val="1"/>
                <w:bCs w:val="1"/>
                <w:color w:val="auto"/>
              </w:rPr>
              <w:t>Total</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0"/>
                <w:szCs w:val="10"/>
                <w:b w:val="1"/>
                <w:bCs w:val="1"/>
                <w:color w:val="auto"/>
              </w:rPr>
              <w:t>Marketing</w:t>
            </w:r>
          </w:p>
        </w:tc>
        <w:tc>
          <w:tcPr>
            <w:tcW w:w="100" w:type="dxa"/>
            <w:vAlign w:val="bottom"/>
          </w:tcPr>
          <w:p>
            <w:pPr>
              <w:spacing w:after="0"/>
              <w:rPr>
                <w:sz w:val="10"/>
                <w:szCs w:val="10"/>
                <w:color w:val="auto"/>
              </w:rPr>
            </w:pPr>
          </w:p>
        </w:tc>
        <w:tc>
          <w:tcPr>
            <w:tcW w:w="110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87"/>
              </w:rPr>
              <w:t>Solutions</w:t>
            </w:r>
          </w:p>
        </w:tc>
        <w:tc>
          <w:tcPr>
            <w:tcW w:w="20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680" w:type="dxa"/>
            <w:vAlign w:val="bottom"/>
          </w:tcPr>
          <w:p>
            <w:pPr>
              <w:spacing w:after="0"/>
              <w:rPr>
                <w:sz w:val="11"/>
                <w:szCs w:val="11"/>
                <w:color w:val="auto"/>
              </w:rPr>
            </w:pPr>
          </w:p>
        </w:tc>
        <w:tc>
          <w:tcPr>
            <w:tcW w:w="348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center"/>
              <w:ind w:right="39"/>
              <w:spacing w:after="0"/>
              <w:rPr>
                <w:sz w:val="20"/>
                <w:szCs w:val="20"/>
                <w:color w:val="auto"/>
              </w:rPr>
            </w:pPr>
            <w:r>
              <w:rPr>
                <w:rFonts w:ascii="Arial" w:cs="Arial" w:eastAsia="Arial" w:hAnsi="Arial"/>
                <w:sz w:val="10"/>
                <w:szCs w:val="10"/>
                <w:b w:val="1"/>
                <w:bCs w:val="1"/>
                <w:color w:val="auto"/>
                <w:w w:val="93"/>
              </w:rPr>
              <w:t>(Thousands)</w:t>
            </w:r>
          </w:p>
        </w:tc>
        <w:tc>
          <w:tcPr>
            <w:tcW w:w="4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80" w:type="dxa"/>
            <w:vAlign w:val="bottom"/>
          </w:tcPr>
          <w:p>
            <w:pPr>
              <w:spacing w:after="0"/>
              <w:rPr>
                <w:sz w:val="14"/>
                <w:szCs w:val="14"/>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3"/>
                <w:szCs w:val="13"/>
                <w:color w:val="auto"/>
              </w:rPr>
              <w:t>Carrying value at July 1, 2006</w:t>
            </w:r>
          </w:p>
        </w:tc>
        <w:tc>
          <w:tcPr>
            <w:tcW w:w="31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1,037,469</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259,128</w:t>
            </w:r>
          </w:p>
        </w:tc>
        <w:tc>
          <w:tcPr>
            <w:tcW w:w="2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1,296,597</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80" w:type="dxa"/>
            <w:vAlign w:val="bottom"/>
          </w:tcPr>
          <w:p>
            <w:pPr>
              <w:spacing w:after="0"/>
              <w:rPr>
                <w:sz w:val="20"/>
                <w:szCs w:val="20"/>
                <w:color w:val="auto"/>
              </w:rPr>
            </w:pPr>
            <w:r>
              <w:rPr>
                <w:rFonts w:ascii="Arial" w:cs="Arial" w:eastAsia="Arial" w:hAnsi="Arial"/>
                <w:sz w:val="13"/>
                <w:szCs w:val="13"/>
                <w:color w:val="auto"/>
              </w:rPr>
              <w:t>Additions</w:t>
            </w:r>
          </w:p>
        </w:tc>
        <w:tc>
          <w:tcPr>
            <w:tcW w:w="3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3"/>
                <w:szCs w:val="13"/>
                <w:color w:val="auto"/>
              </w:rPr>
              <w:t>Adjustments</w:t>
            </w:r>
          </w:p>
        </w:tc>
        <w:tc>
          <w:tcPr>
            <w:tcW w:w="30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(446)</w:t>
            </w: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(446)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80" w:type="dxa"/>
            <w:vAlign w:val="bottom"/>
          </w:tcPr>
          <w:p>
            <w:pPr>
              <w:spacing w:after="0"/>
              <w:rPr>
                <w:sz w:val="20"/>
                <w:szCs w:val="20"/>
                <w:color w:val="auto"/>
              </w:rPr>
            </w:pPr>
            <w:r>
              <w:rPr>
                <w:rFonts w:ascii="Arial" w:cs="Arial" w:eastAsia="Arial" w:hAnsi="Arial"/>
                <w:sz w:val="13"/>
                <w:szCs w:val="13"/>
                <w:color w:val="auto"/>
              </w:rPr>
              <w:t>Foreign currency translation</w:t>
            </w:r>
          </w:p>
        </w:tc>
        <w:tc>
          <w:tcPr>
            <w:tcW w:w="3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3"/>
                <w:szCs w:val="13"/>
                <w:color w:val="auto"/>
              </w:rPr>
              <w:t>(52)</w:t>
            </w:r>
          </w:p>
        </w:tc>
        <w:tc>
          <w:tcPr>
            <w:tcW w:w="10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369</w:t>
            </w:r>
          </w:p>
        </w:tc>
        <w:tc>
          <w:tcPr>
            <w:tcW w:w="20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317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3"/>
                <w:szCs w:val="13"/>
                <w:color w:val="auto"/>
              </w:rPr>
              <w:t>Carrying value at September 30, 2006</w:t>
            </w:r>
          </w:p>
        </w:tc>
        <w:tc>
          <w:tcPr>
            <w:tcW w:w="302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1,036,971</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259,497</w:t>
            </w:r>
          </w:p>
        </w:tc>
        <w:tc>
          <w:tcPr>
            <w:tcW w:w="2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1,296,468</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3020" w:type="dxa"/>
            <w:vAlign w:val="bottom"/>
          </w:tcPr>
          <w:p>
            <w:pPr>
              <w:jc w:val="right"/>
              <w:ind w:right="1414"/>
              <w:spacing w:after="0"/>
              <w:rPr>
                <w:sz w:val="20"/>
                <w:szCs w:val="20"/>
                <w:color w:val="auto"/>
              </w:rPr>
            </w:pPr>
            <w:r>
              <w:rPr>
                <w:rFonts w:ascii="Arial" w:cs="Arial" w:eastAsia="Arial" w:hAnsi="Arial"/>
                <w:sz w:val="13"/>
                <w:szCs w:val="13"/>
                <w:color w:val="auto"/>
              </w:rPr>
              <w:t>5</w:t>
            </w:r>
          </w:p>
        </w:tc>
        <w:tc>
          <w:tcPr>
            <w:tcW w:w="140" w:type="dxa"/>
            <w:vAlign w:val="bottom"/>
            <w:tcBorders>
              <w:top w:val="single" w:sz="8" w:color="000003"/>
            </w:tcBorders>
          </w:tcPr>
          <w:p>
            <w:pPr>
              <w:spacing w:after="0"/>
              <w:rPr>
                <w:sz w:val="24"/>
                <w:szCs w:val="24"/>
                <w:color w:val="auto"/>
              </w:rPr>
            </w:pPr>
          </w:p>
        </w:tc>
        <w:tc>
          <w:tcPr>
            <w:tcW w:w="760" w:type="dxa"/>
            <w:vAlign w:val="bottom"/>
            <w:tcBorders>
              <w:top w:val="single" w:sz="8" w:color="000003"/>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000003"/>
            </w:tcBorders>
          </w:tcPr>
          <w:p>
            <w:pPr>
              <w:spacing w:after="0"/>
              <w:rPr>
                <w:sz w:val="24"/>
                <w:szCs w:val="24"/>
                <w:color w:val="auto"/>
              </w:rPr>
            </w:pPr>
          </w:p>
        </w:tc>
        <w:tc>
          <w:tcPr>
            <w:tcW w:w="700" w:type="dxa"/>
            <w:vAlign w:val="bottom"/>
            <w:tcBorders>
              <w:top w:val="single" w:sz="8" w:color="000003"/>
            </w:tcBorders>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Borders>
              <w:top w:val="single" w:sz="8" w:color="000003"/>
            </w:tcBorders>
          </w:tcPr>
          <w:p>
            <w:pPr>
              <w:spacing w:after="0"/>
              <w:rPr>
                <w:sz w:val="24"/>
                <w:szCs w:val="24"/>
                <w:color w:val="auto"/>
              </w:rPr>
            </w:pPr>
          </w:p>
        </w:tc>
        <w:tc>
          <w:tcPr>
            <w:tcW w:w="680" w:type="dxa"/>
            <w:vAlign w:val="bottom"/>
            <w:tcBorders>
              <w:top w:val="single" w:sz="8" w:color="000003"/>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480" w:type="dxa"/>
            <w:vAlign w:val="bottom"/>
            <w:tcBorders>
              <w:bottom w:val="single" w:sz="8" w:color="808080"/>
            </w:tcBorders>
          </w:tcPr>
          <w:p>
            <w:pPr>
              <w:spacing w:after="0"/>
              <w:rPr>
                <w:sz w:val="14"/>
                <w:szCs w:val="14"/>
                <w:color w:val="auto"/>
              </w:rPr>
            </w:pPr>
          </w:p>
        </w:tc>
        <w:tc>
          <w:tcPr>
            <w:tcW w:w="302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76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6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7" w:name="page8"/>
    <w:bookmarkEnd w:id="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AVNET,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69"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As a result of the Memec acquisition, the Company recorded intangible assets in the third quarter of fiscal 2006 of $22,600,000 for customer relationships with a ten year life and</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1"/>
          <w:szCs w:val="11"/>
          <w:color w:val="auto"/>
        </w:rPr>
        <w:t>$3,800,000 for the trade name with a two year life. During the first quarter of fiscal 2007, the Company recorded $1,040,000 in amortization expense. There were no amounts expensed in the</w:t>
      </w:r>
    </w:p>
    <w:p>
      <w:pPr>
        <w:spacing w:after="0" w:line="31" w:lineRule="exact"/>
        <w:rPr>
          <w:sz w:val="20"/>
          <w:szCs w:val="20"/>
          <w:color w:val="auto"/>
        </w:rPr>
      </w:pPr>
    </w:p>
    <w:p>
      <w:pPr>
        <w:ind w:left="680"/>
        <w:spacing w:after="0"/>
        <w:rPr>
          <w:sz w:val="20"/>
          <w:szCs w:val="20"/>
          <w:color w:val="auto"/>
        </w:rPr>
      </w:pPr>
      <w:r>
        <w:rPr>
          <w:rFonts w:ascii="Arial" w:cs="Arial" w:eastAsia="Arial" w:hAnsi="Arial"/>
          <w:sz w:val="13"/>
          <w:szCs w:val="13"/>
          <w:color w:val="auto"/>
        </w:rPr>
        <w:t>first quarter of fiscal 2006 as the intangible assets were not recorded until the third quarter of fiscal 2006, at which time nine months of amortization expense was recognized.</w:t>
      </w:r>
    </w:p>
    <w:p>
      <w:pPr>
        <w:spacing w:after="0" w:line="163" w:lineRule="exact"/>
        <w:rPr>
          <w:sz w:val="20"/>
          <w:szCs w:val="20"/>
          <w:color w:val="auto"/>
        </w:rPr>
      </w:pPr>
    </w:p>
    <w:tbl>
      <w:tblPr>
        <w:tblLayout w:type="fixed"/>
        <w:tblInd w:w="680" w:type="dxa"/>
        <w:tblCellMar>
          <w:top w:w="0" w:type="dxa"/>
          <w:left w:w="0" w:type="dxa"/>
          <w:bottom w:w="0" w:type="dxa"/>
          <w:right w:w="0" w:type="dxa"/>
        </w:tblCellMar>
      </w:tblPr>
      <w:tr>
        <w:trPr>
          <w:trHeight w:val="169"/>
        </w:trPr>
        <w:tc>
          <w:tcPr>
            <w:tcW w:w="120" w:type="dxa"/>
            <w:vAlign w:val="bottom"/>
          </w:tcPr>
          <w:p>
            <w:pPr>
              <w:spacing w:after="0"/>
              <w:rPr>
                <w:sz w:val="20"/>
                <w:szCs w:val="20"/>
                <w:color w:val="auto"/>
              </w:rPr>
            </w:pPr>
            <w:r>
              <w:rPr>
                <w:rFonts w:ascii="Arial" w:cs="Arial" w:eastAsia="Arial" w:hAnsi="Arial"/>
                <w:sz w:val="13"/>
                <w:szCs w:val="13"/>
                <w:b w:val="1"/>
                <w:bCs w:val="1"/>
                <w:color w:val="auto"/>
                <w:w w:val="91"/>
              </w:rPr>
              <w:t>5.</w:t>
            </w:r>
          </w:p>
        </w:tc>
        <w:tc>
          <w:tcPr>
            <w:tcW w:w="7680" w:type="dxa"/>
            <w:vAlign w:val="bottom"/>
          </w:tcPr>
          <w:p>
            <w:pPr>
              <w:ind w:left="200"/>
              <w:spacing w:after="0"/>
              <w:rPr>
                <w:sz w:val="20"/>
                <w:szCs w:val="20"/>
                <w:color w:val="auto"/>
              </w:rPr>
            </w:pPr>
            <w:r>
              <w:rPr>
                <w:rFonts w:ascii="Arial" w:cs="Arial" w:eastAsia="Arial" w:hAnsi="Arial"/>
                <w:sz w:val="13"/>
                <w:szCs w:val="13"/>
                <w:b w:val="1"/>
                <w:bCs w:val="1"/>
                <w:color w:val="auto"/>
              </w:rPr>
              <w:t>External financing</w:t>
            </w: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120" w:type="dxa"/>
            <w:vAlign w:val="bottom"/>
          </w:tcPr>
          <w:p>
            <w:pPr>
              <w:spacing w:after="0"/>
              <w:rPr>
                <w:sz w:val="21"/>
                <w:szCs w:val="21"/>
                <w:color w:val="auto"/>
              </w:rPr>
            </w:pPr>
          </w:p>
        </w:tc>
        <w:tc>
          <w:tcPr>
            <w:tcW w:w="7680" w:type="dxa"/>
            <w:vAlign w:val="bottom"/>
          </w:tcPr>
          <w:p>
            <w:pPr>
              <w:ind w:left="280"/>
              <w:spacing w:after="0"/>
              <w:rPr>
                <w:sz w:val="20"/>
                <w:szCs w:val="20"/>
                <w:color w:val="auto"/>
              </w:rPr>
            </w:pPr>
            <w:r>
              <w:rPr>
                <w:rFonts w:ascii="Arial" w:cs="Arial" w:eastAsia="Arial" w:hAnsi="Arial"/>
                <w:sz w:val="13"/>
                <w:szCs w:val="13"/>
                <w:color w:val="auto"/>
              </w:rPr>
              <w:t>Short-term debt consists of the following:</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120" w:type="dxa"/>
            <w:vAlign w:val="bottom"/>
          </w:tcPr>
          <w:p>
            <w:pPr>
              <w:spacing w:after="0"/>
              <w:rPr>
                <w:sz w:val="16"/>
                <w:szCs w:val="16"/>
                <w:color w:val="auto"/>
              </w:rPr>
            </w:pPr>
          </w:p>
        </w:tc>
        <w:tc>
          <w:tcPr>
            <w:tcW w:w="7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right"/>
              <w:ind w:right="580"/>
              <w:spacing w:after="0"/>
              <w:rPr>
                <w:sz w:val="20"/>
                <w:szCs w:val="20"/>
                <w:color w:val="auto"/>
              </w:rPr>
            </w:pPr>
            <w:r>
              <w:rPr>
                <w:rFonts w:ascii="Arial" w:cs="Arial" w:eastAsia="Arial" w:hAnsi="Arial"/>
                <w:sz w:val="10"/>
                <w:szCs w:val="10"/>
                <w:b w:val="1"/>
                <w:bCs w:val="1"/>
                <w:color w:val="auto"/>
                <w:w w:val="99"/>
              </w:rPr>
              <w:t>September 30,</w:t>
            </w:r>
          </w:p>
        </w:tc>
        <w:tc>
          <w:tcPr>
            <w:tcW w:w="120" w:type="dxa"/>
            <w:vAlign w:val="bottom"/>
          </w:tcPr>
          <w:p>
            <w:pPr>
              <w:spacing w:after="0"/>
              <w:rPr>
                <w:sz w:val="16"/>
                <w:szCs w:val="16"/>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6"/>
              </w:rPr>
              <w:t>July 1,</w:t>
            </w:r>
          </w:p>
        </w:tc>
        <w:tc>
          <w:tcPr>
            <w:tcW w:w="0" w:type="dxa"/>
            <w:vAlign w:val="bottom"/>
          </w:tcPr>
          <w:p>
            <w:pPr>
              <w:spacing w:after="0"/>
              <w:rPr>
                <w:sz w:val="1"/>
                <w:szCs w:val="1"/>
                <w:color w:val="auto"/>
              </w:rPr>
            </w:pPr>
          </w:p>
        </w:tc>
      </w:tr>
      <w:tr>
        <w:trPr>
          <w:trHeight w:val="125"/>
        </w:trPr>
        <w:tc>
          <w:tcPr>
            <w:tcW w:w="120" w:type="dxa"/>
            <w:vAlign w:val="bottom"/>
          </w:tcPr>
          <w:p>
            <w:pPr>
              <w:spacing w:after="0"/>
              <w:rPr>
                <w:sz w:val="10"/>
                <w:szCs w:val="10"/>
                <w:color w:val="auto"/>
              </w:rPr>
            </w:pPr>
          </w:p>
        </w:tc>
        <w:tc>
          <w:tcPr>
            <w:tcW w:w="76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ind w:right="339"/>
              <w:spacing w:after="0"/>
              <w:rPr>
                <w:sz w:val="20"/>
                <w:szCs w:val="20"/>
                <w:color w:val="auto"/>
              </w:rPr>
            </w:pPr>
            <w:r>
              <w:rPr>
                <w:rFonts w:ascii="Arial" w:cs="Arial" w:eastAsia="Arial" w:hAnsi="Arial"/>
                <w:sz w:val="10"/>
                <w:szCs w:val="10"/>
                <w:b w:val="1"/>
                <w:bCs w:val="1"/>
                <w:color w:val="auto"/>
              </w:rPr>
              <w:t>2006</w:t>
            </w: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ind w:right="178"/>
              <w:spacing w:after="0"/>
              <w:rPr>
                <w:sz w:val="20"/>
                <w:szCs w:val="20"/>
                <w:color w:val="auto"/>
              </w:rPr>
            </w:pPr>
            <w:r>
              <w:rPr>
                <w:rFonts w:ascii="Arial" w:cs="Arial" w:eastAsia="Arial" w:hAnsi="Arial"/>
                <w:sz w:val="10"/>
                <w:szCs w:val="10"/>
                <w:b w:val="1"/>
                <w:bCs w:val="1"/>
                <w:color w:val="auto"/>
              </w:rPr>
              <w:t>2006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20" w:type="dxa"/>
            <w:vAlign w:val="bottom"/>
          </w:tcPr>
          <w:p>
            <w:pPr>
              <w:spacing w:after="0"/>
              <w:rPr>
                <w:sz w:val="11"/>
                <w:szCs w:val="11"/>
                <w:color w:val="auto"/>
              </w:rPr>
            </w:pPr>
          </w:p>
        </w:tc>
        <w:tc>
          <w:tcPr>
            <w:tcW w:w="7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0"/>
                <w:szCs w:val="10"/>
                <w:b w:val="1"/>
                <w:bCs w:val="1"/>
                <w:color w:val="auto"/>
              </w:rPr>
              <w:t>(Thousands)</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7800" w:type="dxa"/>
            <w:vAlign w:val="bottom"/>
            <w:gridSpan w:val="2"/>
            <w:shd w:val="clear" w:color="auto" w:fill="CCEEFF"/>
          </w:tcPr>
          <w:p>
            <w:pPr>
              <w:spacing w:after="0" w:line="164" w:lineRule="exact"/>
              <w:rPr>
                <w:sz w:val="20"/>
                <w:szCs w:val="20"/>
                <w:color w:val="auto"/>
              </w:rPr>
            </w:pPr>
            <w:r>
              <w:rPr>
                <w:rFonts w:ascii="Arial" w:cs="Arial" w:eastAsia="Arial" w:hAnsi="Arial"/>
                <w:sz w:val="13"/>
                <w:szCs w:val="13"/>
                <w:color w:val="auto"/>
              </w:rPr>
              <w:t>9</w:t>
            </w:r>
            <w:r>
              <w:rPr>
                <w:rFonts w:ascii="Arial" w:cs="Arial" w:eastAsia="Arial" w:hAnsi="Arial"/>
                <w:sz w:val="18"/>
                <w:szCs w:val="18"/>
                <w:color w:val="auto"/>
                <w:vertAlign w:val="superscript"/>
              </w:rPr>
              <w:t>3</w:t>
            </w:r>
            <w:r>
              <w:rPr>
                <w:rFonts w:ascii="Arial" w:cs="Arial" w:eastAsia="Arial" w:hAnsi="Arial"/>
                <w:sz w:val="13"/>
                <w:szCs w:val="13"/>
                <w:color w:val="auto"/>
              </w:rPr>
              <w:t>/</w:t>
            </w:r>
            <w:r>
              <w:rPr>
                <w:rFonts w:ascii="Arial" w:cs="Arial" w:eastAsia="Arial" w:hAnsi="Arial"/>
                <w:sz w:val="9"/>
                <w:szCs w:val="9"/>
                <w:color w:val="auto"/>
              </w:rPr>
              <w:t>4</w:t>
            </w:r>
            <w:r>
              <w:rPr>
                <w:rFonts w:ascii="Arial" w:cs="Arial" w:eastAsia="Arial" w:hAnsi="Arial"/>
                <w:sz w:val="13"/>
                <w:szCs w:val="13"/>
                <w:color w:val="auto"/>
              </w:rPr>
              <w:t>% Notes (redeemed October 12, 2006)</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361,360</w:t>
            </w: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7800" w:type="dxa"/>
            <w:vAlign w:val="bottom"/>
            <w:gridSpan w:val="2"/>
          </w:tcPr>
          <w:p>
            <w:pPr>
              <w:spacing w:after="0"/>
              <w:rPr>
                <w:sz w:val="20"/>
                <w:szCs w:val="20"/>
                <w:color w:val="auto"/>
              </w:rPr>
            </w:pPr>
            <w:r>
              <w:rPr>
                <w:rFonts w:ascii="Arial" w:cs="Arial" w:eastAsia="Arial" w:hAnsi="Arial"/>
                <w:sz w:val="13"/>
                <w:szCs w:val="13"/>
                <w:color w:val="auto"/>
              </w:rPr>
              <w:t>8.00% Notes due November 15, 2006</w:t>
            </w:r>
          </w:p>
        </w:tc>
        <w:tc>
          <w:tcPr>
            <w:tcW w:w="1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143,675</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143,675</w:t>
            </w:r>
          </w:p>
        </w:tc>
        <w:tc>
          <w:tcPr>
            <w:tcW w:w="0" w:type="dxa"/>
            <w:vAlign w:val="bottom"/>
          </w:tcPr>
          <w:p>
            <w:pPr>
              <w:spacing w:after="0"/>
              <w:rPr>
                <w:sz w:val="1"/>
                <w:szCs w:val="1"/>
                <w:color w:val="auto"/>
              </w:rPr>
            </w:pPr>
          </w:p>
        </w:tc>
      </w:tr>
      <w:tr>
        <w:trPr>
          <w:trHeight w:val="157"/>
        </w:trPr>
        <w:tc>
          <w:tcPr>
            <w:tcW w:w="7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Bank credit facilities</w:t>
            </w: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121,434</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130,725</w:t>
            </w:r>
          </w:p>
        </w:tc>
        <w:tc>
          <w:tcPr>
            <w:tcW w:w="0" w:type="dxa"/>
            <w:vAlign w:val="bottom"/>
          </w:tcPr>
          <w:p>
            <w:pPr>
              <w:spacing w:after="0"/>
              <w:rPr>
                <w:sz w:val="1"/>
                <w:szCs w:val="1"/>
                <w:color w:val="auto"/>
              </w:rPr>
            </w:pPr>
          </w:p>
        </w:tc>
      </w:tr>
      <w:tr>
        <w:trPr>
          <w:trHeight w:val="157"/>
        </w:trPr>
        <w:tc>
          <w:tcPr>
            <w:tcW w:w="7800" w:type="dxa"/>
            <w:vAlign w:val="bottom"/>
            <w:gridSpan w:val="2"/>
          </w:tcPr>
          <w:p>
            <w:pPr>
              <w:spacing w:after="0"/>
              <w:rPr>
                <w:sz w:val="20"/>
                <w:szCs w:val="20"/>
                <w:color w:val="auto"/>
              </w:rPr>
            </w:pPr>
            <w:r>
              <w:rPr>
                <w:rFonts w:ascii="Arial" w:cs="Arial" w:eastAsia="Arial" w:hAnsi="Arial"/>
                <w:sz w:val="13"/>
                <w:szCs w:val="13"/>
                <w:color w:val="auto"/>
              </w:rPr>
              <w:t>Account receivable securitization</w:t>
            </w:r>
          </w:p>
        </w:tc>
        <w:tc>
          <w:tcPr>
            <w:tcW w:w="12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40,000</w:t>
            </w:r>
          </w:p>
        </w:tc>
        <w:tc>
          <w:tcPr>
            <w:tcW w:w="0" w:type="dxa"/>
            <w:vAlign w:val="bottom"/>
          </w:tcPr>
          <w:p>
            <w:pPr>
              <w:spacing w:after="0"/>
              <w:rPr>
                <w:sz w:val="1"/>
                <w:szCs w:val="1"/>
                <w:color w:val="auto"/>
              </w:rPr>
            </w:pPr>
          </w:p>
        </w:tc>
      </w:tr>
      <w:tr>
        <w:trPr>
          <w:trHeight w:val="157"/>
        </w:trPr>
        <w:tc>
          <w:tcPr>
            <w:tcW w:w="7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Other debt due within one year</w:t>
            </w: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1,785</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1,616</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7680" w:type="dxa"/>
            <w:vAlign w:val="bottom"/>
            <w:vMerge w:val="restart"/>
          </w:tcPr>
          <w:p>
            <w:pPr>
              <w:ind w:left="20"/>
              <w:spacing w:after="0"/>
              <w:rPr>
                <w:sz w:val="20"/>
                <w:szCs w:val="20"/>
                <w:color w:val="auto"/>
              </w:rPr>
            </w:pPr>
            <w:r>
              <w:rPr>
                <w:rFonts w:ascii="Arial" w:cs="Arial" w:eastAsia="Arial" w:hAnsi="Arial"/>
                <w:sz w:val="13"/>
                <w:szCs w:val="13"/>
                <w:color w:val="auto"/>
              </w:rPr>
              <w:t>Short-term debt</w:t>
            </w: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20" w:type="dxa"/>
            <w:vAlign w:val="bottom"/>
          </w:tcPr>
          <w:p>
            <w:pPr>
              <w:spacing w:after="0"/>
              <w:rPr>
                <w:sz w:val="13"/>
                <w:szCs w:val="13"/>
                <w:color w:val="auto"/>
              </w:rPr>
            </w:pPr>
          </w:p>
        </w:tc>
        <w:tc>
          <w:tcPr>
            <w:tcW w:w="7680" w:type="dxa"/>
            <w:vAlign w:val="bottom"/>
            <w:vMerge w:val="continue"/>
          </w:tcPr>
          <w:p>
            <w:pPr>
              <w:spacing w:after="0"/>
              <w:rPr>
                <w:sz w:val="13"/>
                <w:szCs w:val="13"/>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628,254</w:t>
            </w:r>
          </w:p>
        </w:tc>
        <w:tc>
          <w:tcPr>
            <w:tcW w:w="400" w:type="dxa"/>
            <w:vAlign w:val="bottom"/>
          </w:tcPr>
          <w:p>
            <w:pPr>
              <w:spacing w:after="0"/>
              <w:rPr>
                <w:sz w:val="13"/>
                <w:szCs w:val="13"/>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316,016</w:t>
            </w:r>
          </w:p>
        </w:tc>
        <w:tc>
          <w:tcPr>
            <w:tcW w:w="0" w:type="dxa"/>
            <w:vAlign w:val="bottom"/>
          </w:tcPr>
          <w:p>
            <w:pPr>
              <w:spacing w:after="0"/>
              <w:rPr>
                <w:sz w:val="1"/>
                <w:szCs w:val="1"/>
                <w:color w:val="auto"/>
              </w:rPr>
            </w:pPr>
          </w:p>
        </w:tc>
      </w:tr>
      <w:tr>
        <w:trPr>
          <w:trHeight w:val="30"/>
        </w:trPr>
        <w:tc>
          <w:tcPr>
            <w:tcW w:w="120" w:type="dxa"/>
            <w:vAlign w:val="bottom"/>
          </w:tcPr>
          <w:p>
            <w:pPr>
              <w:spacing w:after="0"/>
              <w:rPr>
                <w:sz w:val="2"/>
                <w:szCs w:val="2"/>
                <w:color w:val="auto"/>
              </w:rPr>
            </w:pPr>
          </w:p>
        </w:tc>
        <w:tc>
          <w:tcPr>
            <w:tcW w:w="7680" w:type="dxa"/>
            <w:vAlign w:val="bottom"/>
          </w:tcPr>
          <w:p>
            <w:pPr>
              <w:spacing w:after="0"/>
              <w:rPr>
                <w:sz w:val="2"/>
                <w:szCs w:val="2"/>
                <w:color w:val="auto"/>
              </w:rPr>
            </w:pPr>
          </w:p>
        </w:tc>
        <w:tc>
          <w:tcPr>
            <w:tcW w:w="120" w:type="dxa"/>
            <w:vAlign w:val="bottom"/>
            <w:shd w:val="clear" w:color="auto" w:fill="000003"/>
          </w:tcPr>
          <w:p>
            <w:pPr>
              <w:spacing w:after="0"/>
              <w:rPr>
                <w:sz w:val="2"/>
                <w:szCs w:val="2"/>
                <w:color w:val="auto"/>
              </w:rPr>
            </w:pPr>
          </w:p>
        </w:tc>
        <w:tc>
          <w:tcPr>
            <w:tcW w:w="880" w:type="dxa"/>
            <w:vAlign w:val="bottom"/>
            <w:shd w:val="clear" w:color="auto" w:fill="000003"/>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3"/>
          </w:tcPr>
          <w:p>
            <w:pPr>
              <w:spacing w:after="0"/>
              <w:rPr>
                <w:sz w:val="2"/>
                <w:szCs w:val="2"/>
                <w:color w:val="auto"/>
              </w:rPr>
            </w:pPr>
          </w:p>
        </w:tc>
        <w:tc>
          <w:tcPr>
            <w:tcW w:w="560" w:type="dxa"/>
            <w:vAlign w:val="bottom"/>
            <w:shd w:val="clear" w:color="auto" w:fill="000003"/>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87" w:lineRule="exact"/>
        <w:rPr>
          <w:sz w:val="20"/>
          <w:szCs w:val="20"/>
          <w:color w:val="auto"/>
        </w:rPr>
      </w:pPr>
    </w:p>
    <w:p>
      <w:pPr>
        <w:ind w:left="680" w:firstLine="399"/>
        <w:spacing w:after="0" w:line="212" w:lineRule="auto"/>
        <w:rPr>
          <w:sz w:val="20"/>
          <w:szCs w:val="20"/>
          <w:color w:val="auto"/>
        </w:rPr>
      </w:pPr>
      <w:r>
        <w:rPr>
          <w:rFonts w:ascii="Arial" w:cs="Arial" w:eastAsia="Arial" w:hAnsi="Arial"/>
          <w:sz w:val="12"/>
          <w:szCs w:val="12"/>
          <w:color w:val="auto"/>
        </w:rPr>
        <w:t>During September 2006, the Company elected to redeem all of its outstanding 9</w:t>
      </w:r>
      <w:r>
        <w:rPr>
          <w:rFonts w:ascii="Arial" w:cs="Arial" w:eastAsia="Arial" w:hAnsi="Arial"/>
          <w:sz w:val="17"/>
          <w:szCs w:val="17"/>
          <w:color w:val="auto"/>
          <w:vertAlign w:val="superscript"/>
        </w:rPr>
        <w:t>3</w:t>
      </w:r>
      <w:r>
        <w:rPr>
          <w:rFonts w:ascii="Arial" w:cs="Arial" w:eastAsia="Arial" w:hAnsi="Arial"/>
          <w:sz w:val="12"/>
          <w:szCs w:val="12"/>
          <w:color w:val="auto"/>
        </w:rPr>
        <w:t>/</w:t>
      </w:r>
      <w:r>
        <w:rPr>
          <w:rFonts w:ascii="Arial" w:cs="Arial" w:eastAsia="Arial" w:hAnsi="Arial"/>
          <w:sz w:val="9"/>
          <w:szCs w:val="9"/>
          <w:color w:val="auto"/>
        </w:rPr>
        <w:t>4</w:t>
      </w:r>
      <w:r>
        <w:rPr>
          <w:rFonts w:ascii="Arial" w:cs="Arial" w:eastAsia="Arial" w:hAnsi="Arial"/>
          <w:sz w:val="12"/>
          <w:szCs w:val="12"/>
          <w:color w:val="auto"/>
        </w:rPr>
        <w:t>% Notes due February 15, 2008. The redemption was completed on October 12, 2006 and, as a result, the remaining $361,360,000 of the 9</w:t>
      </w:r>
      <w:r>
        <w:rPr>
          <w:rFonts w:ascii="Arial" w:cs="Arial" w:eastAsia="Arial" w:hAnsi="Arial"/>
          <w:sz w:val="17"/>
          <w:szCs w:val="17"/>
          <w:color w:val="auto"/>
          <w:vertAlign w:val="superscript"/>
        </w:rPr>
        <w:t>3</w:t>
      </w:r>
      <w:r>
        <w:rPr>
          <w:rFonts w:ascii="Arial" w:cs="Arial" w:eastAsia="Arial" w:hAnsi="Arial"/>
          <w:sz w:val="12"/>
          <w:szCs w:val="12"/>
          <w:color w:val="auto"/>
        </w:rPr>
        <w:t>/</w:t>
      </w:r>
      <w:r>
        <w:rPr>
          <w:rFonts w:ascii="Arial" w:cs="Arial" w:eastAsia="Arial" w:hAnsi="Arial"/>
          <w:sz w:val="9"/>
          <w:szCs w:val="9"/>
          <w:color w:val="auto"/>
        </w:rPr>
        <w:t>4</w:t>
      </w:r>
      <w:r>
        <w:rPr>
          <w:rFonts w:ascii="Arial" w:cs="Arial" w:eastAsia="Arial" w:hAnsi="Arial"/>
          <w:sz w:val="12"/>
          <w:szCs w:val="12"/>
          <w:color w:val="auto"/>
        </w:rPr>
        <w:t>% Notes was classified as short-term debt at September 30, 2006. The Company used the net proceeds amounting to $296,085,000 from the issuance in September 2006 of $300,000,000 principal amount of 6.625% Notes due September 15, 2016, plus available liquidity, to repurchase the 9</w:t>
      </w:r>
      <w:r>
        <w:rPr>
          <w:rFonts w:ascii="Arial" w:cs="Arial" w:eastAsia="Arial" w:hAnsi="Arial"/>
          <w:sz w:val="17"/>
          <w:szCs w:val="17"/>
          <w:color w:val="auto"/>
          <w:vertAlign w:val="superscript"/>
        </w:rPr>
        <w:t>3</w:t>
      </w:r>
      <w:r>
        <w:rPr>
          <w:rFonts w:ascii="Arial" w:cs="Arial" w:eastAsia="Arial" w:hAnsi="Arial"/>
          <w:sz w:val="12"/>
          <w:szCs w:val="12"/>
          <w:color w:val="auto"/>
        </w:rPr>
        <w:t>/</w:t>
      </w:r>
      <w:r>
        <w:rPr>
          <w:rFonts w:ascii="Arial" w:cs="Arial" w:eastAsia="Arial" w:hAnsi="Arial"/>
          <w:sz w:val="9"/>
          <w:szCs w:val="9"/>
          <w:color w:val="auto"/>
        </w:rPr>
        <w:t>4</w:t>
      </w:r>
      <w:r>
        <w:rPr>
          <w:rFonts w:ascii="Arial" w:cs="Arial" w:eastAsia="Arial" w:hAnsi="Arial"/>
          <w:sz w:val="12"/>
          <w:szCs w:val="12"/>
          <w:color w:val="auto"/>
        </w:rPr>
        <w:t>% Notes on October 12, 2006. Due to the timing of 9</w:t>
      </w:r>
      <w:r>
        <w:rPr>
          <w:rFonts w:ascii="Arial" w:cs="Arial" w:eastAsia="Arial" w:hAnsi="Arial"/>
          <w:sz w:val="17"/>
          <w:szCs w:val="17"/>
          <w:color w:val="auto"/>
          <w:vertAlign w:val="superscript"/>
        </w:rPr>
        <w:t>3</w:t>
      </w:r>
      <w:r>
        <w:rPr>
          <w:rFonts w:ascii="Arial" w:cs="Arial" w:eastAsia="Arial" w:hAnsi="Arial"/>
          <w:sz w:val="12"/>
          <w:szCs w:val="12"/>
          <w:color w:val="auto"/>
        </w:rPr>
        <w:t>/</w:t>
      </w:r>
      <w:r>
        <w:rPr>
          <w:rFonts w:ascii="Arial" w:cs="Arial" w:eastAsia="Arial" w:hAnsi="Arial"/>
          <w:sz w:val="9"/>
          <w:szCs w:val="9"/>
          <w:color w:val="auto"/>
        </w:rPr>
        <w:t>4</w:t>
      </w:r>
      <w:r>
        <w:rPr>
          <w:rFonts w:ascii="Arial" w:cs="Arial" w:eastAsia="Arial" w:hAnsi="Arial"/>
          <w:sz w:val="12"/>
          <w:szCs w:val="12"/>
          <w:color w:val="auto"/>
        </w:rPr>
        <w:t>% Notes redemption, both the 9</w:t>
      </w:r>
      <w:r>
        <w:rPr>
          <w:rFonts w:ascii="Arial" w:cs="Arial" w:eastAsia="Arial" w:hAnsi="Arial"/>
          <w:sz w:val="17"/>
          <w:szCs w:val="17"/>
          <w:color w:val="auto"/>
          <w:vertAlign w:val="superscript"/>
        </w:rPr>
        <w:t>3</w:t>
      </w:r>
      <w:r>
        <w:rPr>
          <w:rFonts w:ascii="Arial" w:cs="Arial" w:eastAsia="Arial" w:hAnsi="Arial"/>
          <w:sz w:val="12"/>
          <w:szCs w:val="12"/>
          <w:color w:val="auto"/>
        </w:rPr>
        <w:t>/</w:t>
      </w:r>
      <w:r>
        <w:rPr>
          <w:rFonts w:ascii="Arial" w:cs="Arial" w:eastAsia="Arial" w:hAnsi="Arial"/>
          <w:sz w:val="9"/>
          <w:szCs w:val="9"/>
          <w:color w:val="auto"/>
        </w:rPr>
        <w:t>4</w:t>
      </w:r>
      <w:r>
        <w:rPr>
          <w:rFonts w:ascii="Arial" w:cs="Arial" w:eastAsia="Arial" w:hAnsi="Arial"/>
          <w:sz w:val="12"/>
          <w:szCs w:val="12"/>
          <w:color w:val="auto"/>
        </w:rPr>
        <w:t>% Notes and the 6.625% Notes were included as debt outstanding at September 30, 2006. In connection with the repurchase, the Company terminated two interest rate swaps with a total notional amount of $200,000,000 that hedged a portion of the 9</w:t>
      </w:r>
      <w:r>
        <w:rPr>
          <w:rFonts w:ascii="Arial" w:cs="Arial" w:eastAsia="Arial" w:hAnsi="Arial"/>
          <w:sz w:val="17"/>
          <w:szCs w:val="17"/>
          <w:color w:val="auto"/>
          <w:vertAlign w:val="superscript"/>
        </w:rPr>
        <w:t>3</w:t>
      </w:r>
      <w:r>
        <w:rPr>
          <w:rFonts w:ascii="Arial" w:cs="Arial" w:eastAsia="Arial" w:hAnsi="Arial"/>
          <w:sz w:val="12"/>
          <w:szCs w:val="12"/>
          <w:color w:val="auto"/>
        </w:rPr>
        <w:t>/</w:t>
      </w:r>
      <w:r>
        <w:rPr>
          <w:rFonts w:ascii="Arial" w:cs="Arial" w:eastAsia="Arial" w:hAnsi="Arial"/>
          <w:sz w:val="9"/>
          <w:szCs w:val="9"/>
          <w:color w:val="auto"/>
        </w:rPr>
        <w:t>4</w:t>
      </w:r>
      <w:r>
        <w:rPr>
          <w:rFonts w:ascii="Arial" w:cs="Arial" w:eastAsia="Arial" w:hAnsi="Arial"/>
          <w:sz w:val="12"/>
          <w:szCs w:val="12"/>
          <w:color w:val="auto"/>
        </w:rPr>
        <w:t>% Notes. Debt extinguishment costs incurred as a result of the redemption totaled $27,358,000 pre-tax, $16,538,000 after tax, or $0.11 per share on a diluted basis, and consisted of $20,322,000 for a make-whole redemption premium, $4,939,000 associated with the two interest rate swap terminations, and $2,097,000 to write-off certain deferred financing costs.</w:t>
      </w:r>
    </w:p>
    <w:p>
      <w:pPr>
        <w:spacing w:after="0" w:line="85"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color w:val="auto"/>
        </w:rPr>
        <w:t>Bank credit facilities consist of various committed and uncommitted lines of credit with financial institutions utilized primarily to support the working capital requirements of foreign operations. The weighted average interest rates on the bank credit facilities was 4.1% at September 30, 2006 and July 1, 2006.</w:t>
      </w:r>
    </w:p>
    <w:p>
      <w:pPr>
        <w:spacing w:after="0" w:line="59" w:lineRule="exact"/>
        <w:rPr>
          <w:sz w:val="20"/>
          <w:szCs w:val="20"/>
          <w:color w:val="auto"/>
        </w:rPr>
      </w:pPr>
    </w:p>
    <w:p>
      <w:pPr>
        <w:ind w:left="680" w:right="180" w:firstLine="399"/>
        <w:spacing w:after="0" w:line="296" w:lineRule="auto"/>
        <w:rPr>
          <w:sz w:val="20"/>
          <w:szCs w:val="20"/>
          <w:color w:val="auto"/>
        </w:rPr>
      </w:pPr>
      <w:r>
        <w:rPr>
          <w:rFonts w:ascii="Arial" w:cs="Arial" w:eastAsia="Arial" w:hAnsi="Arial"/>
          <w:sz w:val="12"/>
          <w:szCs w:val="12"/>
          <w:color w:val="auto"/>
        </w:rPr>
        <w:t>The Company has an accounts receivable securitization program (the “Program”) with a group of financial institutions that allows the Company to sell, on a revolving basis, an undivided interest of up to $450,000,000 in eligible receivables while retaining a subordinated interest in a portion of the receivables. The Program does not qualify for sale treatment. The Program has a one year term that expires in August 2007. There were no drawings outstanding under the Program at September 30, 2006.</w:t>
      </w:r>
    </w:p>
    <w:p>
      <w:pPr>
        <w:spacing w:after="0" w:line="256"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 w:name="page9"/>
    <w:bookmarkEnd w:id="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AVNET,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6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Long-term debt consists of the following:</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7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gridSpan w:val="2"/>
          </w:tcPr>
          <w:p>
            <w:pPr>
              <w:jc w:val="right"/>
              <w:ind w:right="580"/>
              <w:spacing w:after="0"/>
              <w:rPr>
                <w:sz w:val="20"/>
                <w:szCs w:val="20"/>
                <w:color w:val="auto"/>
              </w:rPr>
            </w:pPr>
            <w:r>
              <w:rPr>
                <w:rFonts w:ascii="Arial" w:cs="Arial" w:eastAsia="Arial" w:hAnsi="Arial"/>
                <w:sz w:val="10"/>
                <w:szCs w:val="10"/>
                <w:b w:val="1"/>
                <w:bCs w:val="1"/>
                <w:color w:val="auto"/>
                <w:w w:val="99"/>
              </w:rPr>
              <w:t>September 30,</w:t>
            </w:r>
          </w:p>
        </w:tc>
        <w:tc>
          <w:tcPr>
            <w:tcW w:w="120" w:type="dxa"/>
            <w:vAlign w:val="bottom"/>
          </w:tcPr>
          <w:p>
            <w:pPr>
              <w:spacing w:after="0"/>
              <w:rPr>
                <w:sz w:val="10"/>
                <w:szCs w:val="10"/>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6"/>
              </w:rPr>
              <w:t>July 1,</w:t>
            </w:r>
          </w:p>
        </w:tc>
        <w:tc>
          <w:tcPr>
            <w:tcW w:w="0" w:type="dxa"/>
            <w:vAlign w:val="bottom"/>
          </w:tcPr>
          <w:p>
            <w:pPr>
              <w:spacing w:after="0"/>
              <w:rPr>
                <w:sz w:val="1"/>
                <w:szCs w:val="1"/>
                <w:color w:val="auto"/>
              </w:rPr>
            </w:pPr>
          </w:p>
        </w:tc>
      </w:tr>
      <w:tr>
        <w:trPr>
          <w:trHeight w:val="125"/>
        </w:trPr>
        <w:tc>
          <w:tcPr>
            <w:tcW w:w="78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ind w:right="338"/>
              <w:spacing w:after="0"/>
              <w:rPr>
                <w:sz w:val="20"/>
                <w:szCs w:val="20"/>
                <w:color w:val="auto"/>
              </w:rPr>
            </w:pPr>
            <w:r>
              <w:rPr>
                <w:rFonts w:ascii="Arial" w:cs="Arial" w:eastAsia="Arial" w:hAnsi="Arial"/>
                <w:sz w:val="10"/>
                <w:szCs w:val="10"/>
                <w:b w:val="1"/>
                <w:bCs w:val="1"/>
                <w:color w:val="auto"/>
              </w:rPr>
              <w:t>2006</w:t>
            </w: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ind w:right="177"/>
              <w:spacing w:after="0"/>
              <w:rPr>
                <w:sz w:val="20"/>
                <w:szCs w:val="20"/>
                <w:color w:val="auto"/>
              </w:rPr>
            </w:pPr>
            <w:r>
              <w:rPr>
                <w:rFonts w:ascii="Arial" w:cs="Arial" w:eastAsia="Arial" w:hAnsi="Arial"/>
                <w:sz w:val="10"/>
                <w:szCs w:val="10"/>
                <w:b w:val="1"/>
                <w:bCs w:val="1"/>
                <w:color w:val="auto"/>
              </w:rPr>
              <w:t>2006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7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0"/>
                <w:szCs w:val="10"/>
                <w:b w:val="1"/>
                <w:bCs w:val="1"/>
                <w:color w:val="auto"/>
              </w:rPr>
              <w:t>(Thousands)</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7800" w:type="dxa"/>
            <w:vAlign w:val="bottom"/>
            <w:shd w:val="clear" w:color="auto" w:fill="CCEEFF"/>
          </w:tcPr>
          <w:p>
            <w:pPr>
              <w:spacing w:after="0" w:line="164" w:lineRule="exact"/>
              <w:rPr>
                <w:sz w:val="20"/>
                <w:szCs w:val="20"/>
                <w:color w:val="auto"/>
              </w:rPr>
            </w:pPr>
            <w:r>
              <w:rPr>
                <w:rFonts w:ascii="Arial" w:cs="Arial" w:eastAsia="Arial" w:hAnsi="Arial"/>
                <w:sz w:val="13"/>
                <w:szCs w:val="13"/>
                <w:color w:val="auto"/>
              </w:rPr>
              <w:t>9</w:t>
            </w:r>
            <w:r>
              <w:rPr>
                <w:rFonts w:ascii="Arial" w:cs="Arial" w:eastAsia="Arial" w:hAnsi="Arial"/>
                <w:sz w:val="18"/>
                <w:szCs w:val="18"/>
                <w:color w:val="auto"/>
                <w:vertAlign w:val="superscript"/>
              </w:rPr>
              <w:t>3</w:t>
            </w:r>
            <w:r>
              <w:rPr>
                <w:rFonts w:ascii="Arial" w:cs="Arial" w:eastAsia="Arial" w:hAnsi="Arial"/>
                <w:sz w:val="13"/>
                <w:szCs w:val="13"/>
                <w:color w:val="auto"/>
              </w:rPr>
              <w:t>/</w:t>
            </w:r>
            <w:r>
              <w:rPr>
                <w:rFonts w:ascii="Arial" w:cs="Arial" w:eastAsia="Arial" w:hAnsi="Arial"/>
                <w:sz w:val="9"/>
                <w:szCs w:val="9"/>
                <w:color w:val="auto"/>
              </w:rPr>
              <w:t>4</w:t>
            </w:r>
            <w:r>
              <w:rPr>
                <w:rFonts w:ascii="Arial" w:cs="Arial" w:eastAsia="Arial" w:hAnsi="Arial"/>
                <w:sz w:val="13"/>
                <w:szCs w:val="13"/>
                <w:color w:val="auto"/>
              </w:rPr>
              <w:t>% Notes due February 15, 2008</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361,360</w:t>
            </w:r>
          </w:p>
        </w:tc>
        <w:tc>
          <w:tcPr>
            <w:tcW w:w="0" w:type="dxa"/>
            <w:vAlign w:val="bottom"/>
          </w:tcPr>
          <w:p>
            <w:pPr>
              <w:spacing w:after="0"/>
              <w:rPr>
                <w:sz w:val="1"/>
                <w:szCs w:val="1"/>
                <w:color w:val="auto"/>
              </w:rPr>
            </w:pPr>
          </w:p>
        </w:tc>
      </w:tr>
      <w:tr>
        <w:trPr>
          <w:trHeight w:val="157"/>
        </w:trPr>
        <w:tc>
          <w:tcPr>
            <w:tcW w:w="7800" w:type="dxa"/>
            <w:vAlign w:val="bottom"/>
          </w:tcPr>
          <w:p>
            <w:pPr>
              <w:spacing w:after="0"/>
              <w:rPr>
                <w:sz w:val="20"/>
                <w:szCs w:val="20"/>
                <w:color w:val="auto"/>
              </w:rPr>
            </w:pPr>
            <w:r>
              <w:rPr>
                <w:rFonts w:ascii="Arial" w:cs="Arial" w:eastAsia="Arial" w:hAnsi="Arial"/>
                <w:sz w:val="13"/>
                <w:szCs w:val="13"/>
                <w:color w:val="auto"/>
              </w:rPr>
              <w:t>6.00% Notes due September 1, 2015</w:t>
            </w:r>
          </w:p>
        </w:tc>
        <w:tc>
          <w:tcPr>
            <w:tcW w:w="1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250,000</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250,000</w:t>
            </w:r>
          </w:p>
        </w:tc>
        <w:tc>
          <w:tcPr>
            <w:tcW w:w="0" w:type="dxa"/>
            <w:vAlign w:val="bottom"/>
          </w:tcPr>
          <w:p>
            <w:pPr>
              <w:spacing w:after="0"/>
              <w:rPr>
                <w:sz w:val="1"/>
                <w:szCs w:val="1"/>
                <w:color w:val="auto"/>
              </w:rPr>
            </w:pPr>
          </w:p>
        </w:tc>
      </w:tr>
      <w:tr>
        <w:trPr>
          <w:trHeight w:val="157"/>
        </w:trPr>
        <w:tc>
          <w:tcPr>
            <w:tcW w:w="7800" w:type="dxa"/>
            <w:vAlign w:val="bottom"/>
            <w:shd w:val="clear" w:color="auto" w:fill="CCEEFF"/>
          </w:tcPr>
          <w:p>
            <w:pPr>
              <w:spacing w:after="0"/>
              <w:rPr>
                <w:sz w:val="20"/>
                <w:szCs w:val="20"/>
                <w:color w:val="auto"/>
              </w:rPr>
            </w:pPr>
            <w:r>
              <w:rPr>
                <w:rFonts w:ascii="Arial" w:cs="Arial" w:eastAsia="Arial" w:hAnsi="Arial"/>
                <w:sz w:val="13"/>
                <w:szCs w:val="13"/>
                <w:color w:val="auto"/>
              </w:rPr>
              <w:t>6.625% Notes due September 15, 2016</w:t>
            </w: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300,000</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7800" w:type="dxa"/>
            <w:vAlign w:val="bottom"/>
          </w:tcPr>
          <w:p>
            <w:pPr>
              <w:spacing w:after="0"/>
              <w:rPr>
                <w:sz w:val="20"/>
                <w:szCs w:val="20"/>
                <w:color w:val="auto"/>
              </w:rPr>
            </w:pPr>
            <w:r>
              <w:rPr>
                <w:rFonts w:ascii="Arial" w:cs="Arial" w:eastAsia="Arial" w:hAnsi="Arial"/>
                <w:sz w:val="13"/>
                <w:szCs w:val="13"/>
                <w:color w:val="auto"/>
              </w:rPr>
              <w:t>2% Convertible Senior Debentures due March 15, 2034</w:t>
            </w:r>
          </w:p>
        </w:tc>
        <w:tc>
          <w:tcPr>
            <w:tcW w:w="1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300,000</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300,000</w:t>
            </w:r>
          </w:p>
        </w:tc>
        <w:tc>
          <w:tcPr>
            <w:tcW w:w="0" w:type="dxa"/>
            <w:vAlign w:val="bottom"/>
          </w:tcPr>
          <w:p>
            <w:pPr>
              <w:spacing w:after="0"/>
              <w:rPr>
                <w:sz w:val="1"/>
                <w:szCs w:val="1"/>
                <w:color w:val="auto"/>
              </w:rPr>
            </w:pPr>
          </w:p>
        </w:tc>
      </w:tr>
      <w:tr>
        <w:trPr>
          <w:trHeight w:val="157"/>
        </w:trPr>
        <w:tc>
          <w:tcPr>
            <w:tcW w:w="7800" w:type="dxa"/>
            <w:vAlign w:val="bottom"/>
            <w:shd w:val="clear" w:color="auto" w:fill="CCEEFF"/>
          </w:tcPr>
          <w:p>
            <w:pPr>
              <w:spacing w:after="0"/>
              <w:rPr>
                <w:sz w:val="20"/>
                <w:szCs w:val="20"/>
                <w:color w:val="auto"/>
              </w:rPr>
            </w:pPr>
            <w:r>
              <w:rPr>
                <w:rFonts w:ascii="Arial" w:cs="Arial" w:eastAsia="Arial" w:hAnsi="Arial"/>
                <w:sz w:val="13"/>
                <w:szCs w:val="13"/>
                <w:color w:val="auto"/>
              </w:rPr>
              <w:t>Other long-term debt</w:t>
            </w: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7,310</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14,931</w:t>
            </w:r>
          </w:p>
        </w:tc>
        <w:tc>
          <w:tcPr>
            <w:tcW w:w="0" w:type="dxa"/>
            <w:vAlign w:val="bottom"/>
          </w:tcPr>
          <w:p>
            <w:pPr>
              <w:spacing w:after="0"/>
              <w:rPr>
                <w:sz w:val="1"/>
                <w:szCs w:val="1"/>
                <w:color w:val="auto"/>
              </w:rPr>
            </w:pPr>
          </w:p>
        </w:tc>
      </w:tr>
      <w:tr>
        <w:trPr>
          <w:trHeight w:val="20"/>
        </w:trPr>
        <w:tc>
          <w:tcPr>
            <w:tcW w:w="7800" w:type="dxa"/>
            <w:vAlign w:val="bottom"/>
            <w:vMerge w:val="restart"/>
          </w:tcPr>
          <w:p>
            <w:pPr>
              <w:ind w:left="140"/>
              <w:spacing w:after="0"/>
              <w:rPr>
                <w:sz w:val="20"/>
                <w:szCs w:val="20"/>
                <w:color w:val="auto"/>
              </w:rPr>
            </w:pPr>
            <w:r>
              <w:rPr>
                <w:rFonts w:ascii="Arial" w:cs="Arial" w:eastAsia="Arial" w:hAnsi="Arial"/>
                <w:sz w:val="13"/>
                <w:szCs w:val="13"/>
                <w:color w:val="auto"/>
              </w:rPr>
              <w:t>Subtotal</w:t>
            </w: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8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857,310</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926,291</w:t>
            </w:r>
          </w:p>
        </w:tc>
        <w:tc>
          <w:tcPr>
            <w:tcW w:w="0" w:type="dxa"/>
            <w:vAlign w:val="bottom"/>
          </w:tcPr>
          <w:p>
            <w:pPr>
              <w:spacing w:after="0"/>
              <w:rPr>
                <w:sz w:val="1"/>
                <w:szCs w:val="1"/>
                <w:color w:val="auto"/>
              </w:rPr>
            </w:pPr>
          </w:p>
        </w:tc>
      </w:tr>
      <w:tr>
        <w:trPr>
          <w:trHeight w:val="158"/>
        </w:trPr>
        <w:tc>
          <w:tcPr>
            <w:tcW w:w="7800" w:type="dxa"/>
            <w:vAlign w:val="bottom"/>
            <w:shd w:val="clear" w:color="auto" w:fill="CCEEFF"/>
          </w:tcPr>
          <w:p>
            <w:pPr>
              <w:spacing w:after="0" w:line="158" w:lineRule="exact"/>
              <w:rPr>
                <w:sz w:val="20"/>
                <w:szCs w:val="20"/>
                <w:color w:val="auto"/>
              </w:rPr>
            </w:pPr>
            <w:r>
              <w:rPr>
                <w:rFonts w:ascii="Arial" w:cs="Arial" w:eastAsia="Arial" w:hAnsi="Arial"/>
                <w:sz w:val="13"/>
                <w:szCs w:val="13"/>
                <w:color w:val="auto"/>
              </w:rPr>
              <w:t>Fair value adjustment for hedged 9</w:t>
            </w:r>
            <w:r>
              <w:rPr>
                <w:rFonts w:ascii="Arial" w:cs="Arial" w:eastAsia="Arial" w:hAnsi="Arial"/>
                <w:sz w:val="18"/>
                <w:szCs w:val="18"/>
                <w:color w:val="auto"/>
                <w:vertAlign w:val="superscript"/>
              </w:rPr>
              <w:t>3</w:t>
            </w:r>
            <w:r>
              <w:rPr>
                <w:rFonts w:ascii="Arial" w:cs="Arial" w:eastAsia="Arial" w:hAnsi="Arial"/>
                <w:sz w:val="13"/>
                <w:szCs w:val="13"/>
                <w:color w:val="auto"/>
              </w:rPr>
              <w:t>/</w:t>
            </w:r>
            <w:r>
              <w:rPr>
                <w:rFonts w:ascii="Arial" w:cs="Arial" w:eastAsia="Arial" w:hAnsi="Arial"/>
                <w:sz w:val="9"/>
                <w:szCs w:val="9"/>
                <w:color w:val="auto"/>
              </w:rPr>
              <w:t>4</w:t>
            </w:r>
            <w:r>
              <w:rPr>
                <w:rFonts w:ascii="Arial" w:cs="Arial" w:eastAsia="Arial" w:hAnsi="Arial"/>
                <w:sz w:val="13"/>
                <w:szCs w:val="13"/>
                <w:color w:val="auto"/>
              </w:rPr>
              <w:t>% Notes</w:t>
            </w:r>
          </w:p>
        </w:tc>
        <w:tc>
          <w:tcPr>
            <w:tcW w:w="12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(7,481)</w:t>
            </w:r>
          </w:p>
        </w:tc>
        <w:tc>
          <w:tcPr>
            <w:tcW w:w="0" w:type="dxa"/>
            <w:vAlign w:val="bottom"/>
          </w:tcPr>
          <w:p>
            <w:pPr>
              <w:spacing w:after="0"/>
              <w:rPr>
                <w:sz w:val="1"/>
                <w:szCs w:val="1"/>
                <w:color w:val="auto"/>
              </w:rPr>
            </w:pPr>
          </w:p>
        </w:tc>
      </w:tr>
      <w:tr>
        <w:trPr>
          <w:trHeight w:val="20"/>
        </w:trPr>
        <w:tc>
          <w:tcPr>
            <w:tcW w:w="7800" w:type="dxa"/>
            <w:vAlign w:val="bottom"/>
            <w:vMerge w:val="restart"/>
          </w:tcPr>
          <w:p>
            <w:pPr>
              <w:ind w:left="280"/>
              <w:spacing w:after="0"/>
              <w:rPr>
                <w:sz w:val="20"/>
                <w:szCs w:val="20"/>
                <w:color w:val="auto"/>
              </w:rPr>
            </w:pPr>
            <w:r>
              <w:rPr>
                <w:rFonts w:ascii="Arial" w:cs="Arial" w:eastAsia="Arial" w:hAnsi="Arial"/>
                <w:sz w:val="13"/>
                <w:szCs w:val="13"/>
                <w:color w:val="auto"/>
              </w:rPr>
              <w:t>Long-term debt</w:t>
            </w: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800" w:type="dxa"/>
            <w:vAlign w:val="bottom"/>
            <w:vMerge w:val="continue"/>
          </w:tcPr>
          <w:p>
            <w:pPr>
              <w:spacing w:after="0"/>
              <w:rPr>
                <w:sz w:val="13"/>
                <w:szCs w:val="13"/>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857,310</w:t>
            </w:r>
          </w:p>
        </w:tc>
        <w:tc>
          <w:tcPr>
            <w:tcW w:w="400" w:type="dxa"/>
            <w:vAlign w:val="bottom"/>
          </w:tcPr>
          <w:p>
            <w:pPr>
              <w:spacing w:after="0"/>
              <w:rPr>
                <w:sz w:val="13"/>
                <w:szCs w:val="13"/>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918,810</w:t>
            </w:r>
          </w:p>
        </w:tc>
        <w:tc>
          <w:tcPr>
            <w:tcW w:w="0" w:type="dxa"/>
            <w:vAlign w:val="bottom"/>
          </w:tcPr>
          <w:p>
            <w:pPr>
              <w:spacing w:after="0"/>
              <w:rPr>
                <w:sz w:val="1"/>
                <w:szCs w:val="1"/>
                <w:color w:val="auto"/>
              </w:rPr>
            </w:pPr>
          </w:p>
        </w:tc>
      </w:tr>
      <w:tr>
        <w:trPr>
          <w:trHeight w:val="30"/>
        </w:trPr>
        <w:tc>
          <w:tcPr>
            <w:tcW w:w="7800" w:type="dxa"/>
            <w:vAlign w:val="bottom"/>
          </w:tcPr>
          <w:p>
            <w:pPr>
              <w:spacing w:after="0"/>
              <w:rPr>
                <w:sz w:val="2"/>
                <w:szCs w:val="2"/>
                <w:color w:val="auto"/>
              </w:rPr>
            </w:pPr>
          </w:p>
        </w:tc>
        <w:tc>
          <w:tcPr>
            <w:tcW w:w="120" w:type="dxa"/>
            <w:vAlign w:val="bottom"/>
            <w:shd w:val="clear" w:color="auto" w:fill="000003"/>
          </w:tcPr>
          <w:p>
            <w:pPr>
              <w:spacing w:after="0"/>
              <w:rPr>
                <w:sz w:val="2"/>
                <w:szCs w:val="2"/>
                <w:color w:val="auto"/>
              </w:rPr>
            </w:pPr>
          </w:p>
        </w:tc>
        <w:tc>
          <w:tcPr>
            <w:tcW w:w="880" w:type="dxa"/>
            <w:vAlign w:val="bottom"/>
            <w:shd w:val="clear" w:color="auto" w:fill="000003"/>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3"/>
          </w:tcPr>
          <w:p>
            <w:pPr>
              <w:spacing w:after="0"/>
              <w:rPr>
                <w:sz w:val="2"/>
                <w:szCs w:val="2"/>
                <w:color w:val="auto"/>
              </w:rPr>
            </w:pPr>
          </w:p>
        </w:tc>
        <w:tc>
          <w:tcPr>
            <w:tcW w:w="560" w:type="dxa"/>
            <w:vAlign w:val="bottom"/>
            <w:shd w:val="clear" w:color="auto" w:fill="000003"/>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The Company has an unsecured $500,000,000 credit facility with a syndicate of banks (the “Credit Facility”), expiring in October 2010. The Company may select from various interest rate options, currencies and maturities under the Credit Facility. The Credit Facility contains certain covenants, all of which the Company was in compliance with as of September 30, 2006. As of July 1, 2006, there was $6,000,000 drawn under the Credit Facility included in “other long-term debt” in the preceding table and $22,925,000 in letters of credit issued under the Credit Facility which represents a utilization of the Credit Facility capacity but they are not recorded in the consolidated balance sheet as the letters of credit are not debt . At September 30, 2006, there were no borrowings under the Credit Facility; however, there was $19,588,000 of letters of credit issued under the Credit Facility.</w:t>
      </w:r>
    </w:p>
    <w:p>
      <w:pPr>
        <w:spacing w:after="0" w:line="55" w:lineRule="exact"/>
        <w:rPr>
          <w:sz w:val="20"/>
          <w:szCs w:val="20"/>
          <w:color w:val="auto"/>
        </w:rPr>
      </w:pPr>
    </w:p>
    <w:p>
      <w:pPr>
        <w:ind w:left="680" w:right="100" w:firstLine="399"/>
        <w:spacing w:after="0" w:line="285" w:lineRule="auto"/>
        <w:rPr>
          <w:sz w:val="20"/>
          <w:szCs w:val="20"/>
          <w:color w:val="auto"/>
        </w:rPr>
      </w:pPr>
      <w:r>
        <w:rPr>
          <w:rFonts w:ascii="Arial" w:cs="Arial" w:eastAsia="Arial" w:hAnsi="Arial"/>
          <w:sz w:val="12"/>
          <w:szCs w:val="12"/>
          <w:color w:val="auto"/>
        </w:rPr>
        <w:t>In August 2005, the Company issued $250,000,000 of 6.00% Notes due September 1, 2015 (the “6% Notes”). The proceeds from the offering, net of discount and underwriting fees, were $246,483,000. The Company used these proceeds, plus cash and cash equivalents, to fund the tender and repurchase of $250,000,000 of the 8.00% Notes due November 15, 2006 (the “8% Notes”), at a price of $1,045 per $1,000 principal amount of Notes. In addition, the Company also repurchased $4,095,000 of the 8% Notes at a price of approximately $1,038 per $1,000 principal amount of Notes. As a result of the tender and repurchases, the Company incurred debt extinguishment costs in the first quarter of fiscal 2006 of $11,665,000 pre-tax, $7,052,000 after tax or $0.05 per share on a diluted basis, relating primarily to premiums and other transaction costs.</w:t>
      </w:r>
    </w:p>
    <w:p>
      <w:pPr>
        <w:spacing w:after="0" w:line="55" w:lineRule="exact"/>
        <w:rPr>
          <w:sz w:val="20"/>
          <w:szCs w:val="20"/>
          <w:color w:val="auto"/>
        </w:rPr>
      </w:pPr>
    </w:p>
    <w:p>
      <w:pPr>
        <w:ind w:left="680" w:right="60" w:firstLine="399"/>
        <w:spacing w:after="0" w:line="280" w:lineRule="auto"/>
        <w:rPr>
          <w:sz w:val="20"/>
          <w:szCs w:val="20"/>
          <w:color w:val="auto"/>
        </w:rPr>
      </w:pPr>
      <w:r>
        <w:rPr>
          <w:rFonts w:ascii="Arial" w:cs="Arial" w:eastAsia="Arial" w:hAnsi="Arial"/>
          <w:sz w:val="12"/>
          <w:szCs w:val="12"/>
          <w:color w:val="auto"/>
        </w:rPr>
        <w:t>The Company’s $300,000,000 of 2% Convertible Senior Debentures due March 15, 2034 (the “Debentures”) are convertible into Avnet common stock at a rate of 29.5516 shares of common stock per $1,000 principal amount of Debentures. The Debentures are only convertible under certain circumstances, including if: (i) the closing price of the Company’s common stock reaches $45.68 per share (subject to adjustment in certain circumstances) for a specified period of time; (ii) the average trading price of the Debentures falls below a certain percentage of the conversion value per Debenture for a specified period of time; (iii) the Company calls the Debentures for redemption; or (iv) certain corporate transactions, as defined, occur. Upon conversion, the Company will deliver cash in lieu of common stock as the Company made an irrevocable election in December 2004 to satisfy the principal portion of the Debentures, if converted, in cash. The Company may redeem some or all of the Debentures for cash any time on or after March 20, 2009 at the Debentures’ full principal amount plus accrued and unpaid interest, if any. Holders of the Debentures may require the Company to purchase, in cash, all or a portion of the Debentures on March 15, 2009, 2014, 2019, 2024 and 2029, or upon a fundamental change, as defined, at the Debentures’ full principal amount plus accrued and unpaid interest, if any.</w:t>
      </w:r>
    </w:p>
    <w:p>
      <w:pPr>
        <w:spacing w:after="0" w:line="59" w:lineRule="exact"/>
        <w:rPr>
          <w:sz w:val="20"/>
          <w:szCs w:val="20"/>
          <w:color w:val="auto"/>
        </w:rPr>
      </w:pPr>
    </w:p>
    <w:p>
      <w:pPr>
        <w:ind w:left="680" w:right="120" w:firstLine="399"/>
        <w:spacing w:after="0" w:line="264" w:lineRule="auto"/>
        <w:rPr>
          <w:sz w:val="20"/>
          <w:szCs w:val="20"/>
          <w:color w:val="auto"/>
        </w:rPr>
      </w:pPr>
      <w:r>
        <w:rPr>
          <w:rFonts w:ascii="Arial" w:cs="Arial" w:eastAsia="Arial" w:hAnsi="Arial"/>
          <w:sz w:val="13"/>
          <w:szCs w:val="13"/>
          <w:color w:val="auto"/>
        </w:rPr>
        <w:t xml:space="preserve">The hedged fixed rate debt and the interest rate swaps outstanding at the end of fiscal 2006 were adjusted to current market values through interest expense in the accompanying consolidated statements of operations. The Company accounts for hedges using the shortcut method as defined under Statement of Financial Accounting Standards No. 133, </w:t>
      </w:r>
      <w:r>
        <w:rPr>
          <w:rFonts w:ascii="Arial" w:cs="Arial" w:eastAsia="Arial" w:hAnsi="Arial"/>
          <w:sz w:val="13"/>
          <w:szCs w:val="13"/>
          <w:i w:val="1"/>
          <w:iCs w:val="1"/>
          <w:color w:val="auto"/>
        </w:rPr>
        <w:t>Accounting for</w:t>
      </w:r>
      <w:r>
        <w:rPr>
          <w:rFonts w:ascii="Arial" w:cs="Arial" w:eastAsia="Arial" w:hAnsi="Arial"/>
          <w:sz w:val="13"/>
          <w:szCs w:val="13"/>
          <w:color w:val="auto"/>
        </w:rPr>
        <w:t xml:space="preserve"> </w:t>
      </w:r>
      <w:r>
        <w:rPr>
          <w:rFonts w:ascii="Arial" w:cs="Arial" w:eastAsia="Arial" w:hAnsi="Arial"/>
          <w:sz w:val="13"/>
          <w:szCs w:val="13"/>
          <w:i w:val="1"/>
          <w:iCs w:val="1"/>
          <w:color w:val="auto"/>
        </w:rPr>
        <w:t>Derivative Instruments and Hedging Activities</w:t>
      </w:r>
      <w:r>
        <w:rPr>
          <w:rFonts w:ascii="Arial" w:cs="Arial" w:eastAsia="Arial" w:hAnsi="Arial"/>
          <w:sz w:val="13"/>
          <w:szCs w:val="13"/>
          <w:color w:val="auto"/>
        </w:rPr>
        <w:t>, as amended by Statement of</w:t>
      </w:r>
    </w:p>
    <w:p>
      <w:pPr>
        <w:spacing w:after="0" w:line="273"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 w:name="page10"/>
    <w:bookmarkEnd w:id="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AVNET, INC. AND SUBSIDIARIES</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69" w:lineRule="exact"/>
        <w:rPr>
          <w:sz w:val="20"/>
          <w:szCs w:val="20"/>
          <w:color w:val="auto"/>
        </w:rPr>
      </w:pPr>
    </w:p>
    <w:p>
      <w:pPr>
        <w:ind w:left="680" w:right="860"/>
        <w:spacing w:after="0" w:line="290" w:lineRule="auto"/>
        <w:rPr>
          <w:sz w:val="20"/>
          <w:szCs w:val="20"/>
          <w:color w:val="auto"/>
        </w:rPr>
      </w:pPr>
      <w:r>
        <w:rPr>
          <w:rFonts w:ascii="Arial" w:cs="Arial" w:eastAsia="Arial" w:hAnsi="Arial"/>
          <w:sz w:val="12"/>
          <w:szCs w:val="12"/>
          <w:color w:val="auto"/>
        </w:rPr>
        <w:t xml:space="preserve">Financial Accounting Standards No. 138, </w:t>
      </w:r>
      <w:r>
        <w:rPr>
          <w:rFonts w:ascii="Arial" w:cs="Arial" w:eastAsia="Arial" w:hAnsi="Arial"/>
          <w:sz w:val="12"/>
          <w:szCs w:val="12"/>
          <w:i w:val="1"/>
          <w:iCs w:val="1"/>
          <w:color w:val="auto"/>
        </w:rPr>
        <w:t>Accounting for Certain Derivative Instruments and Hedging Activities.</w:t>
      </w:r>
      <w:r>
        <w:rPr>
          <w:rFonts w:ascii="Arial" w:cs="Arial" w:eastAsia="Arial" w:hAnsi="Arial"/>
          <w:sz w:val="12"/>
          <w:szCs w:val="12"/>
          <w:color w:val="auto"/>
        </w:rPr>
        <w:t xml:space="preserve"> Due to the effectiveness of the hedges since inception, the market value adjustments for the hedged debt and the interest rate swaps directly offset one another. The fair value of the interest rate swaps at July 1, 2006 was a liability of $7,481,000 which is included in “other long-term liabilities” and a corresponding fair value adjustment of the hedged debt decreased long-term debt by the same amount. As discussed previously in this Note 5, the Company terminated all remaining interest rate swaps during the first quarter of fiscal 2007 in connection with the redemption of the 9</w:t>
      </w:r>
      <w:r>
        <w:rPr>
          <w:rFonts w:ascii="Arial" w:cs="Arial" w:eastAsia="Arial" w:hAnsi="Arial"/>
          <w:sz w:val="17"/>
          <w:szCs w:val="17"/>
          <w:color w:val="auto"/>
          <w:vertAlign w:val="superscript"/>
        </w:rPr>
        <w:t>3</w:t>
      </w:r>
      <w:r>
        <w:rPr>
          <w:rFonts w:ascii="Arial" w:cs="Arial" w:eastAsia="Arial" w:hAnsi="Arial"/>
          <w:sz w:val="12"/>
          <w:szCs w:val="12"/>
          <w:color w:val="auto"/>
        </w:rPr>
        <w:t>/</w:t>
      </w:r>
      <w:r>
        <w:rPr>
          <w:rFonts w:ascii="Arial" w:cs="Arial" w:eastAsia="Arial" w:hAnsi="Arial"/>
          <w:sz w:val="9"/>
          <w:szCs w:val="9"/>
          <w:color w:val="auto"/>
        </w:rPr>
        <w:t>4</w:t>
      </w:r>
      <w:r>
        <w:rPr>
          <w:rFonts w:ascii="Arial" w:cs="Arial" w:eastAsia="Arial" w:hAnsi="Arial"/>
          <w:sz w:val="12"/>
          <w:szCs w:val="12"/>
          <w:color w:val="auto"/>
        </w:rPr>
        <w:t>% Notes.</w:t>
      </w:r>
    </w:p>
    <w:p>
      <w:pPr>
        <w:spacing w:after="0" w:line="56" w:lineRule="exact"/>
        <w:rPr>
          <w:sz w:val="20"/>
          <w:szCs w:val="20"/>
          <w:color w:val="auto"/>
        </w:rPr>
      </w:pPr>
    </w:p>
    <w:p>
      <w:pPr>
        <w:ind w:left="1000" w:hanging="313"/>
        <w:spacing w:after="0"/>
        <w:tabs>
          <w:tab w:leader="none" w:pos="1000" w:val="left"/>
        </w:tabs>
        <w:numPr>
          <w:ilvl w:val="0"/>
          <w:numId w:val="3"/>
        </w:numPr>
        <w:rPr>
          <w:rFonts w:ascii="Arial" w:cs="Arial" w:eastAsia="Arial" w:hAnsi="Arial"/>
          <w:sz w:val="13"/>
          <w:szCs w:val="13"/>
          <w:b w:val="1"/>
          <w:bCs w:val="1"/>
          <w:color w:val="auto"/>
        </w:rPr>
      </w:pPr>
      <w:r>
        <w:rPr>
          <w:rFonts w:ascii="Arial" w:cs="Arial" w:eastAsia="Arial" w:hAnsi="Arial"/>
          <w:sz w:val="13"/>
          <w:szCs w:val="13"/>
          <w:b w:val="1"/>
          <w:bCs w:val="1"/>
          <w:color w:val="auto"/>
        </w:rPr>
        <w:t>Commitments and contingencies</w:t>
      </w:r>
    </w:p>
    <w:p>
      <w:pPr>
        <w:spacing w:after="0" w:line="100" w:lineRule="exact"/>
        <w:rPr>
          <w:sz w:val="20"/>
          <w:szCs w:val="20"/>
          <w:color w:val="auto"/>
        </w:rPr>
      </w:pPr>
    </w:p>
    <w:p>
      <w:pPr>
        <w:ind w:left="680" w:right="820" w:firstLine="399"/>
        <w:spacing w:after="0" w:line="260" w:lineRule="auto"/>
        <w:rPr>
          <w:sz w:val="20"/>
          <w:szCs w:val="20"/>
          <w:color w:val="auto"/>
        </w:rPr>
      </w:pPr>
      <w:r>
        <w:rPr>
          <w:rFonts w:ascii="Arial" w:cs="Arial" w:eastAsia="Arial" w:hAnsi="Arial"/>
          <w:sz w:val="13"/>
          <w:szCs w:val="13"/>
          <w:color w:val="auto"/>
        </w:rPr>
        <w:t>From time to time, the Company may become liable with respect to pending and threatened litigation, tax, environmental and other matters. The Company has been designated a potentially responsible party or has become aware of other potential claims against it in connection with environmental clean-ups at several sites. Based upon the information known to date, the Company believes that it has appropriately reserved for its share of the costs of the clean-ups and management does not anticipate that any contingent matters will have a material adverse impact on the Company’s financial condition, liquidity or results of operations.</w:t>
      </w:r>
    </w:p>
    <w:p>
      <w:pPr>
        <w:spacing w:after="0" w:line="144" w:lineRule="exact"/>
        <w:rPr>
          <w:sz w:val="20"/>
          <w:szCs w:val="20"/>
          <w:color w:val="auto"/>
        </w:rPr>
      </w:pPr>
    </w:p>
    <w:p>
      <w:pPr>
        <w:ind w:left="1000" w:hanging="313"/>
        <w:spacing w:after="0"/>
        <w:tabs>
          <w:tab w:leader="none" w:pos="1000" w:val="left"/>
        </w:tabs>
        <w:numPr>
          <w:ilvl w:val="0"/>
          <w:numId w:val="4"/>
        </w:numPr>
        <w:rPr>
          <w:rFonts w:ascii="Arial" w:cs="Arial" w:eastAsia="Arial" w:hAnsi="Arial"/>
          <w:sz w:val="13"/>
          <w:szCs w:val="13"/>
          <w:b w:val="1"/>
          <w:bCs w:val="1"/>
          <w:color w:val="auto"/>
        </w:rPr>
      </w:pPr>
      <w:r>
        <w:rPr>
          <w:rFonts w:ascii="Arial" w:cs="Arial" w:eastAsia="Arial" w:hAnsi="Arial"/>
          <w:sz w:val="13"/>
          <w:szCs w:val="13"/>
          <w:b w:val="1"/>
          <w:bCs w:val="1"/>
          <w:color w:val="auto"/>
        </w:rPr>
        <w:t>Pension plan</w:t>
      </w:r>
    </w:p>
    <w:p>
      <w:pPr>
        <w:spacing w:after="0" w:line="100" w:lineRule="exact"/>
        <w:rPr>
          <w:sz w:val="20"/>
          <w:szCs w:val="20"/>
          <w:color w:val="auto"/>
        </w:rPr>
      </w:pPr>
    </w:p>
    <w:p>
      <w:pPr>
        <w:ind w:left="680" w:right="860" w:firstLine="399"/>
        <w:spacing w:after="0" w:line="276" w:lineRule="auto"/>
        <w:rPr>
          <w:sz w:val="20"/>
          <w:szCs w:val="20"/>
          <w:color w:val="auto"/>
        </w:rPr>
      </w:pPr>
      <w:r>
        <w:rPr>
          <w:rFonts w:ascii="Arial" w:cs="Arial" w:eastAsia="Arial" w:hAnsi="Arial"/>
          <w:sz w:val="13"/>
          <w:szCs w:val="13"/>
          <w:color w:val="auto"/>
        </w:rPr>
        <w:t>The Company’s noncontributory defined benefit pension plan (the “Plan”) covers substantially all domestic employees. Components of net periodic pension costs during the quarters ended September 30, 2006 and October 1, 2005 were as follows:</w:t>
      </w:r>
    </w:p>
    <w:p>
      <w:pPr>
        <w:spacing w:after="0" w:line="6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60" w:type="dxa"/>
            <w:vAlign w:val="bottom"/>
            <w:gridSpan w:val="5"/>
          </w:tcPr>
          <w:p>
            <w:pPr>
              <w:jc w:val="right"/>
              <w:ind w:right="660"/>
              <w:spacing w:after="0"/>
              <w:rPr>
                <w:sz w:val="20"/>
                <w:szCs w:val="20"/>
                <w:color w:val="auto"/>
              </w:rPr>
            </w:pPr>
            <w:r>
              <w:rPr>
                <w:rFonts w:ascii="Arial" w:cs="Arial" w:eastAsia="Arial" w:hAnsi="Arial"/>
                <w:sz w:val="10"/>
                <w:szCs w:val="10"/>
                <w:b w:val="1"/>
                <w:bCs w:val="1"/>
                <w:color w:val="auto"/>
              </w:rPr>
              <w:t>First Quarters Ended</w:t>
            </w:r>
          </w:p>
        </w:tc>
        <w:tc>
          <w:tcPr>
            <w:tcW w:w="0" w:type="dxa"/>
            <w:vAlign w:val="bottom"/>
          </w:tcPr>
          <w:p>
            <w:pPr>
              <w:spacing w:after="0"/>
              <w:rPr>
                <w:sz w:val="1"/>
                <w:szCs w:val="1"/>
                <w:color w:val="auto"/>
              </w:rPr>
            </w:pPr>
          </w:p>
        </w:tc>
      </w:tr>
      <w:tr>
        <w:trPr>
          <w:trHeight w:val="81"/>
        </w:trPr>
        <w:tc>
          <w:tcPr>
            <w:tcW w:w="780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1280" w:type="dxa"/>
            <w:vAlign w:val="bottom"/>
            <w:tcBorders>
              <w:top w:val="single" w:sz="8" w:color="auto"/>
            </w:tcBorders>
            <w:gridSpan w:val="2"/>
          </w:tcPr>
          <w:p>
            <w:pPr>
              <w:jc w:val="right"/>
              <w:ind w:right="580"/>
              <w:spacing w:after="0" w:line="81" w:lineRule="exact"/>
              <w:rPr>
                <w:sz w:val="20"/>
                <w:szCs w:val="20"/>
                <w:color w:val="auto"/>
              </w:rPr>
            </w:pPr>
            <w:r>
              <w:rPr>
                <w:rFonts w:ascii="Arial" w:cs="Arial" w:eastAsia="Arial" w:hAnsi="Arial"/>
                <w:sz w:val="9"/>
                <w:szCs w:val="9"/>
                <w:b w:val="1"/>
                <w:bCs w:val="1"/>
                <w:color w:val="auto"/>
              </w:rPr>
              <w:t>September 30,</w:t>
            </w:r>
          </w:p>
        </w:tc>
        <w:tc>
          <w:tcPr>
            <w:tcW w:w="80" w:type="dxa"/>
            <w:vAlign w:val="bottom"/>
            <w:tcBorders>
              <w:top w:val="single" w:sz="8" w:color="auto"/>
            </w:tcBorders>
          </w:tcPr>
          <w:p>
            <w:pPr>
              <w:spacing w:after="0"/>
              <w:rPr>
                <w:sz w:val="7"/>
                <w:szCs w:val="7"/>
                <w:color w:val="auto"/>
              </w:rPr>
            </w:pPr>
          </w:p>
        </w:tc>
        <w:tc>
          <w:tcPr>
            <w:tcW w:w="600" w:type="dxa"/>
            <w:vAlign w:val="bottom"/>
            <w:tcBorders>
              <w:top w:val="single" w:sz="8" w:color="auto"/>
            </w:tcBorders>
          </w:tcPr>
          <w:p>
            <w:pPr>
              <w:jc w:val="right"/>
              <w:ind w:right="38"/>
              <w:spacing w:after="0" w:line="81" w:lineRule="exact"/>
              <w:rPr>
                <w:sz w:val="20"/>
                <w:szCs w:val="20"/>
                <w:color w:val="auto"/>
              </w:rPr>
            </w:pPr>
            <w:r>
              <w:rPr>
                <w:rFonts w:ascii="Arial" w:cs="Arial" w:eastAsia="Arial" w:hAnsi="Arial"/>
                <w:sz w:val="9"/>
                <w:szCs w:val="9"/>
                <w:b w:val="1"/>
                <w:bCs w:val="1"/>
                <w:color w:val="auto"/>
              </w:rPr>
              <w:t>October 1,</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78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ind w:right="340"/>
              <w:spacing w:after="0"/>
              <w:rPr>
                <w:sz w:val="20"/>
                <w:szCs w:val="20"/>
                <w:color w:val="auto"/>
              </w:rPr>
            </w:pPr>
            <w:r>
              <w:rPr>
                <w:rFonts w:ascii="Arial" w:cs="Arial" w:eastAsia="Arial" w:hAnsi="Arial"/>
                <w:sz w:val="10"/>
                <w:szCs w:val="10"/>
                <w:b w:val="1"/>
                <w:bCs w:val="1"/>
                <w:color w:val="auto"/>
              </w:rPr>
              <w:t>2006</w:t>
            </w: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78"/>
              <w:spacing w:after="0"/>
              <w:rPr>
                <w:sz w:val="20"/>
                <w:szCs w:val="20"/>
                <w:color w:val="auto"/>
              </w:rPr>
            </w:pPr>
            <w:r>
              <w:rPr>
                <w:rFonts w:ascii="Arial" w:cs="Arial" w:eastAsia="Arial" w:hAnsi="Arial"/>
                <w:sz w:val="10"/>
                <w:szCs w:val="10"/>
                <w:b w:val="1"/>
                <w:bCs w:val="1"/>
                <w:color w:val="auto"/>
              </w:rPr>
              <w:t>2005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7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0"/>
                <w:szCs w:val="10"/>
                <w:b w:val="1"/>
                <w:bCs w:val="1"/>
                <w:color w:val="auto"/>
              </w:rPr>
              <w:t>(Thousands)</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7800" w:type="dxa"/>
            <w:vAlign w:val="bottom"/>
            <w:shd w:val="clear" w:color="auto" w:fill="CCEEFF"/>
          </w:tcPr>
          <w:p>
            <w:pPr>
              <w:spacing w:after="0"/>
              <w:rPr>
                <w:sz w:val="20"/>
                <w:szCs w:val="20"/>
                <w:color w:val="auto"/>
              </w:rPr>
            </w:pPr>
            <w:r>
              <w:rPr>
                <w:rFonts w:ascii="Arial" w:cs="Arial" w:eastAsia="Arial" w:hAnsi="Arial"/>
                <w:sz w:val="13"/>
                <w:szCs w:val="13"/>
                <w:color w:val="auto"/>
              </w:rPr>
              <w:t>Service cost</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3,715</w:t>
            </w: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3,791</w:t>
            </w:r>
          </w:p>
        </w:tc>
        <w:tc>
          <w:tcPr>
            <w:tcW w:w="0" w:type="dxa"/>
            <w:vAlign w:val="bottom"/>
          </w:tcPr>
          <w:p>
            <w:pPr>
              <w:spacing w:after="0"/>
              <w:rPr>
                <w:sz w:val="1"/>
                <w:szCs w:val="1"/>
                <w:color w:val="auto"/>
              </w:rPr>
            </w:pPr>
          </w:p>
        </w:tc>
      </w:tr>
      <w:tr>
        <w:trPr>
          <w:trHeight w:val="157"/>
        </w:trPr>
        <w:tc>
          <w:tcPr>
            <w:tcW w:w="7800" w:type="dxa"/>
            <w:vAlign w:val="bottom"/>
          </w:tcPr>
          <w:p>
            <w:pPr>
              <w:spacing w:after="0"/>
              <w:rPr>
                <w:sz w:val="20"/>
                <w:szCs w:val="20"/>
                <w:color w:val="auto"/>
              </w:rPr>
            </w:pPr>
            <w:r>
              <w:rPr>
                <w:rFonts w:ascii="Arial" w:cs="Arial" w:eastAsia="Arial" w:hAnsi="Arial"/>
                <w:sz w:val="13"/>
                <w:szCs w:val="13"/>
                <w:color w:val="auto"/>
              </w:rPr>
              <w:t>Interest cost</w:t>
            </w:r>
          </w:p>
        </w:tc>
        <w:tc>
          <w:tcPr>
            <w:tcW w:w="1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3,933</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3,543</w:t>
            </w:r>
          </w:p>
        </w:tc>
        <w:tc>
          <w:tcPr>
            <w:tcW w:w="0" w:type="dxa"/>
            <w:vAlign w:val="bottom"/>
          </w:tcPr>
          <w:p>
            <w:pPr>
              <w:spacing w:after="0"/>
              <w:rPr>
                <w:sz w:val="1"/>
                <w:szCs w:val="1"/>
                <w:color w:val="auto"/>
              </w:rPr>
            </w:pPr>
          </w:p>
        </w:tc>
      </w:tr>
      <w:tr>
        <w:trPr>
          <w:trHeight w:val="157"/>
        </w:trPr>
        <w:tc>
          <w:tcPr>
            <w:tcW w:w="7800" w:type="dxa"/>
            <w:vAlign w:val="bottom"/>
            <w:shd w:val="clear" w:color="auto" w:fill="CCEEFF"/>
          </w:tcPr>
          <w:p>
            <w:pPr>
              <w:spacing w:after="0"/>
              <w:rPr>
                <w:sz w:val="20"/>
                <w:szCs w:val="20"/>
                <w:color w:val="auto"/>
              </w:rPr>
            </w:pPr>
            <w:r>
              <w:rPr>
                <w:rFonts w:ascii="Arial" w:cs="Arial" w:eastAsia="Arial" w:hAnsi="Arial"/>
                <w:sz w:val="13"/>
                <w:szCs w:val="13"/>
                <w:color w:val="auto"/>
              </w:rPr>
              <w:t>Expected return on plan assets</w:t>
            </w:r>
          </w:p>
        </w:tc>
        <w:tc>
          <w:tcPr>
            <w:tcW w:w="12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(5,123)</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(5,144)</w:t>
            </w:r>
          </w:p>
        </w:tc>
        <w:tc>
          <w:tcPr>
            <w:tcW w:w="0" w:type="dxa"/>
            <w:vAlign w:val="bottom"/>
          </w:tcPr>
          <w:p>
            <w:pPr>
              <w:spacing w:after="0"/>
              <w:rPr>
                <w:sz w:val="1"/>
                <w:szCs w:val="1"/>
                <w:color w:val="auto"/>
              </w:rPr>
            </w:pPr>
          </w:p>
        </w:tc>
      </w:tr>
      <w:tr>
        <w:trPr>
          <w:trHeight w:val="157"/>
        </w:trPr>
        <w:tc>
          <w:tcPr>
            <w:tcW w:w="7800" w:type="dxa"/>
            <w:vAlign w:val="bottom"/>
          </w:tcPr>
          <w:p>
            <w:pPr>
              <w:spacing w:after="0"/>
              <w:rPr>
                <w:sz w:val="20"/>
                <w:szCs w:val="20"/>
                <w:color w:val="auto"/>
              </w:rPr>
            </w:pPr>
            <w:r>
              <w:rPr>
                <w:rFonts w:ascii="Arial" w:cs="Arial" w:eastAsia="Arial" w:hAnsi="Arial"/>
                <w:sz w:val="13"/>
                <w:szCs w:val="13"/>
                <w:color w:val="auto"/>
              </w:rPr>
              <w:t>Recognized net actuarial loss</w:t>
            </w:r>
          </w:p>
        </w:tc>
        <w:tc>
          <w:tcPr>
            <w:tcW w:w="1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681</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1,129</w:t>
            </w:r>
          </w:p>
        </w:tc>
        <w:tc>
          <w:tcPr>
            <w:tcW w:w="0" w:type="dxa"/>
            <w:vAlign w:val="bottom"/>
          </w:tcPr>
          <w:p>
            <w:pPr>
              <w:spacing w:after="0"/>
              <w:rPr>
                <w:sz w:val="1"/>
                <w:szCs w:val="1"/>
                <w:color w:val="auto"/>
              </w:rPr>
            </w:pPr>
          </w:p>
        </w:tc>
      </w:tr>
      <w:tr>
        <w:trPr>
          <w:trHeight w:val="157"/>
        </w:trPr>
        <w:tc>
          <w:tcPr>
            <w:tcW w:w="7800" w:type="dxa"/>
            <w:vAlign w:val="bottom"/>
            <w:shd w:val="clear" w:color="auto" w:fill="CCEEFF"/>
          </w:tcPr>
          <w:p>
            <w:pPr>
              <w:spacing w:after="0"/>
              <w:rPr>
                <w:sz w:val="20"/>
                <w:szCs w:val="20"/>
                <w:color w:val="auto"/>
              </w:rPr>
            </w:pPr>
            <w:r>
              <w:rPr>
                <w:rFonts w:ascii="Arial" w:cs="Arial" w:eastAsia="Arial" w:hAnsi="Arial"/>
                <w:sz w:val="13"/>
                <w:szCs w:val="13"/>
                <w:color w:val="auto"/>
              </w:rPr>
              <w:t>Amortization of prior service credit</w:t>
            </w:r>
          </w:p>
        </w:tc>
        <w:tc>
          <w:tcPr>
            <w:tcW w:w="12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(11)</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(80)</w:t>
            </w:r>
          </w:p>
        </w:tc>
        <w:tc>
          <w:tcPr>
            <w:tcW w:w="0" w:type="dxa"/>
            <w:vAlign w:val="bottom"/>
          </w:tcPr>
          <w:p>
            <w:pPr>
              <w:spacing w:after="0"/>
              <w:rPr>
                <w:sz w:val="1"/>
                <w:szCs w:val="1"/>
                <w:color w:val="auto"/>
              </w:rPr>
            </w:pPr>
          </w:p>
        </w:tc>
      </w:tr>
      <w:tr>
        <w:trPr>
          <w:trHeight w:val="20"/>
        </w:trPr>
        <w:tc>
          <w:tcPr>
            <w:tcW w:w="7800" w:type="dxa"/>
            <w:vAlign w:val="bottom"/>
            <w:vMerge w:val="restart"/>
          </w:tcPr>
          <w:p>
            <w:pPr>
              <w:ind w:left="140"/>
              <w:spacing w:after="0"/>
              <w:rPr>
                <w:sz w:val="20"/>
                <w:szCs w:val="20"/>
                <w:color w:val="auto"/>
              </w:rPr>
            </w:pPr>
            <w:r>
              <w:rPr>
                <w:rFonts w:ascii="Arial" w:cs="Arial" w:eastAsia="Arial" w:hAnsi="Arial"/>
                <w:sz w:val="13"/>
                <w:szCs w:val="13"/>
                <w:color w:val="auto"/>
              </w:rPr>
              <w:t>Net periodic pension costs</w:t>
            </w: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800" w:type="dxa"/>
            <w:vAlign w:val="bottom"/>
            <w:vMerge w:val="continue"/>
          </w:tcPr>
          <w:p>
            <w:pPr>
              <w:spacing w:after="0"/>
              <w:rPr>
                <w:sz w:val="13"/>
                <w:szCs w:val="13"/>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3,195</w:t>
            </w:r>
          </w:p>
        </w:tc>
        <w:tc>
          <w:tcPr>
            <w:tcW w:w="4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3,239</w:t>
            </w:r>
          </w:p>
        </w:tc>
        <w:tc>
          <w:tcPr>
            <w:tcW w:w="0" w:type="dxa"/>
            <w:vAlign w:val="bottom"/>
          </w:tcPr>
          <w:p>
            <w:pPr>
              <w:spacing w:after="0"/>
              <w:rPr>
                <w:sz w:val="1"/>
                <w:szCs w:val="1"/>
                <w:color w:val="auto"/>
              </w:rPr>
            </w:pPr>
          </w:p>
        </w:tc>
      </w:tr>
      <w:tr>
        <w:trPr>
          <w:trHeight w:val="30"/>
        </w:trPr>
        <w:tc>
          <w:tcPr>
            <w:tcW w:w="7800" w:type="dxa"/>
            <w:vAlign w:val="bottom"/>
          </w:tcPr>
          <w:p>
            <w:pPr>
              <w:spacing w:after="0"/>
              <w:rPr>
                <w:sz w:val="2"/>
                <w:szCs w:val="2"/>
                <w:color w:val="auto"/>
              </w:rPr>
            </w:pPr>
          </w:p>
        </w:tc>
        <w:tc>
          <w:tcPr>
            <w:tcW w:w="120" w:type="dxa"/>
            <w:vAlign w:val="bottom"/>
            <w:shd w:val="clear" w:color="auto" w:fill="000003"/>
          </w:tcPr>
          <w:p>
            <w:pPr>
              <w:spacing w:after="0"/>
              <w:rPr>
                <w:sz w:val="2"/>
                <w:szCs w:val="2"/>
                <w:color w:val="auto"/>
              </w:rPr>
            </w:pPr>
          </w:p>
        </w:tc>
        <w:tc>
          <w:tcPr>
            <w:tcW w:w="880" w:type="dxa"/>
            <w:vAlign w:val="bottom"/>
            <w:shd w:val="clear" w:color="auto" w:fill="000003"/>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3"/>
          </w:tcPr>
          <w:p>
            <w:pPr>
              <w:spacing w:after="0"/>
              <w:rPr>
                <w:sz w:val="2"/>
                <w:szCs w:val="2"/>
                <w:color w:val="auto"/>
              </w:rPr>
            </w:pPr>
          </w:p>
        </w:tc>
        <w:tc>
          <w:tcPr>
            <w:tcW w:w="600" w:type="dxa"/>
            <w:vAlign w:val="bottom"/>
            <w:shd w:val="clear" w:color="auto" w:fill="000003"/>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1160" w:firstLine="399"/>
        <w:spacing w:after="0" w:line="276" w:lineRule="auto"/>
        <w:rPr>
          <w:sz w:val="20"/>
          <w:szCs w:val="20"/>
          <w:color w:val="auto"/>
        </w:rPr>
      </w:pPr>
      <w:r>
        <w:rPr>
          <w:rFonts w:ascii="Arial" w:cs="Arial" w:eastAsia="Arial" w:hAnsi="Arial"/>
          <w:sz w:val="13"/>
          <w:szCs w:val="13"/>
          <w:color w:val="auto"/>
        </w:rPr>
        <w:t>During the first quarter of fiscal 2006, the Company made contributions to the Plan of approximately $58,638,000. The Company may make voluntary contributions to the Plan during fiscal 2007.</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80" w:type="dxa"/>
            <w:vAlign w:val="bottom"/>
          </w:tcPr>
          <w:p>
            <w:pPr>
              <w:spacing w:after="0"/>
              <w:rPr>
                <w:sz w:val="14"/>
                <w:szCs w:val="14"/>
                <w:color w:val="auto"/>
              </w:rPr>
            </w:pPr>
          </w:p>
        </w:tc>
        <w:tc>
          <w:tcPr>
            <w:tcW w:w="120" w:type="dxa"/>
            <w:vAlign w:val="bottom"/>
          </w:tcPr>
          <w:p>
            <w:pPr>
              <w:spacing w:after="0"/>
              <w:rPr>
                <w:sz w:val="20"/>
                <w:szCs w:val="20"/>
                <w:color w:val="auto"/>
              </w:rPr>
            </w:pPr>
            <w:r>
              <w:rPr>
                <w:rFonts w:ascii="Arial" w:cs="Arial" w:eastAsia="Arial" w:hAnsi="Arial"/>
                <w:sz w:val="13"/>
                <w:szCs w:val="13"/>
                <w:b w:val="1"/>
                <w:bCs w:val="1"/>
                <w:color w:val="auto"/>
                <w:w w:val="91"/>
              </w:rPr>
              <w:t>8.</w:t>
            </w:r>
          </w:p>
        </w:tc>
        <w:tc>
          <w:tcPr>
            <w:tcW w:w="3440" w:type="dxa"/>
            <w:vAlign w:val="bottom"/>
          </w:tcPr>
          <w:p>
            <w:pPr>
              <w:ind w:left="200"/>
              <w:spacing w:after="0"/>
              <w:rPr>
                <w:sz w:val="20"/>
                <w:szCs w:val="20"/>
                <w:color w:val="auto"/>
              </w:rPr>
            </w:pPr>
            <w:r>
              <w:rPr>
                <w:rFonts w:ascii="Arial" w:cs="Arial" w:eastAsia="Arial" w:hAnsi="Arial"/>
                <w:sz w:val="13"/>
                <w:szCs w:val="13"/>
                <w:b w:val="1"/>
                <w:bCs w:val="1"/>
                <w:color w:val="auto"/>
              </w:rPr>
              <w:t>Comprehensive income</w:t>
            </w:r>
          </w:p>
        </w:tc>
        <w:tc>
          <w:tcPr>
            <w:tcW w:w="4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208"/>
        </w:trPr>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gridSpan w:val="5"/>
          </w:tcPr>
          <w:p>
            <w:pPr>
              <w:jc w:val="right"/>
              <w:ind w:right="660"/>
              <w:spacing w:after="0"/>
              <w:rPr>
                <w:sz w:val="20"/>
                <w:szCs w:val="20"/>
                <w:color w:val="auto"/>
              </w:rPr>
            </w:pPr>
            <w:r>
              <w:rPr>
                <w:rFonts w:ascii="Arial" w:cs="Arial" w:eastAsia="Arial" w:hAnsi="Arial"/>
                <w:sz w:val="10"/>
                <w:szCs w:val="10"/>
                <w:b w:val="1"/>
                <w:bCs w:val="1"/>
                <w:color w:val="auto"/>
              </w:rPr>
              <w:t>First Quarters Ended</w:t>
            </w:r>
          </w:p>
        </w:tc>
        <w:tc>
          <w:tcPr>
            <w:tcW w:w="800" w:type="dxa"/>
            <w:vAlign w:val="bottom"/>
          </w:tcPr>
          <w:p>
            <w:pPr>
              <w:spacing w:after="0"/>
              <w:rPr>
                <w:sz w:val="18"/>
                <w:szCs w:val="18"/>
                <w:color w:val="auto"/>
              </w:rPr>
            </w:pPr>
          </w:p>
        </w:tc>
      </w:tr>
      <w:tr>
        <w:trPr>
          <w:trHeight w:val="81"/>
        </w:trPr>
        <w:tc>
          <w:tcPr>
            <w:tcW w:w="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40" w:type="dxa"/>
            <w:vAlign w:val="bottom"/>
          </w:tcPr>
          <w:p>
            <w:pPr>
              <w:spacing w:after="0"/>
              <w:rPr>
                <w:sz w:val="7"/>
                <w:szCs w:val="7"/>
                <w:color w:val="auto"/>
              </w:rPr>
            </w:pPr>
          </w:p>
        </w:tc>
        <w:tc>
          <w:tcPr>
            <w:tcW w:w="424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1280" w:type="dxa"/>
            <w:vAlign w:val="bottom"/>
            <w:tcBorders>
              <w:top w:val="single" w:sz="8" w:color="auto"/>
            </w:tcBorders>
            <w:gridSpan w:val="2"/>
          </w:tcPr>
          <w:p>
            <w:pPr>
              <w:jc w:val="center"/>
              <w:ind w:right="520"/>
              <w:spacing w:after="0" w:line="81" w:lineRule="exact"/>
              <w:rPr>
                <w:sz w:val="20"/>
                <w:szCs w:val="20"/>
                <w:color w:val="auto"/>
              </w:rPr>
            </w:pPr>
            <w:r>
              <w:rPr>
                <w:rFonts w:ascii="Arial" w:cs="Arial" w:eastAsia="Arial" w:hAnsi="Arial"/>
                <w:sz w:val="9"/>
                <w:szCs w:val="9"/>
                <w:b w:val="1"/>
                <w:bCs w:val="1"/>
                <w:color w:val="auto"/>
              </w:rPr>
              <w:t>September 30,</w:t>
            </w:r>
          </w:p>
        </w:tc>
        <w:tc>
          <w:tcPr>
            <w:tcW w:w="80" w:type="dxa"/>
            <w:vAlign w:val="bottom"/>
            <w:tcBorders>
              <w:top w:val="single" w:sz="8" w:color="auto"/>
            </w:tcBorders>
          </w:tcPr>
          <w:p>
            <w:pPr>
              <w:spacing w:after="0"/>
              <w:rPr>
                <w:sz w:val="7"/>
                <w:szCs w:val="7"/>
                <w:color w:val="auto"/>
              </w:rPr>
            </w:pPr>
          </w:p>
        </w:tc>
        <w:tc>
          <w:tcPr>
            <w:tcW w:w="600" w:type="dxa"/>
            <w:vAlign w:val="bottom"/>
            <w:tcBorders>
              <w:top w:val="single" w:sz="8" w:color="auto"/>
            </w:tcBorders>
          </w:tcPr>
          <w:p>
            <w:pPr>
              <w:jc w:val="right"/>
              <w:ind w:right="41"/>
              <w:spacing w:after="0" w:line="81" w:lineRule="exact"/>
              <w:rPr>
                <w:sz w:val="20"/>
                <w:szCs w:val="20"/>
                <w:color w:val="auto"/>
              </w:rPr>
            </w:pPr>
            <w:r>
              <w:rPr>
                <w:rFonts w:ascii="Arial" w:cs="Arial" w:eastAsia="Arial" w:hAnsi="Arial"/>
                <w:sz w:val="9"/>
                <w:szCs w:val="9"/>
                <w:b w:val="1"/>
                <w:bCs w:val="1"/>
                <w:color w:val="auto"/>
              </w:rPr>
              <w:t>October 1,</w:t>
            </w: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r>
      <w:tr>
        <w:trPr>
          <w:trHeight w:val="125"/>
        </w:trPr>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40" w:type="dxa"/>
            <w:vAlign w:val="bottom"/>
          </w:tcPr>
          <w:p>
            <w:pPr>
              <w:spacing w:after="0"/>
              <w:rPr>
                <w:sz w:val="10"/>
                <w:szCs w:val="10"/>
                <w:color w:val="auto"/>
              </w:rPr>
            </w:pPr>
          </w:p>
        </w:tc>
        <w:tc>
          <w:tcPr>
            <w:tcW w:w="42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ind w:right="343"/>
              <w:spacing w:after="0"/>
              <w:rPr>
                <w:sz w:val="20"/>
                <w:szCs w:val="20"/>
                <w:color w:val="auto"/>
              </w:rPr>
            </w:pPr>
            <w:r>
              <w:rPr>
                <w:rFonts w:ascii="Arial" w:cs="Arial" w:eastAsia="Arial" w:hAnsi="Arial"/>
                <w:sz w:val="10"/>
                <w:szCs w:val="10"/>
                <w:b w:val="1"/>
                <w:bCs w:val="1"/>
                <w:color w:val="auto"/>
              </w:rPr>
              <w:t>2006</w:t>
            </w: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81"/>
              <w:spacing w:after="0"/>
              <w:rPr>
                <w:sz w:val="20"/>
                <w:szCs w:val="20"/>
                <w:color w:val="auto"/>
              </w:rPr>
            </w:pPr>
            <w:r>
              <w:rPr>
                <w:rFonts w:ascii="Arial" w:cs="Arial" w:eastAsia="Arial" w:hAnsi="Arial"/>
                <w:sz w:val="10"/>
                <w:szCs w:val="10"/>
                <w:b w:val="1"/>
                <w:bCs w:val="1"/>
                <w:color w:val="auto"/>
              </w:rPr>
              <w:t>2005</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131"/>
        </w:trPr>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40" w:type="dxa"/>
            <w:vAlign w:val="bottom"/>
          </w:tcPr>
          <w:p>
            <w:pPr>
              <w:spacing w:after="0"/>
              <w:rPr>
                <w:sz w:val="11"/>
                <w:szCs w:val="11"/>
                <w:color w:val="auto"/>
              </w:rPr>
            </w:pPr>
          </w:p>
        </w:tc>
        <w:tc>
          <w:tcPr>
            <w:tcW w:w="4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0"/>
                <w:szCs w:val="10"/>
                <w:b w:val="1"/>
                <w:bCs w:val="1"/>
                <w:color w:val="auto"/>
              </w:rPr>
              <w:t>(Thousands)</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63"/>
        </w:trPr>
        <w:tc>
          <w:tcPr>
            <w:tcW w:w="680" w:type="dxa"/>
            <w:vAlign w:val="bottom"/>
          </w:tcPr>
          <w:p>
            <w:pPr>
              <w:spacing w:after="0"/>
              <w:rPr>
                <w:sz w:val="14"/>
                <w:szCs w:val="14"/>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 income</w:t>
            </w:r>
          </w:p>
        </w:tc>
        <w:tc>
          <w:tcPr>
            <w:tcW w:w="4360" w:type="dxa"/>
            <w:vAlign w:val="bottom"/>
            <w:gridSpan w:val="2"/>
            <w:shd w:val="clear" w:color="auto" w:fill="CCEEFF"/>
          </w:tcPr>
          <w:p>
            <w:pPr>
              <w:jc w:val="right"/>
              <w:ind w:right="11"/>
              <w:spacing w:after="0"/>
              <w:rPr>
                <w:sz w:val="20"/>
                <w:szCs w:val="20"/>
                <w:color w:val="auto"/>
              </w:rPr>
            </w:pPr>
            <w:r>
              <w:rPr>
                <w:rFonts w:ascii="Arial" w:cs="Arial" w:eastAsia="Arial" w:hAnsi="Arial"/>
                <w:sz w:val="13"/>
                <w:szCs w:val="13"/>
                <w:color w:val="auto"/>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64,143</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24,897</w:t>
            </w:r>
          </w:p>
        </w:tc>
        <w:tc>
          <w:tcPr>
            <w:tcW w:w="800" w:type="dxa"/>
            <w:vAlign w:val="bottom"/>
          </w:tcPr>
          <w:p>
            <w:pPr>
              <w:spacing w:after="0"/>
              <w:rPr>
                <w:sz w:val="14"/>
                <w:szCs w:val="14"/>
                <w:color w:val="auto"/>
              </w:rPr>
            </w:pPr>
          </w:p>
        </w:tc>
      </w:tr>
      <w:tr>
        <w:trPr>
          <w:trHeight w:val="157"/>
        </w:trPr>
        <w:tc>
          <w:tcPr>
            <w:tcW w:w="680" w:type="dxa"/>
            <w:vAlign w:val="bottom"/>
          </w:tcPr>
          <w:p>
            <w:pPr>
              <w:spacing w:after="0"/>
              <w:rPr>
                <w:sz w:val="13"/>
                <w:szCs w:val="13"/>
                <w:color w:val="auto"/>
              </w:rPr>
            </w:pPr>
          </w:p>
        </w:tc>
        <w:tc>
          <w:tcPr>
            <w:tcW w:w="3560" w:type="dxa"/>
            <w:vAlign w:val="bottom"/>
            <w:gridSpan w:val="2"/>
          </w:tcPr>
          <w:p>
            <w:pPr>
              <w:spacing w:after="0"/>
              <w:rPr>
                <w:sz w:val="20"/>
                <w:szCs w:val="20"/>
                <w:color w:val="auto"/>
              </w:rPr>
            </w:pPr>
            <w:r>
              <w:rPr>
                <w:rFonts w:ascii="Arial" w:cs="Arial" w:eastAsia="Arial" w:hAnsi="Arial"/>
                <w:sz w:val="13"/>
                <w:szCs w:val="13"/>
                <w:color w:val="auto"/>
              </w:rPr>
              <w:t>Foreign currency translation adjustments</w:t>
            </w:r>
          </w:p>
        </w:tc>
        <w:tc>
          <w:tcPr>
            <w:tcW w:w="4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3,613</w:t>
            </w:r>
          </w:p>
        </w:tc>
        <w:tc>
          <w:tcPr>
            <w:tcW w:w="80" w:type="dxa"/>
            <w:vAlign w:val="bottom"/>
          </w:tcPr>
          <w:p>
            <w:pPr>
              <w:spacing w:after="0"/>
              <w:rPr>
                <w:sz w:val="13"/>
                <w:szCs w:val="13"/>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(5,885)</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comprehensive income</w:t>
            </w:r>
          </w:p>
        </w:tc>
        <w:tc>
          <w:tcPr>
            <w:tcW w:w="424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67,756</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19,012</w:t>
            </w:r>
          </w:p>
        </w:tc>
        <w:tc>
          <w:tcPr>
            <w:tcW w:w="800" w:type="dxa"/>
            <w:vAlign w:val="bottom"/>
          </w:tcPr>
          <w:p>
            <w:pPr>
              <w:spacing w:after="0"/>
              <w:rPr>
                <w:sz w:val="14"/>
                <w:szCs w:val="14"/>
                <w:color w:val="auto"/>
              </w:rPr>
            </w:pPr>
          </w:p>
        </w:tc>
      </w:tr>
      <w:tr>
        <w:trPr>
          <w:trHeight w:val="461"/>
        </w:trPr>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4240" w:type="dxa"/>
            <w:vAlign w:val="bottom"/>
          </w:tcPr>
          <w:p>
            <w:pPr>
              <w:jc w:val="right"/>
              <w:ind w:right="2714"/>
              <w:spacing w:after="0"/>
              <w:rPr>
                <w:sz w:val="20"/>
                <w:szCs w:val="20"/>
                <w:color w:val="auto"/>
              </w:rPr>
            </w:pPr>
            <w:r>
              <w:rPr>
                <w:rFonts w:ascii="Arial" w:cs="Arial" w:eastAsia="Arial" w:hAnsi="Arial"/>
                <w:sz w:val="13"/>
                <w:szCs w:val="13"/>
                <w:color w:val="auto"/>
              </w:rPr>
              <w:t>8</w:t>
            </w:r>
          </w:p>
        </w:tc>
        <w:tc>
          <w:tcPr>
            <w:tcW w:w="120" w:type="dxa"/>
            <w:vAlign w:val="bottom"/>
            <w:tcBorders>
              <w:top w:val="single" w:sz="8" w:color="000003"/>
            </w:tcBorders>
          </w:tcPr>
          <w:p>
            <w:pPr>
              <w:spacing w:after="0"/>
              <w:rPr>
                <w:sz w:val="24"/>
                <w:szCs w:val="24"/>
                <w:color w:val="auto"/>
              </w:rPr>
            </w:pPr>
          </w:p>
        </w:tc>
        <w:tc>
          <w:tcPr>
            <w:tcW w:w="880" w:type="dxa"/>
            <w:vAlign w:val="bottom"/>
            <w:tcBorders>
              <w:top w:val="single" w:sz="8" w:color="000003"/>
            </w:tcBorders>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Borders>
              <w:top w:val="single" w:sz="8" w:color="000003"/>
            </w:tcBorders>
          </w:tcPr>
          <w:p>
            <w:pPr>
              <w:spacing w:after="0"/>
              <w:rPr>
                <w:sz w:val="24"/>
                <w:szCs w:val="24"/>
                <w:color w:val="auto"/>
              </w:rPr>
            </w:pPr>
          </w:p>
        </w:tc>
        <w:tc>
          <w:tcPr>
            <w:tcW w:w="600" w:type="dxa"/>
            <w:vAlign w:val="bottom"/>
            <w:tcBorders>
              <w:top w:val="single" w:sz="8" w:color="000003"/>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3440" w:type="dxa"/>
            <w:vAlign w:val="bottom"/>
            <w:tcBorders>
              <w:bottom w:val="single" w:sz="8" w:color="808080"/>
            </w:tcBorders>
          </w:tcPr>
          <w:p>
            <w:pPr>
              <w:spacing w:after="0"/>
              <w:rPr>
                <w:sz w:val="14"/>
                <w:szCs w:val="14"/>
                <w:color w:val="auto"/>
              </w:rPr>
            </w:pPr>
          </w:p>
        </w:tc>
        <w:tc>
          <w:tcPr>
            <w:tcW w:w="424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8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0" w:name="page11"/>
    <w:bookmarkEnd w:id="1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AVNET,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65" w:lineRule="exact"/>
        <w:rPr>
          <w:sz w:val="20"/>
          <w:szCs w:val="20"/>
          <w:color w:val="auto"/>
        </w:rPr>
      </w:pPr>
    </w:p>
    <w:tbl>
      <w:tblPr>
        <w:tblLayout w:type="fixed"/>
        <w:tblInd w:w="680" w:type="dxa"/>
        <w:tblCellMar>
          <w:top w:w="0" w:type="dxa"/>
          <w:left w:w="0" w:type="dxa"/>
          <w:bottom w:w="0" w:type="dxa"/>
          <w:right w:w="0" w:type="dxa"/>
        </w:tblCellMar>
      </w:tblPr>
      <w:tr>
        <w:trPr>
          <w:trHeight w:val="169"/>
        </w:trPr>
        <w:tc>
          <w:tcPr>
            <w:tcW w:w="120" w:type="dxa"/>
            <w:vAlign w:val="bottom"/>
          </w:tcPr>
          <w:p>
            <w:pPr>
              <w:spacing w:after="0"/>
              <w:rPr>
                <w:sz w:val="20"/>
                <w:szCs w:val="20"/>
                <w:color w:val="auto"/>
              </w:rPr>
            </w:pPr>
            <w:r>
              <w:rPr>
                <w:rFonts w:ascii="Arial" w:cs="Arial" w:eastAsia="Arial" w:hAnsi="Arial"/>
                <w:sz w:val="13"/>
                <w:szCs w:val="13"/>
                <w:b w:val="1"/>
                <w:bCs w:val="1"/>
                <w:color w:val="auto"/>
                <w:w w:val="91"/>
              </w:rPr>
              <w:t>9.</w:t>
            </w:r>
          </w:p>
        </w:tc>
        <w:tc>
          <w:tcPr>
            <w:tcW w:w="7680" w:type="dxa"/>
            <w:vAlign w:val="bottom"/>
          </w:tcPr>
          <w:p>
            <w:pPr>
              <w:ind w:left="200"/>
              <w:spacing w:after="0"/>
              <w:rPr>
                <w:sz w:val="20"/>
                <w:szCs w:val="20"/>
                <w:color w:val="auto"/>
              </w:rPr>
            </w:pPr>
            <w:r>
              <w:rPr>
                <w:rFonts w:ascii="Arial" w:cs="Arial" w:eastAsia="Arial" w:hAnsi="Arial"/>
                <w:sz w:val="13"/>
                <w:szCs w:val="13"/>
                <w:b w:val="1"/>
                <w:bCs w:val="1"/>
                <w:color w:val="auto"/>
              </w:rPr>
              <w:t>Earnings per share</w:t>
            </w: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6"/>
        </w:trPr>
        <w:tc>
          <w:tcPr>
            <w:tcW w:w="120" w:type="dxa"/>
            <w:vAlign w:val="bottom"/>
          </w:tcPr>
          <w:p>
            <w:pPr>
              <w:spacing w:after="0"/>
              <w:rPr>
                <w:sz w:val="24"/>
                <w:szCs w:val="24"/>
                <w:color w:val="auto"/>
              </w:rPr>
            </w:pPr>
          </w:p>
        </w:tc>
        <w:tc>
          <w:tcPr>
            <w:tcW w:w="7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60" w:type="dxa"/>
            <w:vAlign w:val="bottom"/>
            <w:gridSpan w:val="5"/>
          </w:tcPr>
          <w:p>
            <w:pPr>
              <w:jc w:val="center"/>
              <w:ind w:right="220"/>
              <w:spacing w:after="0"/>
              <w:rPr>
                <w:sz w:val="20"/>
                <w:szCs w:val="20"/>
                <w:color w:val="auto"/>
              </w:rPr>
            </w:pPr>
            <w:r>
              <w:rPr>
                <w:rFonts w:ascii="Arial" w:cs="Arial" w:eastAsia="Arial" w:hAnsi="Arial"/>
                <w:sz w:val="10"/>
                <w:szCs w:val="10"/>
                <w:b w:val="1"/>
                <w:bCs w:val="1"/>
                <w:color w:val="auto"/>
                <w:w w:val="96"/>
              </w:rPr>
              <w:t>First Quarters Ended</w:t>
            </w:r>
          </w:p>
        </w:tc>
        <w:tc>
          <w:tcPr>
            <w:tcW w:w="0" w:type="dxa"/>
            <w:vAlign w:val="bottom"/>
          </w:tcPr>
          <w:p>
            <w:pPr>
              <w:spacing w:after="0"/>
              <w:rPr>
                <w:sz w:val="1"/>
                <w:szCs w:val="1"/>
                <w:color w:val="auto"/>
              </w:rPr>
            </w:pPr>
          </w:p>
        </w:tc>
      </w:tr>
      <w:tr>
        <w:trPr>
          <w:trHeight w:val="81"/>
        </w:trPr>
        <w:tc>
          <w:tcPr>
            <w:tcW w:w="120" w:type="dxa"/>
            <w:vAlign w:val="bottom"/>
          </w:tcPr>
          <w:p>
            <w:pPr>
              <w:spacing w:after="0"/>
              <w:rPr>
                <w:sz w:val="7"/>
                <w:szCs w:val="7"/>
                <w:color w:val="auto"/>
              </w:rPr>
            </w:pPr>
          </w:p>
        </w:tc>
        <w:tc>
          <w:tcPr>
            <w:tcW w:w="768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1280" w:type="dxa"/>
            <w:vAlign w:val="bottom"/>
            <w:tcBorders>
              <w:top w:val="single" w:sz="8" w:color="auto"/>
            </w:tcBorders>
            <w:gridSpan w:val="2"/>
          </w:tcPr>
          <w:p>
            <w:pPr>
              <w:ind w:left="60"/>
              <w:spacing w:after="0" w:line="81" w:lineRule="exact"/>
              <w:rPr>
                <w:sz w:val="20"/>
                <w:szCs w:val="20"/>
                <w:color w:val="auto"/>
              </w:rPr>
            </w:pPr>
            <w:r>
              <w:rPr>
                <w:rFonts w:ascii="Arial" w:cs="Arial" w:eastAsia="Arial" w:hAnsi="Arial"/>
                <w:sz w:val="9"/>
                <w:szCs w:val="9"/>
                <w:b w:val="1"/>
                <w:bCs w:val="1"/>
                <w:color w:val="auto"/>
              </w:rPr>
              <w:t>September 30,</w:t>
            </w:r>
          </w:p>
        </w:tc>
        <w:tc>
          <w:tcPr>
            <w:tcW w:w="80" w:type="dxa"/>
            <w:vAlign w:val="bottom"/>
            <w:tcBorders>
              <w:top w:val="single" w:sz="8" w:color="auto"/>
            </w:tcBorders>
          </w:tcPr>
          <w:p>
            <w:pPr>
              <w:spacing w:after="0"/>
              <w:rPr>
                <w:sz w:val="7"/>
                <w:szCs w:val="7"/>
                <w:color w:val="auto"/>
              </w:rPr>
            </w:pPr>
          </w:p>
        </w:tc>
        <w:tc>
          <w:tcPr>
            <w:tcW w:w="600" w:type="dxa"/>
            <w:vAlign w:val="bottom"/>
            <w:tcBorders>
              <w:top w:val="single" w:sz="8" w:color="auto"/>
            </w:tcBorders>
          </w:tcPr>
          <w:p>
            <w:pPr>
              <w:jc w:val="center"/>
              <w:ind w:right="18"/>
              <w:spacing w:after="0" w:line="81" w:lineRule="exact"/>
              <w:rPr>
                <w:sz w:val="20"/>
                <w:szCs w:val="20"/>
                <w:color w:val="auto"/>
              </w:rPr>
            </w:pPr>
            <w:r>
              <w:rPr>
                <w:rFonts w:ascii="Arial" w:cs="Arial" w:eastAsia="Arial" w:hAnsi="Arial"/>
                <w:sz w:val="9"/>
                <w:szCs w:val="9"/>
                <w:b w:val="1"/>
                <w:bCs w:val="1"/>
                <w:color w:val="auto"/>
              </w:rPr>
              <w:t>October 1,</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120" w:type="dxa"/>
            <w:vAlign w:val="bottom"/>
          </w:tcPr>
          <w:p>
            <w:pPr>
              <w:spacing w:after="0"/>
              <w:rPr>
                <w:sz w:val="10"/>
                <w:szCs w:val="10"/>
                <w:color w:val="auto"/>
              </w:rPr>
            </w:pPr>
          </w:p>
        </w:tc>
        <w:tc>
          <w:tcPr>
            <w:tcW w:w="76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ind w:right="341"/>
              <w:spacing w:after="0"/>
              <w:rPr>
                <w:sz w:val="20"/>
                <w:szCs w:val="20"/>
                <w:color w:val="auto"/>
              </w:rPr>
            </w:pPr>
            <w:r>
              <w:rPr>
                <w:rFonts w:ascii="Arial" w:cs="Arial" w:eastAsia="Arial" w:hAnsi="Arial"/>
                <w:sz w:val="10"/>
                <w:szCs w:val="10"/>
                <w:b w:val="1"/>
                <w:bCs w:val="1"/>
                <w:color w:val="auto"/>
              </w:rPr>
              <w:t>2006</w:t>
            </w: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78"/>
              <w:spacing w:after="0"/>
              <w:rPr>
                <w:sz w:val="20"/>
                <w:szCs w:val="20"/>
                <w:color w:val="auto"/>
              </w:rPr>
            </w:pPr>
            <w:r>
              <w:rPr>
                <w:rFonts w:ascii="Arial" w:cs="Arial" w:eastAsia="Arial" w:hAnsi="Arial"/>
                <w:sz w:val="10"/>
                <w:szCs w:val="10"/>
                <w:b w:val="1"/>
                <w:bCs w:val="1"/>
                <w:color w:val="auto"/>
              </w:rPr>
              <w:t>2005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120" w:type="dxa"/>
            <w:vAlign w:val="bottom"/>
          </w:tcPr>
          <w:p>
            <w:pPr>
              <w:spacing w:after="0"/>
              <w:rPr>
                <w:sz w:val="7"/>
                <w:szCs w:val="7"/>
                <w:color w:val="auto"/>
              </w:rPr>
            </w:pPr>
          </w:p>
        </w:tc>
        <w:tc>
          <w:tcPr>
            <w:tcW w:w="7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60" w:type="dxa"/>
            <w:vAlign w:val="bottom"/>
            <w:gridSpan w:val="3"/>
          </w:tcPr>
          <w:p>
            <w:pPr>
              <w:jc w:val="right"/>
              <w:spacing w:after="0" w:line="81" w:lineRule="exact"/>
              <w:rPr>
                <w:sz w:val="20"/>
                <w:szCs w:val="20"/>
                <w:color w:val="auto"/>
              </w:rPr>
            </w:pPr>
            <w:r>
              <w:rPr>
                <w:rFonts w:ascii="Arial" w:cs="Arial" w:eastAsia="Arial" w:hAnsi="Arial"/>
                <w:sz w:val="9"/>
                <w:szCs w:val="9"/>
                <w:b w:val="1"/>
                <w:bCs w:val="1"/>
                <w:color w:val="auto"/>
              </w:rPr>
              <w:t>(Thousands, except</w:t>
            </w: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120" w:type="dxa"/>
            <w:vAlign w:val="bottom"/>
          </w:tcPr>
          <w:p>
            <w:pPr>
              <w:spacing w:after="0"/>
              <w:rPr>
                <w:sz w:val="11"/>
                <w:szCs w:val="11"/>
                <w:color w:val="auto"/>
              </w:rPr>
            </w:pPr>
          </w:p>
        </w:tc>
        <w:tc>
          <w:tcPr>
            <w:tcW w:w="7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tcPr>
          <w:p>
            <w:pPr>
              <w:jc w:val="center"/>
              <w:ind w:left="501"/>
              <w:spacing w:after="0"/>
              <w:rPr>
                <w:sz w:val="20"/>
                <w:szCs w:val="20"/>
                <w:color w:val="auto"/>
              </w:rPr>
            </w:pPr>
            <w:r>
              <w:rPr>
                <w:rFonts w:ascii="Arial" w:cs="Arial" w:eastAsia="Arial" w:hAnsi="Arial"/>
                <w:sz w:val="10"/>
                <w:szCs w:val="10"/>
                <w:b w:val="1"/>
                <w:bCs w:val="1"/>
                <w:color w:val="auto"/>
                <w:w w:val="94"/>
              </w:rPr>
              <w:t>per share data)</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
        </w:trPr>
        <w:tc>
          <w:tcPr>
            <w:tcW w:w="78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Numerator:</w:t>
            </w: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20" w:type="dxa"/>
            <w:vAlign w:val="bottom"/>
          </w:tcPr>
          <w:p>
            <w:pPr>
              <w:spacing w:after="0"/>
              <w:rPr>
                <w:sz w:val="14"/>
                <w:szCs w:val="14"/>
                <w:color w:val="auto"/>
              </w:rPr>
            </w:pPr>
          </w:p>
        </w:tc>
        <w:tc>
          <w:tcPr>
            <w:tcW w:w="7680" w:type="dxa"/>
            <w:vAlign w:val="bottom"/>
          </w:tcPr>
          <w:p>
            <w:pPr>
              <w:ind w:left="160"/>
              <w:spacing w:after="0"/>
              <w:rPr>
                <w:sz w:val="20"/>
                <w:szCs w:val="20"/>
                <w:color w:val="auto"/>
              </w:rPr>
            </w:pPr>
            <w:r>
              <w:rPr>
                <w:rFonts w:ascii="Arial" w:cs="Arial" w:eastAsia="Arial" w:hAnsi="Arial"/>
                <w:sz w:val="13"/>
                <w:szCs w:val="13"/>
                <w:color w:val="auto"/>
              </w:rPr>
              <w:t>Net income</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64,143</w:t>
            </w:r>
          </w:p>
        </w:tc>
        <w:tc>
          <w:tcPr>
            <w:tcW w:w="4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24,897</w:t>
            </w:r>
          </w:p>
        </w:tc>
        <w:tc>
          <w:tcPr>
            <w:tcW w:w="0" w:type="dxa"/>
            <w:vAlign w:val="bottom"/>
          </w:tcPr>
          <w:p>
            <w:pPr>
              <w:spacing w:after="0"/>
              <w:rPr>
                <w:sz w:val="1"/>
                <w:szCs w:val="1"/>
                <w:color w:val="auto"/>
              </w:rPr>
            </w:pPr>
          </w:p>
        </w:tc>
      </w:tr>
      <w:tr>
        <w:trPr>
          <w:trHeight w:val="162"/>
        </w:trPr>
        <w:tc>
          <w:tcPr>
            <w:tcW w:w="7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Denominator:</w:t>
            </w:r>
          </w:p>
        </w:tc>
        <w:tc>
          <w:tcPr>
            <w:tcW w:w="120" w:type="dxa"/>
            <w:vAlign w:val="bottom"/>
            <w:tcBorders>
              <w:top w:val="single" w:sz="8" w:color="000003"/>
            </w:tcBorders>
            <w:shd w:val="clear" w:color="auto" w:fill="CCEEFF"/>
          </w:tcPr>
          <w:p>
            <w:pPr>
              <w:spacing w:after="0"/>
              <w:rPr>
                <w:sz w:val="14"/>
                <w:szCs w:val="14"/>
                <w:color w:val="auto"/>
              </w:rPr>
            </w:pPr>
          </w:p>
        </w:tc>
        <w:tc>
          <w:tcPr>
            <w:tcW w:w="880" w:type="dxa"/>
            <w:vAlign w:val="bottom"/>
            <w:tcBorders>
              <w:top w:val="single" w:sz="8" w:color="000003"/>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tcBorders>
              <w:top w:val="single" w:sz="8" w:color="000003"/>
            </w:tcBorders>
            <w:shd w:val="clear" w:color="auto" w:fill="CCEEFF"/>
          </w:tcPr>
          <w:p>
            <w:pPr>
              <w:spacing w:after="0"/>
              <w:rPr>
                <w:sz w:val="14"/>
                <w:szCs w:val="14"/>
                <w:color w:val="auto"/>
              </w:rPr>
            </w:pPr>
          </w:p>
        </w:tc>
        <w:tc>
          <w:tcPr>
            <w:tcW w:w="600" w:type="dxa"/>
            <w:vAlign w:val="bottom"/>
            <w:tcBorders>
              <w:top w:val="single" w:sz="8" w:color="000003"/>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20" w:type="dxa"/>
            <w:vAlign w:val="bottom"/>
          </w:tcPr>
          <w:p>
            <w:pPr>
              <w:spacing w:after="0"/>
              <w:rPr>
                <w:sz w:val="13"/>
                <w:szCs w:val="13"/>
                <w:color w:val="auto"/>
              </w:rPr>
            </w:pPr>
          </w:p>
        </w:tc>
        <w:tc>
          <w:tcPr>
            <w:tcW w:w="7680" w:type="dxa"/>
            <w:vAlign w:val="bottom"/>
          </w:tcPr>
          <w:p>
            <w:pPr>
              <w:ind w:left="20"/>
              <w:spacing w:after="0"/>
              <w:rPr>
                <w:sz w:val="20"/>
                <w:szCs w:val="20"/>
                <w:color w:val="auto"/>
              </w:rPr>
            </w:pPr>
            <w:r>
              <w:rPr>
                <w:rFonts w:ascii="Arial" w:cs="Arial" w:eastAsia="Arial" w:hAnsi="Arial"/>
                <w:sz w:val="13"/>
                <w:szCs w:val="13"/>
                <w:color w:val="auto"/>
              </w:rPr>
              <w:t>Weighted average common shares for basic earnings per share</w:t>
            </w:r>
          </w:p>
        </w:tc>
        <w:tc>
          <w:tcPr>
            <w:tcW w:w="1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146,718</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144,769</w:t>
            </w:r>
          </w:p>
        </w:tc>
        <w:tc>
          <w:tcPr>
            <w:tcW w:w="0" w:type="dxa"/>
            <w:vAlign w:val="bottom"/>
          </w:tcPr>
          <w:p>
            <w:pPr>
              <w:spacing w:after="0"/>
              <w:rPr>
                <w:sz w:val="1"/>
                <w:szCs w:val="1"/>
                <w:color w:val="auto"/>
              </w:rPr>
            </w:pPr>
          </w:p>
        </w:tc>
      </w:tr>
      <w:tr>
        <w:trPr>
          <w:trHeight w:val="157"/>
        </w:trPr>
        <w:tc>
          <w:tcPr>
            <w:tcW w:w="120" w:type="dxa"/>
            <w:vAlign w:val="bottom"/>
            <w:shd w:val="clear" w:color="auto" w:fill="CCEEFF"/>
          </w:tcPr>
          <w:p>
            <w:pPr>
              <w:spacing w:after="0"/>
              <w:rPr>
                <w:sz w:val="13"/>
                <w:szCs w:val="13"/>
                <w:color w:val="auto"/>
              </w:rPr>
            </w:pPr>
          </w:p>
        </w:tc>
        <w:tc>
          <w:tcPr>
            <w:tcW w:w="7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effect of dilutive stock options and restricted stock awards</w:t>
            </w: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483</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2,182</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7680" w:type="dxa"/>
            <w:vAlign w:val="bottom"/>
            <w:vMerge w:val="restart"/>
          </w:tcPr>
          <w:p>
            <w:pPr>
              <w:ind w:left="20"/>
              <w:spacing w:after="0"/>
              <w:rPr>
                <w:sz w:val="20"/>
                <w:szCs w:val="20"/>
                <w:color w:val="auto"/>
              </w:rPr>
            </w:pPr>
            <w:r>
              <w:rPr>
                <w:rFonts w:ascii="Arial" w:cs="Arial" w:eastAsia="Arial" w:hAnsi="Arial"/>
                <w:sz w:val="13"/>
                <w:szCs w:val="13"/>
                <w:color w:val="auto"/>
              </w:rPr>
              <w:t>Weighted average common shares for diluted earnings per share</w:t>
            </w: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20" w:type="dxa"/>
            <w:vAlign w:val="bottom"/>
          </w:tcPr>
          <w:p>
            <w:pPr>
              <w:spacing w:after="0"/>
              <w:rPr>
                <w:sz w:val="13"/>
                <w:szCs w:val="13"/>
                <w:color w:val="auto"/>
              </w:rPr>
            </w:pPr>
          </w:p>
        </w:tc>
        <w:tc>
          <w:tcPr>
            <w:tcW w:w="76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147,201</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146,951</w:t>
            </w:r>
          </w:p>
        </w:tc>
        <w:tc>
          <w:tcPr>
            <w:tcW w:w="0" w:type="dxa"/>
            <w:vAlign w:val="bottom"/>
          </w:tcPr>
          <w:p>
            <w:pPr>
              <w:spacing w:after="0"/>
              <w:rPr>
                <w:sz w:val="1"/>
                <w:szCs w:val="1"/>
                <w:color w:val="auto"/>
              </w:rPr>
            </w:pPr>
          </w:p>
        </w:tc>
      </w:tr>
      <w:tr>
        <w:trPr>
          <w:trHeight w:val="33"/>
        </w:trPr>
        <w:tc>
          <w:tcPr>
            <w:tcW w:w="120" w:type="dxa"/>
            <w:vAlign w:val="bottom"/>
          </w:tcPr>
          <w:p>
            <w:pPr>
              <w:spacing w:after="0"/>
              <w:rPr>
                <w:sz w:val="2"/>
                <w:szCs w:val="2"/>
                <w:color w:val="auto"/>
              </w:rPr>
            </w:pPr>
          </w:p>
        </w:tc>
        <w:tc>
          <w:tcPr>
            <w:tcW w:w="7680" w:type="dxa"/>
            <w:vAlign w:val="bottom"/>
          </w:tcPr>
          <w:p>
            <w:pPr>
              <w:spacing w:after="0"/>
              <w:rPr>
                <w:sz w:val="2"/>
                <w:szCs w:val="2"/>
                <w:color w:val="auto"/>
              </w:rPr>
            </w:pPr>
          </w:p>
        </w:tc>
        <w:tc>
          <w:tcPr>
            <w:tcW w:w="120" w:type="dxa"/>
            <w:vAlign w:val="bottom"/>
            <w:shd w:val="clear" w:color="auto" w:fill="000003"/>
          </w:tcPr>
          <w:p>
            <w:pPr>
              <w:spacing w:after="0"/>
              <w:rPr>
                <w:sz w:val="2"/>
                <w:szCs w:val="2"/>
                <w:color w:val="auto"/>
              </w:rPr>
            </w:pPr>
          </w:p>
        </w:tc>
        <w:tc>
          <w:tcPr>
            <w:tcW w:w="880" w:type="dxa"/>
            <w:vAlign w:val="bottom"/>
            <w:shd w:val="clear" w:color="auto" w:fill="000003"/>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3"/>
          </w:tcPr>
          <w:p>
            <w:pPr>
              <w:spacing w:after="0"/>
              <w:rPr>
                <w:sz w:val="2"/>
                <w:szCs w:val="2"/>
                <w:color w:val="auto"/>
              </w:rPr>
            </w:pPr>
          </w:p>
        </w:tc>
        <w:tc>
          <w:tcPr>
            <w:tcW w:w="600" w:type="dxa"/>
            <w:vAlign w:val="bottom"/>
            <w:shd w:val="clear" w:color="auto" w:fill="000003"/>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7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Basic earnings per share</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0.44</w:t>
            </w: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0.17</w:t>
            </w:r>
          </w:p>
        </w:tc>
        <w:tc>
          <w:tcPr>
            <w:tcW w:w="0" w:type="dxa"/>
            <w:vAlign w:val="bottom"/>
          </w:tcPr>
          <w:p>
            <w:pPr>
              <w:spacing w:after="0"/>
              <w:rPr>
                <w:sz w:val="1"/>
                <w:szCs w:val="1"/>
                <w:color w:val="auto"/>
              </w:rPr>
            </w:pPr>
          </w:p>
        </w:tc>
      </w:tr>
      <w:tr>
        <w:trPr>
          <w:trHeight w:val="29"/>
        </w:trPr>
        <w:tc>
          <w:tcPr>
            <w:tcW w:w="7800" w:type="dxa"/>
            <w:vAlign w:val="bottom"/>
            <w:gridSpan w:val="2"/>
            <w:vMerge w:val="restart"/>
          </w:tcPr>
          <w:p>
            <w:pPr>
              <w:spacing w:after="0"/>
              <w:rPr>
                <w:sz w:val="20"/>
                <w:szCs w:val="20"/>
                <w:color w:val="auto"/>
              </w:rPr>
            </w:pPr>
            <w:r>
              <w:rPr>
                <w:rFonts w:ascii="Arial" w:cs="Arial" w:eastAsia="Arial" w:hAnsi="Arial"/>
                <w:sz w:val="13"/>
                <w:szCs w:val="13"/>
                <w:color w:val="auto"/>
              </w:rPr>
              <w:t>Diluted earnings per share</w:t>
            </w:r>
          </w:p>
        </w:tc>
        <w:tc>
          <w:tcPr>
            <w:tcW w:w="120" w:type="dxa"/>
            <w:vAlign w:val="bottom"/>
            <w:shd w:val="clear" w:color="auto" w:fill="000003"/>
          </w:tcPr>
          <w:p>
            <w:pPr>
              <w:spacing w:after="0"/>
              <w:rPr>
                <w:sz w:val="2"/>
                <w:szCs w:val="2"/>
                <w:color w:val="auto"/>
              </w:rPr>
            </w:pPr>
          </w:p>
        </w:tc>
        <w:tc>
          <w:tcPr>
            <w:tcW w:w="880" w:type="dxa"/>
            <w:vAlign w:val="bottom"/>
            <w:shd w:val="clear" w:color="auto" w:fill="000003"/>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3"/>
          </w:tcPr>
          <w:p>
            <w:pPr>
              <w:spacing w:after="0"/>
              <w:rPr>
                <w:sz w:val="2"/>
                <w:szCs w:val="2"/>
                <w:color w:val="auto"/>
              </w:rPr>
            </w:pPr>
          </w:p>
        </w:tc>
        <w:tc>
          <w:tcPr>
            <w:tcW w:w="600" w:type="dxa"/>
            <w:vAlign w:val="bottom"/>
            <w:shd w:val="clear" w:color="auto" w:fill="000003"/>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7800" w:type="dxa"/>
            <w:vAlign w:val="bottom"/>
            <w:gridSpan w:val="2"/>
            <w:vMerge w:val="continue"/>
          </w:tcPr>
          <w:p>
            <w:pPr>
              <w:spacing w:after="0"/>
              <w:rPr>
                <w:sz w:val="14"/>
                <w:szCs w:val="14"/>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0.44</w:t>
            </w:r>
          </w:p>
        </w:tc>
        <w:tc>
          <w:tcPr>
            <w:tcW w:w="4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0.17</w:t>
            </w:r>
          </w:p>
        </w:tc>
        <w:tc>
          <w:tcPr>
            <w:tcW w:w="0" w:type="dxa"/>
            <w:vAlign w:val="bottom"/>
          </w:tcPr>
          <w:p>
            <w:pPr>
              <w:spacing w:after="0"/>
              <w:rPr>
                <w:sz w:val="1"/>
                <w:szCs w:val="1"/>
                <w:color w:val="auto"/>
              </w:rPr>
            </w:pPr>
          </w:p>
        </w:tc>
      </w:tr>
      <w:tr>
        <w:trPr>
          <w:trHeight w:val="30"/>
        </w:trPr>
        <w:tc>
          <w:tcPr>
            <w:tcW w:w="120" w:type="dxa"/>
            <w:vAlign w:val="bottom"/>
          </w:tcPr>
          <w:p>
            <w:pPr>
              <w:spacing w:after="0"/>
              <w:rPr>
                <w:sz w:val="2"/>
                <w:szCs w:val="2"/>
                <w:color w:val="auto"/>
              </w:rPr>
            </w:pPr>
          </w:p>
        </w:tc>
        <w:tc>
          <w:tcPr>
            <w:tcW w:w="7680" w:type="dxa"/>
            <w:vAlign w:val="bottom"/>
          </w:tcPr>
          <w:p>
            <w:pPr>
              <w:spacing w:after="0"/>
              <w:rPr>
                <w:sz w:val="2"/>
                <w:szCs w:val="2"/>
                <w:color w:val="auto"/>
              </w:rPr>
            </w:pPr>
          </w:p>
        </w:tc>
        <w:tc>
          <w:tcPr>
            <w:tcW w:w="120" w:type="dxa"/>
            <w:vAlign w:val="bottom"/>
            <w:shd w:val="clear" w:color="auto" w:fill="000003"/>
          </w:tcPr>
          <w:p>
            <w:pPr>
              <w:spacing w:after="0"/>
              <w:rPr>
                <w:sz w:val="2"/>
                <w:szCs w:val="2"/>
                <w:color w:val="auto"/>
              </w:rPr>
            </w:pPr>
          </w:p>
        </w:tc>
        <w:tc>
          <w:tcPr>
            <w:tcW w:w="880" w:type="dxa"/>
            <w:vAlign w:val="bottom"/>
            <w:shd w:val="clear" w:color="auto" w:fill="000003"/>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3"/>
          </w:tcPr>
          <w:p>
            <w:pPr>
              <w:spacing w:after="0"/>
              <w:rPr>
                <w:sz w:val="2"/>
                <w:szCs w:val="2"/>
                <w:color w:val="auto"/>
              </w:rPr>
            </w:pPr>
          </w:p>
        </w:tc>
        <w:tc>
          <w:tcPr>
            <w:tcW w:w="600" w:type="dxa"/>
            <w:vAlign w:val="bottom"/>
            <w:shd w:val="clear" w:color="auto" w:fill="000003"/>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color w:val="auto"/>
        </w:rPr>
        <w:t>The 2% Convertible Debentures are excluded from the computation of earnings per share for the periods presented above as a result of the Company’s election to satisfy the principal portion of the Debentures, if converted, in cash (see Note 5).</w:t>
      </w:r>
    </w:p>
    <w:p>
      <w:pPr>
        <w:spacing w:after="0" w:line="59" w:lineRule="exact"/>
        <w:rPr>
          <w:sz w:val="20"/>
          <w:szCs w:val="20"/>
          <w:color w:val="auto"/>
        </w:rPr>
      </w:pPr>
    </w:p>
    <w:p>
      <w:pPr>
        <w:ind w:left="680" w:right="140" w:firstLine="399"/>
        <w:spacing w:after="0" w:line="264" w:lineRule="auto"/>
        <w:rPr>
          <w:sz w:val="20"/>
          <w:szCs w:val="20"/>
          <w:color w:val="auto"/>
        </w:rPr>
      </w:pPr>
      <w:r>
        <w:rPr>
          <w:rFonts w:ascii="Arial" w:cs="Arial" w:eastAsia="Arial" w:hAnsi="Arial"/>
          <w:sz w:val="13"/>
          <w:szCs w:val="13"/>
          <w:color w:val="auto"/>
        </w:rPr>
        <w:t>Options to purchase 3,079,000 and 1,873,000 shares of the Company’s stock were excluded from the calculations of diluted earnings per share for the quarters ended September 30, 2006 and October 1, 2005, respectively, because the exercise price for those options was above the average market price of the Company’s stock. Inclusion of these options in the diluted earnings per share calculation would have had an anti-dilutive effect.</w:t>
      </w:r>
    </w:p>
    <w:p>
      <w:pPr>
        <w:spacing w:after="0" w:line="142" w:lineRule="exact"/>
        <w:rPr>
          <w:sz w:val="20"/>
          <w:szCs w:val="20"/>
          <w:color w:val="auto"/>
        </w:rPr>
      </w:pPr>
    </w:p>
    <w:tbl>
      <w:tblPr>
        <w:tblLayout w:type="fixed"/>
        <w:tblInd w:w="680" w:type="dxa"/>
        <w:tblCellMar>
          <w:top w:w="0" w:type="dxa"/>
          <w:left w:w="0" w:type="dxa"/>
          <w:bottom w:w="0" w:type="dxa"/>
          <w:right w:w="0" w:type="dxa"/>
        </w:tblCellMar>
      </w:tblPr>
      <w:tr>
        <w:trPr>
          <w:trHeight w:val="169"/>
        </w:trPr>
        <w:tc>
          <w:tcPr>
            <w:tcW w:w="280" w:type="dxa"/>
            <w:vAlign w:val="bottom"/>
          </w:tcPr>
          <w:p>
            <w:pPr>
              <w:spacing w:after="0"/>
              <w:rPr>
                <w:sz w:val="20"/>
                <w:szCs w:val="20"/>
                <w:color w:val="auto"/>
              </w:rPr>
            </w:pPr>
            <w:r>
              <w:rPr>
                <w:rFonts w:ascii="Arial" w:cs="Arial" w:eastAsia="Arial" w:hAnsi="Arial"/>
                <w:sz w:val="13"/>
                <w:szCs w:val="13"/>
                <w:b w:val="1"/>
                <w:bCs w:val="1"/>
                <w:color w:val="auto"/>
              </w:rPr>
              <w:t>10.</w:t>
            </w:r>
          </w:p>
        </w:tc>
        <w:tc>
          <w:tcPr>
            <w:tcW w:w="7520" w:type="dxa"/>
            <w:vAlign w:val="bottom"/>
          </w:tcPr>
          <w:p>
            <w:pPr>
              <w:ind w:left="220"/>
              <w:spacing w:after="0"/>
              <w:rPr>
                <w:sz w:val="20"/>
                <w:szCs w:val="20"/>
                <w:color w:val="auto"/>
              </w:rPr>
            </w:pPr>
            <w:r>
              <w:rPr>
                <w:rFonts w:ascii="Arial" w:cs="Arial" w:eastAsia="Arial" w:hAnsi="Arial"/>
                <w:sz w:val="13"/>
                <w:szCs w:val="13"/>
                <w:b w:val="1"/>
                <w:bCs w:val="1"/>
                <w:color w:val="auto"/>
              </w:rPr>
              <w:t>Additional cash flow information</w:t>
            </w: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6"/>
        </w:trPr>
        <w:tc>
          <w:tcPr>
            <w:tcW w:w="280" w:type="dxa"/>
            <w:vAlign w:val="bottom"/>
          </w:tcPr>
          <w:p>
            <w:pPr>
              <w:spacing w:after="0"/>
              <w:rPr>
                <w:sz w:val="21"/>
                <w:szCs w:val="21"/>
                <w:color w:val="auto"/>
              </w:rPr>
            </w:pPr>
          </w:p>
        </w:tc>
        <w:tc>
          <w:tcPr>
            <w:tcW w:w="7520" w:type="dxa"/>
            <w:vAlign w:val="bottom"/>
          </w:tcPr>
          <w:p>
            <w:pPr>
              <w:ind w:left="120"/>
              <w:spacing w:after="0"/>
              <w:rPr>
                <w:sz w:val="20"/>
                <w:szCs w:val="20"/>
                <w:color w:val="auto"/>
              </w:rPr>
            </w:pPr>
            <w:r>
              <w:rPr>
                <w:rFonts w:ascii="Arial" w:cs="Arial" w:eastAsia="Arial" w:hAnsi="Arial"/>
                <w:sz w:val="13"/>
                <w:szCs w:val="13"/>
                <w:color w:val="auto"/>
              </w:rPr>
              <w:t>Other non-cash and other reconciling items consist of the following:</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08"/>
        </w:trPr>
        <w:tc>
          <w:tcPr>
            <w:tcW w:w="280" w:type="dxa"/>
            <w:vAlign w:val="bottom"/>
          </w:tcPr>
          <w:p>
            <w:pPr>
              <w:spacing w:after="0"/>
              <w:rPr>
                <w:sz w:val="18"/>
                <w:szCs w:val="18"/>
                <w:color w:val="auto"/>
              </w:rPr>
            </w:pPr>
          </w:p>
        </w:tc>
        <w:tc>
          <w:tcPr>
            <w:tcW w:w="7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gridSpan w:val="5"/>
          </w:tcPr>
          <w:p>
            <w:pPr>
              <w:jc w:val="right"/>
              <w:ind w:right="660"/>
              <w:spacing w:after="0"/>
              <w:rPr>
                <w:sz w:val="20"/>
                <w:szCs w:val="20"/>
                <w:color w:val="auto"/>
              </w:rPr>
            </w:pPr>
            <w:r>
              <w:rPr>
                <w:rFonts w:ascii="Arial" w:cs="Arial" w:eastAsia="Arial" w:hAnsi="Arial"/>
                <w:sz w:val="10"/>
                <w:szCs w:val="10"/>
                <w:b w:val="1"/>
                <w:bCs w:val="1"/>
                <w:color w:val="auto"/>
              </w:rPr>
              <w:t>First Quarters Ended</w:t>
            </w:r>
          </w:p>
        </w:tc>
      </w:tr>
      <w:tr>
        <w:trPr>
          <w:trHeight w:val="81"/>
        </w:trPr>
        <w:tc>
          <w:tcPr>
            <w:tcW w:w="280" w:type="dxa"/>
            <w:vAlign w:val="bottom"/>
          </w:tcPr>
          <w:p>
            <w:pPr>
              <w:spacing w:after="0"/>
              <w:rPr>
                <w:sz w:val="7"/>
                <w:szCs w:val="7"/>
                <w:color w:val="auto"/>
              </w:rPr>
            </w:pPr>
          </w:p>
        </w:tc>
        <w:tc>
          <w:tcPr>
            <w:tcW w:w="752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1280" w:type="dxa"/>
            <w:vAlign w:val="bottom"/>
            <w:tcBorders>
              <w:top w:val="single" w:sz="8" w:color="auto"/>
            </w:tcBorders>
            <w:gridSpan w:val="2"/>
          </w:tcPr>
          <w:p>
            <w:pPr>
              <w:jc w:val="center"/>
              <w:ind w:right="520"/>
              <w:spacing w:after="0" w:line="81" w:lineRule="exact"/>
              <w:rPr>
                <w:sz w:val="20"/>
                <w:szCs w:val="20"/>
                <w:color w:val="auto"/>
              </w:rPr>
            </w:pPr>
            <w:r>
              <w:rPr>
                <w:rFonts w:ascii="Arial" w:cs="Arial" w:eastAsia="Arial" w:hAnsi="Arial"/>
                <w:sz w:val="9"/>
                <w:szCs w:val="9"/>
                <w:b w:val="1"/>
                <w:bCs w:val="1"/>
                <w:color w:val="auto"/>
              </w:rPr>
              <w:t>September 30,</w:t>
            </w:r>
          </w:p>
        </w:tc>
        <w:tc>
          <w:tcPr>
            <w:tcW w:w="80" w:type="dxa"/>
            <w:vAlign w:val="bottom"/>
            <w:tcBorders>
              <w:top w:val="single" w:sz="8" w:color="auto"/>
            </w:tcBorders>
          </w:tcPr>
          <w:p>
            <w:pPr>
              <w:spacing w:after="0"/>
              <w:rPr>
                <w:sz w:val="7"/>
                <w:szCs w:val="7"/>
                <w:color w:val="auto"/>
              </w:rPr>
            </w:pPr>
          </w:p>
        </w:tc>
        <w:tc>
          <w:tcPr>
            <w:tcW w:w="600" w:type="dxa"/>
            <w:vAlign w:val="bottom"/>
            <w:tcBorders>
              <w:top w:val="single" w:sz="8" w:color="auto"/>
            </w:tcBorders>
          </w:tcPr>
          <w:p>
            <w:pPr>
              <w:jc w:val="right"/>
              <w:ind w:right="39"/>
              <w:spacing w:after="0" w:line="81" w:lineRule="exact"/>
              <w:rPr>
                <w:sz w:val="20"/>
                <w:szCs w:val="20"/>
                <w:color w:val="auto"/>
              </w:rPr>
            </w:pPr>
            <w:r>
              <w:rPr>
                <w:rFonts w:ascii="Arial" w:cs="Arial" w:eastAsia="Arial" w:hAnsi="Arial"/>
                <w:sz w:val="9"/>
                <w:szCs w:val="9"/>
                <w:b w:val="1"/>
                <w:bCs w:val="1"/>
                <w:color w:val="auto"/>
              </w:rPr>
              <w:t>October 1,</w:t>
            </w:r>
          </w:p>
        </w:tc>
        <w:tc>
          <w:tcPr>
            <w:tcW w:w="100" w:type="dxa"/>
            <w:vAlign w:val="bottom"/>
          </w:tcPr>
          <w:p>
            <w:pPr>
              <w:spacing w:after="0"/>
              <w:rPr>
                <w:sz w:val="7"/>
                <w:szCs w:val="7"/>
                <w:color w:val="auto"/>
              </w:rPr>
            </w:pPr>
          </w:p>
        </w:tc>
      </w:tr>
      <w:tr>
        <w:trPr>
          <w:trHeight w:val="125"/>
        </w:trPr>
        <w:tc>
          <w:tcPr>
            <w:tcW w:w="280" w:type="dxa"/>
            <w:vAlign w:val="bottom"/>
          </w:tcPr>
          <w:p>
            <w:pPr>
              <w:spacing w:after="0"/>
              <w:rPr>
                <w:sz w:val="10"/>
                <w:szCs w:val="10"/>
                <w:color w:val="auto"/>
              </w:rPr>
            </w:pPr>
          </w:p>
        </w:tc>
        <w:tc>
          <w:tcPr>
            <w:tcW w:w="75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ind w:right="341"/>
              <w:spacing w:after="0"/>
              <w:rPr>
                <w:sz w:val="20"/>
                <w:szCs w:val="20"/>
                <w:color w:val="auto"/>
              </w:rPr>
            </w:pPr>
            <w:r>
              <w:rPr>
                <w:rFonts w:ascii="Arial" w:cs="Arial" w:eastAsia="Arial" w:hAnsi="Arial"/>
                <w:sz w:val="10"/>
                <w:szCs w:val="10"/>
                <w:b w:val="1"/>
                <w:bCs w:val="1"/>
                <w:color w:val="auto"/>
              </w:rPr>
              <w:t>2006</w:t>
            </w: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79"/>
              <w:spacing w:after="0"/>
              <w:rPr>
                <w:sz w:val="20"/>
                <w:szCs w:val="20"/>
                <w:color w:val="auto"/>
              </w:rPr>
            </w:pPr>
            <w:r>
              <w:rPr>
                <w:rFonts w:ascii="Arial" w:cs="Arial" w:eastAsia="Arial" w:hAnsi="Arial"/>
                <w:sz w:val="10"/>
                <w:szCs w:val="10"/>
                <w:b w:val="1"/>
                <w:bCs w:val="1"/>
                <w:color w:val="auto"/>
              </w:rPr>
              <w:t>2005</w:t>
            </w:r>
          </w:p>
        </w:tc>
        <w:tc>
          <w:tcPr>
            <w:tcW w:w="100" w:type="dxa"/>
            <w:vAlign w:val="bottom"/>
          </w:tcPr>
          <w:p>
            <w:pPr>
              <w:spacing w:after="0"/>
              <w:rPr>
                <w:sz w:val="10"/>
                <w:szCs w:val="10"/>
                <w:color w:val="auto"/>
              </w:rPr>
            </w:pPr>
          </w:p>
        </w:tc>
      </w:tr>
      <w:tr>
        <w:trPr>
          <w:trHeight w:val="131"/>
        </w:trPr>
        <w:tc>
          <w:tcPr>
            <w:tcW w:w="280" w:type="dxa"/>
            <w:vAlign w:val="bottom"/>
          </w:tcPr>
          <w:p>
            <w:pPr>
              <w:spacing w:after="0"/>
              <w:rPr>
                <w:sz w:val="11"/>
                <w:szCs w:val="11"/>
                <w:color w:val="auto"/>
              </w:rPr>
            </w:pPr>
          </w:p>
        </w:tc>
        <w:tc>
          <w:tcPr>
            <w:tcW w:w="7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0"/>
                <w:szCs w:val="10"/>
                <w:b w:val="1"/>
                <w:bCs w:val="1"/>
                <w:color w:val="auto"/>
              </w:rPr>
              <w:t>(Thousands)</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3"/>
        </w:trPr>
        <w:tc>
          <w:tcPr>
            <w:tcW w:w="7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Provision for doubtful accounts</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5,131</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8,181</w:t>
            </w:r>
          </w:p>
        </w:tc>
      </w:tr>
      <w:tr>
        <w:trPr>
          <w:trHeight w:val="157"/>
        </w:trPr>
        <w:tc>
          <w:tcPr>
            <w:tcW w:w="7800" w:type="dxa"/>
            <w:vAlign w:val="bottom"/>
            <w:gridSpan w:val="2"/>
          </w:tcPr>
          <w:p>
            <w:pPr>
              <w:spacing w:after="0"/>
              <w:rPr>
                <w:sz w:val="20"/>
                <w:szCs w:val="20"/>
                <w:color w:val="auto"/>
              </w:rPr>
            </w:pPr>
            <w:r>
              <w:rPr>
                <w:rFonts w:ascii="Arial" w:cs="Arial" w:eastAsia="Arial" w:hAnsi="Arial"/>
                <w:sz w:val="13"/>
                <w:szCs w:val="13"/>
                <w:color w:val="auto"/>
              </w:rPr>
              <w:t>Stock-based compensation</w:t>
            </w:r>
          </w:p>
        </w:tc>
        <w:tc>
          <w:tcPr>
            <w:tcW w:w="12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7,025</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4,070</w:t>
            </w:r>
          </w:p>
        </w:tc>
      </w:tr>
      <w:tr>
        <w:trPr>
          <w:trHeight w:val="157"/>
        </w:trPr>
        <w:tc>
          <w:tcPr>
            <w:tcW w:w="7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Periodic pension costs (Note 7)</w:t>
            </w:r>
          </w:p>
        </w:tc>
        <w:tc>
          <w:tcPr>
            <w:tcW w:w="12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3,195</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3,239</w:t>
            </w:r>
          </w:p>
        </w:tc>
      </w:tr>
      <w:tr>
        <w:trPr>
          <w:trHeight w:val="157"/>
        </w:trPr>
        <w:tc>
          <w:tcPr>
            <w:tcW w:w="7800" w:type="dxa"/>
            <w:vAlign w:val="bottom"/>
            <w:gridSpan w:val="2"/>
          </w:tcPr>
          <w:p>
            <w:pPr>
              <w:spacing w:after="0"/>
              <w:rPr>
                <w:sz w:val="20"/>
                <w:szCs w:val="20"/>
                <w:color w:val="auto"/>
              </w:rPr>
            </w:pPr>
            <w:r>
              <w:rPr>
                <w:rFonts w:ascii="Arial" w:cs="Arial" w:eastAsia="Arial" w:hAnsi="Arial"/>
                <w:sz w:val="13"/>
                <w:szCs w:val="13"/>
                <w:color w:val="auto"/>
              </w:rPr>
              <w:t>Other, net</w:t>
            </w:r>
          </w:p>
        </w:tc>
        <w:tc>
          <w:tcPr>
            <w:tcW w:w="12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118</w:t>
            </w:r>
          </w:p>
        </w:tc>
        <w:tc>
          <w:tcPr>
            <w:tcW w:w="80" w:type="dxa"/>
            <w:vAlign w:val="bottom"/>
          </w:tcPr>
          <w:p>
            <w:pPr>
              <w:spacing w:after="0"/>
              <w:rPr>
                <w:sz w:val="13"/>
                <w:szCs w:val="13"/>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(161)</w:t>
            </w:r>
          </w:p>
        </w:tc>
      </w:tr>
      <w:tr>
        <w:trPr>
          <w:trHeight w:val="20"/>
        </w:trPr>
        <w:tc>
          <w:tcPr>
            <w:tcW w:w="28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280" w:type="dxa"/>
            <w:vAlign w:val="bottom"/>
            <w:shd w:val="clear" w:color="auto" w:fill="CCEEFF"/>
          </w:tcPr>
          <w:p>
            <w:pPr>
              <w:spacing w:after="0"/>
              <w:rPr>
                <w:sz w:val="13"/>
                <w:szCs w:val="13"/>
                <w:color w:val="auto"/>
              </w:rPr>
            </w:pPr>
          </w:p>
        </w:tc>
        <w:tc>
          <w:tcPr>
            <w:tcW w:w="752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15,469</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15,329</w:t>
            </w:r>
          </w:p>
        </w:tc>
      </w:tr>
      <w:tr>
        <w:trPr>
          <w:trHeight w:val="29"/>
        </w:trPr>
        <w:tc>
          <w:tcPr>
            <w:tcW w:w="280" w:type="dxa"/>
            <w:vAlign w:val="bottom"/>
          </w:tcPr>
          <w:p>
            <w:pPr>
              <w:spacing w:after="0"/>
              <w:rPr>
                <w:sz w:val="2"/>
                <w:szCs w:val="2"/>
                <w:color w:val="auto"/>
              </w:rPr>
            </w:pPr>
          </w:p>
        </w:tc>
        <w:tc>
          <w:tcPr>
            <w:tcW w:w="7520" w:type="dxa"/>
            <w:vAlign w:val="bottom"/>
          </w:tcPr>
          <w:p>
            <w:pPr>
              <w:spacing w:after="0"/>
              <w:rPr>
                <w:sz w:val="2"/>
                <w:szCs w:val="2"/>
                <w:color w:val="auto"/>
              </w:rPr>
            </w:pPr>
          </w:p>
        </w:tc>
        <w:tc>
          <w:tcPr>
            <w:tcW w:w="120" w:type="dxa"/>
            <w:vAlign w:val="bottom"/>
            <w:shd w:val="clear" w:color="auto" w:fill="000003"/>
          </w:tcPr>
          <w:p>
            <w:pPr>
              <w:spacing w:after="0"/>
              <w:rPr>
                <w:sz w:val="2"/>
                <w:szCs w:val="2"/>
                <w:color w:val="auto"/>
              </w:rPr>
            </w:pPr>
          </w:p>
        </w:tc>
        <w:tc>
          <w:tcPr>
            <w:tcW w:w="880" w:type="dxa"/>
            <w:vAlign w:val="bottom"/>
            <w:shd w:val="clear" w:color="auto" w:fill="000003"/>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3"/>
          </w:tcPr>
          <w:p>
            <w:pPr>
              <w:spacing w:after="0"/>
              <w:rPr>
                <w:sz w:val="2"/>
                <w:szCs w:val="2"/>
                <w:color w:val="auto"/>
              </w:rPr>
            </w:pPr>
          </w:p>
        </w:tc>
        <w:tc>
          <w:tcPr>
            <w:tcW w:w="600" w:type="dxa"/>
            <w:vAlign w:val="bottom"/>
            <w:shd w:val="clear" w:color="auto" w:fill="000003"/>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jc w:val="both"/>
        <w:ind w:left="680" w:firstLine="399"/>
        <w:spacing w:after="0" w:line="276" w:lineRule="auto"/>
        <w:rPr>
          <w:sz w:val="20"/>
          <w:szCs w:val="20"/>
          <w:color w:val="auto"/>
        </w:rPr>
      </w:pPr>
      <w:r>
        <w:rPr>
          <w:rFonts w:ascii="Arial" w:cs="Arial" w:eastAsia="Arial" w:hAnsi="Arial"/>
          <w:sz w:val="13"/>
          <w:szCs w:val="13"/>
          <w:color w:val="auto"/>
        </w:rPr>
        <w:t>Other, net, cash flows from financing activities are comprised primarily of proceeds from the exercise of stock options, and tax effects relating to stock-based compensation costs with the corresponding offset in cash from operating activities.</w:t>
      </w:r>
    </w:p>
    <w:p>
      <w:pPr>
        <w:spacing w:after="0" w:line="266"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 w:name="page12"/>
    <w:bookmarkEnd w:id="1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AVNET,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6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Interest and income taxes paid in the three months ended September 30, 2006 and October 1, 2005, respectively, were as follows: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980" w:type="dxa"/>
            <w:vAlign w:val="bottom"/>
            <w:gridSpan w:val="5"/>
          </w:tcPr>
          <w:p>
            <w:pPr>
              <w:jc w:val="right"/>
              <w:ind w:right="580"/>
              <w:spacing w:after="0"/>
              <w:rPr>
                <w:sz w:val="20"/>
                <w:szCs w:val="20"/>
                <w:color w:val="auto"/>
              </w:rPr>
            </w:pPr>
            <w:r>
              <w:rPr>
                <w:rFonts w:ascii="Arial" w:cs="Arial" w:eastAsia="Arial" w:hAnsi="Arial"/>
                <w:sz w:val="10"/>
                <w:szCs w:val="10"/>
                <w:b w:val="1"/>
                <w:bCs w:val="1"/>
                <w:color w:val="auto"/>
              </w:rPr>
              <w:t>First Quarters Ended</w:t>
            </w:r>
          </w:p>
        </w:tc>
      </w:tr>
      <w:tr>
        <w:trPr>
          <w:trHeight w:val="81"/>
        </w:trPr>
        <w:tc>
          <w:tcPr>
            <w:tcW w:w="780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1280" w:type="dxa"/>
            <w:vAlign w:val="bottom"/>
            <w:tcBorders>
              <w:top w:val="single" w:sz="8" w:color="auto"/>
            </w:tcBorders>
            <w:gridSpan w:val="2"/>
          </w:tcPr>
          <w:p>
            <w:pPr>
              <w:jc w:val="center"/>
              <w:ind w:right="520"/>
              <w:spacing w:after="0" w:line="81" w:lineRule="exact"/>
              <w:rPr>
                <w:sz w:val="20"/>
                <w:szCs w:val="20"/>
                <w:color w:val="auto"/>
              </w:rPr>
            </w:pPr>
            <w:r>
              <w:rPr>
                <w:rFonts w:ascii="Arial" w:cs="Arial" w:eastAsia="Arial" w:hAnsi="Arial"/>
                <w:sz w:val="9"/>
                <w:szCs w:val="9"/>
                <w:b w:val="1"/>
                <w:bCs w:val="1"/>
                <w:color w:val="auto"/>
              </w:rPr>
              <w:t>September 30,</w:t>
            </w:r>
          </w:p>
        </w:tc>
        <w:tc>
          <w:tcPr>
            <w:tcW w:w="80" w:type="dxa"/>
            <w:vAlign w:val="bottom"/>
            <w:tcBorders>
              <w:top w:val="single" w:sz="8" w:color="auto"/>
            </w:tcBorders>
          </w:tcPr>
          <w:p>
            <w:pPr>
              <w:spacing w:after="0"/>
              <w:rPr>
                <w:sz w:val="7"/>
                <w:szCs w:val="7"/>
                <w:color w:val="auto"/>
              </w:rPr>
            </w:pPr>
          </w:p>
        </w:tc>
        <w:tc>
          <w:tcPr>
            <w:tcW w:w="600" w:type="dxa"/>
            <w:vAlign w:val="bottom"/>
            <w:tcBorders>
              <w:top w:val="single" w:sz="8" w:color="auto"/>
            </w:tcBorders>
          </w:tcPr>
          <w:p>
            <w:pPr>
              <w:jc w:val="right"/>
              <w:ind w:right="42"/>
              <w:spacing w:after="0" w:line="81" w:lineRule="exact"/>
              <w:rPr>
                <w:sz w:val="20"/>
                <w:szCs w:val="20"/>
                <w:color w:val="auto"/>
              </w:rPr>
            </w:pPr>
            <w:r>
              <w:rPr>
                <w:rFonts w:ascii="Arial" w:cs="Arial" w:eastAsia="Arial" w:hAnsi="Arial"/>
                <w:sz w:val="9"/>
                <w:szCs w:val="9"/>
                <w:b w:val="1"/>
                <w:bCs w:val="1"/>
                <w:color w:val="auto"/>
              </w:rPr>
              <w:t>October 1,</w:t>
            </w:r>
          </w:p>
        </w:tc>
        <w:tc>
          <w:tcPr>
            <w:tcW w:w="20" w:type="dxa"/>
            <w:vAlign w:val="bottom"/>
          </w:tcPr>
          <w:p>
            <w:pPr>
              <w:spacing w:after="0"/>
              <w:rPr>
                <w:sz w:val="7"/>
                <w:szCs w:val="7"/>
                <w:color w:val="auto"/>
              </w:rPr>
            </w:pPr>
          </w:p>
        </w:tc>
      </w:tr>
      <w:tr>
        <w:trPr>
          <w:trHeight w:val="125"/>
        </w:trPr>
        <w:tc>
          <w:tcPr>
            <w:tcW w:w="78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ind w:right="344"/>
              <w:spacing w:after="0"/>
              <w:rPr>
                <w:sz w:val="20"/>
                <w:szCs w:val="20"/>
                <w:color w:val="auto"/>
              </w:rPr>
            </w:pPr>
            <w:r>
              <w:rPr>
                <w:rFonts w:ascii="Arial" w:cs="Arial" w:eastAsia="Arial" w:hAnsi="Arial"/>
                <w:sz w:val="10"/>
                <w:szCs w:val="10"/>
                <w:b w:val="1"/>
                <w:bCs w:val="1"/>
                <w:color w:val="auto"/>
              </w:rPr>
              <w:t>2006</w:t>
            </w: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82"/>
              <w:spacing w:after="0"/>
              <w:rPr>
                <w:sz w:val="20"/>
                <w:szCs w:val="20"/>
                <w:color w:val="auto"/>
              </w:rPr>
            </w:pPr>
            <w:r>
              <w:rPr>
                <w:rFonts w:ascii="Arial" w:cs="Arial" w:eastAsia="Arial" w:hAnsi="Arial"/>
                <w:sz w:val="10"/>
                <w:szCs w:val="10"/>
                <w:b w:val="1"/>
                <w:bCs w:val="1"/>
                <w:color w:val="auto"/>
              </w:rPr>
              <w:t>2005</w:t>
            </w:r>
          </w:p>
        </w:tc>
        <w:tc>
          <w:tcPr>
            <w:tcW w:w="20" w:type="dxa"/>
            <w:vAlign w:val="bottom"/>
          </w:tcPr>
          <w:p>
            <w:pPr>
              <w:spacing w:after="0"/>
              <w:rPr>
                <w:sz w:val="10"/>
                <w:szCs w:val="10"/>
                <w:color w:val="auto"/>
              </w:rPr>
            </w:pPr>
          </w:p>
        </w:tc>
      </w:tr>
      <w:tr>
        <w:trPr>
          <w:trHeight w:val="125"/>
        </w:trPr>
        <w:tc>
          <w:tcPr>
            <w:tcW w:w="7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0"/>
                <w:szCs w:val="10"/>
                <w:b w:val="1"/>
                <w:bCs w:val="1"/>
                <w:color w:val="auto"/>
              </w:rPr>
              <w:t>(Thousands)</w:t>
            </w: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61"/>
        </w:trPr>
        <w:tc>
          <w:tcPr>
            <w:tcW w:w="7800" w:type="dxa"/>
            <w:vAlign w:val="bottom"/>
          </w:tcPr>
          <w:p>
            <w:pPr>
              <w:spacing w:after="0"/>
              <w:rPr>
                <w:sz w:val="20"/>
                <w:szCs w:val="20"/>
                <w:color w:val="auto"/>
              </w:rPr>
            </w:pPr>
            <w:r>
              <w:rPr>
                <w:rFonts w:ascii="Arial" w:cs="Arial" w:eastAsia="Arial" w:hAnsi="Arial"/>
                <w:sz w:val="13"/>
                <w:szCs w:val="13"/>
                <w:color w:val="auto"/>
              </w:rPr>
              <w:t>Interest</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35,082</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20"/>
              <w:spacing w:after="0"/>
              <w:rPr>
                <w:sz w:val="20"/>
                <w:szCs w:val="20"/>
                <w:color w:val="auto"/>
              </w:rPr>
            </w:pPr>
            <w:r>
              <w:rPr>
                <w:rFonts w:ascii="Arial" w:cs="Arial" w:eastAsia="Arial" w:hAnsi="Arial"/>
                <w:sz w:val="13"/>
                <w:szCs w:val="13"/>
                <w:color w:val="auto"/>
              </w:rPr>
              <w:t>33,128</w:t>
            </w:r>
          </w:p>
        </w:tc>
      </w:tr>
      <w:tr>
        <w:trPr>
          <w:trHeight w:val="165"/>
        </w:trPr>
        <w:tc>
          <w:tcPr>
            <w:tcW w:w="7800" w:type="dxa"/>
            <w:vAlign w:val="bottom"/>
          </w:tcPr>
          <w:p>
            <w:pPr>
              <w:spacing w:after="0"/>
              <w:rPr>
                <w:sz w:val="20"/>
                <w:szCs w:val="20"/>
                <w:color w:val="auto"/>
              </w:rPr>
            </w:pPr>
            <w:r>
              <w:rPr>
                <w:rFonts w:ascii="Arial" w:cs="Arial" w:eastAsia="Arial" w:hAnsi="Arial"/>
                <w:sz w:val="13"/>
                <w:szCs w:val="13"/>
                <w:color w:val="auto"/>
              </w:rPr>
              <w:t>Income taxes</w:t>
            </w:r>
          </w:p>
        </w:tc>
        <w:tc>
          <w:tcPr>
            <w:tcW w:w="120" w:type="dxa"/>
            <w:vAlign w:val="bottom"/>
          </w:tcPr>
          <w:p>
            <w:pPr>
              <w:spacing w:after="0"/>
              <w:rPr>
                <w:sz w:val="14"/>
                <w:szCs w:val="14"/>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8,631</w:t>
            </w:r>
          </w:p>
        </w:tc>
        <w:tc>
          <w:tcPr>
            <w:tcW w:w="80" w:type="dxa"/>
            <w:vAlign w:val="bottom"/>
          </w:tcPr>
          <w:p>
            <w:pPr>
              <w:spacing w:after="0"/>
              <w:rPr>
                <w:sz w:val="14"/>
                <w:szCs w:val="1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3"/>
                <w:szCs w:val="13"/>
                <w:color w:val="auto"/>
              </w:rPr>
              <w:t>8,712</w:t>
            </w:r>
          </w:p>
        </w:tc>
      </w:tr>
    </w:tbl>
    <w:p>
      <w:pPr>
        <w:spacing w:after="0" w:line="81" w:lineRule="exact"/>
        <w:rPr>
          <w:sz w:val="20"/>
          <w:szCs w:val="20"/>
          <w:color w:val="auto"/>
        </w:rPr>
      </w:pPr>
    </w:p>
    <w:p>
      <w:pPr>
        <w:ind w:left="680" w:right="220" w:firstLine="399"/>
        <w:spacing w:after="0" w:line="276" w:lineRule="auto"/>
        <w:rPr>
          <w:sz w:val="20"/>
          <w:szCs w:val="20"/>
          <w:color w:val="auto"/>
        </w:rPr>
      </w:pPr>
      <w:r>
        <w:rPr>
          <w:rFonts w:ascii="Arial" w:cs="Arial" w:eastAsia="Arial" w:hAnsi="Arial"/>
          <w:sz w:val="13"/>
          <w:szCs w:val="13"/>
          <w:color w:val="auto"/>
        </w:rPr>
        <w:t>Non-cash activity during the first quarter of fiscal 2006 that was a result of the Memec acquisition consisted of $418,205,000 of common stock issued as part of the consideration, $422,822,000 of liabilities assumed and $27,343,000 of debt assumed.</w:t>
      </w:r>
    </w:p>
    <w:p>
      <w:pPr>
        <w:spacing w:after="0" w:line="134" w:lineRule="exact"/>
        <w:rPr>
          <w:sz w:val="20"/>
          <w:szCs w:val="20"/>
          <w:color w:val="auto"/>
        </w:rPr>
      </w:pPr>
    </w:p>
    <w:tbl>
      <w:tblPr>
        <w:tblLayout w:type="fixed"/>
        <w:tblInd w:w="680" w:type="dxa"/>
        <w:tblCellMar>
          <w:top w:w="0" w:type="dxa"/>
          <w:left w:w="0" w:type="dxa"/>
          <w:bottom w:w="0" w:type="dxa"/>
          <w:right w:w="0" w:type="dxa"/>
        </w:tblCellMar>
      </w:tblPr>
      <w:tr>
        <w:trPr>
          <w:trHeight w:val="169"/>
        </w:trPr>
        <w:tc>
          <w:tcPr>
            <w:tcW w:w="420" w:type="dxa"/>
            <w:vAlign w:val="bottom"/>
          </w:tcPr>
          <w:p>
            <w:pPr>
              <w:spacing w:after="0"/>
              <w:rPr>
                <w:sz w:val="20"/>
                <w:szCs w:val="20"/>
                <w:color w:val="auto"/>
              </w:rPr>
            </w:pPr>
            <w:r>
              <w:rPr>
                <w:rFonts w:ascii="Arial" w:cs="Arial" w:eastAsia="Arial" w:hAnsi="Arial"/>
                <w:sz w:val="13"/>
                <w:szCs w:val="13"/>
                <w:b w:val="1"/>
                <w:bCs w:val="1"/>
                <w:color w:val="auto"/>
              </w:rPr>
              <w:t>11.</w:t>
            </w:r>
          </w:p>
        </w:tc>
        <w:tc>
          <w:tcPr>
            <w:tcW w:w="7180" w:type="dxa"/>
            <w:vAlign w:val="bottom"/>
            <w:gridSpan w:val="2"/>
          </w:tcPr>
          <w:p>
            <w:pPr>
              <w:ind w:left="80"/>
              <w:spacing w:after="0"/>
              <w:rPr>
                <w:sz w:val="20"/>
                <w:szCs w:val="20"/>
                <w:color w:val="auto"/>
              </w:rPr>
            </w:pPr>
            <w:r>
              <w:rPr>
                <w:rFonts w:ascii="Arial" w:cs="Arial" w:eastAsia="Arial" w:hAnsi="Arial"/>
                <w:sz w:val="13"/>
                <w:szCs w:val="13"/>
                <w:b w:val="1"/>
                <w:bCs w:val="1"/>
                <w:color w:val="auto"/>
              </w:rPr>
              <w:t>Segment information</w:t>
            </w: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6"/>
          </w:tcPr>
          <w:p>
            <w:pPr>
              <w:jc w:val="right"/>
              <w:ind w:right="760"/>
              <w:spacing w:after="0"/>
              <w:rPr>
                <w:sz w:val="20"/>
                <w:szCs w:val="20"/>
                <w:color w:val="auto"/>
              </w:rPr>
            </w:pPr>
            <w:r>
              <w:rPr>
                <w:rFonts w:ascii="Arial" w:cs="Arial" w:eastAsia="Arial" w:hAnsi="Arial"/>
                <w:sz w:val="10"/>
                <w:szCs w:val="10"/>
                <w:b w:val="1"/>
                <w:bCs w:val="1"/>
                <w:color w:val="auto"/>
              </w:rPr>
              <w:t>First Quarters Ended</w:t>
            </w:r>
          </w:p>
        </w:tc>
        <w:tc>
          <w:tcPr>
            <w:tcW w:w="0" w:type="dxa"/>
            <w:vAlign w:val="bottom"/>
          </w:tcPr>
          <w:p>
            <w:pPr>
              <w:spacing w:after="0"/>
              <w:rPr>
                <w:sz w:val="1"/>
                <w:szCs w:val="1"/>
                <w:color w:val="auto"/>
              </w:rPr>
            </w:pPr>
          </w:p>
        </w:tc>
      </w:tr>
      <w:tr>
        <w:trPr>
          <w:trHeight w:val="81"/>
        </w:trPr>
        <w:tc>
          <w:tcPr>
            <w:tcW w:w="420" w:type="dxa"/>
            <w:vAlign w:val="bottom"/>
          </w:tcPr>
          <w:p>
            <w:pPr>
              <w:spacing w:after="0"/>
              <w:rPr>
                <w:sz w:val="7"/>
                <w:szCs w:val="7"/>
                <w:color w:val="auto"/>
              </w:rPr>
            </w:pPr>
          </w:p>
        </w:tc>
        <w:tc>
          <w:tcPr>
            <w:tcW w:w="880" w:type="dxa"/>
            <w:vAlign w:val="bottom"/>
          </w:tcPr>
          <w:p>
            <w:pPr>
              <w:spacing w:after="0"/>
              <w:rPr>
                <w:sz w:val="7"/>
                <w:szCs w:val="7"/>
                <w:color w:val="auto"/>
              </w:rPr>
            </w:pPr>
          </w:p>
        </w:tc>
        <w:tc>
          <w:tcPr>
            <w:tcW w:w="630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1280" w:type="dxa"/>
            <w:vAlign w:val="bottom"/>
            <w:tcBorders>
              <w:top w:val="single" w:sz="8" w:color="auto"/>
            </w:tcBorders>
            <w:gridSpan w:val="3"/>
          </w:tcPr>
          <w:p>
            <w:pPr>
              <w:jc w:val="right"/>
              <w:ind w:right="580"/>
              <w:spacing w:after="0" w:line="81" w:lineRule="exact"/>
              <w:rPr>
                <w:sz w:val="20"/>
                <w:szCs w:val="20"/>
                <w:color w:val="auto"/>
              </w:rPr>
            </w:pPr>
            <w:r>
              <w:rPr>
                <w:rFonts w:ascii="Arial" w:cs="Arial" w:eastAsia="Arial" w:hAnsi="Arial"/>
                <w:sz w:val="9"/>
                <w:szCs w:val="9"/>
                <w:b w:val="1"/>
                <w:bCs w:val="1"/>
                <w:color w:val="auto"/>
              </w:rPr>
              <w:t>September 30,</w:t>
            </w:r>
          </w:p>
        </w:tc>
        <w:tc>
          <w:tcPr>
            <w:tcW w:w="140" w:type="dxa"/>
            <w:vAlign w:val="bottom"/>
            <w:tcBorders>
              <w:top w:val="single" w:sz="8" w:color="auto"/>
            </w:tcBorders>
          </w:tcPr>
          <w:p>
            <w:pPr>
              <w:spacing w:after="0"/>
              <w:rPr>
                <w:sz w:val="7"/>
                <w:szCs w:val="7"/>
                <w:color w:val="auto"/>
              </w:rPr>
            </w:pPr>
          </w:p>
        </w:tc>
        <w:tc>
          <w:tcPr>
            <w:tcW w:w="740" w:type="dxa"/>
            <w:vAlign w:val="bottom"/>
            <w:tcBorders>
              <w:top w:val="single" w:sz="8" w:color="auto"/>
            </w:tcBorders>
          </w:tcPr>
          <w:p>
            <w:pPr>
              <w:jc w:val="right"/>
              <w:ind w:right="137"/>
              <w:spacing w:after="0" w:line="81" w:lineRule="exact"/>
              <w:rPr>
                <w:sz w:val="20"/>
                <w:szCs w:val="20"/>
                <w:color w:val="auto"/>
              </w:rPr>
            </w:pPr>
            <w:r>
              <w:rPr>
                <w:rFonts w:ascii="Arial" w:cs="Arial" w:eastAsia="Arial" w:hAnsi="Arial"/>
                <w:sz w:val="9"/>
                <w:szCs w:val="9"/>
                <w:b w:val="1"/>
                <w:bCs w:val="1"/>
                <w:color w:val="auto"/>
              </w:rPr>
              <w:t>October 1,</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4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3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ind w:right="337"/>
              <w:spacing w:after="0"/>
              <w:rPr>
                <w:sz w:val="20"/>
                <w:szCs w:val="20"/>
                <w:color w:val="auto"/>
              </w:rPr>
            </w:pPr>
            <w:r>
              <w:rPr>
                <w:rFonts w:ascii="Arial" w:cs="Arial" w:eastAsia="Arial" w:hAnsi="Arial"/>
                <w:sz w:val="10"/>
                <w:szCs w:val="10"/>
                <w:b w:val="1"/>
                <w:bCs w:val="1"/>
                <w:color w:val="auto"/>
              </w:rPr>
              <w:t>2006</w:t>
            </w:r>
          </w:p>
        </w:tc>
        <w:tc>
          <w:tcPr>
            <w:tcW w:w="400" w:type="dxa"/>
            <w:vAlign w:val="bottom"/>
            <w:gridSpan w:val="2"/>
            <w:vMerge w:val="restart"/>
          </w:tcPr>
          <w:p>
            <w:pPr>
              <w:jc w:val="right"/>
              <w:spacing w:after="0"/>
              <w:rPr>
                <w:sz w:val="20"/>
                <w:szCs w:val="20"/>
                <w:color w:val="auto"/>
              </w:rPr>
            </w:pPr>
            <w:r>
              <w:rPr>
                <w:rFonts w:ascii="Arial" w:cs="Arial" w:eastAsia="Arial" w:hAnsi="Arial"/>
                <w:sz w:val="9"/>
                <w:szCs w:val="9"/>
                <w:b w:val="1"/>
                <w:bCs w:val="1"/>
                <w:color w:val="auto"/>
                <w:w w:val="70"/>
              </w:rPr>
              <w:t>(Thousands)</w:t>
            </w:r>
          </w:p>
        </w:tc>
        <w:tc>
          <w:tcPr>
            <w:tcW w:w="14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ind w:right="277"/>
              <w:spacing w:after="0"/>
              <w:rPr>
                <w:sz w:val="20"/>
                <w:szCs w:val="20"/>
                <w:color w:val="auto"/>
              </w:rPr>
            </w:pPr>
            <w:r>
              <w:rPr>
                <w:rFonts w:ascii="Arial" w:cs="Arial" w:eastAsia="Arial" w:hAnsi="Arial"/>
                <w:sz w:val="10"/>
                <w:szCs w:val="10"/>
                <w:b w:val="1"/>
                <w:bCs w:val="1"/>
                <w:color w:val="auto"/>
              </w:rPr>
              <w:t>2005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20" w:type="dxa"/>
            <w:vAlign w:val="bottom"/>
          </w:tcPr>
          <w:p>
            <w:pPr>
              <w:spacing w:after="0"/>
              <w:rPr>
                <w:sz w:val="9"/>
                <w:szCs w:val="9"/>
                <w:color w:val="auto"/>
              </w:rPr>
            </w:pPr>
          </w:p>
        </w:tc>
        <w:tc>
          <w:tcPr>
            <w:tcW w:w="880" w:type="dxa"/>
            <w:vAlign w:val="bottom"/>
          </w:tcPr>
          <w:p>
            <w:pPr>
              <w:spacing w:after="0"/>
              <w:rPr>
                <w:sz w:val="9"/>
                <w:szCs w:val="9"/>
                <w:color w:val="auto"/>
              </w:rPr>
            </w:pPr>
          </w:p>
        </w:tc>
        <w:tc>
          <w:tcPr>
            <w:tcW w:w="6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4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420" w:type="dxa"/>
            <w:vAlign w:val="bottom"/>
            <w:shd w:val="clear" w:color="auto" w:fill="CCEEFF"/>
          </w:tcPr>
          <w:p>
            <w:pPr>
              <w:spacing w:after="0"/>
              <w:rPr>
                <w:sz w:val="20"/>
                <w:szCs w:val="20"/>
                <w:color w:val="auto"/>
              </w:rPr>
            </w:pPr>
            <w:r>
              <w:rPr>
                <w:rFonts w:ascii="Arial" w:cs="Arial" w:eastAsia="Arial" w:hAnsi="Arial"/>
                <w:sz w:val="13"/>
                <w:szCs w:val="13"/>
                <w:color w:val="auto"/>
              </w:rPr>
              <w:t>Sales:</w:t>
            </w:r>
          </w:p>
        </w:tc>
        <w:tc>
          <w:tcPr>
            <w:tcW w:w="880" w:type="dxa"/>
            <w:vAlign w:val="bottom"/>
            <w:shd w:val="clear" w:color="auto" w:fill="CCEEFF"/>
          </w:tcPr>
          <w:p>
            <w:pPr>
              <w:spacing w:after="0"/>
              <w:rPr>
                <w:sz w:val="13"/>
                <w:szCs w:val="13"/>
                <w:color w:val="auto"/>
              </w:rPr>
            </w:pPr>
          </w:p>
        </w:tc>
        <w:tc>
          <w:tcPr>
            <w:tcW w:w="6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600" w:type="dxa"/>
            <w:vAlign w:val="bottom"/>
            <w:gridSpan w:val="3"/>
          </w:tcPr>
          <w:p>
            <w:pPr>
              <w:ind w:left="140"/>
              <w:spacing w:after="0"/>
              <w:rPr>
                <w:sz w:val="20"/>
                <w:szCs w:val="20"/>
                <w:color w:val="auto"/>
              </w:rPr>
            </w:pPr>
            <w:r>
              <w:rPr>
                <w:rFonts w:ascii="Arial" w:cs="Arial" w:eastAsia="Arial" w:hAnsi="Arial"/>
                <w:sz w:val="13"/>
                <w:szCs w:val="13"/>
                <w:color w:val="auto"/>
              </w:rPr>
              <w:t>Electronics Marketing</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tcPr>
          <w:p>
            <w:pPr>
              <w:jc w:val="right"/>
              <w:spacing w:after="0"/>
              <w:rPr>
                <w:sz w:val="20"/>
                <w:szCs w:val="20"/>
                <w:color w:val="auto"/>
              </w:rPr>
            </w:pPr>
            <w:r>
              <w:rPr>
                <w:rFonts w:ascii="Arial" w:cs="Arial" w:eastAsia="Arial" w:hAnsi="Arial"/>
                <w:sz w:val="13"/>
                <w:szCs w:val="13"/>
                <w:color w:val="auto"/>
              </w:rPr>
              <w:t>2,435,418</w:t>
            </w:r>
          </w:p>
        </w:tc>
        <w:tc>
          <w:tcPr>
            <w:tcW w:w="380" w:type="dxa"/>
            <w:vAlign w:val="bottom"/>
          </w:tcPr>
          <w:p>
            <w:pPr>
              <w:spacing w:after="0"/>
              <w:rPr>
                <w:sz w:val="13"/>
                <w:szCs w:val="13"/>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3"/>
                <w:szCs w:val="13"/>
                <w:color w:val="auto"/>
              </w:rPr>
              <w:t>2,111,113</w:t>
            </w:r>
          </w:p>
        </w:tc>
        <w:tc>
          <w:tcPr>
            <w:tcW w:w="0" w:type="dxa"/>
            <w:vAlign w:val="bottom"/>
          </w:tcPr>
          <w:p>
            <w:pPr>
              <w:spacing w:after="0"/>
              <w:rPr>
                <w:sz w:val="1"/>
                <w:szCs w:val="1"/>
                <w:color w:val="auto"/>
              </w:rPr>
            </w:pPr>
          </w:p>
        </w:tc>
      </w:tr>
      <w:tr>
        <w:trPr>
          <w:trHeight w:val="157"/>
        </w:trPr>
        <w:tc>
          <w:tcPr>
            <w:tcW w:w="7600" w:type="dxa"/>
            <w:vAlign w:val="bottom"/>
            <w:gridSpan w:val="3"/>
            <w:shd w:val="clear" w:color="auto" w:fill="CCEEFF"/>
          </w:tcPr>
          <w:p>
            <w:pPr>
              <w:ind w:left="140"/>
              <w:spacing w:after="0"/>
              <w:rPr>
                <w:sz w:val="20"/>
                <w:szCs w:val="20"/>
                <w:color w:val="auto"/>
              </w:rPr>
            </w:pPr>
            <w:r>
              <w:rPr>
                <w:rFonts w:ascii="Arial" w:cs="Arial" w:eastAsia="Arial" w:hAnsi="Arial"/>
                <w:sz w:val="13"/>
                <w:szCs w:val="13"/>
                <w:color w:val="auto"/>
              </w:rPr>
              <w:t>Technology Solutions</w:t>
            </w: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1,212,982</w:t>
            </w:r>
          </w:p>
        </w:tc>
        <w:tc>
          <w:tcPr>
            <w:tcW w:w="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1,157,152</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3,648,400</w:t>
            </w: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3"/>
                <w:szCs w:val="13"/>
                <w:color w:val="auto"/>
              </w:rPr>
              <w:t>3,268,265</w:t>
            </w:r>
          </w:p>
        </w:tc>
        <w:tc>
          <w:tcPr>
            <w:tcW w:w="0" w:type="dxa"/>
            <w:vAlign w:val="bottom"/>
          </w:tcPr>
          <w:p>
            <w:pPr>
              <w:spacing w:after="0"/>
              <w:rPr>
                <w:sz w:val="1"/>
                <w:szCs w:val="1"/>
                <w:color w:val="auto"/>
              </w:rPr>
            </w:pPr>
          </w:p>
        </w:tc>
      </w:tr>
      <w:tr>
        <w:trPr>
          <w:trHeight w:val="165"/>
        </w:trPr>
        <w:tc>
          <w:tcPr>
            <w:tcW w:w="76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Operating income (loss):</w:t>
            </w:r>
          </w:p>
        </w:tc>
        <w:tc>
          <w:tcPr>
            <w:tcW w:w="120" w:type="dxa"/>
            <w:vAlign w:val="bottom"/>
            <w:tcBorders>
              <w:top w:val="single" w:sz="8" w:color="000003"/>
            </w:tcBorders>
            <w:shd w:val="clear" w:color="auto" w:fill="CCEEFF"/>
          </w:tcPr>
          <w:p>
            <w:pPr>
              <w:spacing w:after="0"/>
              <w:rPr>
                <w:sz w:val="14"/>
                <w:szCs w:val="14"/>
                <w:color w:val="auto"/>
              </w:rPr>
            </w:pPr>
          </w:p>
        </w:tc>
        <w:tc>
          <w:tcPr>
            <w:tcW w:w="880" w:type="dxa"/>
            <w:vAlign w:val="bottom"/>
            <w:tcBorders>
              <w:top w:val="single" w:sz="8" w:color="000003"/>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40" w:type="dxa"/>
            <w:vAlign w:val="bottom"/>
            <w:tcBorders>
              <w:top w:val="single" w:sz="8" w:color="000003"/>
            </w:tcBorders>
            <w:shd w:val="clear" w:color="auto" w:fill="CCEEFF"/>
          </w:tcPr>
          <w:p>
            <w:pPr>
              <w:spacing w:after="0"/>
              <w:rPr>
                <w:sz w:val="14"/>
                <w:szCs w:val="14"/>
                <w:color w:val="auto"/>
              </w:rPr>
            </w:pPr>
          </w:p>
        </w:tc>
        <w:tc>
          <w:tcPr>
            <w:tcW w:w="740" w:type="dxa"/>
            <w:vAlign w:val="bottom"/>
            <w:tcBorders>
              <w:top w:val="single" w:sz="8" w:color="000003"/>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7600" w:type="dxa"/>
            <w:vAlign w:val="bottom"/>
            <w:gridSpan w:val="3"/>
          </w:tcPr>
          <w:p>
            <w:pPr>
              <w:ind w:left="140"/>
              <w:spacing w:after="0"/>
              <w:rPr>
                <w:sz w:val="20"/>
                <w:szCs w:val="20"/>
                <w:color w:val="auto"/>
              </w:rPr>
            </w:pPr>
            <w:r>
              <w:rPr>
                <w:rFonts w:ascii="Arial" w:cs="Arial" w:eastAsia="Arial" w:hAnsi="Arial"/>
                <w:sz w:val="13"/>
                <w:szCs w:val="13"/>
                <w:color w:val="auto"/>
              </w:rPr>
              <w:t>Electronics Marketing</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tcPr>
          <w:p>
            <w:pPr>
              <w:jc w:val="right"/>
              <w:spacing w:after="0"/>
              <w:rPr>
                <w:sz w:val="20"/>
                <w:szCs w:val="20"/>
                <w:color w:val="auto"/>
              </w:rPr>
            </w:pPr>
            <w:r>
              <w:rPr>
                <w:rFonts w:ascii="Arial" w:cs="Arial" w:eastAsia="Arial" w:hAnsi="Arial"/>
                <w:sz w:val="13"/>
                <w:szCs w:val="13"/>
                <w:color w:val="auto"/>
              </w:rPr>
              <w:t>125,638</w:t>
            </w:r>
          </w:p>
        </w:tc>
        <w:tc>
          <w:tcPr>
            <w:tcW w:w="380" w:type="dxa"/>
            <w:vAlign w:val="bottom"/>
          </w:tcPr>
          <w:p>
            <w:pPr>
              <w:spacing w:after="0"/>
              <w:rPr>
                <w:sz w:val="13"/>
                <w:szCs w:val="13"/>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3"/>
                <w:szCs w:val="13"/>
                <w:color w:val="auto"/>
              </w:rPr>
              <w:t>69,918</w:t>
            </w:r>
          </w:p>
        </w:tc>
        <w:tc>
          <w:tcPr>
            <w:tcW w:w="0" w:type="dxa"/>
            <w:vAlign w:val="bottom"/>
          </w:tcPr>
          <w:p>
            <w:pPr>
              <w:spacing w:after="0"/>
              <w:rPr>
                <w:sz w:val="1"/>
                <w:szCs w:val="1"/>
                <w:color w:val="auto"/>
              </w:rPr>
            </w:pPr>
          </w:p>
        </w:tc>
      </w:tr>
      <w:tr>
        <w:trPr>
          <w:trHeight w:val="157"/>
        </w:trPr>
        <w:tc>
          <w:tcPr>
            <w:tcW w:w="7600" w:type="dxa"/>
            <w:vAlign w:val="bottom"/>
            <w:gridSpan w:val="3"/>
            <w:shd w:val="clear" w:color="auto" w:fill="CCEEFF"/>
          </w:tcPr>
          <w:p>
            <w:pPr>
              <w:ind w:left="140"/>
              <w:spacing w:after="0"/>
              <w:rPr>
                <w:sz w:val="20"/>
                <w:szCs w:val="20"/>
                <w:color w:val="auto"/>
              </w:rPr>
            </w:pPr>
            <w:r>
              <w:rPr>
                <w:rFonts w:ascii="Arial" w:cs="Arial" w:eastAsia="Arial" w:hAnsi="Arial"/>
                <w:sz w:val="13"/>
                <w:szCs w:val="13"/>
                <w:color w:val="auto"/>
              </w:rPr>
              <w:t>Technology Solutions</w:t>
            </w:r>
          </w:p>
        </w:tc>
        <w:tc>
          <w:tcPr>
            <w:tcW w:w="120" w:type="dxa"/>
            <w:vAlign w:val="bottom"/>
            <w:shd w:val="clear" w:color="auto" w:fill="CCEEFF"/>
          </w:tcPr>
          <w:p>
            <w:pPr>
              <w:spacing w:after="0"/>
              <w:rPr>
                <w:sz w:val="13"/>
                <w:szCs w:val="13"/>
                <w:color w:val="auto"/>
              </w:rPr>
            </w:pPr>
          </w:p>
        </w:tc>
        <w:tc>
          <w:tcPr>
            <w:tcW w:w="128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38,999</w:t>
            </w: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32,563</w:t>
            </w:r>
          </w:p>
        </w:tc>
        <w:tc>
          <w:tcPr>
            <w:tcW w:w="0" w:type="dxa"/>
            <w:vAlign w:val="bottom"/>
          </w:tcPr>
          <w:p>
            <w:pPr>
              <w:spacing w:after="0"/>
              <w:rPr>
                <w:sz w:val="1"/>
                <w:szCs w:val="1"/>
                <w:color w:val="auto"/>
              </w:rPr>
            </w:pPr>
          </w:p>
        </w:tc>
      </w:tr>
      <w:tr>
        <w:trPr>
          <w:trHeight w:val="157"/>
        </w:trPr>
        <w:tc>
          <w:tcPr>
            <w:tcW w:w="7600" w:type="dxa"/>
            <w:vAlign w:val="bottom"/>
            <w:gridSpan w:val="3"/>
          </w:tcPr>
          <w:p>
            <w:pPr>
              <w:ind w:left="140"/>
              <w:spacing w:after="0"/>
              <w:rPr>
                <w:sz w:val="20"/>
                <w:szCs w:val="20"/>
                <w:color w:val="auto"/>
              </w:rPr>
            </w:pPr>
            <w:r>
              <w:rPr>
                <w:rFonts w:ascii="Arial" w:cs="Arial" w:eastAsia="Arial" w:hAnsi="Arial"/>
                <w:sz w:val="13"/>
                <w:szCs w:val="13"/>
                <w:color w:val="auto"/>
              </w:rPr>
              <w:t>Corporate</w:t>
            </w:r>
          </w:p>
        </w:tc>
        <w:tc>
          <w:tcPr>
            <w:tcW w:w="120" w:type="dxa"/>
            <w:vAlign w:val="bottom"/>
          </w:tcPr>
          <w:p>
            <w:pPr>
              <w:spacing w:after="0"/>
              <w:rPr>
                <w:sz w:val="13"/>
                <w:szCs w:val="13"/>
                <w:color w:val="auto"/>
              </w:rPr>
            </w:pPr>
          </w:p>
        </w:tc>
        <w:tc>
          <w:tcPr>
            <w:tcW w:w="1280" w:type="dxa"/>
            <w:vAlign w:val="bottom"/>
            <w:gridSpan w:val="3"/>
          </w:tcPr>
          <w:p>
            <w:pPr>
              <w:jc w:val="right"/>
              <w:ind w:right="360"/>
              <w:spacing w:after="0"/>
              <w:rPr>
                <w:sz w:val="20"/>
                <w:szCs w:val="20"/>
                <w:color w:val="auto"/>
              </w:rPr>
            </w:pPr>
            <w:r>
              <w:rPr>
                <w:rFonts w:ascii="Arial" w:cs="Arial" w:eastAsia="Arial" w:hAnsi="Arial"/>
                <w:sz w:val="13"/>
                <w:szCs w:val="13"/>
                <w:color w:val="auto"/>
              </w:rPr>
              <w:t>(19,666)</w:t>
            </w:r>
          </w:p>
        </w:tc>
        <w:tc>
          <w:tcPr>
            <w:tcW w:w="140" w:type="dxa"/>
            <w:vAlign w:val="bottom"/>
          </w:tcPr>
          <w:p>
            <w:pPr>
              <w:spacing w:after="0"/>
              <w:rPr>
                <w:sz w:val="13"/>
                <w:szCs w:val="13"/>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3"/>
                <w:szCs w:val="13"/>
                <w:color w:val="auto"/>
              </w:rPr>
              <w:t>(18,018)</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6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144,971</w:t>
            </w:r>
          </w:p>
        </w:tc>
        <w:tc>
          <w:tcPr>
            <w:tcW w:w="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84,463</w:t>
            </w:r>
          </w:p>
        </w:tc>
        <w:tc>
          <w:tcPr>
            <w:tcW w:w="0" w:type="dxa"/>
            <w:vAlign w:val="bottom"/>
          </w:tcPr>
          <w:p>
            <w:pPr>
              <w:spacing w:after="0"/>
              <w:rPr>
                <w:sz w:val="1"/>
                <w:szCs w:val="1"/>
                <w:color w:val="auto"/>
              </w:rPr>
            </w:pPr>
          </w:p>
        </w:tc>
      </w:tr>
      <w:tr>
        <w:trPr>
          <w:trHeight w:val="157"/>
        </w:trPr>
        <w:tc>
          <w:tcPr>
            <w:tcW w:w="7600" w:type="dxa"/>
            <w:vAlign w:val="bottom"/>
            <w:gridSpan w:val="3"/>
          </w:tcPr>
          <w:p>
            <w:pPr>
              <w:spacing w:after="0"/>
              <w:rPr>
                <w:sz w:val="20"/>
                <w:szCs w:val="20"/>
                <w:color w:val="auto"/>
              </w:rPr>
            </w:pPr>
            <w:r>
              <w:rPr>
                <w:rFonts w:ascii="Arial" w:cs="Arial" w:eastAsia="Arial" w:hAnsi="Arial"/>
                <w:sz w:val="13"/>
                <w:szCs w:val="13"/>
                <w:color w:val="auto"/>
              </w:rPr>
              <w:t>Restructuring and integration charges (Note 12)</w:t>
            </w:r>
          </w:p>
        </w:tc>
        <w:tc>
          <w:tcPr>
            <w:tcW w:w="1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gridSpan w:val="2"/>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3"/>
                <w:szCs w:val="13"/>
                <w:color w:val="auto"/>
              </w:rPr>
              <w:t>(13,786)</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4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63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144,971</w:t>
            </w:r>
          </w:p>
        </w:tc>
        <w:tc>
          <w:tcPr>
            <w:tcW w:w="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70,677</w:t>
            </w:r>
          </w:p>
        </w:tc>
        <w:tc>
          <w:tcPr>
            <w:tcW w:w="0" w:type="dxa"/>
            <w:vAlign w:val="bottom"/>
          </w:tcPr>
          <w:p>
            <w:pPr>
              <w:spacing w:after="0"/>
              <w:rPr>
                <w:sz w:val="1"/>
                <w:szCs w:val="1"/>
                <w:color w:val="auto"/>
              </w:rPr>
            </w:pPr>
          </w:p>
        </w:tc>
      </w:tr>
      <w:tr>
        <w:trPr>
          <w:trHeight w:val="166"/>
        </w:trPr>
        <w:tc>
          <w:tcPr>
            <w:tcW w:w="7600" w:type="dxa"/>
            <w:vAlign w:val="bottom"/>
            <w:gridSpan w:val="3"/>
          </w:tcPr>
          <w:p>
            <w:pPr>
              <w:spacing w:after="0"/>
              <w:rPr>
                <w:sz w:val="20"/>
                <w:szCs w:val="20"/>
                <w:color w:val="auto"/>
              </w:rPr>
            </w:pPr>
            <w:r>
              <w:rPr>
                <w:rFonts w:ascii="Arial" w:cs="Arial" w:eastAsia="Arial" w:hAnsi="Arial"/>
                <w:sz w:val="13"/>
                <w:szCs w:val="13"/>
                <w:color w:val="auto"/>
              </w:rPr>
              <w:t>Sales, by geographic area:</w:t>
            </w:r>
          </w:p>
        </w:tc>
        <w:tc>
          <w:tcPr>
            <w:tcW w:w="120" w:type="dxa"/>
            <w:vAlign w:val="bottom"/>
            <w:tcBorders>
              <w:top w:val="single" w:sz="8" w:color="000003"/>
            </w:tcBorders>
          </w:tcPr>
          <w:p>
            <w:pPr>
              <w:spacing w:after="0"/>
              <w:rPr>
                <w:sz w:val="14"/>
                <w:szCs w:val="14"/>
                <w:color w:val="auto"/>
              </w:rPr>
            </w:pPr>
          </w:p>
        </w:tc>
        <w:tc>
          <w:tcPr>
            <w:tcW w:w="880" w:type="dxa"/>
            <w:vAlign w:val="bottom"/>
            <w:tcBorders>
              <w:top w:val="single" w:sz="8" w:color="000003"/>
            </w:tcBorders>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Borders>
              <w:top w:val="single" w:sz="8" w:color="000003"/>
            </w:tcBorders>
          </w:tcPr>
          <w:p>
            <w:pPr>
              <w:spacing w:after="0"/>
              <w:rPr>
                <w:sz w:val="14"/>
                <w:szCs w:val="14"/>
                <w:color w:val="auto"/>
              </w:rPr>
            </w:pPr>
          </w:p>
        </w:tc>
        <w:tc>
          <w:tcPr>
            <w:tcW w:w="740" w:type="dxa"/>
            <w:vAlign w:val="bottom"/>
            <w:tcBorders>
              <w:top w:val="single" w:sz="8" w:color="000003"/>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7600" w:type="dxa"/>
            <w:vAlign w:val="bottom"/>
            <w:gridSpan w:val="3"/>
            <w:shd w:val="clear" w:color="auto" w:fill="CCEEFF"/>
          </w:tcPr>
          <w:p>
            <w:pPr>
              <w:ind w:left="140"/>
              <w:spacing w:after="0"/>
              <w:rPr>
                <w:sz w:val="20"/>
                <w:szCs w:val="20"/>
                <w:color w:val="auto"/>
              </w:rPr>
            </w:pPr>
            <w:r>
              <w:rPr>
                <w:rFonts w:ascii="Arial" w:cs="Arial" w:eastAsia="Arial" w:hAnsi="Arial"/>
                <w:sz w:val="13"/>
                <w:szCs w:val="13"/>
                <w:color w:val="auto"/>
              </w:rPr>
              <w:t>Americas(1)</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1,776,938</w:t>
            </w:r>
          </w:p>
        </w:tc>
        <w:tc>
          <w:tcPr>
            <w:tcW w:w="38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1,688,801</w:t>
            </w:r>
          </w:p>
        </w:tc>
        <w:tc>
          <w:tcPr>
            <w:tcW w:w="0" w:type="dxa"/>
            <w:vAlign w:val="bottom"/>
          </w:tcPr>
          <w:p>
            <w:pPr>
              <w:spacing w:after="0"/>
              <w:rPr>
                <w:sz w:val="1"/>
                <w:szCs w:val="1"/>
                <w:color w:val="auto"/>
              </w:rPr>
            </w:pPr>
          </w:p>
        </w:tc>
      </w:tr>
      <w:tr>
        <w:trPr>
          <w:trHeight w:val="157"/>
        </w:trPr>
        <w:tc>
          <w:tcPr>
            <w:tcW w:w="7600" w:type="dxa"/>
            <w:vAlign w:val="bottom"/>
            <w:gridSpan w:val="3"/>
          </w:tcPr>
          <w:p>
            <w:pPr>
              <w:ind w:left="140"/>
              <w:spacing w:after="0"/>
              <w:rPr>
                <w:sz w:val="20"/>
                <w:szCs w:val="20"/>
                <w:color w:val="auto"/>
              </w:rPr>
            </w:pPr>
            <w:r>
              <w:rPr>
                <w:rFonts w:ascii="Arial" w:cs="Arial" w:eastAsia="Arial" w:hAnsi="Arial"/>
                <w:sz w:val="13"/>
                <w:szCs w:val="13"/>
                <w:color w:val="auto"/>
              </w:rPr>
              <w:t>EMEA(2)</w:t>
            </w:r>
          </w:p>
        </w:tc>
        <w:tc>
          <w:tcPr>
            <w:tcW w:w="120" w:type="dxa"/>
            <w:vAlign w:val="bottom"/>
          </w:tcPr>
          <w:p>
            <w:pPr>
              <w:spacing w:after="0"/>
              <w:rPr>
                <w:sz w:val="13"/>
                <w:szCs w:val="13"/>
                <w:color w:val="auto"/>
              </w:rPr>
            </w:pPr>
          </w:p>
        </w:tc>
        <w:tc>
          <w:tcPr>
            <w:tcW w:w="900" w:type="dxa"/>
            <w:vAlign w:val="bottom"/>
            <w:gridSpan w:val="2"/>
          </w:tcPr>
          <w:p>
            <w:pPr>
              <w:jc w:val="right"/>
              <w:spacing w:after="0"/>
              <w:rPr>
                <w:sz w:val="20"/>
                <w:szCs w:val="20"/>
                <w:color w:val="auto"/>
              </w:rPr>
            </w:pPr>
            <w:r>
              <w:rPr>
                <w:rFonts w:ascii="Arial" w:cs="Arial" w:eastAsia="Arial" w:hAnsi="Arial"/>
                <w:sz w:val="13"/>
                <w:szCs w:val="13"/>
                <w:color w:val="auto"/>
              </w:rPr>
              <w:t>1,122,641</w:t>
            </w: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3"/>
                <w:szCs w:val="13"/>
                <w:color w:val="auto"/>
              </w:rPr>
              <w:t>974,634</w:t>
            </w:r>
          </w:p>
        </w:tc>
        <w:tc>
          <w:tcPr>
            <w:tcW w:w="0" w:type="dxa"/>
            <w:vAlign w:val="bottom"/>
          </w:tcPr>
          <w:p>
            <w:pPr>
              <w:spacing w:after="0"/>
              <w:rPr>
                <w:sz w:val="1"/>
                <w:szCs w:val="1"/>
                <w:color w:val="auto"/>
              </w:rPr>
            </w:pPr>
          </w:p>
        </w:tc>
      </w:tr>
      <w:tr>
        <w:trPr>
          <w:trHeight w:val="157"/>
        </w:trPr>
        <w:tc>
          <w:tcPr>
            <w:tcW w:w="7600" w:type="dxa"/>
            <w:vAlign w:val="bottom"/>
            <w:gridSpan w:val="3"/>
            <w:shd w:val="clear" w:color="auto" w:fill="CCEEFF"/>
          </w:tcPr>
          <w:p>
            <w:pPr>
              <w:ind w:left="140"/>
              <w:spacing w:after="0"/>
              <w:rPr>
                <w:sz w:val="20"/>
                <w:szCs w:val="20"/>
                <w:color w:val="auto"/>
              </w:rPr>
            </w:pPr>
            <w:r>
              <w:rPr>
                <w:rFonts w:ascii="Arial" w:cs="Arial" w:eastAsia="Arial" w:hAnsi="Arial"/>
                <w:sz w:val="13"/>
                <w:szCs w:val="13"/>
                <w:color w:val="auto"/>
              </w:rPr>
              <w:t>Asia/Pacific(3)</w:t>
            </w: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748,821</w:t>
            </w:r>
          </w:p>
        </w:tc>
        <w:tc>
          <w:tcPr>
            <w:tcW w:w="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604,830</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3,648,400</w:t>
            </w: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3"/>
                <w:szCs w:val="13"/>
                <w:color w:val="auto"/>
              </w:rPr>
              <w:t>3,268,265</w:t>
            </w:r>
          </w:p>
        </w:tc>
        <w:tc>
          <w:tcPr>
            <w:tcW w:w="0" w:type="dxa"/>
            <w:vAlign w:val="bottom"/>
          </w:tcPr>
          <w:p>
            <w:pPr>
              <w:spacing w:after="0"/>
              <w:rPr>
                <w:sz w:val="1"/>
                <w:szCs w:val="1"/>
                <w:color w:val="auto"/>
              </w:rPr>
            </w:pPr>
          </w:p>
        </w:tc>
      </w:tr>
      <w:tr>
        <w:trPr>
          <w:trHeight w:val="108"/>
        </w:trPr>
        <w:tc>
          <w:tcPr>
            <w:tcW w:w="42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6300" w:type="dxa"/>
            <w:vAlign w:val="bottom"/>
          </w:tcPr>
          <w:p>
            <w:pPr>
              <w:spacing w:after="0"/>
              <w:rPr>
                <w:sz w:val="9"/>
                <w:szCs w:val="9"/>
                <w:color w:val="auto"/>
              </w:rPr>
            </w:pPr>
          </w:p>
        </w:tc>
        <w:tc>
          <w:tcPr>
            <w:tcW w:w="120" w:type="dxa"/>
            <w:vAlign w:val="bottom"/>
            <w:tcBorders>
              <w:top w:val="single" w:sz="8" w:color="000003"/>
            </w:tcBorders>
          </w:tcPr>
          <w:p>
            <w:pPr>
              <w:spacing w:after="0"/>
              <w:rPr>
                <w:sz w:val="9"/>
                <w:szCs w:val="9"/>
                <w:color w:val="auto"/>
              </w:rPr>
            </w:pPr>
          </w:p>
        </w:tc>
        <w:tc>
          <w:tcPr>
            <w:tcW w:w="880" w:type="dxa"/>
            <w:vAlign w:val="bottom"/>
            <w:tcBorders>
              <w:top w:val="single" w:sz="8" w:color="000003"/>
            </w:tcBorders>
          </w:tcPr>
          <w:p>
            <w:pPr>
              <w:spacing w:after="0"/>
              <w:rPr>
                <w:sz w:val="9"/>
                <w:szCs w:val="9"/>
                <w:color w:val="auto"/>
              </w:rPr>
            </w:pPr>
          </w:p>
        </w:tc>
        <w:tc>
          <w:tcPr>
            <w:tcW w:w="20" w:type="dxa"/>
            <w:vAlign w:val="bottom"/>
            <w:tcBorders>
              <w:top w:val="single" w:sz="8" w:color="000003"/>
            </w:tcBorders>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Borders>
              <w:top w:val="single" w:sz="8" w:color="000003"/>
            </w:tcBorders>
          </w:tcPr>
          <w:p>
            <w:pPr>
              <w:spacing w:after="0"/>
              <w:rPr>
                <w:sz w:val="9"/>
                <w:szCs w:val="9"/>
                <w:color w:val="auto"/>
              </w:rPr>
            </w:pPr>
          </w:p>
        </w:tc>
        <w:tc>
          <w:tcPr>
            <w:tcW w:w="740" w:type="dxa"/>
            <w:vAlign w:val="bottom"/>
            <w:tcBorders>
              <w:top w:val="single" w:sz="8" w:color="000003"/>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000" w:right="200" w:hanging="259"/>
        <w:spacing w:after="0" w:line="276" w:lineRule="auto"/>
        <w:tabs>
          <w:tab w:leader="none" w:pos="1000" w:val="left"/>
        </w:tabs>
        <w:numPr>
          <w:ilvl w:val="0"/>
          <w:numId w:val="5"/>
        </w:numPr>
        <w:rPr>
          <w:rFonts w:ascii="Arial" w:cs="Arial" w:eastAsia="Arial" w:hAnsi="Arial"/>
          <w:sz w:val="13"/>
          <w:szCs w:val="13"/>
          <w:color w:val="auto"/>
        </w:rPr>
      </w:pPr>
      <w:r>
        <w:rPr>
          <w:rFonts w:ascii="Arial" w:cs="Arial" w:eastAsia="Arial" w:hAnsi="Arial"/>
          <w:sz w:val="13"/>
          <w:szCs w:val="13"/>
          <w:color w:val="auto"/>
        </w:rPr>
        <w:t>Included in sales for the quarters ended September 30, 2006 and October 1, 2005 for the Americas region are $1.6 billion and $1.5 billion, respectively, of sales related to the United States.</w:t>
      </w:r>
    </w:p>
    <w:p>
      <w:pPr>
        <w:spacing w:after="0" w:line="10" w:lineRule="exact"/>
        <w:rPr>
          <w:rFonts w:ascii="Arial" w:cs="Arial" w:eastAsia="Arial" w:hAnsi="Arial"/>
          <w:sz w:val="13"/>
          <w:szCs w:val="13"/>
          <w:color w:val="auto"/>
        </w:rPr>
      </w:pPr>
    </w:p>
    <w:p>
      <w:pPr>
        <w:ind w:left="1000" w:hanging="259"/>
        <w:spacing w:after="0"/>
        <w:tabs>
          <w:tab w:leader="none" w:pos="1000" w:val="left"/>
        </w:tabs>
        <w:numPr>
          <w:ilvl w:val="0"/>
          <w:numId w:val="5"/>
        </w:numPr>
        <w:rPr>
          <w:rFonts w:ascii="Arial" w:cs="Arial" w:eastAsia="Arial" w:hAnsi="Arial"/>
          <w:sz w:val="11"/>
          <w:szCs w:val="11"/>
          <w:color w:val="auto"/>
        </w:rPr>
      </w:pPr>
      <w:r>
        <w:rPr>
          <w:rFonts w:ascii="Arial" w:cs="Arial" w:eastAsia="Arial" w:hAnsi="Arial"/>
          <w:sz w:val="11"/>
          <w:szCs w:val="11"/>
          <w:color w:val="auto"/>
        </w:rPr>
        <w:t>Included in sales for the quarters ended September 30, 2006 and October 1, 2005 for the EMEA region are $634.7 million and $529.3 million, respectively, of sales related to Germany.</w:t>
      </w:r>
    </w:p>
    <w:p>
      <w:pPr>
        <w:spacing w:after="0" w:line="70" w:lineRule="exact"/>
        <w:rPr>
          <w:rFonts w:ascii="Arial" w:cs="Arial" w:eastAsia="Arial" w:hAnsi="Arial"/>
          <w:sz w:val="11"/>
          <w:szCs w:val="11"/>
          <w:color w:val="auto"/>
        </w:rPr>
      </w:pPr>
    </w:p>
    <w:p>
      <w:pPr>
        <w:ind w:left="1000" w:right="60" w:hanging="259"/>
        <w:spacing w:after="0" w:line="264" w:lineRule="auto"/>
        <w:tabs>
          <w:tab w:leader="none" w:pos="1000" w:val="left"/>
        </w:tabs>
        <w:numPr>
          <w:ilvl w:val="0"/>
          <w:numId w:val="5"/>
        </w:numPr>
        <w:rPr>
          <w:rFonts w:ascii="Arial" w:cs="Arial" w:eastAsia="Arial" w:hAnsi="Arial"/>
          <w:sz w:val="13"/>
          <w:szCs w:val="13"/>
          <w:color w:val="auto"/>
        </w:rPr>
      </w:pPr>
      <w:r>
        <w:rPr>
          <w:rFonts w:ascii="Arial" w:cs="Arial" w:eastAsia="Arial" w:hAnsi="Arial"/>
          <w:sz w:val="13"/>
          <w:szCs w:val="13"/>
          <w:color w:val="auto"/>
        </w:rPr>
        <w:t>Included in sales for the quarters ended September 30, 2006 and October 1, 2005 for the Asia/Pacific region is $178.4 million and $205.3 million, respectively, of sales related to Hong Kong, and $232.3 million and $148.0 million, respectively, of sales related to Singapore. Also included in sales for the quarter ended September 30, 2006 are $224.7 million of sales related to Taiwan. In the first quarter of the prior year, Taiwan sales were not a significant component of consolidated sales.</w:t>
      </w:r>
    </w:p>
    <w:p>
      <w:pPr>
        <w:spacing w:after="0" w:line="35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2" w:name="page13"/>
    <w:bookmarkEnd w:id="1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AVNET,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6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7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gridSpan w:val="2"/>
          </w:tcPr>
          <w:p>
            <w:pPr>
              <w:ind w:left="60"/>
              <w:spacing w:after="0"/>
              <w:rPr>
                <w:sz w:val="20"/>
                <w:szCs w:val="20"/>
                <w:color w:val="auto"/>
              </w:rPr>
            </w:pPr>
            <w:r>
              <w:rPr>
                <w:rFonts w:ascii="Arial" w:cs="Arial" w:eastAsia="Arial" w:hAnsi="Arial"/>
                <w:sz w:val="10"/>
                <w:szCs w:val="10"/>
                <w:b w:val="1"/>
                <w:bCs w:val="1"/>
                <w:color w:val="auto"/>
              </w:rPr>
              <w:t>September 30,</w:t>
            </w:r>
          </w:p>
        </w:tc>
        <w:tc>
          <w:tcPr>
            <w:tcW w:w="180" w:type="dxa"/>
            <w:vAlign w:val="bottom"/>
          </w:tcPr>
          <w:p>
            <w:pPr>
              <w:spacing w:after="0"/>
              <w:rPr>
                <w:sz w:val="10"/>
                <w:szCs w:val="10"/>
                <w:color w:val="auto"/>
              </w:rPr>
            </w:pPr>
          </w:p>
        </w:tc>
        <w:tc>
          <w:tcPr>
            <w:tcW w:w="80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89"/>
              </w:rPr>
              <w:t>July 1,</w:t>
            </w:r>
          </w:p>
        </w:tc>
        <w:tc>
          <w:tcPr>
            <w:tcW w:w="0" w:type="dxa"/>
            <w:vAlign w:val="bottom"/>
          </w:tcPr>
          <w:p>
            <w:pPr>
              <w:spacing w:after="0"/>
              <w:rPr>
                <w:sz w:val="1"/>
                <w:szCs w:val="1"/>
                <w:color w:val="auto"/>
              </w:rPr>
            </w:pPr>
          </w:p>
        </w:tc>
      </w:tr>
      <w:tr>
        <w:trPr>
          <w:trHeight w:val="125"/>
        </w:trPr>
        <w:tc>
          <w:tcPr>
            <w:tcW w:w="76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ind w:right="337"/>
              <w:spacing w:after="0"/>
              <w:rPr>
                <w:sz w:val="20"/>
                <w:szCs w:val="20"/>
                <w:color w:val="auto"/>
              </w:rPr>
            </w:pPr>
            <w:r>
              <w:rPr>
                <w:rFonts w:ascii="Arial" w:cs="Arial" w:eastAsia="Arial" w:hAnsi="Arial"/>
                <w:sz w:val="10"/>
                <w:szCs w:val="10"/>
                <w:b w:val="1"/>
                <w:bCs w:val="1"/>
                <w:color w:val="auto"/>
              </w:rPr>
              <w:t>2006</w:t>
            </w:r>
          </w:p>
        </w:tc>
        <w:tc>
          <w:tcPr>
            <w:tcW w:w="400" w:type="dxa"/>
            <w:vAlign w:val="bottom"/>
            <w:vMerge w:val="restart"/>
          </w:tcPr>
          <w:p>
            <w:pPr>
              <w:spacing w:after="0"/>
              <w:rPr>
                <w:sz w:val="20"/>
                <w:szCs w:val="20"/>
                <w:color w:val="auto"/>
              </w:rPr>
            </w:pPr>
            <w:r>
              <w:rPr>
                <w:rFonts w:ascii="Arial" w:cs="Arial" w:eastAsia="Arial" w:hAnsi="Arial"/>
                <w:sz w:val="9"/>
                <w:szCs w:val="9"/>
                <w:b w:val="1"/>
                <w:bCs w:val="1"/>
                <w:color w:val="auto"/>
                <w:w w:val="70"/>
              </w:rPr>
              <w:t>(Thousands)</w:t>
            </w:r>
          </w:p>
        </w:tc>
        <w:tc>
          <w:tcPr>
            <w:tcW w:w="18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right"/>
              <w:ind w:right="277"/>
              <w:spacing w:after="0"/>
              <w:rPr>
                <w:sz w:val="20"/>
                <w:szCs w:val="20"/>
                <w:color w:val="auto"/>
              </w:rPr>
            </w:pPr>
            <w:r>
              <w:rPr>
                <w:rFonts w:ascii="Arial" w:cs="Arial" w:eastAsia="Arial" w:hAnsi="Arial"/>
                <w:sz w:val="10"/>
                <w:szCs w:val="10"/>
                <w:b w:val="1"/>
                <w:bCs w:val="1"/>
                <w:color w:val="auto"/>
              </w:rPr>
              <w:t>2006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7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7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600" w:type="dxa"/>
            <w:vAlign w:val="bottom"/>
            <w:shd w:val="clear" w:color="auto" w:fill="CCEEFF"/>
          </w:tcPr>
          <w:p>
            <w:pPr>
              <w:spacing w:after="0"/>
              <w:rPr>
                <w:sz w:val="20"/>
                <w:szCs w:val="20"/>
                <w:color w:val="auto"/>
              </w:rPr>
            </w:pPr>
            <w:r>
              <w:rPr>
                <w:rFonts w:ascii="Arial" w:cs="Arial" w:eastAsia="Arial" w:hAnsi="Arial"/>
                <w:sz w:val="13"/>
                <w:szCs w:val="13"/>
                <w:color w:val="auto"/>
              </w:rPr>
              <w:t>Assets:</w:t>
            </w: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00" w:type="dxa"/>
            <w:vAlign w:val="bottom"/>
            <w:tcBorders>
              <w:left w:val="single" w:sz="8" w:color="CCEEFF"/>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600" w:type="dxa"/>
            <w:vAlign w:val="bottom"/>
          </w:tcPr>
          <w:p>
            <w:pPr>
              <w:ind w:left="140"/>
              <w:spacing w:after="0"/>
              <w:rPr>
                <w:sz w:val="20"/>
                <w:szCs w:val="20"/>
                <w:color w:val="auto"/>
              </w:rPr>
            </w:pPr>
            <w:r>
              <w:rPr>
                <w:rFonts w:ascii="Arial" w:cs="Arial" w:eastAsia="Arial" w:hAnsi="Arial"/>
                <w:sz w:val="13"/>
                <w:szCs w:val="13"/>
                <w:color w:val="auto"/>
              </w:rPr>
              <w:t>Electronics Marketing</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4,720,067</w:t>
            </w:r>
          </w:p>
        </w:tc>
        <w:tc>
          <w:tcPr>
            <w:tcW w:w="400" w:type="dxa"/>
            <w:vAlign w:val="bottom"/>
          </w:tcPr>
          <w:p>
            <w:pPr>
              <w:spacing w:after="0"/>
              <w:rPr>
                <w:sz w:val="13"/>
                <w:szCs w:val="13"/>
                <w:color w:val="auto"/>
              </w:rPr>
            </w:pP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4,618,677</w:t>
            </w:r>
          </w:p>
        </w:tc>
        <w:tc>
          <w:tcPr>
            <w:tcW w:w="0" w:type="dxa"/>
            <w:vAlign w:val="bottom"/>
          </w:tcPr>
          <w:p>
            <w:pPr>
              <w:spacing w:after="0"/>
              <w:rPr>
                <w:sz w:val="1"/>
                <w:szCs w:val="1"/>
                <w:color w:val="auto"/>
              </w:rPr>
            </w:pPr>
          </w:p>
        </w:tc>
      </w:tr>
      <w:tr>
        <w:trPr>
          <w:trHeight w:val="157"/>
        </w:trPr>
        <w:tc>
          <w:tcPr>
            <w:tcW w:w="7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Technology Solutions</w:t>
            </w: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1,411,761</w:t>
            </w:r>
          </w:p>
        </w:tc>
        <w:tc>
          <w:tcPr>
            <w:tcW w:w="400" w:type="dxa"/>
            <w:vAlign w:val="bottom"/>
            <w:tcBorders>
              <w:left w:val="single" w:sz="8" w:color="CCEEFF"/>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1,403,671</w:t>
            </w:r>
          </w:p>
        </w:tc>
        <w:tc>
          <w:tcPr>
            <w:tcW w:w="0" w:type="dxa"/>
            <w:vAlign w:val="bottom"/>
          </w:tcPr>
          <w:p>
            <w:pPr>
              <w:spacing w:after="0"/>
              <w:rPr>
                <w:sz w:val="1"/>
                <w:szCs w:val="1"/>
                <w:color w:val="auto"/>
              </w:rPr>
            </w:pPr>
          </w:p>
        </w:tc>
      </w:tr>
      <w:tr>
        <w:trPr>
          <w:trHeight w:val="157"/>
        </w:trPr>
        <w:tc>
          <w:tcPr>
            <w:tcW w:w="7600" w:type="dxa"/>
            <w:vAlign w:val="bottom"/>
          </w:tcPr>
          <w:p>
            <w:pPr>
              <w:ind w:left="140"/>
              <w:spacing w:after="0"/>
              <w:rPr>
                <w:sz w:val="20"/>
                <w:szCs w:val="20"/>
                <w:color w:val="auto"/>
              </w:rPr>
            </w:pPr>
            <w:r>
              <w:rPr>
                <w:rFonts w:ascii="Arial" w:cs="Arial" w:eastAsia="Arial" w:hAnsi="Arial"/>
                <w:sz w:val="13"/>
                <w:szCs w:val="13"/>
                <w:color w:val="auto"/>
              </w:rPr>
              <w:t>Corporate</w:t>
            </w:r>
          </w:p>
        </w:tc>
        <w:tc>
          <w:tcPr>
            <w:tcW w:w="1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390,660</w:t>
            </w: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193,345</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76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6,522,488</w:t>
            </w:r>
          </w:p>
        </w:tc>
        <w:tc>
          <w:tcPr>
            <w:tcW w:w="400" w:type="dxa"/>
            <w:vAlign w:val="bottom"/>
            <w:tcBorders>
              <w:left w:val="single" w:sz="8" w:color="CCEEFF"/>
            </w:tcBorders>
            <w:shd w:val="clear" w:color="auto" w:fill="CCEEFF"/>
          </w:tcPr>
          <w:p>
            <w:pPr>
              <w:spacing w:after="0"/>
              <w:rPr>
                <w:sz w:val="14"/>
                <w:szCs w:val="14"/>
                <w:color w:val="auto"/>
              </w:rPr>
            </w:pP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6,215,693</w:t>
            </w:r>
          </w:p>
        </w:tc>
        <w:tc>
          <w:tcPr>
            <w:tcW w:w="0" w:type="dxa"/>
            <w:vAlign w:val="bottom"/>
          </w:tcPr>
          <w:p>
            <w:pPr>
              <w:spacing w:after="0"/>
              <w:rPr>
                <w:sz w:val="1"/>
                <w:szCs w:val="1"/>
                <w:color w:val="auto"/>
              </w:rPr>
            </w:pPr>
          </w:p>
        </w:tc>
      </w:tr>
      <w:tr>
        <w:trPr>
          <w:trHeight w:val="166"/>
        </w:trPr>
        <w:tc>
          <w:tcPr>
            <w:tcW w:w="7600" w:type="dxa"/>
            <w:vAlign w:val="bottom"/>
          </w:tcPr>
          <w:p>
            <w:pPr>
              <w:spacing w:after="0"/>
              <w:rPr>
                <w:sz w:val="20"/>
                <w:szCs w:val="20"/>
                <w:color w:val="auto"/>
              </w:rPr>
            </w:pPr>
            <w:r>
              <w:rPr>
                <w:rFonts w:ascii="Arial" w:cs="Arial" w:eastAsia="Arial" w:hAnsi="Arial"/>
                <w:sz w:val="13"/>
                <w:szCs w:val="13"/>
                <w:color w:val="auto"/>
              </w:rPr>
              <w:t>Property, plant, and equipment, net, by geographic area</w:t>
            </w:r>
          </w:p>
        </w:tc>
        <w:tc>
          <w:tcPr>
            <w:tcW w:w="120" w:type="dxa"/>
            <w:vAlign w:val="bottom"/>
            <w:tcBorders>
              <w:top w:val="single" w:sz="8" w:color="000003"/>
            </w:tcBorders>
          </w:tcPr>
          <w:p>
            <w:pPr>
              <w:spacing w:after="0"/>
              <w:rPr>
                <w:sz w:val="14"/>
                <w:szCs w:val="14"/>
                <w:color w:val="auto"/>
              </w:rPr>
            </w:pPr>
          </w:p>
        </w:tc>
        <w:tc>
          <w:tcPr>
            <w:tcW w:w="880" w:type="dxa"/>
            <w:vAlign w:val="bottom"/>
            <w:tcBorders>
              <w:top w:val="single" w:sz="8" w:color="000003"/>
            </w:tcBorders>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Borders>
              <w:top w:val="single" w:sz="8" w:color="000003"/>
            </w:tcBorders>
          </w:tcPr>
          <w:p>
            <w:pPr>
              <w:spacing w:after="0"/>
              <w:rPr>
                <w:sz w:val="14"/>
                <w:szCs w:val="14"/>
                <w:color w:val="auto"/>
              </w:rPr>
            </w:pPr>
          </w:p>
        </w:tc>
        <w:tc>
          <w:tcPr>
            <w:tcW w:w="700" w:type="dxa"/>
            <w:vAlign w:val="bottom"/>
            <w:tcBorders>
              <w:top w:val="single" w:sz="8" w:color="000003"/>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7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Americas(4)</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104,487</w:t>
            </w:r>
          </w:p>
        </w:tc>
        <w:tc>
          <w:tcPr>
            <w:tcW w:w="400" w:type="dxa"/>
            <w:vAlign w:val="bottom"/>
            <w:tcBorders>
              <w:left w:val="single" w:sz="8" w:color="CCEEFF"/>
            </w:tcBorders>
            <w:shd w:val="clear" w:color="auto" w:fill="CCEEFF"/>
          </w:tcPr>
          <w:p>
            <w:pPr>
              <w:spacing w:after="0"/>
              <w:rPr>
                <w:sz w:val="13"/>
                <w:szCs w:val="13"/>
                <w:color w:val="auto"/>
              </w:rPr>
            </w:pP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102,413</w:t>
            </w:r>
          </w:p>
        </w:tc>
        <w:tc>
          <w:tcPr>
            <w:tcW w:w="0" w:type="dxa"/>
            <w:vAlign w:val="bottom"/>
          </w:tcPr>
          <w:p>
            <w:pPr>
              <w:spacing w:after="0"/>
              <w:rPr>
                <w:sz w:val="1"/>
                <w:szCs w:val="1"/>
                <w:color w:val="auto"/>
              </w:rPr>
            </w:pPr>
          </w:p>
        </w:tc>
      </w:tr>
      <w:tr>
        <w:trPr>
          <w:trHeight w:val="157"/>
        </w:trPr>
        <w:tc>
          <w:tcPr>
            <w:tcW w:w="7600" w:type="dxa"/>
            <w:vAlign w:val="bottom"/>
          </w:tcPr>
          <w:p>
            <w:pPr>
              <w:ind w:left="140"/>
              <w:spacing w:after="0"/>
              <w:rPr>
                <w:sz w:val="20"/>
                <w:szCs w:val="20"/>
                <w:color w:val="auto"/>
              </w:rPr>
            </w:pPr>
            <w:r>
              <w:rPr>
                <w:rFonts w:ascii="Arial" w:cs="Arial" w:eastAsia="Arial" w:hAnsi="Arial"/>
                <w:sz w:val="13"/>
                <w:szCs w:val="13"/>
                <w:color w:val="auto"/>
              </w:rPr>
              <w:t>EMEA(5)</w:t>
            </w:r>
          </w:p>
        </w:tc>
        <w:tc>
          <w:tcPr>
            <w:tcW w:w="120" w:type="dxa"/>
            <w:vAlign w:val="bottom"/>
          </w:tcPr>
          <w:p>
            <w:pPr>
              <w:spacing w:after="0"/>
              <w:rPr>
                <w:sz w:val="13"/>
                <w:szCs w:val="13"/>
                <w:color w:val="auto"/>
              </w:rPr>
            </w:pPr>
          </w:p>
        </w:tc>
        <w:tc>
          <w:tcPr>
            <w:tcW w:w="1280" w:type="dxa"/>
            <w:vAlign w:val="bottom"/>
            <w:gridSpan w:val="2"/>
          </w:tcPr>
          <w:p>
            <w:pPr>
              <w:jc w:val="right"/>
              <w:ind w:right="353"/>
              <w:spacing w:after="0"/>
              <w:rPr>
                <w:sz w:val="20"/>
                <w:szCs w:val="20"/>
                <w:color w:val="auto"/>
              </w:rPr>
            </w:pPr>
            <w:r>
              <w:rPr>
                <w:rFonts w:ascii="Arial" w:cs="Arial" w:eastAsia="Arial" w:hAnsi="Arial"/>
                <w:sz w:val="13"/>
                <w:szCs w:val="13"/>
                <w:color w:val="auto"/>
              </w:rPr>
              <w:t>46,042</w:t>
            </w:r>
          </w:p>
        </w:tc>
        <w:tc>
          <w:tcPr>
            <w:tcW w:w="18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46,521</w:t>
            </w:r>
          </w:p>
        </w:tc>
        <w:tc>
          <w:tcPr>
            <w:tcW w:w="0" w:type="dxa"/>
            <w:vAlign w:val="bottom"/>
          </w:tcPr>
          <w:p>
            <w:pPr>
              <w:spacing w:after="0"/>
              <w:rPr>
                <w:sz w:val="1"/>
                <w:szCs w:val="1"/>
                <w:color w:val="auto"/>
              </w:rPr>
            </w:pPr>
          </w:p>
        </w:tc>
      </w:tr>
      <w:tr>
        <w:trPr>
          <w:trHeight w:val="157"/>
        </w:trPr>
        <w:tc>
          <w:tcPr>
            <w:tcW w:w="7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Asia/Pacific</w:t>
            </w: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11,331</w:t>
            </w:r>
          </w:p>
        </w:tc>
        <w:tc>
          <w:tcPr>
            <w:tcW w:w="400" w:type="dxa"/>
            <w:vAlign w:val="bottom"/>
            <w:tcBorders>
              <w:left w:val="single" w:sz="8" w:color="CCEEFF"/>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10,499</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6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161,860</w:t>
            </w:r>
          </w:p>
        </w:tc>
        <w:tc>
          <w:tcPr>
            <w:tcW w:w="400" w:type="dxa"/>
            <w:vAlign w:val="bottom"/>
          </w:tcPr>
          <w:p>
            <w:pPr>
              <w:spacing w:after="0"/>
              <w:rPr>
                <w:sz w:val="13"/>
                <w:szCs w:val="13"/>
                <w:color w:val="auto"/>
              </w:rPr>
            </w:pP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159,433</w:t>
            </w:r>
          </w:p>
        </w:tc>
        <w:tc>
          <w:tcPr>
            <w:tcW w:w="0" w:type="dxa"/>
            <w:vAlign w:val="bottom"/>
          </w:tcPr>
          <w:p>
            <w:pPr>
              <w:spacing w:after="0"/>
              <w:rPr>
                <w:sz w:val="1"/>
                <w:szCs w:val="1"/>
                <w:color w:val="auto"/>
              </w:rPr>
            </w:pPr>
          </w:p>
        </w:tc>
      </w:tr>
      <w:tr>
        <w:trPr>
          <w:trHeight w:val="30"/>
        </w:trPr>
        <w:tc>
          <w:tcPr>
            <w:tcW w:w="7600" w:type="dxa"/>
            <w:vAlign w:val="bottom"/>
          </w:tcPr>
          <w:p>
            <w:pPr>
              <w:spacing w:after="0"/>
              <w:rPr>
                <w:sz w:val="2"/>
                <w:szCs w:val="2"/>
                <w:color w:val="auto"/>
              </w:rPr>
            </w:pPr>
          </w:p>
        </w:tc>
        <w:tc>
          <w:tcPr>
            <w:tcW w:w="120" w:type="dxa"/>
            <w:vAlign w:val="bottom"/>
            <w:shd w:val="clear" w:color="auto" w:fill="000003"/>
          </w:tcPr>
          <w:p>
            <w:pPr>
              <w:spacing w:after="0"/>
              <w:rPr>
                <w:sz w:val="2"/>
                <w:szCs w:val="2"/>
                <w:color w:val="auto"/>
              </w:rPr>
            </w:pPr>
          </w:p>
        </w:tc>
        <w:tc>
          <w:tcPr>
            <w:tcW w:w="880" w:type="dxa"/>
            <w:vAlign w:val="bottom"/>
            <w:shd w:val="clear" w:color="auto" w:fill="000003"/>
          </w:tcPr>
          <w:p>
            <w:pPr>
              <w:spacing w:after="0"/>
              <w:rPr>
                <w:sz w:val="2"/>
                <w:szCs w:val="2"/>
                <w:color w:val="auto"/>
              </w:rPr>
            </w:pPr>
          </w:p>
        </w:tc>
        <w:tc>
          <w:tcPr>
            <w:tcW w:w="400" w:type="dxa"/>
            <w:vAlign w:val="bottom"/>
            <w:tcBorders>
              <w:left w:val="single" w:sz="8" w:color="000003"/>
            </w:tcBorders>
          </w:tcPr>
          <w:p>
            <w:pPr>
              <w:spacing w:after="0"/>
              <w:rPr>
                <w:sz w:val="2"/>
                <w:szCs w:val="2"/>
                <w:color w:val="auto"/>
              </w:rPr>
            </w:pPr>
          </w:p>
        </w:tc>
        <w:tc>
          <w:tcPr>
            <w:tcW w:w="180" w:type="dxa"/>
            <w:vAlign w:val="bottom"/>
            <w:shd w:val="clear" w:color="auto" w:fill="000003"/>
          </w:tcPr>
          <w:p>
            <w:pPr>
              <w:spacing w:after="0"/>
              <w:rPr>
                <w:sz w:val="2"/>
                <w:szCs w:val="2"/>
                <w:color w:val="auto"/>
              </w:rPr>
            </w:pPr>
          </w:p>
        </w:tc>
        <w:tc>
          <w:tcPr>
            <w:tcW w:w="700" w:type="dxa"/>
            <w:vAlign w:val="bottom"/>
            <w:shd w:val="clear" w:color="auto" w:fill="000003"/>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118745</wp:posOffset>
            </wp:positionV>
            <wp:extent cx="823595" cy="63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217" w:lineRule="exact"/>
        <w:rPr>
          <w:sz w:val="20"/>
          <w:szCs w:val="20"/>
          <w:color w:val="auto"/>
        </w:rPr>
      </w:pPr>
    </w:p>
    <w:p>
      <w:pPr>
        <w:ind w:left="1000" w:right="280" w:hanging="259"/>
        <w:spacing w:after="0" w:line="276" w:lineRule="auto"/>
        <w:tabs>
          <w:tab w:leader="none" w:pos="1000" w:val="left"/>
        </w:tabs>
        <w:numPr>
          <w:ilvl w:val="1"/>
          <w:numId w:val="6"/>
        </w:numPr>
        <w:rPr>
          <w:rFonts w:ascii="Arial" w:cs="Arial" w:eastAsia="Arial" w:hAnsi="Arial"/>
          <w:sz w:val="13"/>
          <w:szCs w:val="13"/>
          <w:color w:val="auto"/>
        </w:rPr>
      </w:pPr>
      <w:r>
        <w:rPr>
          <w:rFonts w:ascii="Arial" w:cs="Arial" w:eastAsia="Arial" w:hAnsi="Arial"/>
          <w:sz w:val="13"/>
          <w:szCs w:val="13"/>
          <w:color w:val="auto"/>
        </w:rPr>
        <w:t>Property, plant and equipment, net, for the Americas region as of September 30, 2006 and July 1, 2006 includes $95.1 million and $93.3 million, respectively, related to the United States.</w:t>
      </w:r>
    </w:p>
    <w:p>
      <w:pPr>
        <w:spacing w:after="0" w:line="10" w:lineRule="exact"/>
        <w:rPr>
          <w:rFonts w:ascii="Arial" w:cs="Arial" w:eastAsia="Arial" w:hAnsi="Arial"/>
          <w:sz w:val="13"/>
          <w:szCs w:val="13"/>
          <w:color w:val="auto"/>
        </w:rPr>
      </w:pPr>
    </w:p>
    <w:p>
      <w:pPr>
        <w:ind w:left="1000" w:right="260" w:hanging="259"/>
        <w:spacing w:after="0" w:line="276" w:lineRule="auto"/>
        <w:tabs>
          <w:tab w:leader="none" w:pos="1000" w:val="left"/>
        </w:tabs>
        <w:numPr>
          <w:ilvl w:val="1"/>
          <w:numId w:val="6"/>
        </w:numPr>
        <w:rPr>
          <w:rFonts w:ascii="Arial" w:cs="Arial" w:eastAsia="Arial" w:hAnsi="Arial"/>
          <w:sz w:val="13"/>
          <w:szCs w:val="13"/>
          <w:color w:val="auto"/>
        </w:rPr>
      </w:pPr>
      <w:r>
        <w:rPr>
          <w:rFonts w:ascii="Arial" w:cs="Arial" w:eastAsia="Arial" w:hAnsi="Arial"/>
          <w:sz w:val="13"/>
          <w:szCs w:val="13"/>
          <w:color w:val="auto"/>
        </w:rPr>
        <w:t>Property, plant and equipment, net, for the EMEA region as of September 30, 2006 and July 1, 2006 includes $25.7 million and $25.9 million, respectively, related to Germany and $13.5 million and $13.5 million, respectively, related to Belgium.</w:t>
      </w:r>
    </w:p>
    <w:p>
      <w:pPr>
        <w:spacing w:after="0" w:line="133" w:lineRule="exact"/>
        <w:rPr>
          <w:rFonts w:ascii="Arial" w:cs="Arial" w:eastAsia="Arial" w:hAnsi="Arial"/>
          <w:sz w:val="13"/>
          <w:szCs w:val="13"/>
          <w:color w:val="auto"/>
        </w:rPr>
      </w:pPr>
    </w:p>
    <w:p>
      <w:pPr>
        <w:ind w:left="1180" w:hanging="493"/>
        <w:spacing w:after="0"/>
        <w:tabs>
          <w:tab w:leader="none" w:pos="1180" w:val="left"/>
        </w:tabs>
        <w:numPr>
          <w:ilvl w:val="0"/>
          <w:numId w:val="7"/>
        </w:numPr>
        <w:rPr>
          <w:rFonts w:ascii="Arial" w:cs="Arial" w:eastAsia="Arial" w:hAnsi="Arial"/>
          <w:sz w:val="13"/>
          <w:szCs w:val="13"/>
          <w:b w:val="1"/>
          <w:bCs w:val="1"/>
          <w:color w:val="auto"/>
        </w:rPr>
      </w:pPr>
      <w:r>
        <w:rPr>
          <w:rFonts w:ascii="Arial" w:cs="Arial" w:eastAsia="Arial" w:hAnsi="Arial"/>
          <w:sz w:val="13"/>
          <w:szCs w:val="13"/>
          <w:b w:val="1"/>
          <w:bCs w:val="1"/>
          <w:color w:val="auto"/>
        </w:rPr>
        <w:t>Restructuring, integration and other charges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Fiscal 2006</w:t>
      </w:r>
    </w:p>
    <w:p>
      <w:pPr>
        <w:spacing w:after="0" w:line="96" w:lineRule="exact"/>
        <w:rPr>
          <w:sz w:val="20"/>
          <w:szCs w:val="20"/>
          <w:color w:val="auto"/>
        </w:rPr>
      </w:pPr>
    </w:p>
    <w:p>
      <w:pPr>
        <w:ind w:left="680" w:right="180" w:firstLine="399"/>
        <w:spacing w:after="0" w:line="296" w:lineRule="auto"/>
        <w:rPr>
          <w:sz w:val="20"/>
          <w:szCs w:val="20"/>
          <w:color w:val="auto"/>
        </w:rPr>
      </w:pPr>
      <w:r>
        <w:rPr>
          <w:rFonts w:ascii="Arial" w:cs="Arial" w:eastAsia="Arial" w:hAnsi="Arial"/>
          <w:sz w:val="12"/>
          <w:szCs w:val="12"/>
          <w:color w:val="auto"/>
        </w:rPr>
        <w:t>During the fiscal 2006, the Company incurred certain restructuring, integration and other charges as a result of the acquisition of Memec on July 5, 2005 and its subsequent integration into Avnet’s existing operations (see Note 3). In addition, the Company incurred restructuring and other charges primarily relating to actions taken following the divestitures of certain TS business lines in the Americas region in the second half of fiscal 2006, certain cost reduction actions taken by TS in the EMEA region and other items during fiscal 2006.</w:t>
      </w:r>
    </w:p>
    <w:p>
      <w:pPr>
        <w:spacing w:after="0" w:line="50" w:lineRule="exact"/>
        <w:rPr>
          <w:sz w:val="20"/>
          <w:szCs w:val="20"/>
          <w:color w:val="auto"/>
        </w:rPr>
      </w:pPr>
    </w:p>
    <w:p>
      <w:pPr>
        <w:ind w:left="680" w:right="40" w:firstLine="399"/>
        <w:spacing w:after="0" w:line="289" w:lineRule="auto"/>
        <w:rPr>
          <w:sz w:val="20"/>
          <w:szCs w:val="20"/>
          <w:color w:val="auto"/>
        </w:rPr>
      </w:pPr>
      <w:r>
        <w:rPr>
          <w:rFonts w:ascii="Arial" w:cs="Arial" w:eastAsia="Arial" w:hAnsi="Arial"/>
          <w:sz w:val="12"/>
          <w:szCs w:val="12"/>
          <w:color w:val="auto"/>
        </w:rPr>
        <w:t>The total restructuring, integration and other charges recorded in the first quarter of fiscal 2006 amounted to $13,786,000 pre-tax, $10,006,000 after tax, or $0.07 per share on a diluted basis. The pre-tax charges consisted of $6,462,000 for Memec integration related costs (primarily incremental salary and other costs), $3,482,000 for severance costs in EM related to the Memec integration, $613,000 of severance costs for the reduction of TS personnel in EMEA, $782,000 of facility exit costs, $2,335,000 for the write-down of certain capitalized IT-related initiatives and $112,000 for other charges. Of the total charges recorded during the first quarter of fiscal 2006, $2,359,000 represented non-cash write-downs.</w:t>
      </w:r>
    </w:p>
    <w:p>
      <w:pPr>
        <w:spacing w:after="0" w:line="9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3" w:name="page14"/>
    <w:bookmarkEnd w:id="1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AVNET,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6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Memec-related restructuring, integration and other charges</w:t>
      </w:r>
    </w:p>
    <w:p>
      <w:pPr>
        <w:spacing w:after="0" w:line="96" w:lineRule="exact"/>
        <w:rPr>
          <w:sz w:val="20"/>
          <w:szCs w:val="20"/>
          <w:color w:val="auto"/>
        </w:rPr>
      </w:pPr>
    </w:p>
    <w:p>
      <w:pPr>
        <w:ind w:left="680" w:right="300" w:firstLine="399"/>
        <w:spacing w:after="0" w:line="276" w:lineRule="auto"/>
        <w:rPr>
          <w:sz w:val="20"/>
          <w:szCs w:val="20"/>
          <w:color w:val="auto"/>
        </w:rPr>
      </w:pPr>
      <w:r>
        <w:rPr>
          <w:rFonts w:ascii="Arial" w:cs="Arial" w:eastAsia="Arial" w:hAnsi="Arial"/>
          <w:sz w:val="13"/>
          <w:szCs w:val="13"/>
          <w:color w:val="auto"/>
        </w:rPr>
        <w:t>The following table summarizes the activity during the first quarter ended fiscal 2007 in the remaining accrued liability and reserve accounts for the Memec-related restructuring reserves recorded in fiscal 2006:</w:t>
      </w:r>
    </w:p>
    <w:p>
      <w:pPr>
        <w:spacing w:after="0" w:line="5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6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vMerge w:val="restart"/>
          </w:tcPr>
          <w:p>
            <w:pPr>
              <w:jc w:val="center"/>
              <w:ind w:right="500"/>
              <w:spacing w:after="0"/>
              <w:rPr>
                <w:sz w:val="20"/>
                <w:szCs w:val="20"/>
                <w:color w:val="auto"/>
              </w:rPr>
            </w:pPr>
            <w:r>
              <w:rPr>
                <w:rFonts w:ascii="Arial" w:cs="Arial" w:eastAsia="Arial" w:hAnsi="Arial"/>
                <w:sz w:val="10"/>
                <w:szCs w:val="10"/>
                <w:b w:val="1"/>
                <w:bCs w:val="1"/>
                <w:color w:val="auto"/>
                <w:w w:val="87"/>
              </w:rPr>
              <w:t>Severance</w:t>
            </w:r>
          </w:p>
        </w:tc>
        <w:tc>
          <w:tcPr>
            <w:tcW w:w="80" w:type="dxa"/>
            <w:vAlign w:val="bottom"/>
          </w:tcPr>
          <w:p>
            <w:pPr>
              <w:spacing w:after="0"/>
              <w:rPr>
                <w:sz w:val="10"/>
                <w:szCs w:val="10"/>
                <w:color w:val="auto"/>
              </w:rPr>
            </w:pPr>
          </w:p>
        </w:tc>
        <w:tc>
          <w:tcPr>
            <w:tcW w:w="800" w:type="dxa"/>
            <w:vAlign w:val="bottom"/>
            <w:gridSpan w:val="2"/>
          </w:tcPr>
          <w:p>
            <w:pPr>
              <w:jc w:val="center"/>
              <w:ind w:right="460"/>
              <w:spacing w:after="0"/>
              <w:rPr>
                <w:sz w:val="20"/>
                <w:szCs w:val="20"/>
                <w:color w:val="auto"/>
              </w:rPr>
            </w:pPr>
            <w:r>
              <w:rPr>
                <w:rFonts w:ascii="Arial" w:cs="Arial" w:eastAsia="Arial" w:hAnsi="Arial"/>
                <w:sz w:val="10"/>
                <w:szCs w:val="10"/>
                <w:b w:val="1"/>
                <w:bCs w:val="1"/>
                <w:color w:val="auto"/>
                <w:w w:val="98"/>
              </w:rPr>
              <w:t>Facility</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gridSpan w:val="2"/>
          </w:tcPr>
          <w:p>
            <w:pPr>
              <w:jc w:val="center"/>
              <w:ind w:right="460"/>
              <w:spacing w:after="0" w:line="108" w:lineRule="exact"/>
              <w:rPr>
                <w:sz w:val="20"/>
                <w:szCs w:val="20"/>
                <w:color w:val="auto"/>
              </w:rPr>
            </w:pPr>
            <w:r>
              <w:rPr>
                <w:rFonts w:ascii="Arial" w:cs="Arial" w:eastAsia="Arial" w:hAnsi="Arial"/>
                <w:sz w:val="10"/>
                <w:szCs w:val="10"/>
                <w:b w:val="1"/>
                <w:bCs w:val="1"/>
                <w:color w:val="auto"/>
                <w:w w:val="97"/>
              </w:rPr>
              <w:t>Exit</w:t>
            </w:r>
          </w:p>
        </w:tc>
        <w:tc>
          <w:tcPr>
            <w:tcW w:w="300" w:type="dxa"/>
            <w:vAlign w:val="bottom"/>
            <w:gridSpan w:val="2"/>
            <w:vMerge w:val="restart"/>
          </w:tcPr>
          <w:p>
            <w:pPr>
              <w:ind w:left="20"/>
              <w:spacing w:after="0"/>
              <w:rPr>
                <w:sz w:val="20"/>
                <w:szCs w:val="20"/>
                <w:color w:val="auto"/>
              </w:rPr>
            </w:pPr>
            <w:r>
              <w:rPr>
                <w:rFonts w:ascii="Arial" w:cs="Arial" w:eastAsia="Arial" w:hAnsi="Arial"/>
                <w:sz w:val="10"/>
                <w:szCs w:val="10"/>
                <w:b w:val="1"/>
                <w:bCs w:val="1"/>
                <w:color w:val="auto"/>
                <w:w w:val="97"/>
              </w:rPr>
              <w:t>Other</w:t>
            </w:r>
          </w:p>
        </w:tc>
        <w:tc>
          <w:tcPr>
            <w:tcW w:w="400" w:type="dxa"/>
            <w:vAlign w:val="bottom"/>
            <w:vMerge w:val="restart"/>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vMerge w:val="restart"/>
          </w:tcPr>
          <w:p>
            <w:pPr>
              <w:ind w:left="60"/>
              <w:spacing w:after="0"/>
              <w:rPr>
                <w:sz w:val="20"/>
                <w:szCs w:val="20"/>
                <w:color w:val="auto"/>
              </w:rPr>
            </w:pPr>
            <w:r>
              <w:rPr>
                <w:rFonts w:ascii="Arial" w:cs="Arial" w:eastAsia="Arial" w:hAnsi="Arial"/>
                <w:sz w:val="10"/>
                <w:szCs w:val="10"/>
                <w:b w:val="1"/>
                <w:bCs w:val="1"/>
                <w:color w:val="auto"/>
              </w:rPr>
              <w:t>Total</w:t>
            </w:r>
          </w:p>
        </w:tc>
        <w:tc>
          <w:tcPr>
            <w:tcW w:w="10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66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center"/>
              <w:ind w:right="18"/>
              <w:spacing w:after="0"/>
              <w:rPr>
                <w:sz w:val="20"/>
                <w:szCs w:val="20"/>
                <w:color w:val="auto"/>
              </w:rPr>
            </w:pPr>
            <w:r>
              <w:rPr>
                <w:rFonts w:ascii="Arial" w:cs="Arial" w:eastAsia="Arial" w:hAnsi="Arial"/>
                <w:sz w:val="10"/>
                <w:szCs w:val="10"/>
                <w:b w:val="1"/>
                <w:bCs w:val="1"/>
                <w:color w:val="auto"/>
                <w:w w:val="89"/>
              </w:rPr>
              <w:t>Reserves</w:t>
            </w:r>
          </w:p>
        </w:tc>
        <w:tc>
          <w:tcPr>
            <w:tcW w:w="4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center"/>
              <w:ind w:right="20"/>
              <w:spacing w:after="0"/>
              <w:rPr>
                <w:sz w:val="20"/>
                <w:szCs w:val="20"/>
                <w:color w:val="auto"/>
              </w:rPr>
            </w:pPr>
            <w:r>
              <w:rPr>
                <w:rFonts w:ascii="Arial" w:cs="Arial" w:eastAsia="Arial" w:hAnsi="Arial"/>
                <w:sz w:val="10"/>
                <w:szCs w:val="10"/>
                <w:b w:val="1"/>
                <w:bCs w:val="1"/>
                <w:color w:val="auto"/>
                <w:w w:val="93"/>
              </w:rPr>
              <w:t>Costs</w:t>
            </w:r>
          </w:p>
        </w:tc>
        <w:tc>
          <w:tcPr>
            <w:tcW w:w="380" w:type="dxa"/>
            <w:vAlign w:val="bottom"/>
          </w:tcPr>
          <w:p>
            <w:pPr>
              <w:spacing w:after="0"/>
              <w:rPr>
                <w:sz w:val="10"/>
                <w:szCs w:val="10"/>
                <w:color w:val="auto"/>
              </w:rPr>
            </w:pPr>
          </w:p>
        </w:tc>
        <w:tc>
          <w:tcPr>
            <w:tcW w:w="300" w:type="dxa"/>
            <w:vAlign w:val="bottom"/>
            <w:tcBorders>
              <w:bottom w:val="single" w:sz="8" w:color="auto"/>
            </w:tcBorders>
            <w:gridSpan w:val="2"/>
            <w:vMerge w:val="continue"/>
          </w:tcPr>
          <w:p>
            <w:pPr>
              <w:spacing w:after="0"/>
              <w:rPr>
                <w:sz w:val="10"/>
                <w:szCs w:val="10"/>
                <w:color w:val="auto"/>
              </w:rPr>
            </w:pPr>
          </w:p>
        </w:tc>
        <w:tc>
          <w:tcPr>
            <w:tcW w:w="400" w:type="dxa"/>
            <w:vAlign w:val="bottom"/>
            <w:vMerge w:val="continue"/>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6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0"/>
                <w:szCs w:val="10"/>
                <w:b w:val="1"/>
                <w:bCs w:val="1"/>
                <w:color w:val="auto"/>
              </w:rPr>
              <w:t>(Thousands)</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600" w:type="dxa"/>
            <w:vAlign w:val="bottom"/>
            <w:shd w:val="clear" w:color="auto" w:fill="CCEEFF"/>
          </w:tcPr>
          <w:p>
            <w:pPr>
              <w:spacing w:after="0"/>
              <w:rPr>
                <w:sz w:val="20"/>
                <w:szCs w:val="20"/>
                <w:color w:val="auto"/>
              </w:rPr>
            </w:pPr>
            <w:r>
              <w:rPr>
                <w:rFonts w:ascii="Arial" w:cs="Arial" w:eastAsia="Arial" w:hAnsi="Arial"/>
                <w:sz w:val="13"/>
                <w:szCs w:val="13"/>
                <w:color w:val="auto"/>
              </w:rPr>
              <w:t>Balance at July 1, 2006</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2,960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749</w:t>
            </w:r>
          </w:p>
        </w:tc>
        <w:tc>
          <w:tcPr>
            <w:tcW w:w="12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3,711</w:t>
            </w:r>
          </w:p>
        </w:tc>
        <w:tc>
          <w:tcPr>
            <w:tcW w:w="0" w:type="dxa"/>
            <w:vAlign w:val="bottom"/>
          </w:tcPr>
          <w:p>
            <w:pPr>
              <w:spacing w:after="0"/>
              <w:rPr>
                <w:sz w:val="1"/>
                <w:szCs w:val="1"/>
                <w:color w:val="auto"/>
              </w:rPr>
            </w:pPr>
          </w:p>
        </w:tc>
      </w:tr>
      <w:tr>
        <w:trPr>
          <w:trHeight w:val="157"/>
        </w:trPr>
        <w:tc>
          <w:tcPr>
            <w:tcW w:w="6600" w:type="dxa"/>
            <w:vAlign w:val="bottom"/>
          </w:tcPr>
          <w:p>
            <w:pPr>
              <w:ind w:left="140"/>
              <w:spacing w:after="0"/>
              <w:rPr>
                <w:sz w:val="20"/>
                <w:szCs w:val="20"/>
                <w:color w:val="auto"/>
              </w:rPr>
            </w:pPr>
            <w:r>
              <w:rPr>
                <w:rFonts w:ascii="Arial" w:cs="Arial" w:eastAsia="Arial" w:hAnsi="Arial"/>
                <w:sz w:val="13"/>
                <w:szCs w:val="13"/>
                <w:color w:val="auto"/>
              </w:rPr>
              <w:t>Amounts utilized</w:t>
            </w:r>
          </w:p>
        </w:tc>
        <w:tc>
          <w:tcPr>
            <w:tcW w:w="100" w:type="dxa"/>
            <w:vAlign w:val="bottom"/>
          </w:tcPr>
          <w:p>
            <w:pPr>
              <w:spacing w:after="0"/>
              <w:rPr>
                <w:sz w:val="13"/>
                <w:szCs w:val="13"/>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3"/>
                <w:szCs w:val="13"/>
                <w:color w:val="auto"/>
              </w:rPr>
              <w:t>(1,204)</w:t>
            </w:r>
          </w:p>
        </w:tc>
        <w:tc>
          <w:tcPr>
            <w:tcW w:w="80" w:type="dxa"/>
            <w:vAlign w:val="bottom"/>
          </w:tcPr>
          <w:p>
            <w:pPr>
              <w:spacing w:after="0"/>
              <w:rPr>
                <w:sz w:val="13"/>
                <w:szCs w:val="13"/>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3"/>
                <w:szCs w:val="13"/>
                <w:color w:val="auto"/>
              </w:rPr>
              <w:t>(4)</w:t>
            </w:r>
          </w:p>
        </w:tc>
        <w:tc>
          <w:tcPr>
            <w:tcW w:w="120" w:type="dxa"/>
            <w:vAlign w:val="bottom"/>
          </w:tcPr>
          <w:p>
            <w:pPr>
              <w:spacing w:after="0"/>
              <w:rPr>
                <w:sz w:val="13"/>
                <w:szCs w:val="13"/>
                <w:color w:val="auto"/>
              </w:rPr>
            </w:pPr>
          </w:p>
        </w:tc>
        <w:tc>
          <w:tcPr>
            <w:tcW w:w="580" w:type="dxa"/>
            <w:vAlign w:val="bottom"/>
            <w:gridSpan w:val="2"/>
          </w:tcPr>
          <w:p>
            <w:pPr>
              <w:jc w:val="right"/>
              <w:ind w:right="360"/>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(1,210)</w:t>
            </w:r>
          </w:p>
        </w:tc>
        <w:tc>
          <w:tcPr>
            <w:tcW w:w="0" w:type="dxa"/>
            <w:vAlign w:val="bottom"/>
          </w:tcPr>
          <w:p>
            <w:pPr>
              <w:spacing w:after="0"/>
              <w:rPr>
                <w:sz w:val="1"/>
                <w:szCs w:val="1"/>
                <w:color w:val="auto"/>
              </w:rPr>
            </w:pPr>
          </w:p>
        </w:tc>
      </w:tr>
      <w:tr>
        <w:trPr>
          <w:trHeight w:val="157"/>
        </w:trPr>
        <w:tc>
          <w:tcPr>
            <w:tcW w:w="6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Adjustments</w:t>
            </w: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(150)</w:t>
            </w: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(150)</w:t>
            </w:r>
          </w:p>
        </w:tc>
        <w:tc>
          <w:tcPr>
            <w:tcW w:w="0" w:type="dxa"/>
            <w:vAlign w:val="bottom"/>
          </w:tcPr>
          <w:p>
            <w:pPr>
              <w:spacing w:after="0"/>
              <w:rPr>
                <w:sz w:val="1"/>
                <w:szCs w:val="1"/>
                <w:color w:val="auto"/>
              </w:rPr>
            </w:pPr>
          </w:p>
        </w:tc>
      </w:tr>
      <w:tr>
        <w:trPr>
          <w:trHeight w:val="157"/>
        </w:trPr>
        <w:tc>
          <w:tcPr>
            <w:tcW w:w="6600" w:type="dxa"/>
            <w:vAlign w:val="bottom"/>
          </w:tcPr>
          <w:p>
            <w:pPr>
              <w:ind w:left="140"/>
              <w:spacing w:after="0"/>
              <w:rPr>
                <w:sz w:val="20"/>
                <w:szCs w:val="20"/>
                <w:color w:val="auto"/>
              </w:rPr>
            </w:pPr>
            <w:r>
              <w:rPr>
                <w:rFonts w:ascii="Arial" w:cs="Arial" w:eastAsia="Arial" w:hAnsi="Arial"/>
                <w:sz w:val="13"/>
                <w:szCs w:val="13"/>
                <w:color w:val="auto"/>
              </w:rPr>
              <w:t>Other, principally foreign currency translation</w:t>
            </w:r>
          </w:p>
        </w:tc>
        <w:tc>
          <w:tcPr>
            <w:tcW w:w="10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10</w:t>
            </w:r>
          </w:p>
        </w:tc>
        <w:tc>
          <w:tcPr>
            <w:tcW w:w="80" w:type="dxa"/>
            <w:vAlign w:val="bottom"/>
          </w:tcPr>
          <w:p>
            <w:pPr>
              <w:spacing w:after="0"/>
              <w:rPr>
                <w:sz w:val="13"/>
                <w:szCs w:val="13"/>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5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600" w:type="dxa"/>
            <w:vAlign w:val="bottom"/>
            <w:shd w:val="clear" w:color="auto" w:fill="CCEEFF"/>
          </w:tcPr>
          <w:p>
            <w:pPr>
              <w:spacing w:after="0"/>
              <w:rPr>
                <w:sz w:val="20"/>
                <w:szCs w:val="20"/>
                <w:color w:val="auto"/>
              </w:rPr>
            </w:pPr>
            <w:r>
              <w:rPr>
                <w:rFonts w:ascii="Arial" w:cs="Arial" w:eastAsia="Arial" w:hAnsi="Arial"/>
                <w:sz w:val="13"/>
                <w:szCs w:val="13"/>
                <w:color w:val="auto"/>
              </w:rPr>
              <w:t>Balance at September 30, 2006</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1,616</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745</w:t>
            </w:r>
          </w:p>
        </w:tc>
        <w:tc>
          <w:tcPr>
            <w:tcW w:w="12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2,361</w:t>
            </w:r>
          </w:p>
        </w:tc>
        <w:tc>
          <w:tcPr>
            <w:tcW w:w="0" w:type="dxa"/>
            <w:vAlign w:val="bottom"/>
          </w:tcPr>
          <w:p>
            <w:pPr>
              <w:spacing w:after="0"/>
              <w:rPr>
                <w:sz w:val="1"/>
                <w:szCs w:val="1"/>
                <w:color w:val="auto"/>
              </w:rPr>
            </w:pPr>
          </w:p>
        </w:tc>
      </w:tr>
      <w:tr>
        <w:trPr>
          <w:trHeight w:val="29"/>
        </w:trPr>
        <w:tc>
          <w:tcPr>
            <w:tcW w:w="6600" w:type="dxa"/>
            <w:vAlign w:val="bottom"/>
          </w:tcPr>
          <w:p>
            <w:pPr>
              <w:spacing w:after="0"/>
              <w:rPr>
                <w:sz w:val="2"/>
                <w:szCs w:val="2"/>
                <w:color w:val="auto"/>
              </w:rPr>
            </w:pPr>
          </w:p>
        </w:tc>
        <w:tc>
          <w:tcPr>
            <w:tcW w:w="100" w:type="dxa"/>
            <w:vAlign w:val="bottom"/>
            <w:shd w:val="clear" w:color="auto" w:fill="000003"/>
          </w:tcPr>
          <w:p>
            <w:pPr>
              <w:spacing w:after="0"/>
              <w:rPr>
                <w:sz w:val="2"/>
                <w:szCs w:val="2"/>
                <w:color w:val="auto"/>
              </w:rPr>
            </w:pPr>
          </w:p>
        </w:tc>
        <w:tc>
          <w:tcPr>
            <w:tcW w:w="600" w:type="dxa"/>
            <w:vAlign w:val="bottom"/>
            <w:shd w:val="clear" w:color="auto" w:fill="000003"/>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3"/>
          </w:tcPr>
          <w:p>
            <w:pPr>
              <w:spacing w:after="0"/>
              <w:rPr>
                <w:sz w:val="2"/>
                <w:szCs w:val="2"/>
                <w:color w:val="auto"/>
              </w:rPr>
            </w:pPr>
          </w:p>
        </w:tc>
        <w:tc>
          <w:tcPr>
            <w:tcW w:w="420" w:type="dxa"/>
            <w:vAlign w:val="bottom"/>
            <w:shd w:val="clear" w:color="auto" w:fill="000003"/>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3"/>
          </w:tcPr>
          <w:p>
            <w:pPr>
              <w:spacing w:after="0"/>
              <w:rPr>
                <w:sz w:val="2"/>
                <w:szCs w:val="2"/>
                <w:color w:val="auto"/>
              </w:rPr>
            </w:pPr>
          </w:p>
        </w:tc>
        <w:tc>
          <w:tcPr>
            <w:tcW w:w="180" w:type="dxa"/>
            <w:vAlign w:val="bottom"/>
            <w:shd w:val="clear" w:color="auto" w:fill="000003"/>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3"/>
          </w:tcPr>
          <w:p>
            <w:pPr>
              <w:spacing w:after="0"/>
              <w:rPr>
                <w:sz w:val="2"/>
                <w:szCs w:val="2"/>
                <w:color w:val="auto"/>
              </w:rPr>
            </w:pPr>
          </w:p>
        </w:tc>
        <w:tc>
          <w:tcPr>
            <w:tcW w:w="460" w:type="dxa"/>
            <w:vAlign w:val="bottom"/>
            <w:shd w:val="clear" w:color="auto" w:fill="000003"/>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240" w:firstLine="399"/>
        <w:spacing w:after="0" w:line="264" w:lineRule="auto"/>
        <w:rPr>
          <w:sz w:val="20"/>
          <w:szCs w:val="20"/>
          <w:color w:val="auto"/>
        </w:rPr>
      </w:pPr>
      <w:r>
        <w:rPr>
          <w:rFonts w:ascii="Arial" w:cs="Arial" w:eastAsia="Arial" w:hAnsi="Arial"/>
          <w:sz w:val="13"/>
          <w:szCs w:val="13"/>
          <w:color w:val="auto"/>
        </w:rPr>
        <w:t>As of September 30, 2006, the remaining Memec-related reserves related to the restructuring charges recorded in fiscal 2006 totaled $2,361,000, of which $1,616,000 related to severance reserves, the majority of which management expects to utilize by the end of fiscal 2007, facility exit costs of $745,000, the majority of which management expects to utilize by fiscal 2009.</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Restructuring and other charges related to business line divestitures and other actions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following table summarizes the activity relating to the restructuring and other charges related to business line divestitures and other actions taken during fiscal 2006:</w:t>
      </w:r>
    </w:p>
    <w:p>
      <w:pPr>
        <w:spacing w:after="0" w:line="103"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6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vMerge w:val="restart"/>
          </w:tcPr>
          <w:p>
            <w:pPr>
              <w:jc w:val="center"/>
              <w:ind w:right="500"/>
              <w:spacing w:after="0"/>
              <w:rPr>
                <w:sz w:val="20"/>
                <w:szCs w:val="20"/>
                <w:color w:val="auto"/>
              </w:rPr>
            </w:pPr>
            <w:r>
              <w:rPr>
                <w:rFonts w:ascii="Arial" w:cs="Arial" w:eastAsia="Arial" w:hAnsi="Arial"/>
                <w:sz w:val="10"/>
                <w:szCs w:val="10"/>
                <w:b w:val="1"/>
                <w:bCs w:val="1"/>
                <w:color w:val="auto"/>
                <w:w w:val="87"/>
              </w:rPr>
              <w:t>Severance</w:t>
            </w:r>
          </w:p>
        </w:tc>
        <w:tc>
          <w:tcPr>
            <w:tcW w:w="80" w:type="dxa"/>
            <w:vAlign w:val="bottom"/>
          </w:tcPr>
          <w:p>
            <w:pPr>
              <w:spacing w:after="0"/>
              <w:rPr>
                <w:sz w:val="10"/>
                <w:szCs w:val="10"/>
                <w:color w:val="auto"/>
              </w:rPr>
            </w:pPr>
          </w:p>
        </w:tc>
        <w:tc>
          <w:tcPr>
            <w:tcW w:w="800" w:type="dxa"/>
            <w:vAlign w:val="bottom"/>
            <w:gridSpan w:val="2"/>
          </w:tcPr>
          <w:p>
            <w:pPr>
              <w:jc w:val="center"/>
              <w:ind w:right="460"/>
              <w:spacing w:after="0"/>
              <w:rPr>
                <w:sz w:val="20"/>
                <w:szCs w:val="20"/>
                <w:color w:val="auto"/>
              </w:rPr>
            </w:pPr>
            <w:r>
              <w:rPr>
                <w:rFonts w:ascii="Arial" w:cs="Arial" w:eastAsia="Arial" w:hAnsi="Arial"/>
                <w:sz w:val="10"/>
                <w:szCs w:val="10"/>
                <w:b w:val="1"/>
                <w:bCs w:val="1"/>
                <w:color w:val="auto"/>
                <w:w w:val="98"/>
              </w:rPr>
              <w:t>Facility</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gridSpan w:val="2"/>
          </w:tcPr>
          <w:p>
            <w:pPr>
              <w:jc w:val="center"/>
              <w:ind w:right="460"/>
              <w:spacing w:after="0" w:line="108" w:lineRule="exact"/>
              <w:rPr>
                <w:sz w:val="20"/>
                <w:szCs w:val="20"/>
                <w:color w:val="auto"/>
              </w:rPr>
            </w:pPr>
            <w:r>
              <w:rPr>
                <w:rFonts w:ascii="Arial" w:cs="Arial" w:eastAsia="Arial" w:hAnsi="Arial"/>
                <w:sz w:val="10"/>
                <w:szCs w:val="10"/>
                <w:b w:val="1"/>
                <w:bCs w:val="1"/>
                <w:color w:val="auto"/>
                <w:w w:val="97"/>
              </w:rPr>
              <w:t>Exit</w:t>
            </w:r>
          </w:p>
        </w:tc>
        <w:tc>
          <w:tcPr>
            <w:tcW w:w="300" w:type="dxa"/>
            <w:vAlign w:val="bottom"/>
            <w:gridSpan w:val="2"/>
            <w:vMerge w:val="restart"/>
          </w:tcPr>
          <w:p>
            <w:pPr>
              <w:ind w:left="20"/>
              <w:spacing w:after="0"/>
              <w:rPr>
                <w:sz w:val="20"/>
                <w:szCs w:val="20"/>
                <w:color w:val="auto"/>
              </w:rPr>
            </w:pPr>
            <w:r>
              <w:rPr>
                <w:rFonts w:ascii="Arial" w:cs="Arial" w:eastAsia="Arial" w:hAnsi="Arial"/>
                <w:sz w:val="10"/>
                <w:szCs w:val="10"/>
                <w:b w:val="1"/>
                <w:bCs w:val="1"/>
                <w:color w:val="auto"/>
                <w:w w:val="97"/>
              </w:rPr>
              <w:t>Other</w:t>
            </w:r>
          </w:p>
        </w:tc>
        <w:tc>
          <w:tcPr>
            <w:tcW w:w="400" w:type="dxa"/>
            <w:vAlign w:val="bottom"/>
            <w:vMerge w:val="restart"/>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vMerge w:val="restart"/>
          </w:tcPr>
          <w:p>
            <w:pPr>
              <w:ind w:left="60"/>
              <w:spacing w:after="0"/>
              <w:rPr>
                <w:sz w:val="20"/>
                <w:szCs w:val="20"/>
                <w:color w:val="auto"/>
              </w:rPr>
            </w:pPr>
            <w:r>
              <w:rPr>
                <w:rFonts w:ascii="Arial" w:cs="Arial" w:eastAsia="Arial" w:hAnsi="Arial"/>
                <w:sz w:val="10"/>
                <w:szCs w:val="10"/>
                <w:b w:val="1"/>
                <w:bCs w:val="1"/>
                <w:color w:val="auto"/>
              </w:rPr>
              <w:t>Total</w:t>
            </w:r>
          </w:p>
        </w:tc>
        <w:tc>
          <w:tcPr>
            <w:tcW w:w="10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66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center"/>
              <w:ind w:right="18"/>
              <w:spacing w:after="0"/>
              <w:rPr>
                <w:sz w:val="20"/>
                <w:szCs w:val="20"/>
                <w:color w:val="auto"/>
              </w:rPr>
            </w:pPr>
            <w:r>
              <w:rPr>
                <w:rFonts w:ascii="Arial" w:cs="Arial" w:eastAsia="Arial" w:hAnsi="Arial"/>
                <w:sz w:val="10"/>
                <w:szCs w:val="10"/>
                <w:b w:val="1"/>
                <w:bCs w:val="1"/>
                <w:color w:val="auto"/>
                <w:w w:val="89"/>
              </w:rPr>
              <w:t>Reserves</w:t>
            </w:r>
          </w:p>
        </w:tc>
        <w:tc>
          <w:tcPr>
            <w:tcW w:w="4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center"/>
              <w:ind w:right="20"/>
              <w:spacing w:after="0"/>
              <w:rPr>
                <w:sz w:val="20"/>
                <w:szCs w:val="20"/>
                <w:color w:val="auto"/>
              </w:rPr>
            </w:pPr>
            <w:r>
              <w:rPr>
                <w:rFonts w:ascii="Arial" w:cs="Arial" w:eastAsia="Arial" w:hAnsi="Arial"/>
                <w:sz w:val="10"/>
                <w:szCs w:val="10"/>
                <w:b w:val="1"/>
                <w:bCs w:val="1"/>
                <w:color w:val="auto"/>
                <w:w w:val="93"/>
              </w:rPr>
              <w:t>Costs</w:t>
            </w:r>
          </w:p>
        </w:tc>
        <w:tc>
          <w:tcPr>
            <w:tcW w:w="380" w:type="dxa"/>
            <w:vAlign w:val="bottom"/>
          </w:tcPr>
          <w:p>
            <w:pPr>
              <w:spacing w:after="0"/>
              <w:rPr>
                <w:sz w:val="10"/>
                <w:szCs w:val="10"/>
                <w:color w:val="auto"/>
              </w:rPr>
            </w:pPr>
          </w:p>
        </w:tc>
        <w:tc>
          <w:tcPr>
            <w:tcW w:w="300" w:type="dxa"/>
            <w:vAlign w:val="bottom"/>
            <w:tcBorders>
              <w:bottom w:val="single" w:sz="8" w:color="auto"/>
            </w:tcBorders>
            <w:gridSpan w:val="2"/>
            <w:vMerge w:val="continue"/>
          </w:tcPr>
          <w:p>
            <w:pPr>
              <w:spacing w:after="0"/>
              <w:rPr>
                <w:sz w:val="10"/>
                <w:szCs w:val="10"/>
                <w:color w:val="auto"/>
              </w:rPr>
            </w:pPr>
          </w:p>
        </w:tc>
        <w:tc>
          <w:tcPr>
            <w:tcW w:w="400" w:type="dxa"/>
            <w:vAlign w:val="bottom"/>
            <w:vMerge w:val="continue"/>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6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0"/>
                <w:szCs w:val="10"/>
                <w:b w:val="1"/>
                <w:bCs w:val="1"/>
                <w:color w:val="auto"/>
              </w:rPr>
              <w:t>(Thousands)</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600" w:type="dxa"/>
            <w:vAlign w:val="bottom"/>
            <w:shd w:val="clear" w:color="auto" w:fill="CCEEFF"/>
          </w:tcPr>
          <w:p>
            <w:pPr>
              <w:spacing w:after="0"/>
              <w:rPr>
                <w:sz w:val="20"/>
                <w:szCs w:val="20"/>
                <w:color w:val="auto"/>
              </w:rPr>
            </w:pPr>
            <w:r>
              <w:rPr>
                <w:rFonts w:ascii="Arial" w:cs="Arial" w:eastAsia="Arial" w:hAnsi="Arial"/>
                <w:sz w:val="13"/>
                <w:szCs w:val="13"/>
                <w:color w:val="auto"/>
              </w:rPr>
              <w:t>Balance at July 1, 2006</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3,972</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2,281</w:t>
            </w:r>
          </w:p>
        </w:tc>
        <w:tc>
          <w:tcPr>
            <w:tcW w:w="12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97</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6,350</w:t>
            </w:r>
          </w:p>
        </w:tc>
        <w:tc>
          <w:tcPr>
            <w:tcW w:w="0" w:type="dxa"/>
            <w:vAlign w:val="bottom"/>
          </w:tcPr>
          <w:p>
            <w:pPr>
              <w:spacing w:after="0"/>
              <w:rPr>
                <w:sz w:val="1"/>
                <w:szCs w:val="1"/>
                <w:color w:val="auto"/>
              </w:rPr>
            </w:pPr>
          </w:p>
        </w:tc>
      </w:tr>
      <w:tr>
        <w:trPr>
          <w:trHeight w:val="157"/>
        </w:trPr>
        <w:tc>
          <w:tcPr>
            <w:tcW w:w="6600" w:type="dxa"/>
            <w:vAlign w:val="bottom"/>
          </w:tcPr>
          <w:p>
            <w:pPr>
              <w:ind w:left="140"/>
              <w:spacing w:after="0"/>
              <w:rPr>
                <w:sz w:val="20"/>
                <w:szCs w:val="20"/>
                <w:color w:val="auto"/>
              </w:rPr>
            </w:pPr>
            <w:r>
              <w:rPr>
                <w:rFonts w:ascii="Arial" w:cs="Arial" w:eastAsia="Arial" w:hAnsi="Arial"/>
                <w:sz w:val="13"/>
                <w:szCs w:val="13"/>
                <w:color w:val="auto"/>
              </w:rPr>
              <w:t>Amounts utilized</w:t>
            </w:r>
          </w:p>
        </w:tc>
        <w:tc>
          <w:tcPr>
            <w:tcW w:w="100" w:type="dxa"/>
            <w:vAlign w:val="bottom"/>
          </w:tcPr>
          <w:p>
            <w:pPr>
              <w:spacing w:after="0"/>
              <w:rPr>
                <w:sz w:val="13"/>
                <w:szCs w:val="13"/>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3"/>
                <w:szCs w:val="13"/>
                <w:color w:val="auto"/>
              </w:rPr>
              <w:t>(1,270)</w:t>
            </w:r>
          </w:p>
        </w:tc>
        <w:tc>
          <w:tcPr>
            <w:tcW w:w="80" w:type="dxa"/>
            <w:vAlign w:val="bottom"/>
          </w:tcPr>
          <w:p>
            <w:pPr>
              <w:spacing w:after="0"/>
              <w:rPr>
                <w:sz w:val="13"/>
                <w:szCs w:val="13"/>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3"/>
                <w:szCs w:val="13"/>
                <w:color w:val="auto"/>
              </w:rPr>
              <w:t>(256)</w:t>
            </w:r>
          </w:p>
        </w:tc>
        <w:tc>
          <w:tcPr>
            <w:tcW w:w="120" w:type="dxa"/>
            <w:vAlign w:val="bottom"/>
          </w:tcPr>
          <w:p>
            <w:pPr>
              <w:spacing w:after="0"/>
              <w:rPr>
                <w:sz w:val="13"/>
                <w:szCs w:val="13"/>
                <w:color w:val="auto"/>
              </w:rPr>
            </w:pPr>
          </w:p>
        </w:tc>
        <w:tc>
          <w:tcPr>
            <w:tcW w:w="5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(1,526)</w:t>
            </w:r>
          </w:p>
        </w:tc>
        <w:tc>
          <w:tcPr>
            <w:tcW w:w="0" w:type="dxa"/>
            <w:vAlign w:val="bottom"/>
          </w:tcPr>
          <w:p>
            <w:pPr>
              <w:spacing w:after="0"/>
              <w:rPr>
                <w:sz w:val="1"/>
                <w:szCs w:val="1"/>
                <w:color w:val="auto"/>
              </w:rPr>
            </w:pPr>
          </w:p>
        </w:tc>
      </w:tr>
      <w:tr>
        <w:trPr>
          <w:trHeight w:val="157"/>
        </w:trPr>
        <w:tc>
          <w:tcPr>
            <w:tcW w:w="6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Adjustments</w:t>
            </w: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(135)</w:t>
            </w: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(34)</w:t>
            </w:r>
          </w:p>
        </w:tc>
        <w:tc>
          <w:tcPr>
            <w:tcW w:w="12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(169)</w:t>
            </w:r>
          </w:p>
        </w:tc>
        <w:tc>
          <w:tcPr>
            <w:tcW w:w="0" w:type="dxa"/>
            <w:vAlign w:val="bottom"/>
          </w:tcPr>
          <w:p>
            <w:pPr>
              <w:spacing w:after="0"/>
              <w:rPr>
                <w:sz w:val="1"/>
                <w:szCs w:val="1"/>
                <w:color w:val="auto"/>
              </w:rPr>
            </w:pPr>
          </w:p>
        </w:tc>
      </w:tr>
      <w:tr>
        <w:trPr>
          <w:trHeight w:val="157"/>
        </w:trPr>
        <w:tc>
          <w:tcPr>
            <w:tcW w:w="6600" w:type="dxa"/>
            <w:vAlign w:val="bottom"/>
          </w:tcPr>
          <w:p>
            <w:pPr>
              <w:ind w:left="140"/>
              <w:spacing w:after="0"/>
              <w:rPr>
                <w:sz w:val="20"/>
                <w:szCs w:val="20"/>
                <w:color w:val="auto"/>
              </w:rPr>
            </w:pPr>
            <w:r>
              <w:rPr>
                <w:rFonts w:ascii="Arial" w:cs="Arial" w:eastAsia="Arial" w:hAnsi="Arial"/>
                <w:sz w:val="13"/>
                <w:szCs w:val="13"/>
                <w:color w:val="auto"/>
              </w:rPr>
              <w:t>Other, principally foreign currency translation</w:t>
            </w:r>
          </w:p>
        </w:tc>
        <w:tc>
          <w:tcPr>
            <w:tcW w:w="10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20</w:t>
            </w:r>
          </w:p>
        </w:tc>
        <w:tc>
          <w:tcPr>
            <w:tcW w:w="80" w:type="dxa"/>
            <w:vAlign w:val="bottom"/>
          </w:tcPr>
          <w:p>
            <w:pPr>
              <w:spacing w:after="0"/>
              <w:rPr>
                <w:sz w:val="13"/>
                <w:szCs w:val="13"/>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580" w:type="dxa"/>
            <w:vAlign w:val="bottom"/>
            <w:gridSpan w:val="2"/>
          </w:tcPr>
          <w:p>
            <w:pPr>
              <w:jc w:val="right"/>
              <w:ind w:right="400"/>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22</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600" w:type="dxa"/>
            <w:vAlign w:val="bottom"/>
            <w:shd w:val="clear" w:color="auto" w:fill="CCEEFF"/>
          </w:tcPr>
          <w:p>
            <w:pPr>
              <w:spacing w:after="0"/>
              <w:rPr>
                <w:sz w:val="20"/>
                <w:szCs w:val="20"/>
                <w:color w:val="auto"/>
              </w:rPr>
            </w:pPr>
            <w:r>
              <w:rPr>
                <w:rFonts w:ascii="Arial" w:cs="Arial" w:eastAsia="Arial" w:hAnsi="Arial"/>
                <w:sz w:val="13"/>
                <w:szCs w:val="13"/>
                <w:color w:val="auto"/>
              </w:rPr>
              <w:t>Balance at September 30, 2006</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2,587</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1,991</w:t>
            </w:r>
          </w:p>
        </w:tc>
        <w:tc>
          <w:tcPr>
            <w:tcW w:w="12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99</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4,677</w:t>
            </w:r>
          </w:p>
        </w:tc>
        <w:tc>
          <w:tcPr>
            <w:tcW w:w="0" w:type="dxa"/>
            <w:vAlign w:val="bottom"/>
          </w:tcPr>
          <w:p>
            <w:pPr>
              <w:spacing w:after="0"/>
              <w:rPr>
                <w:sz w:val="1"/>
                <w:szCs w:val="1"/>
                <w:color w:val="auto"/>
              </w:rPr>
            </w:pPr>
          </w:p>
        </w:tc>
      </w:tr>
      <w:tr>
        <w:trPr>
          <w:trHeight w:val="29"/>
        </w:trPr>
        <w:tc>
          <w:tcPr>
            <w:tcW w:w="6600" w:type="dxa"/>
            <w:vAlign w:val="bottom"/>
          </w:tcPr>
          <w:p>
            <w:pPr>
              <w:spacing w:after="0"/>
              <w:rPr>
                <w:sz w:val="2"/>
                <w:szCs w:val="2"/>
                <w:color w:val="auto"/>
              </w:rPr>
            </w:pPr>
          </w:p>
        </w:tc>
        <w:tc>
          <w:tcPr>
            <w:tcW w:w="100" w:type="dxa"/>
            <w:vAlign w:val="bottom"/>
            <w:shd w:val="clear" w:color="auto" w:fill="000003"/>
          </w:tcPr>
          <w:p>
            <w:pPr>
              <w:spacing w:after="0"/>
              <w:rPr>
                <w:sz w:val="2"/>
                <w:szCs w:val="2"/>
                <w:color w:val="auto"/>
              </w:rPr>
            </w:pPr>
          </w:p>
        </w:tc>
        <w:tc>
          <w:tcPr>
            <w:tcW w:w="600" w:type="dxa"/>
            <w:vAlign w:val="bottom"/>
            <w:shd w:val="clear" w:color="auto" w:fill="000003"/>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3"/>
          </w:tcPr>
          <w:p>
            <w:pPr>
              <w:spacing w:after="0"/>
              <w:rPr>
                <w:sz w:val="2"/>
                <w:szCs w:val="2"/>
                <w:color w:val="auto"/>
              </w:rPr>
            </w:pPr>
          </w:p>
        </w:tc>
        <w:tc>
          <w:tcPr>
            <w:tcW w:w="420" w:type="dxa"/>
            <w:vAlign w:val="bottom"/>
            <w:shd w:val="clear" w:color="auto" w:fill="000003"/>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3"/>
          </w:tcPr>
          <w:p>
            <w:pPr>
              <w:spacing w:after="0"/>
              <w:rPr>
                <w:sz w:val="2"/>
                <w:szCs w:val="2"/>
                <w:color w:val="auto"/>
              </w:rPr>
            </w:pPr>
          </w:p>
        </w:tc>
        <w:tc>
          <w:tcPr>
            <w:tcW w:w="180" w:type="dxa"/>
            <w:vAlign w:val="bottom"/>
            <w:shd w:val="clear" w:color="auto" w:fill="000003"/>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3"/>
          </w:tcPr>
          <w:p>
            <w:pPr>
              <w:spacing w:after="0"/>
              <w:rPr>
                <w:sz w:val="2"/>
                <w:szCs w:val="2"/>
                <w:color w:val="auto"/>
              </w:rPr>
            </w:pPr>
          </w:p>
        </w:tc>
        <w:tc>
          <w:tcPr>
            <w:tcW w:w="460" w:type="dxa"/>
            <w:vAlign w:val="bottom"/>
            <w:shd w:val="clear" w:color="auto" w:fill="000003"/>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As of September 30, 2006, remaining reserves related to these non-Memec related restructuring and other actions taken in fiscal 2006 totaled $4,677,000 of which $2,587,000 related to severance reserves, the majority of which management expects to utilize before the end of fiscal 2008, facility exit costs of $1,991,000, the majority of which management expects to utilize by fiscal 2013, and other costs of $99,000, the majority of which management expects to utilize by the end of fiscal 2007.</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Fiscal 2004 and 2003</w:t>
      </w:r>
    </w:p>
    <w:p>
      <w:pPr>
        <w:spacing w:after="0" w:line="96"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During fiscal 2004 and 2003, the Company recorded a number of restructuring charges which related to the reorganization of operations in each of the three major regions of the world in which the Company operates, generally taken in response to business conditions at the time of the charge and as part of the efforts of the Company to return to the profitability levels enjoyed by the business prior to the industry and economic downturn that commenced in fiscal 2001.</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4" w:name="page15"/>
    <w:bookmarkEnd w:id="1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AVNET,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69" w:lineRule="exact"/>
        <w:rPr>
          <w:sz w:val="20"/>
          <w:szCs w:val="20"/>
          <w:color w:val="auto"/>
        </w:rPr>
      </w:pPr>
    </w:p>
    <w:p>
      <w:pPr>
        <w:jc w:val="right"/>
        <w:ind w:right="20"/>
        <w:spacing w:after="0"/>
        <w:rPr>
          <w:sz w:val="20"/>
          <w:szCs w:val="20"/>
          <w:color w:val="auto"/>
        </w:rPr>
      </w:pPr>
      <w:r>
        <w:rPr>
          <w:rFonts w:ascii="Arial" w:cs="Arial" w:eastAsia="Arial" w:hAnsi="Arial"/>
          <w:sz w:val="13"/>
          <w:szCs w:val="13"/>
          <w:color w:val="auto"/>
        </w:rPr>
        <w:t>The following table summarizes the activity during the first quarter ended fiscal 2007 in the remaining accrued liability and reserve accounts in these prior year restructuring reserves: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6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vMerge w:val="restart"/>
          </w:tcPr>
          <w:p>
            <w:pPr>
              <w:jc w:val="right"/>
              <w:ind w:right="540"/>
              <w:spacing w:after="0"/>
              <w:rPr>
                <w:sz w:val="20"/>
                <w:szCs w:val="20"/>
                <w:color w:val="auto"/>
              </w:rPr>
            </w:pPr>
            <w:r>
              <w:rPr>
                <w:rFonts w:ascii="Arial" w:cs="Arial" w:eastAsia="Arial" w:hAnsi="Arial"/>
                <w:sz w:val="10"/>
                <w:szCs w:val="10"/>
                <w:b w:val="1"/>
                <w:bCs w:val="1"/>
                <w:color w:val="auto"/>
                <w:w w:val="91"/>
              </w:rPr>
              <w:t>Severance</w:t>
            </w:r>
          </w:p>
        </w:tc>
        <w:tc>
          <w:tcPr>
            <w:tcW w:w="80" w:type="dxa"/>
            <w:vAlign w:val="bottom"/>
          </w:tcPr>
          <w:p>
            <w:pPr>
              <w:spacing w:after="0"/>
              <w:rPr>
                <w:sz w:val="10"/>
                <w:szCs w:val="10"/>
                <w:color w:val="auto"/>
              </w:rPr>
            </w:pPr>
          </w:p>
        </w:tc>
        <w:tc>
          <w:tcPr>
            <w:tcW w:w="800" w:type="dxa"/>
            <w:vAlign w:val="bottom"/>
            <w:gridSpan w:val="2"/>
          </w:tcPr>
          <w:p>
            <w:pPr>
              <w:jc w:val="center"/>
              <w:ind w:right="460"/>
              <w:spacing w:after="0"/>
              <w:rPr>
                <w:sz w:val="20"/>
                <w:szCs w:val="20"/>
                <w:color w:val="auto"/>
              </w:rPr>
            </w:pPr>
            <w:r>
              <w:rPr>
                <w:rFonts w:ascii="Arial" w:cs="Arial" w:eastAsia="Arial" w:hAnsi="Arial"/>
                <w:sz w:val="10"/>
                <w:szCs w:val="10"/>
                <w:b w:val="1"/>
                <w:bCs w:val="1"/>
                <w:color w:val="auto"/>
                <w:w w:val="98"/>
              </w:rPr>
              <w:t>Facility</w:t>
            </w: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gridSpan w:val="2"/>
          </w:tcPr>
          <w:p>
            <w:pPr>
              <w:jc w:val="center"/>
              <w:ind w:right="460"/>
              <w:spacing w:after="0" w:line="108" w:lineRule="exact"/>
              <w:rPr>
                <w:sz w:val="20"/>
                <w:szCs w:val="20"/>
                <w:color w:val="auto"/>
              </w:rPr>
            </w:pPr>
            <w:r>
              <w:rPr>
                <w:rFonts w:ascii="Arial" w:cs="Arial" w:eastAsia="Arial" w:hAnsi="Arial"/>
                <w:sz w:val="10"/>
                <w:szCs w:val="10"/>
                <w:b w:val="1"/>
                <w:bCs w:val="1"/>
                <w:color w:val="auto"/>
                <w:w w:val="97"/>
              </w:rPr>
              <w:t>Exit</w:t>
            </w:r>
          </w:p>
        </w:tc>
        <w:tc>
          <w:tcPr>
            <w:tcW w:w="300" w:type="dxa"/>
            <w:vAlign w:val="bottom"/>
            <w:vMerge w:val="restart"/>
          </w:tcPr>
          <w:p>
            <w:pPr>
              <w:ind w:left="20"/>
              <w:spacing w:after="0"/>
              <w:rPr>
                <w:sz w:val="20"/>
                <w:szCs w:val="20"/>
                <w:color w:val="auto"/>
              </w:rPr>
            </w:pPr>
            <w:r>
              <w:rPr>
                <w:rFonts w:ascii="Arial" w:cs="Arial" w:eastAsia="Arial" w:hAnsi="Arial"/>
                <w:sz w:val="10"/>
                <w:szCs w:val="10"/>
                <w:b w:val="1"/>
                <w:bCs w:val="1"/>
                <w:color w:val="auto"/>
                <w:w w:val="97"/>
              </w:rPr>
              <w:t>Other</w:t>
            </w:r>
          </w:p>
        </w:tc>
        <w:tc>
          <w:tcPr>
            <w:tcW w:w="400" w:type="dxa"/>
            <w:vAlign w:val="bottom"/>
            <w:vMerge w:val="restart"/>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vMerge w:val="restart"/>
          </w:tcPr>
          <w:p>
            <w:pPr>
              <w:ind w:left="20"/>
              <w:spacing w:after="0"/>
              <w:rPr>
                <w:sz w:val="20"/>
                <w:szCs w:val="20"/>
                <w:color w:val="auto"/>
              </w:rPr>
            </w:pPr>
            <w:r>
              <w:rPr>
                <w:rFonts w:ascii="Arial" w:cs="Arial" w:eastAsia="Arial" w:hAnsi="Arial"/>
                <w:sz w:val="10"/>
                <w:szCs w:val="10"/>
                <w:b w:val="1"/>
                <w:bCs w:val="1"/>
                <w:color w:val="auto"/>
              </w:rPr>
              <w:t>Total</w:t>
            </w:r>
          </w:p>
        </w:tc>
        <w:tc>
          <w:tcPr>
            <w:tcW w:w="10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67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79"/>
              <w:spacing w:after="0"/>
              <w:rPr>
                <w:sz w:val="20"/>
                <w:szCs w:val="20"/>
                <w:color w:val="auto"/>
              </w:rPr>
            </w:pPr>
            <w:r>
              <w:rPr>
                <w:rFonts w:ascii="Arial" w:cs="Arial" w:eastAsia="Arial" w:hAnsi="Arial"/>
                <w:sz w:val="10"/>
                <w:szCs w:val="10"/>
                <w:b w:val="1"/>
                <w:bCs w:val="1"/>
                <w:color w:val="auto"/>
                <w:w w:val="98"/>
              </w:rPr>
              <w:t>Reserves</w:t>
            </w:r>
          </w:p>
        </w:tc>
        <w:tc>
          <w:tcPr>
            <w:tcW w:w="4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center"/>
              <w:ind w:right="21"/>
              <w:spacing w:after="0"/>
              <w:rPr>
                <w:sz w:val="20"/>
                <w:szCs w:val="20"/>
                <w:color w:val="auto"/>
              </w:rPr>
            </w:pPr>
            <w:r>
              <w:rPr>
                <w:rFonts w:ascii="Arial" w:cs="Arial" w:eastAsia="Arial" w:hAnsi="Arial"/>
                <w:sz w:val="10"/>
                <w:szCs w:val="10"/>
                <w:b w:val="1"/>
                <w:bCs w:val="1"/>
                <w:color w:val="auto"/>
                <w:w w:val="93"/>
              </w:rPr>
              <w:t>Costs</w:t>
            </w:r>
          </w:p>
        </w:tc>
        <w:tc>
          <w:tcPr>
            <w:tcW w:w="380" w:type="dxa"/>
            <w:vAlign w:val="bottom"/>
          </w:tcPr>
          <w:p>
            <w:pPr>
              <w:spacing w:after="0"/>
              <w:rPr>
                <w:sz w:val="10"/>
                <w:szCs w:val="10"/>
                <w:color w:val="auto"/>
              </w:rPr>
            </w:pPr>
          </w:p>
        </w:tc>
        <w:tc>
          <w:tcPr>
            <w:tcW w:w="300" w:type="dxa"/>
            <w:vAlign w:val="bottom"/>
            <w:tcBorders>
              <w:bottom w:val="single" w:sz="8" w:color="auto"/>
            </w:tcBorders>
            <w:vMerge w:val="continue"/>
          </w:tcPr>
          <w:p>
            <w:pPr>
              <w:spacing w:after="0"/>
              <w:rPr>
                <w:sz w:val="10"/>
                <w:szCs w:val="10"/>
                <w:color w:val="auto"/>
              </w:rPr>
            </w:pPr>
          </w:p>
        </w:tc>
        <w:tc>
          <w:tcPr>
            <w:tcW w:w="400" w:type="dxa"/>
            <w:vAlign w:val="bottom"/>
            <w:vMerge w:val="continue"/>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6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0"/>
                <w:szCs w:val="10"/>
                <w:b w:val="1"/>
                <w:bCs w:val="1"/>
                <w:color w:val="auto"/>
              </w:rPr>
              <w:t>(Thousands)</w:t>
            </w: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700" w:type="dxa"/>
            <w:vAlign w:val="bottom"/>
            <w:shd w:val="clear" w:color="auto" w:fill="CCEEFF"/>
          </w:tcPr>
          <w:p>
            <w:pPr>
              <w:spacing w:after="0"/>
              <w:rPr>
                <w:sz w:val="20"/>
                <w:szCs w:val="20"/>
                <w:color w:val="auto"/>
              </w:rPr>
            </w:pPr>
            <w:r>
              <w:rPr>
                <w:rFonts w:ascii="Arial" w:cs="Arial" w:eastAsia="Arial" w:hAnsi="Arial"/>
                <w:sz w:val="13"/>
                <w:szCs w:val="13"/>
                <w:color w:val="auto"/>
              </w:rPr>
              <w:t>Balance at July 1, 2006</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468</w:t>
            </w: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5,942</w:t>
            </w:r>
          </w:p>
        </w:tc>
        <w:tc>
          <w:tcPr>
            <w:tcW w:w="7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85"/>
              </w:rPr>
              <w:t>$ 288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6,698</w:t>
            </w:r>
          </w:p>
        </w:tc>
        <w:tc>
          <w:tcPr>
            <w:tcW w:w="0" w:type="dxa"/>
            <w:vAlign w:val="bottom"/>
          </w:tcPr>
          <w:p>
            <w:pPr>
              <w:spacing w:after="0"/>
              <w:rPr>
                <w:sz w:val="1"/>
                <w:szCs w:val="1"/>
                <w:color w:val="auto"/>
              </w:rPr>
            </w:pPr>
          </w:p>
        </w:tc>
      </w:tr>
      <w:tr>
        <w:trPr>
          <w:trHeight w:val="157"/>
        </w:trPr>
        <w:tc>
          <w:tcPr>
            <w:tcW w:w="6700" w:type="dxa"/>
            <w:vAlign w:val="bottom"/>
          </w:tcPr>
          <w:p>
            <w:pPr>
              <w:ind w:left="140"/>
              <w:spacing w:after="0"/>
              <w:rPr>
                <w:sz w:val="20"/>
                <w:szCs w:val="20"/>
                <w:color w:val="auto"/>
              </w:rPr>
            </w:pPr>
            <w:r>
              <w:rPr>
                <w:rFonts w:ascii="Arial" w:cs="Arial" w:eastAsia="Arial" w:hAnsi="Arial"/>
                <w:sz w:val="13"/>
                <w:szCs w:val="13"/>
                <w:color w:val="auto"/>
              </w:rPr>
              <w:t>Amounts utilized</w:t>
            </w:r>
          </w:p>
        </w:tc>
        <w:tc>
          <w:tcPr>
            <w:tcW w:w="100" w:type="dxa"/>
            <w:vAlign w:val="bottom"/>
          </w:tcPr>
          <w:p>
            <w:pPr>
              <w:spacing w:after="0"/>
              <w:rPr>
                <w:sz w:val="13"/>
                <w:szCs w:val="13"/>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3"/>
                <w:szCs w:val="13"/>
                <w:color w:val="auto"/>
              </w:rPr>
              <w:t>(30)</w:t>
            </w:r>
          </w:p>
        </w:tc>
        <w:tc>
          <w:tcPr>
            <w:tcW w:w="80" w:type="dxa"/>
            <w:vAlign w:val="bottom"/>
          </w:tcPr>
          <w:p>
            <w:pPr>
              <w:spacing w:after="0"/>
              <w:rPr>
                <w:sz w:val="13"/>
                <w:szCs w:val="13"/>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3"/>
                <w:szCs w:val="13"/>
                <w:color w:val="auto"/>
              </w:rPr>
              <w:t>(685)</w:t>
            </w:r>
          </w:p>
        </w:tc>
        <w:tc>
          <w:tcPr>
            <w:tcW w:w="7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(715)</w:t>
            </w:r>
          </w:p>
        </w:tc>
        <w:tc>
          <w:tcPr>
            <w:tcW w:w="0" w:type="dxa"/>
            <w:vAlign w:val="bottom"/>
          </w:tcPr>
          <w:p>
            <w:pPr>
              <w:spacing w:after="0"/>
              <w:rPr>
                <w:sz w:val="1"/>
                <w:szCs w:val="1"/>
                <w:color w:val="auto"/>
              </w:rPr>
            </w:pPr>
          </w:p>
        </w:tc>
      </w:tr>
      <w:tr>
        <w:trPr>
          <w:trHeight w:val="157"/>
        </w:trPr>
        <w:tc>
          <w:tcPr>
            <w:tcW w:w="6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principally foreign currency translation</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3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22</w:t>
            </w:r>
          </w:p>
        </w:tc>
        <w:tc>
          <w:tcPr>
            <w:tcW w:w="0" w:type="dxa"/>
            <w:vAlign w:val="bottom"/>
          </w:tcPr>
          <w:p>
            <w:pPr>
              <w:spacing w:after="0"/>
              <w:rPr>
                <w:sz w:val="1"/>
                <w:szCs w:val="1"/>
                <w:color w:val="auto"/>
              </w:rPr>
            </w:pPr>
          </w:p>
        </w:tc>
      </w:tr>
      <w:tr>
        <w:trPr>
          <w:trHeight w:val="20"/>
        </w:trPr>
        <w:tc>
          <w:tcPr>
            <w:tcW w:w="6700" w:type="dxa"/>
            <w:vAlign w:val="bottom"/>
            <w:vMerge w:val="restart"/>
          </w:tcPr>
          <w:p>
            <w:pPr>
              <w:spacing w:after="0"/>
              <w:rPr>
                <w:sz w:val="20"/>
                <w:szCs w:val="20"/>
                <w:color w:val="auto"/>
              </w:rPr>
            </w:pPr>
            <w:r>
              <w:rPr>
                <w:rFonts w:ascii="Arial" w:cs="Arial" w:eastAsia="Arial" w:hAnsi="Arial"/>
                <w:sz w:val="13"/>
                <w:szCs w:val="13"/>
                <w:color w:val="auto"/>
              </w:rPr>
              <w:t>Balance at September 30, 2006</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700" w:type="dxa"/>
            <w:vAlign w:val="bottom"/>
            <w:vMerge w:val="continue"/>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440</w:t>
            </w:r>
          </w:p>
        </w:tc>
        <w:tc>
          <w:tcPr>
            <w:tcW w:w="4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Pr>
          <w:p>
            <w:pPr>
              <w:jc w:val="right"/>
              <w:spacing w:after="0"/>
              <w:rPr>
                <w:sz w:val="20"/>
                <w:szCs w:val="20"/>
                <w:color w:val="auto"/>
              </w:rPr>
            </w:pPr>
            <w:r>
              <w:rPr>
                <w:rFonts w:ascii="Arial" w:cs="Arial" w:eastAsia="Arial" w:hAnsi="Arial"/>
                <w:sz w:val="13"/>
                <w:szCs w:val="13"/>
                <w:color w:val="auto"/>
              </w:rPr>
              <w:t>5,277</w:t>
            </w:r>
          </w:p>
        </w:tc>
        <w:tc>
          <w:tcPr>
            <w:tcW w:w="380" w:type="dxa"/>
            <w:vAlign w:val="bottom"/>
          </w:tcPr>
          <w:p>
            <w:pPr>
              <w:spacing w:after="0"/>
              <w:rPr>
                <w:sz w:val="13"/>
                <w:szCs w:val="13"/>
                <w:color w:val="auto"/>
              </w:rPr>
            </w:pPr>
          </w:p>
        </w:tc>
        <w:tc>
          <w:tcPr>
            <w:tcW w:w="700" w:type="dxa"/>
            <w:vAlign w:val="bottom"/>
            <w:gridSpan w:val="2"/>
          </w:tcPr>
          <w:p>
            <w:pPr>
              <w:jc w:val="right"/>
              <w:ind w:right="400"/>
              <w:spacing w:after="0"/>
              <w:rPr>
                <w:sz w:val="20"/>
                <w:szCs w:val="20"/>
                <w:color w:val="auto"/>
              </w:rPr>
            </w:pPr>
            <w:r>
              <w:rPr>
                <w:rFonts w:ascii="Arial" w:cs="Arial" w:eastAsia="Arial" w:hAnsi="Arial"/>
                <w:sz w:val="13"/>
                <w:szCs w:val="13"/>
                <w:color w:val="auto"/>
                <w:w w:val="85"/>
              </w:rPr>
              <w:t>$ 288</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6,005</w:t>
            </w:r>
          </w:p>
        </w:tc>
        <w:tc>
          <w:tcPr>
            <w:tcW w:w="0" w:type="dxa"/>
            <w:vAlign w:val="bottom"/>
          </w:tcPr>
          <w:p>
            <w:pPr>
              <w:spacing w:after="0"/>
              <w:rPr>
                <w:sz w:val="1"/>
                <w:szCs w:val="1"/>
                <w:color w:val="auto"/>
              </w:rPr>
            </w:pPr>
          </w:p>
        </w:tc>
      </w:tr>
      <w:tr>
        <w:trPr>
          <w:trHeight w:val="30"/>
        </w:trPr>
        <w:tc>
          <w:tcPr>
            <w:tcW w:w="6700" w:type="dxa"/>
            <w:vAlign w:val="bottom"/>
          </w:tcPr>
          <w:p>
            <w:pPr>
              <w:spacing w:after="0"/>
              <w:rPr>
                <w:sz w:val="2"/>
                <w:szCs w:val="2"/>
                <w:color w:val="auto"/>
              </w:rPr>
            </w:pPr>
          </w:p>
        </w:tc>
        <w:tc>
          <w:tcPr>
            <w:tcW w:w="100" w:type="dxa"/>
            <w:vAlign w:val="bottom"/>
            <w:shd w:val="clear" w:color="auto" w:fill="000003"/>
          </w:tcPr>
          <w:p>
            <w:pPr>
              <w:spacing w:after="0"/>
              <w:rPr>
                <w:sz w:val="2"/>
                <w:szCs w:val="2"/>
                <w:color w:val="auto"/>
              </w:rPr>
            </w:pPr>
          </w:p>
        </w:tc>
        <w:tc>
          <w:tcPr>
            <w:tcW w:w="600" w:type="dxa"/>
            <w:vAlign w:val="bottom"/>
            <w:shd w:val="clear" w:color="auto" w:fill="000003"/>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3"/>
          </w:tcPr>
          <w:p>
            <w:pPr>
              <w:spacing w:after="0"/>
              <w:rPr>
                <w:sz w:val="2"/>
                <w:szCs w:val="2"/>
                <w:color w:val="auto"/>
              </w:rPr>
            </w:pPr>
          </w:p>
        </w:tc>
        <w:tc>
          <w:tcPr>
            <w:tcW w:w="420" w:type="dxa"/>
            <w:vAlign w:val="bottom"/>
            <w:shd w:val="clear" w:color="auto" w:fill="000003"/>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shd w:val="clear" w:color="auto" w:fill="000003"/>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3"/>
          </w:tcPr>
          <w:p>
            <w:pPr>
              <w:spacing w:after="0"/>
              <w:rPr>
                <w:sz w:val="2"/>
                <w:szCs w:val="2"/>
                <w:color w:val="auto"/>
              </w:rPr>
            </w:pPr>
          </w:p>
        </w:tc>
        <w:tc>
          <w:tcPr>
            <w:tcW w:w="380" w:type="dxa"/>
            <w:vAlign w:val="bottom"/>
            <w:shd w:val="clear" w:color="auto" w:fill="000003"/>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80" w:firstLine="399"/>
        <w:spacing w:after="0" w:line="258" w:lineRule="auto"/>
        <w:rPr>
          <w:sz w:val="20"/>
          <w:szCs w:val="20"/>
          <w:color w:val="auto"/>
        </w:rPr>
      </w:pPr>
      <w:r>
        <w:rPr>
          <w:rFonts w:ascii="Arial" w:cs="Arial" w:eastAsia="Arial" w:hAnsi="Arial"/>
          <w:sz w:val="13"/>
          <w:szCs w:val="13"/>
          <w:color w:val="auto"/>
        </w:rPr>
        <w:t>As of September 30, 2006, the Company’s remaining reserves for fiscal 2004 restructuring and other related activities totaled $6,005,000. Of this balance, $440,000, relates to remaining severance reserves the majority of which the Company expects to utilize by the end of fiscal 2008. The remaining reserve balance also includes $5,277,000 related to reserves for contractual lease commitments (shown as Facility Exit Costs in the table), substantially all of which the Company expects to utilize by the end of fiscal 2010, although a small portion of the remaining reserves relate to lease payouts that extend as late as fiscal 2012. The other reserves, which total $288,000, relate primarily to remaining contractual commitments, the majority of which the Company expects to utilize during fiscal 2007.</w:t>
      </w:r>
    </w:p>
    <w:p>
      <w:pPr>
        <w:spacing w:after="0" w:line="146" w:lineRule="exact"/>
        <w:rPr>
          <w:sz w:val="20"/>
          <w:szCs w:val="20"/>
          <w:color w:val="auto"/>
        </w:rPr>
      </w:pPr>
    </w:p>
    <w:p>
      <w:pPr>
        <w:ind w:left="1180" w:hanging="493"/>
        <w:spacing w:after="0"/>
        <w:tabs>
          <w:tab w:leader="none" w:pos="1180" w:val="left"/>
        </w:tabs>
        <w:numPr>
          <w:ilvl w:val="0"/>
          <w:numId w:val="8"/>
        </w:numPr>
        <w:rPr>
          <w:rFonts w:ascii="Arial" w:cs="Arial" w:eastAsia="Arial" w:hAnsi="Arial"/>
          <w:sz w:val="13"/>
          <w:szCs w:val="13"/>
          <w:b w:val="1"/>
          <w:bCs w:val="1"/>
          <w:color w:val="auto"/>
        </w:rPr>
      </w:pPr>
      <w:r>
        <w:rPr>
          <w:rFonts w:ascii="Arial" w:cs="Arial" w:eastAsia="Arial" w:hAnsi="Arial"/>
          <w:sz w:val="13"/>
          <w:szCs w:val="13"/>
          <w:b w:val="1"/>
          <w:bCs w:val="1"/>
          <w:color w:val="auto"/>
        </w:rPr>
        <w:t>Subsequent event</w:t>
      </w:r>
    </w:p>
    <w:p>
      <w:pPr>
        <w:spacing w:after="0" w:line="100" w:lineRule="exact"/>
        <w:rPr>
          <w:sz w:val="20"/>
          <w:szCs w:val="20"/>
          <w:color w:val="auto"/>
        </w:rPr>
      </w:pPr>
    </w:p>
    <w:p>
      <w:pPr>
        <w:ind w:left="680" w:right="460" w:firstLine="399"/>
        <w:spacing w:after="0" w:line="334" w:lineRule="auto"/>
        <w:rPr>
          <w:sz w:val="20"/>
          <w:szCs w:val="20"/>
          <w:color w:val="auto"/>
        </w:rPr>
      </w:pPr>
      <w:r>
        <w:rPr>
          <w:rFonts w:ascii="Arial" w:cs="Arial" w:eastAsia="Arial" w:hAnsi="Arial"/>
          <w:sz w:val="11"/>
          <w:szCs w:val="11"/>
          <w:color w:val="auto"/>
        </w:rPr>
        <w:t>On November 6, 2006, the Company announced that it had entered into a definitive agreement to acquire Access Distribution, a leading value-added distributor of complex computing solutions, for $412,500,000 in cash, subject to adjustment based upon net book value at closing. It is anticipated that the transaction, which is subject to normal regulatory approvals, will close by the end of calendar 2006. Upon closing of the transaction, the acquired business will be integrated into the Company’s Technology Solutions group.</w:t>
      </w:r>
    </w:p>
    <w:p>
      <w:pPr>
        <w:spacing w:after="0" w:line="23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5" w:name="page16"/>
    <w:bookmarkEnd w:id="1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2.</w:t>
      </w:r>
      <w:r>
        <w:rPr>
          <w:sz w:val="20"/>
          <w:szCs w:val="20"/>
          <w:color w:val="auto"/>
        </w:rPr>
        <w:tab/>
      </w:r>
      <w:r>
        <w:rPr>
          <w:rFonts w:ascii="Arial" w:cs="Arial" w:eastAsia="Arial" w:hAnsi="Arial"/>
          <w:sz w:val="11"/>
          <w:szCs w:val="11"/>
          <w:b w:val="1"/>
          <w:bCs w:val="1"/>
          <w:i w:val="1"/>
          <w:iCs w:val="1"/>
          <w:color w:val="auto"/>
        </w:rPr>
        <w:t>Management’s Discussion and Analysis of Financial Condition and Results of Operations</w:t>
      </w:r>
    </w:p>
    <w:p>
      <w:pPr>
        <w:spacing w:after="0" w:line="81" w:lineRule="exact"/>
        <w:rPr>
          <w:sz w:val="20"/>
          <w:szCs w:val="20"/>
          <w:color w:val="auto"/>
        </w:rPr>
      </w:pPr>
    </w:p>
    <w:p>
      <w:pPr>
        <w:jc w:val="both"/>
        <w:ind w:left="680" w:right="100" w:firstLine="399"/>
        <w:spacing w:after="0" w:line="334" w:lineRule="auto"/>
        <w:rPr>
          <w:sz w:val="20"/>
          <w:szCs w:val="20"/>
          <w:color w:val="auto"/>
        </w:rPr>
      </w:pPr>
      <w:r>
        <w:rPr>
          <w:rFonts w:ascii="Arial" w:cs="Arial" w:eastAsia="Arial" w:hAnsi="Arial"/>
          <w:sz w:val="11"/>
          <w:szCs w:val="11"/>
          <w:color w:val="auto"/>
        </w:rPr>
        <w:t xml:space="preserve">For a description of the Company’s critical accounting policies and an understanding of the significant factors that influenced the Company’s performance during the quarters ended September 30, 2006 and October 1, 2005, this </w:t>
      </w:r>
      <w:r>
        <w:rPr>
          <w:rFonts w:ascii="Arial" w:cs="Arial" w:eastAsia="Arial" w:hAnsi="Arial"/>
          <w:sz w:val="11"/>
          <w:szCs w:val="11"/>
          <w:i w:val="1"/>
          <w:iCs w:val="1"/>
          <w:color w:val="auto"/>
        </w:rPr>
        <w:t>Management’s Discussion and Analysis of Financial Condition and Results of Operations</w:t>
      </w:r>
      <w:r>
        <w:rPr>
          <w:rFonts w:ascii="Arial" w:cs="Arial" w:eastAsia="Arial" w:hAnsi="Arial"/>
          <w:sz w:val="11"/>
          <w:szCs w:val="11"/>
          <w:color w:val="auto"/>
        </w:rPr>
        <w:t xml:space="preserve"> (“MD&amp;A”) should be read in conjunction with the consolidated financial statements, including the related notes, appearing in Item 1 of this Report, as well as the Company’s Annual Report on Form 10-K for the year ended July 1, 2006.</w:t>
      </w:r>
    </w:p>
    <w:p>
      <w:pPr>
        <w:spacing w:after="0" w:line="3"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There are numerous references to the impact of foreign currency translation in the discussion of the Company’s results of operations that follow. Over the past several years, the exchange rates between the US Dollar and many foreign currencies, especially the Euro, have fluctuated significantly. For example, the US Dollar has weakened against the Euro by approximately 1% when sequentially comparing the first quarter of fiscal 2007 to the fourth quarter of fiscal 2006. On a year-over-year basis (first quarter fiscal 2007 compared to first quarter fiscal 2006), the US Dollar weakened against the Euro by approximately 4%. When the weaker US Dollar exchange rates of the current year are used to translate the results of operations of Avnet’s subsidiaries denominated in foreign currencies, the resulting impact is an increase, in US Dollars, of reported results. In the discussion that follows, this is referred to as the “translation impact of changes in foreign currency exchange rates.”</w:t>
      </w:r>
    </w:p>
    <w:p>
      <w:pPr>
        <w:spacing w:after="0" w:line="42"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In addition to disclosing financial results that are determined in accordance with US generally accepted accounting principles (“GAAP”), the Company also discloses certain non-GAAP financial information such as income or expense items as adjusted for the impact of foreign currency exchange rate fluctuations, as discussed above. Management believes that providing this additional information is useful to the reader to better assess and understand operating performance, especially when comparing results with previous periods or forecasting performance for future periods, primarily because management typically monitors the business both including and excluding these adjustments to GAAP results. Management also uses these non-GAAP measures to establish operational goals and, in some cases, for measuring performance for compensation purposes. However, analysis of results and outlook on a non-GAAP basis should be used as a complement to, and in conjunction with, data presented in accordance with GAAP.</w:t>
      </w:r>
    </w:p>
    <w:p>
      <w:pPr>
        <w:spacing w:after="0" w:line="85" w:lineRule="exact"/>
        <w:rPr>
          <w:sz w:val="20"/>
          <w:szCs w:val="20"/>
          <w:color w:val="auto"/>
        </w:rPr>
      </w:pPr>
    </w:p>
    <w:p>
      <w:pPr>
        <w:ind w:left="5300"/>
        <w:spacing w:after="0"/>
        <w:rPr>
          <w:sz w:val="20"/>
          <w:szCs w:val="20"/>
          <w:color w:val="auto"/>
        </w:rPr>
      </w:pPr>
      <w:r>
        <w:rPr>
          <w:rFonts w:ascii="Arial" w:cs="Arial" w:eastAsia="Arial" w:hAnsi="Arial"/>
          <w:sz w:val="13"/>
          <w:szCs w:val="13"/>
          <w:b w:val="1"/>
          <w:bCs w:val="1"/>
          <w:color w:val="auto"/>
        </w:rPr>
        <w:t>OVERVIEW</w:t>
      </w:r>
    </w:p>
    <w:p>
      <w:pPr>
        <w:spacing w:after="0" w:line="9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Organization</w:t>
      </w:r>
    </w:p>
    <w:p>
      <w:pPr>
        <w:spacing w:after="0" w:line="71" w:lineRule="exact"/>
        <w:rPr>
          <w:sz w:val="20"/>
          <w:szCs w:val="20"/>
          <w:color w:val="auto"/>
        </w:rPr>
      </w:pPr>
    </w:p>
    <w:p>
      <w:pPr>
        <w:ind w:left="680" w:right="100" w:firstLine="399"/>
        <w:spacing w:after="0" w:line="257" w:lineRule="auto"/>
        <w:rPr>
          <w:sz w:val="20"/>
          <w:szCs w:val="20"/>
          <w:color w:val="auto"/>
        </w:rPr>
      </w:pPr>
      <w:r>
        <w:rPr>
          <w:rFonts w:ascii="Arial" w:cs="Arial" w:eastAsia="Arial" w:hAnsi="Arial"/>
          <w:sz w:val="13"/>
          <w:szCs w:val="13"/>
          <w:color w:val="auto"/>
        </w:rPr>
        <w:t>Avnet, Inc. and its subsidiaries (the “Company” or “Avnet”) is one of the world’s largest industrial distributors, based on sales, of electronic components, enterprise network and computer products and embedded subsystems. Avnet creates a vital link in the technology supply chain that connects over 300 of the world’s leading electronic component and computer product manufacturers and software developers as a single source for multiple products for a global customer base of over 100,000 original equipment manufacturers (“OEMs”), electronic manufacturing services (“EMS”) providers, original design manufacturers (“ODMs”), and value-added resellers (“VARs”). Avnet distributes electronic components, computer products and software as received from its suppliers or with assembly or other value added by Avnet. Additionally, Avnet provides engineering design, materials management and logistics services, system integration and configuration, and supply chain advisory services.</w:t>
      </w:r>
    </w:p>
    <w:p>
      <w:pPr>
        <w:spacing w:after="0" w:line="52"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The Company consists of two operating groups — Electronics Marketing (“EM”) and Technology Solutions (“TS”) — each with operations in the three major economic regions of the world: the Americas, EMEA (Europe, Middle East and Africa) and Asia/Pacific. A brief summary of each operating group is provided below:</w:t>
      </w:r>
    </w:p>
    <w:p>
      <w:pPr>
        <w:spacing w:after="0" w:line="30" w:lineRule="exact"/>
        <w:rPr>
          <w:sz w:val="20"/>
          <w:szCs w:val="20"/>
          <w:color w:val="auto"/>
        </w:rPr>
      </w:pPr>
    </w:p>
    <w:p>
      <w:pPr>
        <w:ind w:left="1180" w:right="40" w:hanging="90"/>
        <w:spacing w:after="0" w:line="260" w:lineRule="auto"/>
        <w:tabs>
          <w:tab w:leader="none" w:pos="1180" w:val="left"/>
        </w:tabs>
        <w:numPr>
          <w:ilvl w:val="0"/>
          <w:numId w:val="9"/>
        </w:numPr>
        <w:rPr>
          <w:rFonts w:ascii="Arial" w:cs="Arial" w:eastAsia="Arial" w:hAnsi="Arial"/>
          <w:sz w:val="13"/>
          <w:szCs w:val="13"/>
          <w:color w:val="auto"/>
        </w:rPr>
      </w:pPr>
      <w:r>
        <w:rPr>
          <w:rFonts w:ascii="Arial" w:cs="Arial" w:eastAsia="Arial" w:hAnsi="Arial"/>
          <w:sz w:val="13"/>
          <w:szCs w:val="13"/>
          <w:color w:val="auto"/>
        </w:rPr>
        <w:t>EM markets and sells semiconductors and interconnect, passive and electromechanical devices (“IP&amp;E”) on behalf of over 300 of the world’s leading electronic component manufacturers. EM markets and sells its products and services to a diverse customer base spread across end-markets including communications, computer hardware and peripheral, industrial and manufacturing, medical equipment, military and aerospace. EM also offers an array of value-added services to its customers and suppliers that help accelerate their growth and the realization of cost efficiencies.</w:t>
      </w:r>
    </w:p>
    <w:p>
      <w:pPr>
        <w:ind w:left="1180" w:right="120" w:hanging="90"/>
        <w:spacing w:after="0" w:line="264" w:lineRule="auto"/>
        <w:tabs>
          <w:tab w:leader="none" w:pos="1180" w:val="left"/>
        </w:tabs>
        <w:numPr>
          <w:ilvl w:val="0"/>
          <w:numId w:val="9"/>
        </w:numPr>
        <w:rPr>
          <w:rFonts w:ascii="Arial" w:cs="Arial" w:eastAsia="Arial" w:hAnsi="Arial"/>
          <w:sz w:val="13"/>
          <w:szCs w:val="13"/>
          <w:color w:val="auto"/>
        </w:rPr>
      </w:pPr>
      <w:r>
        <w:rPr>
          <w:rFonts w:ascii="Arial" w:cs="Arial" w:eastAsia="Arial" w:hAnsi="Arial"/>
          <w:sz w:val="13"/>
          <w:szCs w:val="13"/>
          <w:color w:val="auto"/>
        </w:rPr>
        <w:t>TS markets and sells mid- to high-end servers, data storage, software, and the services required to implement these products and solutions to the VAR channel. TS also focuses on the worldwide OEM market for computing technology, system integrators and non-PC OEMs that require embedded systems and solutions including engineering, product prototyping, integration and other value-added services.</w:t>
      </w:r>
    </w:p>
    <w:p>
      <w:pPr>
        <w:spacing w:after="0" w:line="264"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6" w:name="page17"/>
    <w:bookmarkEnd w:id="1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Results of Operations</w:t>
      </w:r>
    </w:p>
    <w:p>
      <w:pPr>
        <w:spacing w:after="0" w:line="81"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Executive Summary</w:t>
      </w:r>
    </w:p>
    <w:p>
      <w:pPr>
        <w:spacing w:after="0" w:line="67" w:lineRule="exact"/>
        <w:rPr>
          <w:sz w:val="20"/>
          <w:szCs w:val="20"/>
          <w:color w:val="auto"/>
        </w:rPr>
      </w:pPr>
    </w:p>
    <w:p>
      <w:pPr>
        <w:ind w:left="680" w:right="1060" w:firstLine="399"/>
        <w:spacing w:after="0" w:line="285" w:lineRule="auto"/>
        <w:rPr>
          <w:sz w:val="20"/>
          <w:szCs w:val="20"/>
          <w:color w:val="auto"/>
        </w:rPr>
      </w:pPr>
      <w:r>
        <w:rPr>
          <w:rFonts w:ascii="Arial" w:cs="Arial" w:eastAsia="Arial" w:hAnsi="Arial"/>
          <w:sz w:val="12"/>
          <w:szCs w:val="12"/>
          <w:color w:val="auto"/>
        </w:rPr>
        <w:t>Avnet’s consolidated sales of $3.65 billion in the first quarter of fiscal 2007 were up 11.6% over the first quarter of fiscal 2006 sales of $3.27 billion. This represents the fifteenth consecutive quarter of year-over-year growth in consolidated sales. Both operating groups contributed to the growth, with EM and TS posting year-over-year sales growth of 15.4% and 4.8%, respectively. For EM, this marks the fifth consecutive quarter of year-over-year sales growth above 10%. This year-over-year increase in the electronic components business was primarily a function of slightly better than normal demand in EMEA, where the September quarter typically yields more of a seasonal slowdown for this region, and better than expected performance in Asia. The year-over-year revenue growth in TS was driven primarily by sales of enterprise computing products in the Partner Solutions business.</w:t>
      </w:r>
    </w:p>
    <w:p>
      <w:pPr>
        <w:spacing w:after="0" w:line="26" w:lineRule="exact"/>
        <w:rPr>
          <w:sz w:val="20"/>
          <w:szCs w:val="20"/>
          <w:color w:val="auto"/>
        </w:rPr>
      </w:pPr>
    </w:p>
    <w:p>
      <w:pPr>
        <w:ind w:left="680" w:right="920" w:firstLine="399"/>
        <w:spacing w:after="0" w:line="260" w:lineRule="auto"/>
        <w:rPr>
          <w:sz w:val="20"/>
          <w:szCs w:val="20"/>
          <w:color w:val="auto"/>
        </w:rPr>
      </w:pPr>
      <w:r>
        <w:rPr>
          <w:rFonts w:ascii="Arial" w:cs="Arial" w:eastAsia="Arial" w:hAnsi="Arial"/>
          <w:sz w:val="13"/>
          <w:szCs w:val="13"/>
          <w:color w:val="auto"/>
        </w:rPr>
        <w:t>Sequentially, consolidated sales were essentially flat with a 1.0% increase as compared with sales of $3.61 billion in the fourth quarter of fiscal 2006. Sales at EM experienced a sequential decline of 0.5%, slightly less than management’s expectation of what is typically a seasonally slow first fiscal quarter. The less than typical seasonal decline in EM was primarily due to the better than expected performance in EMEA and Asia as discussed above. Sequential sales growth at TS grew 4.2% despite the normal, slower summer season, primarily due to a rebound in microprocessor sales which experienced a decline in the fourth quarter of fiscal 2006.</w:t>
      </w:r>
    </w:p>
    <w:p>
      <w:pPr>
        <w:spacing w:after="0" w:line="50" w:lineRule="exact"/>
        <w:rPr>
          <w:sz w:val="20"/>
          <w:szCs w:val="20"/>
          <w:color w:val="auto"/>
        </w:rPr>
      </w:pPr>
    </w:p>
    <w:p>
      <w:pPr>
        <w:ind w:left="680" w:right="820" w:firstLine="399"/>
        <w:spacing w:after="0" w:line="305" w:lineRule="auto"/>
        <w:rPr>
          <w:sz w:val="20"/>
          <w:szCs w:val="20"/>
          <w:color w:val="auto"/>
        </w:rPr>
      </w:pPr>
      <w:r>
        <w:rPr>
          <w:rFonts w:ascii="Arial" w:cs="Arial" w:eastAsia="Arial" w:hAnsi="Arial"/>
          <w:sz w:val="11"/>
          <w:szCs w:val="11"/>
          <w:color w:val="auto"/>
        </w:rPr>
        <w:t xml:space="preserve">Operating income grew 105.1% year-over-year primarily driven by the growth in sales as well as the operating expense synergies realized from the Memec integration (see </w:t>
      </w:r>
      <w:r>
        <w:rPr>
          <w:rFonts w:ascii="Arial" w:cs="Arial" w:eastAsia="Arial" w:hAnsi="Arial"/>
          <w:sz w:val="11"/>
          <w:szCs w:val="11"/>
          <w:i w:val="1"/>
          <w:iCs w:val="1"/>
          <w:color w:val="auto"/>
        </w:rPr>
        <w:t>Operating</w:t>
      </w:r>
      <w:r>
        <w:rPr>
          <w:rFonts w:ascii="Arial" w:cs="Arial" w:eastAsia="Arial" w:hAnsi="Arial"/>
          <w:sz w:val="11"/>
          <w:szCs w:val="11"/>
          <w:color w:val="auto"/>
        </w:rPr>
        <w:t xml:space="preserve"> </w:t>
      </w:r>
      <w:r>
        <w:rPr>
          <w:rFonts w:ascii="Arial" w:cs="Arial" w:eastAsia="Arial" w:hAnsi="Arial"/>
          <w:sz w:val="11"/>
          <w:szCs w:val="11"/>
          <w:i w:val="1"/>
          <w:iCs w:val="1"/>
          <w:color w:val="auto"/>
        </w:rPr>
        <w:t xml:space="preserve">Income </w:t>
      </w:r>
      <w:r>
        <w:rPr>
          <w:rFonts w:ascii="Arial" w:cs="Arial" w:eastAsia="Arial" w:hAnsi="Arial"/>
          <w:sz w:val="11"/>
          <w:szCs w:val="11"/>
          <w:color w:val="auto"/>
        </w:rPr>
        <w:t>below for further discussion). As a result, operating income grew more than eight times faster than revenues. Operating profit margin in the first quarter of fiscal 2007 increased to</w:t>
      </w:r>
    </w:p>
    <w:p>
      <w:pPr>
        <w:spacing w:after="0" w:line="1" w:lineRule="exact"/>
        <w:rPr>
          <w:sz w:val="20"/>
          <w:szCs w:val="20"/>
          <w:color w:val="auto"/>
        </w:rPr>
      </w:pPr>
    </w:p>
    <w:p>
      <w:pPr>
        <w:ind w:left="680" w:right="820"/>
        <w:spacing w:after="0" w:line="256" w:lineRule="auto"/>
        <w:rPr>
          <w:sz w:val="20"/>
          <w:szCs w:val="20"/>
          <w:color w:val="auto"/>
        </w:rPr>
      </w:pPr>
      <w:r>
        <w:rPr>
          <w:rFonts w:ascii="Arial" w:cs="Arial" w:eastAsia="Arial" w:hAnsi="Arial"/>
          <w:sz w:val="13"/>
          <w:szCs w:val="13"/>
          <w:color w:val="auto"/>
        </w:rPr>
        <w:t>3.97% from 2.16% in the same period last year. This represents the Company’s highest operating profit margin for a first fiscal quarter since fiscal 2001, led by EM which recorded operating profit margin of 5.2%, an increase of 185 basis points year-over -year. The prior year results included certain restructuring and integration charges discussed further in this MD&amp;A that totaled $13.8 million, or 0.4% of sales. Sequentially, operating income grew 10.3% and operating profit margin increased 33 basis points as the Company continues to focus on managing operating costs through its operational excellence initiatives.</w:t>
      </w:r>
    </w:p>
    <w:p>
      <w:pPr>
        <w:spacing w:after="0" w:line="9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Sales</w:t>
      </w:r>
    </w:p>
    <w:p>
      <w:pPr>
        <w:spacing w:after="0" w:line="7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table below provides period sales for the Company and its operating groups, including comparative analysis of the Company’s sales for the first quarter of fiscal 2007 with the</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Company’s sales for historical periods: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4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jc w:val="right"/>
              <w:ind w:right="540"/>
              <w:spacing w:after="0"/>
              <w:rPr>
                <w:sz w:val="20"/>
                <w:szCs w:val="20"/>
                <w:color w:val="auto"/>
              </w:rPr>
            </w:pPr>
            <w:r>
              <w:rPr>
                <w:rFonts w:ascii="Arial" w:cs="Arial" w:eastAsia="Arial" w:hAnsi="Arial"/>
                <w:sz w:val="10"/>
                <w:szCs w:val="10"/>
                <w:b w:val="1"/>
                <w:bCs w:val="1"/>
                <w:color w:val="auto"/>
              </w:rPr>
              <w:t>Q1-Fiscal ’07</w:t>
            </w:r>
          </w:p>
        </w:tc>
        <w:tc>
          <w:tcPr>
            <w:tcW w:w="100" w:type="dxa"/>
            <w:vAlign w:val="bottom"/>
          </w:tcPr>
          <w:p>
            <w:pPr>
              <w:spacing w:after="0"/>
              <w:rPr>
                <w:sz w:val="10"/>
                <w:szCs w:val="10"/>
                <w:color w:val="auto"/>
              </w:rPr>
            </w:pPr>
          </w:p>
        </w:tc>
        <w:tc>
          <w:tcPr>
            <w:tcW w:w="820" w:type="dxa"/>
            <w:vAlign w:val="bottom"/>
            <w:gridSpan w:val="2"/>
            <w:vMerge w:val="restart"/>
          </w:tcPr>
          <w:p>
            <w:pPr>
              <w:ind w:left="40"/>
              <w:spacing w:after="0"/>
              <w:rPr>
                <w:sz w:val="20"/>
                <w:szCs w:val="20"/>
                <w:color w:val="auto"/>
              </w:rPr>
            </w:pPr>
            <w:r>
              <w:rPr>
                <w:rFonts w:ascii="Arial" w:cs="Arial" w:eastAsia="Arial" w:hAnsi="Arial"/>
                <w:sz w:val="10"/>
                <w:szCs w:val="10"/>
                <w:b w:val="1"/>
                <w:bCs w:val="1"/>
                <w:color w:val="auto"/>
              </w:rPr>
              <w:t>Q4-Fiscal ’06</w:t>
            </w:r>
          </w:p>
        </w:tc>
        <w:tc>
          <w:tcPr>
            <w:tcW w:w="360" w:type="dxa"/>
            <w:vAlign w:val="bottom"/>
          </w:tcPr>
          <w:p>
            <w:pPr>
              <w:spacing w:after="0"/>
              <w:rPr>
                <w:sz w:val="10"/>
                <w:szCs w:val="10"/>
                <w:color w:val="auto"/>
              </w:rPr>
            </w:pPr>
          </w:p>
        </w:tc>
        <w:tc>
          <w:tcPr>
            <w:tcW w:w="1040" w:type="dxa"/>
            <w:vAlign w:val="bottom"/>
            <w:gridSpan w:val="2"/>
          </w:tcPr>
          <w:p>
            <w:pPr>
              <w:ind w:left="60"/>
              <w:spacing w:after="0"/>
              <w:rPr>
                <w:sz w:val="20"/>
                <w:szCs w:val="20"/>
                <w:color w:val="auto"/>
              </w:rPr>
            </w:pPr>
            <w:r>
              <w:rPr>
                <w:rFonts w:ascii="Arial" w:cs="Arial" w:eastAsia="Arial" w:hAnsi="Arial"/>
                <w:sz w:val="10"/>
                <w:szCs w:val="10"/>
                <w:b w:val="1"/>
                <w:bCs w:val="1"/>
                <w:color w:val="auto"/>
              </w:rPr>
              <w:t>Sequential</w:t>
            </w:r>
          </w:p>
        </w:tc>
        <w:tc>
          <w:tcPr>
            <w:tcW w:w="120" w:type="dxa"/>
            <w:vAlign w:val="bottom"/>
          </w:tcPr>
          <w:p>
            <w:pPr>
              <w:spacing w:after="0"/>
              <w:rPr>
                <w:sz w:val="10"/>
                <w:szCs w:val="10"/>
                <w:color w:val="auto"/>
              </w:rPr>
            </w:pPr>
          </w:p>
        </w:tc>
        <w:tc>
          <w:tcPr>
            <w:tcW w:w="1180" w:type="dxa"/>
            <w:vAlign w:val="bottom"/>
            <w:gridSpan w:val="2"/>
            <w:vMerge w:val="restart"/>
          </w:tcPr>
          <w:p>
            <w:pPr>
              <w:jc w:val="right"/>
              <w:ind w:right="540"/>
              <w:spacing w:after="0"/>
              <w:rPr>
                <w:sz w:val="20"/>
                <w:szCs w:val="20"/>
                <w:color w:val="auto"/>
              </w:rPr>
            </w:pPr>
            <w:r>
              <w:rPr>
                <w:rFonts w:ascii="Arial" w:cs="Arial" w:eastAsia="Arial" w:hAnsi="Arial"/>
                <w:sz w:val="10"/>
                <w:szCs w:val="10"/>
                <w:b w:val="1"/>
                <w:bCs w:val="1"/>
                <w:color w:val="auto"/>
              </w:rPr>
              <w:t>Q1-Fiscal ’06</w:t>
            </w:r>
          </w:p>
        </w:tc>
        <w:tc>
          <w:tcPr>
            <w:tcW w:w="700" w:type="dxa"/>
            <w:vAlign w:val="bottom"/>
            <w:gridSpan w:val="2"/>
          </w:tcPr>
          <w:p>
            <w:pPr>
              <w:jc w:val="right"/>
              <w:ind w:right="180"/>
              <w:spacing w:after="0"/>
              <w:rPr>
                <w:sz w:val="20"/>
                <w:szCs w:val="20"/>
                <w:color w:val="auto"/>
              </w:rPr>
            </w:pPr>
            <w:r>
              <w:rPr>
                <w:rFonts w:ascii="Arial" w:cs="Arial" w:eastAsia="Arial" w:hAnsi="Arial"/>
                <w:sz w:val="10"/>
                <w:szCs w:val="10"/>
                <w:b w:val="1"/>
                <w:bCs w:val="1"/>
                <w:color w:val="auto"/>
              </w:rPr>
              <w:t>Year-Year</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4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360" w:type="dxa"/>
            <w:vAlign w:val="bottom"/>
            <w:vMerge w:val="restart"/>
          </w:tcPr>
          <w:p>
            <w:pPr>
              <w:ind w:left="40"/>
              <w:spacing w:after="0"/>
              <w:rPr>
                <w:sz w:val="20"/>
                <w:szCs w:val="20"/>
                <w:color w:val="auto"/>
              </w:rPr>
            </w:pPr>
            <w:r>
              <w:rPr>
                <w:rFonts w:ascii="Arial" w:cs="Arial" w:eastAsia="Arial" w:hAnsi="Arial"/>
                <w:sz w:val="10"/>
                <w:szCs w:val="10"/>
                <w:b w:val="1"/>
                <w:bCs w:val="1"/>
                <w:color w:val="auto"/>
                <w:w w:val="80"/>
              </w:rPr>
              <w:t>(Dollars</w:t>
            </w:r>
          </w:p>
        </w:tc>
        <w:tc>
          <w:tcPr>
            <w:tcW w:w="1040" w:type="dxa"/>
            <w:vAlign w:val="bottom"/>
            <w:gridSpan w:val="2"/>
          </w:tcPr>
          <w:p>
            <w:pPr>
              <w:ind w:left="60"/>
              <w:spacing w:after="0"/>
              <w:rPr>
                <w:sz w:val="20"/>
                <w:szCs w:val="20"/>
                <w:color w:val="auto"/>
              </w:rPr>
            </w:pPr>
            <w:r>
              <w:rPr>
                <w:rFonts w:ascii="Arial" w:cs="Arial" w:eastAsia="Arial" w:hAnsi="Arial"/>
                <w:sz w:val="10"/>
                <w:szCs w:val="10"/>
                <w:b w:val="1"/>
                <w:bCs w:val="1"/>
                <w:color w:val="auto"/>
              </w:rPr>
              <w:t>% Change</w:t>
            </w:r>
          </w:p>
        </w:tc>
        <w:tc>
          <w:tcPr>
            <w:tcW w:w="1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0"/>
                <w:szCs w:val="10"/>
                <w:b w:val="1"/>
                <w:bCs w:val="1"/>
                <w:color w:val="auto"/>
              </w:rPr>
              <w:t>% Change</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680" w:type="dxa"/>
            <w:vAlign w:val="bottom"/>
          </w:tcPr>
          <w:p>
            <w:pPr>
              <w:spacing w:after="0"/>
              <w:rPr>
                <w:sz w:val="11"/>
                <w:szCs w:val="11"/>
                <w:color w:val="auto"/>
              </w:rPr>
            </w:pPr>
          </w:p>
        </w:tc>
        <w:tc>
          <w:tcPr>
            <w:tcW w:w="43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vMerge w:val="continue"/>
          </w:tcPr>
          <w:p>
            <w:pPr>
              <w:spacing w:after="0"/>
              <w:rPr>
                <w:sz w:val="11"/>
                <w:szCs w:val="11"/>
                <w:color w:val="auto"/>
              </w:rPr>
            </w:pPr>
          </w:p>
        </w:tc>
        <w:tc>
          <w:tcPr>
            <w:tcW w:w="600" w:type="dxa"/>
            <w:vAlign w:val="bottom"/>
            <w:tcBorders>
              <w:top w:val="single" w:sz="8" w:color="auto"/>
            </w:tcBorders>
          </w:tcPr>
          <w:p>
            <w:pPr>
              <w:ind w:left="80"/>
              <w:spacing w:after="0"/>
              <w:rPr>
                <w:sz w:val="20"/>
                <w:szCs w:val="20"/>
                <w:color w:val="auto"/>
              </w:rPr>
            </w:pPr>
            <w:r>
              <w:rPr>
                <w:rFonts w:ascii="Arial" w:cs="Arial" w:eastAsia="Arial" w:hAnsi="Arial"/>
                <w:sz w:val="10"/>
                <w:szCs w:val="10"/>
                <w:b w:val="1"/>
                <w:bCs w:val="1"/>
                <w:color w:val="auto"/>
                <w:w w:val="76"/>
              </w:rPr>
              <w:t>in thousands)</w:t>
            </w:r>
          </w:p>
        </w:tc>
        <w:tc>
          <w:tcPr>
            <w:tcW w:w="4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80" w:type="dxa"/>
            <w:vAlign w:val="bottom"/>
          </w:tcPr>
          <w:p>
            <w:pPr>
              <w:spacing w:after="0"/>
              <w:rPr>
                <w:sz w:val="14"/>
                <w:szCs w:val="14"/>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Avnet, Inc.</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3,648,400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3,611,611</w:t>
            </w:r>
          </w:p>
        </w:tc>
        <w:tc>
          <w:tcPr>
            <w:tcW w:w="1400" w:type="dxa"/>
            <w:vAlign w:val="bottom"/>
            <w:gridSpan w:val="3"/>
            <w:shd w:val="clear" w:color="auto" w:fill="CCEEFF"/>
          </w:tcPr>
          <w:p>
            <w:pPr>
              <w:jc w:val="right"/>
              <w:ind w:right="340"/>
              <w:spacing w:after="0"/>
              <w:rPr>
                <w:sz w:val="20"/>
                <w:szCs w:val="20"/>
                <w:color w:val="auto"/>
              </w:rPr>
            </w:pPr>
            <w:r>
              <w:rPr>
                <w:rFonts w:ascii="Arial" w:cs="Arial" w:eastAsia="Arial" w:hAnsi="Arial"/>
                <w:sz w:val="13"/>
                <w:szCs w:val="13"/>
                <w:color w:val="auto"/>
              </w:rPr>
              <w:t>1.0%</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3,268,265</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11.6%</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380" w:type="dxa"/>
            <w:vAlign w:val="bottom"/>
          </w:tcPr>
          <w:p>
            <w:pPr>
              <w:ind w:left="140"/>
              <w:spacing w:after="0"/>
              <w:rPr>
                <w:sz w:val="20"/>
                <w:szCs w:val="20"/>
                <w:color w:val="auto"/>
              </w:rPr>
            </w:pPr>
            <w:r>
              <w:rPr>
                <w:rFonts w:ascii="Arial" w:cs="Arial" w:eastAsia="Arial" w:hAnsi="Arial"/>
                <w:sz w:val="13"/>
                <w:szCs w:val="13"/>
                <w:color w:val="auto"/>
              </w:rPr>
              <w:t>EM</w:t>
            </w:r>
          </w:p>
        </w:tc>
        <w:tc>
          <w:tcPr>
            <w:tcW w:w="100" w:type="dxa"/>
            <w:vAlign w:val="bottom"/>
          </w:tcPr>
          <w:p>
            <w:pPr>
              <w:spacing w:after="0"/>
              <w:rPr>
                <w:sz w:val="13"/>
                <w:szCs w:val="13"/>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3"/>
                <w:szCs w:val="13"/>
                <w:color w:val="auto"/>
              </w:rPr>
              <w:t>2,435,418</w:t>
            </w:r>
          </w:p>
        </w:tc>
        <w:tc>
          <w:tcPr>
            <w:tcW w:w="100" w:type="dxa"/>
            <w:vAlign w:val="bottom"/>
          </w:tcPr>
          <w:p>
            <w:pPr>
              <w:spacing w:after="0"/>
              <w:rPr>
                <w:sz w:val="13"/>
                <w:szCs w:val="13"/>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3"/>
                <w:szCs w:val="13"/>
                <w:color w:val="auto"/>
              </w:rPr>
              <w:t>2,447,306</w:t>
            </w:r>
          </w:p>
        </w:tc>
        <w:tc>
          <w:tcPr>
            <w:tcW w:w="1400" w:type="dxa"/>
            <w:vAlign w:val="bottom"/>
            <w:gridSpan w:val="3"/>
          </w:tcPr>
          <w:p>
            <w:pPr>
              <w:jc w:val="right"/>
              <w:ind w:right="400"/>
              <w:spacing w:after="0"/>
              <w:rPr>
                <w:sz w:val="20"/>
                <w:szCs w:val="20"/>
                <w:color w:val="auto"/>
              </w:rPr>
            </w:pPr>
            <w:r>
              <w:rPr>
                <w:rFonts w:ascii="Arial" w:cs="Arial" w:eastAsia="Arial" w:hAnsi="Arial"/>
                <w:sz w:val="13"/>
                <w:szCs w:val="13"/>
                <w:color w:val="auto"/>
              </w:rPr>
              <w:t>(0.5)</w:t>
            </w:r>
          </w:p>
        </w:tc>
        <w:tc>
          <w:tcPr>
            <w:tcW w:w="120" w:type="dxa"/>
            <w:vAlign w:val="bottom"/>
          </w:tcPr>
          <w:p>
            <w:pPr>
              <w:spacing w:after="0"/>
              <w:rPr>
                <w:sz w:val="13"/>
                <w:szCs w:val="13"/>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3"/>
                <w:szCs w:val="13"/>
                <w:color w:val="auto"/>
              </w:rPr>
              <w:t>2,111,113</w:t>
            </w: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15.4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3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TS</w:t>
            </w: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1,212,982</w:t>
            </w:r>
          </w:p>
        </w:tc>
        <w:tc>
          <w:tcPr>
            <w:tcW w:w="1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1,164,305</w:t>
            </w:r>
          </w:p>
        </w:tc>
        <w:tc>
          <w:tcPr>
            <w:tcW w:w="1400" w:type="dxa"/>
            <w:vAlign w:val="bottom"/>
            <w:gridSpan w:val="3"/>
            <w:shd w:val="clear" w:color="auto" w:fill="CCEEFF"/>
          </w:tcPr>
          <w:p>
            <w:pPr>
              <w:jc w:val="right"/>
              <w:ind w:right="440"/>
              <w:spacing w:after="0"/>
              <w:rPr>
                <w:sz w:val="20"/>
                <w:szCs w:val="20"/>
                <w:color w:val="auto"/>
              </w:rPr>
            </w:pPr>
            <w:r>
              <w:rPr>
                <w:rFonts w:ascii="Arial" w:cs="Arial" w:eastAsia="Arial" w:hAnsi="Arial"/>
                <w:sz w:val="13"/>
                <w:szCs w:val="13"/>
                <w:color w:val="auto"/>
              </w:rPr>
              <w:t>4.2</w:t>
            </w:r>
          </w:p>
        </w:tc>
        <w:tc>
          <w:tcPr>
            <w:tcW w:w="12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1,157,152</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4.8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380" w:type="dxa"/>
            <w:vAlign w:val="bottom"/>
          </w:tcPr>
          <w:p>
            <w:pPr>
              <w:spacing w:after="0"/>
              <w:rPr>
                <w:sz w:val="20"/>
                <w:szCs w:val="20"/>
                <w:color w:val="auto"/>
              </w:rPr>
            </w:pPr>
            <w:r>
              <w:rPr>
                <w:rFonts w:ascii="Arial" w:cs="Arial" w:eastAsia="Arial" w:hAnsi="Arial"/>
                <w:sz w:val="13"/>
                <w:szCs w:val="13"/>
                <w:b w:val="1"/>
                <w:bCs w:val="1"/>
                <w:color w:val="auto"/>
              </w:rPr>
              <w:t>EM</w:t>
            </w: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3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Americas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957,424</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984,222</w:t>
            </w:r>
          </w:p>
        </w:tc>
        <w:tc>
          <w:tcPr>
            <w:tcW w:w="1400" w:type="dxa"/>
            <w:vAlign w:val="bottom"/>
            <w:gridSpan w:val="3"/>
            <w:shd w:val="clear" w:color="auto" w:fill="CCEEFF"/>
          </w:tcPr>
          <w:p>
            <w:pPr>
              <w:jc w:val="right"/>
              <w:ind w:right="280"/>
              <w:spacing w:after="0"/>
              <w:rPr>
                <w:sz w:val="20"/>
                <w:szCs w:val="20"/>
                <w:color w:val="auto"/>
              </w:rPr>
            </w:pPr>
            <w:r>
              <w:rPr>
                <w:rFonts w:ascii="Arial" w:cs="Arial" w:eastAsia="Arial" w:hAnsi="Arial"/>
                <w:sz w:val="13"/>
                <w:szCs w:val="13"/>
                <w:color w:val="auto"/>
              </w:rPr>
              <w:t>(2.7)%</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886,665</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8.0%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380" w:type="dxa"/>
            <w:vAlign w:val="bottom"/>
          </w:tcPr>
          <w:p>
            <w:pPr>
              <w:ind w:left="140"/>
              <w:spacing w:after="0"/>
              <w:rPr>
                <w:sz w:val="20"/>
                <w:szCs w:val="20"/>
                <w:color w:val="auto"/>
              </w:rPr>
            </w:pPr>
            <w:r>
              <w:rPr>
                <w:rFonts w:ascii="Arial" w:cs="Arial" w:eastAsia="Arial" w:hAnsi="Arial"/>
                <w:sz w:val="13"/>
                <w:szCs w:val="13"/>
                <w:color w:val="auto"/>
              </w:rPr>
              <w:t>EMEA</w:t>
            </w:r>
          </w:p>
        </w:tc>
        <w:tc>
          <w:tcPr>
            <w:tcW w:w="100" w:type="dxa"/>
            <w:vAlign w:val="bottom"/>
          </w:tcPr>
          <w:p>
            <w:pPr>
              <w:spacing w:after="0"/>
              <w:rPr>
                <w:sz w:val="13"/>
                <w:szCs w:val="13"/>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3"/>
                <w:szCs w:val="13"/>
                <w:color w:val="auto"/>
              </w:rPr>
              <w:t>794,006</w:t>
            </w:r>
          </w:p>
        </w:tc>
        <w:tc>
          <w:tcPr>
            <w:tcW w:w="100" w:type="dxa"/>
            <w:vAlign w:val="bottom"/>
          </w:tcPr>
          <w:p>
            <w:pPr>
              <w:spacing w:after="0"/>
              <w:rPr>
                <w:sz w:val="13"/>
                <w:szCs w:val="13"/>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3"/>
                <w:szCs w:val="13"/>
                <w:color w:val="auto"/>
              </w:rPr>
              <w:t>828,581</w:t>
            </w:r>
          </w:p>
        </w:tc>
        <w:tc>
          <w:tcPr>
            <w:tcW w:w="1400" w:type="dxa"/>
            <w:vAlign w:val="bottom"/>
            <w:gridSpan w:val="3"/>
          </w:tcPr>
          <w:p>
            <w:pPr>
              <w:jc w:val="right"/>
              <w:ind w:right="400"/>
              <w:spacing w:after="0"/>
              <w:rPr>
                <w:sz w:val="20"/>
                <w:szCs w:val="20"/>
                <w:color w:val="auto"/>
              </w:rPr>
            </w:pPr>
            <w:r>
              <w:rPr>
                <w:rFonts w:ascii="Arial" w:cs="Arial" w:eastAsia="Arial" w:hAnsi="Arial"/>
                <w:sz w:val="13"/>
                <w:szCs w:val="13"/>
                <w:color w:val="auto"/>
              </w:rPr>
              <w:t>(4.2)</w:t>
            </w:r>
          </w:p>
        </w:tc>
        <w:tc>
          <w:tcPr>
            <w:tcW w:w="120" w:type="dxa"/>
            <w:vAlign w:val="bottom"/>
          </w:tcPr>
          <w:p>
            <w:pPr>
              <w:spacing w:after="0"/>
              <w:rPr>
                <w:sz w:val="13"/>
                <w:szCs w:val="13"/>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3"/>
                <w:szCs w:val="13"/>
                <w:color w:val="auto"/>
              </w:rPr>
              <w:t>685,820</w:t>
            </w: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15.8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3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Asia</w:t>
            </w: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683,988</w:t>
            </w:r>
          </w:p>
        </w:tc>
        <w:tc>
          <w:tcPr>
            <w:tcW w:w="1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634,503</w:t>
            </w:r>
          </w:p>
        </w:tc>
        <w:tc>
          <w:tcPr>
            <w:tcW w:w="1400" w:type="dxa"/>
            <w:vAlign w:val="bottom"/>
            <w:gridSpan w:val="3"/>
            <w:shd w:val="clear" w:color="auto" w:fill="CCEEFF"/>
          </w:tcPr>
          <w:p>
            <w:pPr>
              <w:jc w:val="right"/>
              <w:ind w:right="440"/>
              <w:spacing w:after="0"/>
              <w:rPr>
                <w:sz w:val="20"/>
                <w:szCs w:val="20"/>
                <w:color w:val="auto"/>
              </w:rPr>
            </w:pPr>
            <w:r>
              <w:rPr>
                <w:rFonts w:ascii="Arial" w:cs="Arial" w:eastAsia="Arial" w:hAnsi="Arial"/>
                <w:sz w:val="13"/>
                <w:szCs w:val="13"/>
                <w:color w:val="auto"/>
              </w:rPr>
              <w:t>7.8</w:t>
            </w:r>
          </w:p>
        </w:tc>
        <w:tc>
          <w:tcPr>
            <w:tcW w:w="12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538,628</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27.0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380" w:type="dxa"/>
            <w:vAlign w:val="bottom"/>
          </w:tcPr>
          <w:p>
            <w:pPr>
              <w:spacing w:after="0"/>
              <w:rPr>
                <w:sz w:val="20"/>
                <w:szCs w:val="20"/>
                <w:color w:val="auto"/>
              </w:rPr>
            </w:pPr>
            <w:r>
              <w:rPr>
                <w:rFonts w:ascii="Arial" w:cs="Arial" w:eastAsia="Arial" w:hAnsi="Arial"/>
                <w:sz w:val="13"/>
                <w:szCs w:val="13"/>
                <w:b w:val="1"/>
                <w:bCs w:val="1"/>
                <w:color w:val="auto"/>
              </w:rPr>
              <w:t>TS</w:t>
            </w: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3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Americas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819,514</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827,631</w:t>
            </w:r>
          </w:p>
        </w:tc>
        <w:tc>
          <w:tcPr>
            <w:tcW w:w="1400" w:type="dxa"/>
            <w:vAlign w:val="bottom"/>
            <w:gridSpan w:val="3"/>
            <w:shd w:val="clear" w:color="auto" w:fill="CCEEFF"/>
          </w:tcPr>
          <w:p>
            <w:pPr>
              <w:jc w:val="right"/>
              <w:ind w:right="280"/>
              <w:spacing w:after="0"/>
              <w:rPr>
                <w:sz w:val="20"/>
                <w:szCs w:val="20"/>
                <w:color w:val="auto"/>
              </w:rPr>
            </w:pPr>
            <w:r>
              <w:rPr>
                <w:rFonts w:ascii="Arial" w:cs="Arial" w:eastAsia="Arial" w:hAnsi="Arial"/>
                <w:sz w:val="13"/>
                <w:szCs w:val="13"/>
                <w:color w:val="auto"/>
              </w:rPr>
              <w:t>(1.0)%</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802,136</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380" w:type="dxa"/>
            <w:vAlign w:val="bottom"/>
          </w:tcPr>
          <w:p>
            <w:pPr>
              <w:ind w:left="140"/>
              <w:spacing w:after="0"/>
              <w:rPr>
                <w:sz w:val="20"/>
                <w:szCs w:val="20"/>
                <w:color w:val="auto"/>
              </w:rPr>
            </w:pPr>
            <w:r>
              <w:rPr>
                <w:rFonts w:ascii="Arial" w:cs="Arial" w:eastAsia="Arial" w:hAnsi="Arial"/>
                <w:sz w:val="13"/>
                <w:szCs w:val="13"/>
                <w:color w:val="auto"/>
              </w:rPr>
              <w:t>EMEA</w:t>
            </w:r>
          </w:p>
        </w:tc>
        <w:tc>
          <w:tcPr>
            <w:tcW w:w="100" w:type="dxa"/>
            <w:vAlign w:val="bottom"/>
          </w:tcPr>
          <w:p>
            <w:pPr>
              <w:spacing w:after="0"/>
              <w:rPr>
                <w:sz w:val="13"/>
                <w:szCs w:val="13"/>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3"/>
                <w:szCs w:val="13"/>
                <w:color w:val="auto"/>
              </w:rPr>
              <w:t>328,635</w:t>
            </w:r>
          </w:p>
        </w:tc>
        <w:tc>
          <w:tcPr>
            <w:tcW w:w="100" w:type="dxa"/>
            <w:vAlign w:val="bottom"/>
          </w:tcPr>
          <w:p>
            <w:pPr>
              <w:spacing w:after="0"/>
              <w:rPr>
                <w:sz w:val="13"/>
                <w:szCs w:val="13"/>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3"/>
                <w:szCs w:val="13"/>
                <w:color w:val="auto"/>
              </w:rPr>
              <w:t>293,167</w:t>
            </w:r>
          </w:p>
        </w:tc>
        <w:tc>
          <w:tcPr>
            <w:tcW w:w="1400" w:type="dxa"/>
            <w:vAlign w:val="bottom"/>
            <w:gridSpan w:val="3"/>
          </w:tcPr>
          <w:p>
            <w:pPr>
              <w:jc w:val="right"/>
              <w:ind w:right="440"/>
              <w:spacing w:after="0"/>
              <w:rPr>
                <w:sz w:val="20"/>
                <w:szCs w:val="20"/>
                <w:color w:val="auto"/>
              </w:rPr>
            </w:pPr>
            <w:r>
              <w:rPr>
                <w:rFonts w:ascii="Arial" w:cs="Arial" w:eastAsia="Arial" w:hAnsi="Arial"/>
                <w:sz w:val="13"/>
                <w:szCs w:val="13"/>
                <w:color w:val="auto"/>
              </w:rPr>
              <w:t>12.1</w:t>
            </w:r>
          </w:p>
        </w:tc>
        <w:tc>
          <w:tcPr>
            <w:tcW w:w="120" w:type="dxa"/>
            <w:vAlign w:val="bottom"/>
          </w:tcPr>
          <w:p>
            <w:pPr>
              <w:spacing w:after="0"/>
              <w:rPr>
                <w:sz w:val="13"/>
                <w:szCs w:val="13"/>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3"/>
                <w:szCs w:val="13"/>
                <w:color w:val="auto"/>
              </w:rPr>
              <w:t>288,814</w:t>
            </w: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13.8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3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Asia</w:t>
            </w: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64,833</w:t>
            </w:r>
          </w:p>
        </w:tc>
        <w:tc>
          <w:tcPr>
            <w:tcW w:w="1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43,507</w:t>
            </w:r>
          </w:p>
        </w:tc>
        <w:tc>
          <w:tcPr>
            <w:tcW w:w="1400" w:type="dxa"/>
            <w:vAlign w:val="bottom"/>
            <w:gridSpan w:val="3"/>
            <w:shd w:val="clear" w:color="auto" w:fill="CCEEFF"/>
          </w:tcPr>
          <w:p>
            <w:pPr>
              <w:jc w:val="right"/>
              <w:ind w:right="440"/>
              <w:spacing w:after="0"/>
              <w:rPr>
                <w:sz w:val="20"/>
                <w:szCs w:val="20"/>
                <w:color w:val="auto"/>
              </w:rPr>
            </w:pPr>
            <w:r>
              <w:rPr>
                <w:rFonts w:ascii="Arial" w:cs="Arial" w:eastAsia="Arial" w:hAnsi="Arial"/>
                <w:sz w:val="13"/>
                <w:szCs w:val="13"/>
                <w:color w:val="auto"/>
              </w:rPr>
              <w:t>49.0</w:t>
            </w:r>
          </w:p>
        </w:tc>
        <w:tc>
          <w:tcPr>
            <w:tcW w:w="12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66,202</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380" w:type="dxa"/>
            <w:vAlign w:val="bottom"/>
          </w:tcPr>
          <w:p>
            <w:pPr>
              <w:spacing w:after="0"/>
              <w:rPr>
                <w:sz w:val="20"/>
                <w:szCs w:val="20"/>
                <w:color w:val="auto"/>
              </w:rPr>
            </w:pPr>
            <w:r>
              <w:rPr>
                <w:rFonts w:ascii="Arial" w:cs="Arial" w:eastAsia="Arial" w:hAnsi="Arial"/>
                <w:sz w:val="13"/>
                <w:szCs w:val="13"/>
                <w:b w:val="1"/>
                <w:bCs w:val="1"/>
                <w:color w:val="auto"/>
              </w:rPr>
              <w:t>Totals by Region</w:t>
            </w: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3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Americas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1,776,938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1,811,853</w:t>
            </w:r>
          </w:p>
        </w:tc>
        <w:tc>
          <w:tcPr>
            <w:tcW w:w="1400" w:type="dxa"/>
            <w:vAlign w:val="bottom"/>
            <w:gridSpan w:val="3"/>
            <w:shd w:val="clear" w:color="auto" w:fill="CCEEFF"/>
          </w:tcPr>
          <w:p>
            <w:pPr>
              <w:jc w:val="right"/>
              <w:ind w:right="280"/>
              <w:spacing w:after="0"/>
              <w:rPr>
                <w:sz w:val="20"/>
                <w:szCs w:val="20"/>
                <w:color w:val="auto"/>
              </w:rPr>
            </w:pPr>
            <w:r>
              <w:rPr>
                <w:rFonts w:ascii="Arial" w:cs="Arial" w:eastAsia="Arial" w:hAnsi="Arial"/>
                <w:sz w:val="13"/>
                <w:szCs w:val="13"/>
                <w:color w:val="auto"/>
              </w:rPr>
              <w:t>(1.9)%</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1,688,801</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380" w:type="dxa"/>
            <w:vAlign w:val="bottom"/>
          </w:tcPr>
          <w:p>
            <w:pPr>
              <w:ind w:left="140"/>
              <w:spacing w:after="0"/>
              <w:rPr>
                <w:sz w:val="20"/>
                <w:szCs w:val="20"/>
                <w:color w:val="auto"/>
              </w:rPr>
            </w:pPr>
            <w:r>
              <w:rPr>
                <w:rFonts w:ascii="Arial" w:cs="Arial" w:eastAsia="Arial" w:hAnsi="Arial"/>
                <w:sz w:val="13"/>
                <w:szCs w:val="13"/>
                <w:color w:val="auto"/>
              </w:rPr>
              <w:t>EMEA</w:t>
            </w:r>
          </w:p>
        </w:tc>
        <w:tc>
          <w:tcPr>
            <w:tcW w:w="100" w:type="dxa"/>
            <w:vAlign w:val="bottom"/>
          </w:tcPr>
          <w:p>
            <w:pPr>
              <w:spacing w:after="0"/>
              <w:rPr>
                <w:sz w:val="13"/>
                <w:szCs w:val="13"/>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3"/>
                <w:szCs w:val="13"/>
                <w:color w:val="auto"/>
              </w:rPr>
              <w:t>1,122,641</w:t>
            </w:r>
          </w:p>
        </w:tc>
        <w:tc>
          <w:tcPr>
            <w:tcW w:w="100" w:type="dxa"/>
            <w:vAlign w:val="bottom"/>
          </w:tcPr>
          <w:p>
            <w:pPr>
              <w:spacing w:after="0"/>
              <w:rPr>
                <w:sz w:val="13"/>
                <w:szCs w:val="13"/>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3"/>
                <w:szCs w:val="13"/>
                <w:color w:val="auto"/>
              </w:rPr>
              <w:t>1,121,748</w:t>
            </w:r>
          </w:p>
        </w:tc>
        <w:tc>
          <w:tcPr>
            <w:tcW w:w="1400" w:type="dxa"/>
            <w:vAlign w:val="bottom"/>
            <w:gridSpan w:val="3"/>
          </w:tcPr>
          <w:p>
            <w:pPr>
              <w:jc w:val="right"/>
              <w:ind w:right="440"/>
              <w:spacing w:after="0"/>
              <w:rPr>
                <w:sz w:val="20"/>
                <w:szCs w:val="20"/>
                <w:color w:val="auto"/>
              </w:rPr>
            </w:pPr>
            <w:r>
              <w:rPr>
                <w:rFonts w:ascii="Arial" w:cs="Arial" w:eastAsia="Arial" w:hAnsi="Arial"/>
                <w:sz w:val="13"/>
                <w:szCs w:val="13"/>
                <w:color w:val="auto"/>
              </w:rPr>
              <w:t>0.1</w:t>
            </w:r>
          </w:p>
        </w:tc>
        <w:tc>
          <w:tcPr>
            <w:tcW w:w="120" w:type="dxa"/>
            <w:vAlign w:val="bottom"/>
          </w:tcPr>
          <w:p>
            <w:pPr>
              <w:spacing w:after="0"/>
              <w:rPr>
                <w:sz w:val="13"/>
                <w:szCs w:val="13"/>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3"/>
                <w:szCs w:val="13"/>
                <w:color w:val="auto"/>
              </w:rPr>
              <w:t>974,634</w:t>
            </w: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15.2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3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Asia</w:t>
            </w: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748,821</w:t>
            </w:r>
          </w:p>
        </w:tc>
        <w:tc>
          <w:tcPr>
            <w:tcW w:w="1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678,010</w:t>
            </w:r>
          </w:p>
        </w:tc>
        <w:tc>
          <w:tcPr>
            <w:tcW w:w="1400" w:type="dxa"/>
            <w:vAlign w:val="bottom"/>
            <w:gridSpan w:val="3"/>
            <w:shd w:val="clear" w:color="auto" w:fill="CCEEFF"/>
          </w:tcPr>
          <w:p>
            <w:pPr>
              <w:jc w:val="right"/>
              <w:ind w:right="440"/>
              <w:spacing w:after="0"/>
              <w:rPr>
                <w:sz w:val="20"/>
                <w:szCs w:val="20"/>
                <w:color w:val="auto"/>
              </w:rPr>
            </w:pPr>
            <w:r>
              <w:rPr>
                <w:rFonts w:ascii="Arial" w:cs="Arial" w:eastAsia="Arial" w:hAnsi="Arial"/>
                <w:sz w:val="13"/>
                <w:szCs w:val="13"/>
                <w:color w:val="auto"/>
              </w:rPr>
              <w:t>10.4</w:t>
            </w:r>
          </w:p>
        </w:tc>
        <w:tc>
          <w:tcPr>
            <w:tcW w:w="12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604,830</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23.8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41"/>
        </w:trPr>
        <w:tc>
          <w:tcPr>
            <w:tcW w:w="68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ind w:right="135"/>
              <w:spacing w:after="0"/>
              <w:rPr>
                <w:sz w:val="20"/>
                <w:szCs w:val="20"/>
                <w:color w:val="auto"/>
              </w:rPr>
            </w:pPr>
            <w:r>
              <w:rPr>
                <w:rFonts w:ascii="Arial" w:cs="Arial" w:eastAsia="Arial" w:hAnsi="Arial"/>
                <w:sz w:val="13"/>
                <w:szCs w:val="13"/>
                <w:color w:val="auto"/>
              </w:rPr>
              <w:t>15</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3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20" w:type="dxa"/>
            <w:vAlign w:val="bottom"/>
            <w:tcBorders>
              <w:bottom w:val="single" w:sz="8" w:color="808080"/>
            </w:tcBorders>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44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58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7" w:name="page18"/>
    <w:bookmarkEnd w:id="1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Consolidated sales for the first quarter of fiscal 2007 were $3.65 billion, up $380.1 million, or 11.6%, from the prior year first quarter consolidated sales of $3.27 billion with both operating groups contributing to the increase and with approximately $46 million, or 1.4%, of this year-over-year increase resulting from the impact of changes in foreign currency exchange rates. On a sequential basis, the Company’s top line increased slightly by $36.8 million, or 1.0%, with less than a half of a percent of the increase attributable to the impact of changes in foreign currency exchange rates.</w:t>
      </w:r>
    </w:p>
    <w:p>
      <w:pPr>
        <w:spacing w:after="0" w:line="70" w:lineRule="exact"/>
        <w:rPr>
          <w:sz w:val="20"/>
          <w:szCs w:val="20"/>
          <w:color w:val="auto"/>
        </w:rPr>
      </w:pPr>
    </w:p>
    <w:p>
      <w:pPr>
        <w:ind w:left="680" w:right="80" w:firstLine="399"/>
        <w:spacing w:after="0" w:line="257" w:lineRule="auto"/>
        <w:rPr>
          <w:sz w:val="20"/>
          <w:szCs w:val="20"/>
          <w:color w:val="auto"/>
        </w:rPr>
      </w:pPr>
      <w:r>
        <w:rPr>
          <w:rFonts w:ascii="Arial" w:cs="Arial" w:eastAsia="Arial" w:hAnsi="Arial"/>
          <w:sz w:val="13"/>
          <w:szCs w:val="13"/>
          <w:color w:val="auto"/>
        </w:rPr>
        <w:t>EM reported sales of $2.44 billion in the first quarter of fiscal 2007, up $324.3 million, or 15.4% (13.9% increase excluding the impact of changes in foreign currency exchange rates), over the prior year first quarter sales of $2.11 billion, which represents the fifth consecutive quarter of year-over-year sales growth in excess of 10%. On a sequential basis, EM sales were down slightly by $11.9 million, or 0.5%, from sales of $2.45 billion in the fourth quarter of fiscal 2006. A sequential decline was expected as Avnet’s first fiscal quarter is impacted by the typically slower summer season, but the decline was less than anticipated primarily due to the Asia and EMEA region’s sequential sales performance. EM’s better than expected sequential performance was attributable to strength in its core OEM customer base which experienced sequential growth that was somewhat offset by softness in its largest contract manufacturers and communications businesses.</w:t>
      </w:r>
    </w:p>
    <w:p>
      <w:pPr>
        <w:spacing w:after="0" w:line="72"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EM grew sales in all three regions with Asia posting the strongest gains of 27.0% year-over-year. The Americas and EMEA regions posted year-over-year sales increases of 8.0% and 15.8%, respectively, with EMEA growing 10.9% excluding the impact of changes in foreign currency exchange rates. Sequentially, Asia region sales increased 7.8% and EMEA sales declined 4.2%, respectively, which was better than expected performance considering the normal slower summer season. Sales in the Americas declined 2.7% sequentially, in line with management’s expectation for the seasonally slower first quarter.</w:t>
      </w:r>
    </w:p>
    <w:p>
      <w:pPr>
        <w:spacing w:after="0" w:line="70" w:lineRule="exact"/>
        <w:rPr>
          <w:sz w:val="20"/>
          <w:szCs w:val="20"/>
          <w:color w:val="auto"/>
        </w:rPr>
      </w:pPr>
    </w:p>
    <w:p>
      <w:pPr>
        <w:ind w:left="680" w:right="20" w:firstLine="399"/>
        <w:spacing w:after="0" w:line="256" w:lineRule="auto"/>
        <w:rPr>
          <w:sz w:val="20"/>
          <w:szCs w:val="20"/>
          <w:color w:val="auto"/>
        </w:rPr>
      </w:pPr>
      <w:r>
        <w:rPr>
          <w:rFonts w:ascii="Arial" w:cs="Arial" w:eastAsia="Arial" w:hAnsi="Arial"/>
          <w:sz w:val="13"/>
          <w:szCs w:val="13"/>
          <w:color w:val="auto"/>
        </w:rPr>
        <w:t>TS reported sales of $1.21 billion, up $55.8 million, or 4.8%, from sales in the first quarter of fiscal 2006 of $1.16 billion. The year-over-year growth was driven primarily by sales of enterprise computing products in the TS Partner Solutions business. Notwithstanding the normally slower summer season, TS sales in the first quarter of fiscal 2006 increased 4.2% sequentially when compared with the fourth quarter of fiscal 2006. TS Americas’ sales of $819.5 million increased 2.2% compared with the prior year first quarter. TS Americas’ sales declined slightly by $8.1 million, or 1.0%, on a sequential basis due to the normal sequential seasonal trend of the Partner Solutions business which focuses on enterprise computing solutions. TS EMEA sales of $328.6 million were up $39.8 million from the prior year first quarter, representing a 13.8% increase (8.8% increase year-over-year excluding the impact of changes in foreign currency exchange rates) and TS Asia sales declined $1.4 million, or 2.1%, year-over-year. Sequentially, TS EMEA and Asia grew sales by 12.1% and 49.0% which was fueled by an increase in microprocessor sales.</w:t>
      </w:r>
    </w:p>
    <w:p>
      <w:pPr>
        <w:spacing w:after="0" w:line="148"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Gross Profit and Gross Profit Margins</w:t>
      </w:r>
    </w:p>
    <w:p>
      <w:pPr>
        <w:spacing w:after="0" w:line="100" w:lineRule="exact"/>
        <w:rPr>
          <w:sz w:val="20"/>
          <w:szCs w:val="20"/>
          <w:color w:val="auto"/>
        </w:rPr>
      </w:pPr>
    </w:p>
    <w:p>
      <w:pPr>
        <w:ind w:left="680" w:right="20" w:firstLine="399"/>
        <w:spacing w:after="0" w:line="289" w:lineRule="auto"/>
        <w:rPr>
          <w:sz w:val="20"/>
          <w:szCs w:val="20"/>
          <w:color w:val="auto"/>
        </w:rPr>
      </w:pPr>
      <w:r>
        <w:rPr>
          <w:rFonts w:ascii="Arial" w:cs="Arial" w:eastAsia="Arial" w:hAnsi="Arial"/>
          <w:sz w:val="12"/>
          <w:szCs w:val="12"/>
          <w:color w:val="auto"/>
        </w:rPr>
        <w:t>Consolidated gross profit for the first quarter of fiscal 2007 was $468.4 million, up $45.1 million, or 10.7%, over prior year first quarter. Gross profit margin was 12.8%, a 10 basis point decline compared with a gross margin of 12.9% in the prior year first quarter. The slight decline in gross profit margin is primarily due to the regional shift in EM where Asia grew from 25.5% of EM revenue in the prior year first quarter to 28.1% in first quarter of fiscal 2007. The Asia region has a different business model, particularly in EM, from the other regions in that Asia typically has lower gross profit margins on its product sales. However, Asia also has lower operating expense and higher asset velocity than the other regions.</w:t>
      </w:r>
    </w:p>
    <w:p>
      <w:pPr>
        <w:spacing w:after="0" w:line="53" w:lineRule="exact"/>
        <w:rPr>
          <w:sz w:val="20"/>
          <w:szCs w:val="20"/>
          <w:color w:val="auto"/>
        </w:rPr>
      </w:pPr>
    </w:p>
    <w:p>
      <w:pPr>
        <w:ind w:left="680" w:right="120" w:firstLine="399"/>
        <w:spacing w:after="0" w:line="260" w:lineRule="auto"/>
        <w:rPr>
          <w:sz w:val="20"/>
          <w:szCs w:val="20"/>
          <w:color w:val="auto"/>
        </w:rPr>
      </w:pPr>
      <w:r>
        <w:rPr>
          <w:rFonts w:ascii="Arial" w:cs="Arial" w:eastAsia="Arial" w:hAnsi="Arial"/>
          <w:sz w:val="13"/>
          <w:szCs w:val="13"/>
          <w:color w:val="auto"/>
        </w:rPr>
        <w:t>Looking to the second quarter of fiscal 2007, although both operating groups continue to focus on enhancing profitability, the second quarter is typically the strongest quarter of the year for TS driven by the calendar year-end budgeting cycles of many of its customers is likely to result in TS constituting a higher percentage of Avnet’s consolidated sales in the second fiscal quarter, which generally experiences lower gross margins than EM. However, management expects the mix of business between the two operating groups will return to roughly the same ratio as the current quarter mix after the end of the calendar year.</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8" w:name="page19"/>
    <w:bookmarkEnd w:id="1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Selling, General and Administrative Expenses</w:t>
      </w:r>
    </w:p>
    <w:p>
      <w:pPr>
        <w:spacing w:after="0" w:line="100"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Selling, general and administrative expenses were $323.4 million in the first quarter of fiscal 2007, down $15.4 million, or 4.5%, over the prior year first quarter. This decrease is primarily attributable to the realization of operating expense synergies from the Memec integration. During the prior year fiscal quarter, the Company was still implementing its plan to integrate the Memec business into the existing operations of Avnet. The restructuring and integration plan was completed by the end of fiscal 2006 and, as a result, the first quarter of fiscal 2007 is the first quarter to fully benefit from operating expense synergies achieved.</w:t>
      </w:r>
    </w:p>
    <w:p>
      <w:pPr>
        <w:spacing w:after="0" w:line="70"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Metrics that management monitors with respect to its operating expenses are selling, general and administrative expenses as a percentage of sales and as a percentage of gross profit. In the first quarter of fiscal 2007, selling, general and administrative expenses were 8.9% of sales and 69.0% of gross profit as compared with 10.4% and 80.0%, respectively, in the first quarter of fiscal 2006. This significant year-over-year improvement is primarily a result of the realization of operating expense synergies from the Memec acquisition and the Company’s ongoing focus on managing levels of operating costs through its operational excellence initiatives.</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Restructuring and Integration Charges</w:t>
      </w:r>
    </w:p>
    <w:p>
      <w:pPr>
        <w:spacing w:after="0" w:line="100" w:lineRule="exact"/>
        <w:rPr>
          <w:sz w:val="20"/>
          <w:szCs w:val="20"/>
          <w:color w:val="auto"/>
        </w:rPr>
      </w:pPr>
    </w:p>
    <w:p>
      <w:pPr>
        <w:jc w:val="both"/>
        <w:ind w:left="680" w:right="140" w:firstLine="399"/>
        <w:spacing w:after="0" w:line="264" w:lineRule="auto"/>
        <w:rPr>
          <w:sz w:val="20"/>
          <w:szCs w:val="20"/>
          <w:color w:val="auto"/>
        </w:rPr>
      </w:pPr>
      <w:r>
        <w:rPr>
          <w:rFonts w:ascii="Arial" w:cs="Arial" w:eastAsia="Arial" w:hAnsi="Arial"/>
          <w:sz w:val="13"/>
          <w:szCs w:val="13"/>
          <w:color w:val="auto"/>
        </w:rPr>
        <w:t>During the first fiscal quarter of 2006, the Company incurred certain restructuring charges and integration costs primarily as a result of the acquisition of Memec on July 5, 2005, which was fully integrated into the Company’s existing EM operations in all three regions by the end of fiscal 2006 (Memec-related restructuring activity). In addition, the Company also incurred charges relating to certain cost reduction actions taken by TS in the EMEA region (non-Memec related restructuring activity).</w:t>
      </w:r>
    </w:p>
    <w:p>
      <w:pPr>
        <w:spacing w:after="0" w:line="67" w:lineRule="exact"/>
        <w:rPr>
          <w:sz w:val="20"/>
          <w:szCs w:val="20"/>
          <w:color w:val="auto"/>
        </w:rPr>
      </w:pPr>
    </w:p>
    <w:p>
      <w:pPr>
        <w:ind w:left="680" w:right="80" w:firstLine="399"/>
        <w:spacing w:after="0" w:line="296" w:lineRule="auto"/>
        <w:rPr>
          <w:sz w:val="20"/>
          <w:szCs w:val="20"/>
          <w:color w:val="auto"/>
        </w:rPr>
      </w:pPr>
      <w:r>
        <w:rPr>
          <w:rFonts w:ascii="Arial" w:cs="Arial" w:eastAsia="Arial" w:hAnsi="Arial"/>
          <w:sz w:val="12"/>
          <w:szCs w:val="12"/>
          <w:color w:val="auto"/>
        </w:rPr>
        <w:t>The restructuring and integration charges incurred during the first quarter of fiscal 2006 totaled $13.8 million pre-tax , $10.0 million after-tax, or $0.07 per share on a diluted basis. The pre-tax charges consisted of $3.5 million for severance costs in EM related to the Memec integration, $0.6 million of severance costs for the reduction of TS personnel in EMEA, $0.8 million of facility exit costs, $2.3 million for the write-down of certain capitalized IT-related initiatives, $0.1 million for other charges and $6.5 million for integration costs.</w:t>
      </w:r>
    </w:p>
    <w:p>
      <w:pPr>
        <w:spacing w:after="0" w:line="50" w:lineRule="exact"/>
        <w:rPr>
          <w:sz w:val="20"/>
          <w:szCs w:val="20"/>
          <w:color w:val="auto"/>
        </w:rPr>
      </w:pPr>
    </w:p>
    <w:p>
      <w:pPr>
        <w:ind w:left="680" w:right="20" w:firstLine="399"/>
        <w:spacing w:after="0" w:line="278" w:lineRule="auto"/>
        <w:rPr>
          <w:sz w:val="20"/>
          <w:szCs w:val="20"/>
          <w:color w:val="auto"/>
        </w:rPr>
      </w:pPr>
      <w:r>
        <w:rPr>
          <w:rFonts w:ascii="Arial" w:cs="Arial" w:eastAsia="Arial" w:hAnsi="Arial"/>
          <w:sz w:val="12"/>
          <w:szCs w:val="12"/>
          <w:color w:val="auto"/>
        </w:rPr>
        <w:t>Severance charges incurred during the first quarter of fiscal 2006 related to work force reductions of over 200 personnel primarily in administrative and support functions in the EMEA and Americas regions. The majority of the positions eliminated were Avnet personnel that were deemed redundant by management with the merger of Memec into Avnet and also a small number of primarily administrative staff in TS’s operations in EMEA who were identified as redundant based upon the realignment of certain job functions in that region. The facility exit charges related to liabilities for remaining non-cancelable lease obligations and the write-down of property, plant and equipment at two facilities in the Americas. The facilities, which supported administrative and support functions, and some sales functions, were identified for consolidation based upon the termination of certain personnel discussed above and the relocation of other personnel into other existing Avnet facilities. The IT-related charges resulted from management’s review of certain capitalized systems and hardware as part of the integration effort. A substantial portion of this write-off relates to mainframe hardware that was scrapped due to the purchase of new, higher capacity hardware to handle the increased capacity needs with the addition of Memec. Similarly, certain capitalized IT assets were written off when they became redundant either to other acquired systems or new systems under development in the first quarter of fiscal 2006 as a result of the acquisition of Memec. Other charges in the first quarter of fiscal 2006 related primarily to certain contract and lease termination charges associated with the redundant employees identified in TS EMEA.</w:t>
      </w:r>
    </w:p>
    <w:p>
      <w:pPr>
        <w:spacing w:after="0" w:line="63"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Also related to the Memec acquisition, the Company incurred certain integration related costs related to incremental salary costs, primarily of Memec personnel, who were retained by Avnet for extended periods following the close of the acquisition, solely to assist in the integration of Memec’s IT systems, administrative and logistics operations into those of Avnet. These identified personnel had no other meaningful day-to-day operational responsibilities outside of the integration effort. Also included in integration costs are certain professional fees, travel, meeting, marketing and communication costs that were incrementally incurred solely related to the Memec integration efforts. All integration costs were incurred and paid during the first quarter of fiscal 2006.</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560"/>
          </w:cols>
          <w:pgMar w:left="220" w:top="343" w:right="1119" w:bottom="1440" w:gutter="0" w:footer="0" w:header="0"/>
        </w:sectPr>
      </w:pPr>
    </w:p>
    <w:bookmarkStart w:id="19" w:name="page20"/>
    <w:bookmarkEnd w:id="1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680" w:firstLine="399"/>
        <w:spacing w:after="0" w:line="264" w:lineRule="auto"/>
        <w:rPr>
          <w:sz w:val="20"/>
          <w:szCs w:val="20"/>
          <w:color w:val="auto"/>
        </w:rPr>
      </w:pPr>
      <w:r>
        <w:rPr>
          <w:rFonts w:ascii="Arial" w:cs="Arial" w:eastAsia="Arial" w:hAnsi="Arial"/>
          <w:sz w:val="13"/>
          <w:szCs w:val="13"/>
          <w:color w:val="auto"/>
        </w:rPr>
        <w:t>As of September 30, 2006, the remaining Memec-related reserves with respect to the restructuring actions taken in fiscal 2006 totaled $2.4 million consisting of $1.6 million related to severance reserves, the majority of which management expects to utilize by the end of fiscal 2007, and $0.8 million of facility exit costs, the majority of which management expects to utilize by fiscal 2009.</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As of September 30, 2006, remaining reserves with respect to the non-Memec related restructuring and other actions taken in fiscal 2006 totaled $4.7 million consisting of</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$2.6 million related to severance reserves, the majority of which management expects to utilize before the end of fiscal 2008, $2.0 million of facility exit costs, the majority of which</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management expects to utilize by fiscal 2013, and $0.1 million of other costs, the majority of which management expects to utilize by the end of fiscal 2007.</w:t>
      </w:r>
    </w:p>
    <w:p>
      <w:pPr>
        <w:spacing w:after="0" w:line="89"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color w:val="auto"/>
        </w:rPr>
        <w:t>As of September 30, 2006, the Company’s remaining reserves for fiscal 2004 restructuring and other related activities totaled $6.0 million. Of this balance, $0.4 million related to remaining severance reserves the majority of which the Company expects to utilize by the end of fiscal 2008. The remaining reserve balance also included $5.3 million related to reserves for contractual lease commitments, substantially all of which the Company expects to utilize by the end of fiscal 2010, although a small portion of the remaining reserves relate to lease payouts that extend as late as fiscal 2012. The other reserves, which total $0.3 million, related primarily to remaining contractual commitments, the majority of which the Company expects to utilize during fiscal 2007.</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Operating Income</w:t>
      </w:r>
    </w:p>
    <w:p>
      <w:pPr>
        <w:spacing w:after="0" w:line="100" w:lineRule="exact"/>
        <w:rPr>
          <w:sz w:val="20"/>
          <w:szCs w:val="20"/>
          <w:color w:val="auto"/>
        </w:rPr>
      </w:pPr>
    </w:p>
    <w:p>
      <w:pPr>
        <w:ind w:left="680" w:right="80" w:firstLine="399"/>
        <w:spacing w:after="0" w:line="258" w:lineRule="auto"/>
        <w:rPr>
          <w:sz w:val="20"/>
          <w:szCs w:val="20"/>
          <w:color w:val="auto"/>
        </w:rPr>
      </w:pPr>
      <w:r>
        <w:rPr>
          <w:rFonts w:ascii="Arial" w:cs="Arial" w:eastAsia="Arial" w:hAnsi="Arial"/>
          <w:sz w:val="13"/>
          <w:szCs w:val="13"/>
          <w:color w:val="auto"/>
        </w:rPr>
        <w:t xml:space="preserve">Operating income for the first quarter of fiscal 2007 was $145.0 million, or 3.97% of consolidated sales, as compared with operating income of $70.7 million, or 2.16% of consolidated sales in the first quarter of fiscal 2006. All regions in both operating groups contributed to the increase in operating income margin. Included in operating income for the first quarter of fiscal 2006 were restructuring and integration charges totaling $13.8 million (0.4% of consolidated sales) as discussed earlier in this MD&amp;A. The growth in operating income was more than eight times the growth in revenues and primarily resulted from the realization of operating expenses synergies from the Memec acquisition (see </w:t>
      </w:r>
      <w:r>
        <w:rPr>
          <w:rFonts w:ascii="Arial" w:cs="Arial" w:eastAsia="Arial" w:hAnsi="Arial"/>
          <w:sz w:val="13"/>
          <w:szCs w:val="13"/>
          <w:i w:val="1"/>
          <w:iCs w:val="1"/>
          <w:color w:val="auto"/>
        </w:rPr>
        <w:t>Selling, General and</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Administrative Expenses </w:t>
      </w:r>
      <w:r>
        <w:rPr>
          <w:rFonts w:ascii="Arial" w:cs="Arial" w:eastAsia="Arial" w:hAnsi="Arial"/>
          <w:sz w:val="13"/>
          <w:szCs w:val="13"/>
          <w:color w:val="auto"/>
        </w:rPr>
        <w:t>for further discussion).</w:t>
      </w:r>
    </w:p>
    <w:p>
      <w:pPr>
        <w:spacing w:after="0" w:line="71" w:lineRule="exact"/>
        <w:rPr>
          <w:sz w:val="20"/>
          <w:szCs w:val="20"/>
          <w:color w:val="auto"/>
        </w:rPr>
      </w:pPr>
    </w:p>
    <w:p>
      <w:pPr>
        <w:ind w:left="680" w:right="40" w:firstLine="399"/>
        <w:spacing w:after="0" w:line="285" w:lineRule="auto"/>
        <w:rPr>
          <w:sz w:val="20"/>
          <w:szCs w:val="20"/>
          <w:color w:val="auto"/>
        </w:rPr>
      </w:pPr>
      <w:r>
        <w:rPr>
          <w:rFonts w:ascii="Arial" w:cs="Arial" w:eastAsia="Arial" w:hAnsi="Arial"/>
          <w:sz w:val="12"/>
          <w:szCs w:val="12"/>
          <w:color w:val="auto"/>
        </w:rPr>
        <w:t>EM reported operating income of $125.6 million (5.2% of EM sales) in the first quarter of fiscal 2007 as compared with $69.9 million (3.3% of EM sales) in the prior year first quarter. The increase in operating income margin for EM year-over-year is a function of the operating expense synergies realized from the Memec integration discussed earlier in this MD&amp;A. This also represents the third consecutive quarter where EM operating income margin was greater than 5%. TS operating income in the first quarter of fiscal 2007 was $39.0 million (3.2% of TS sales) as compared with $32.6 million (2.8% of TS sales) in the prior year first quarter. TS’ improved operating income margin is attributable to the ongoing management of operating costs. Corporate operating expenses totaled $19.6 million in the first quarter of fiscal 2007 as compared to $18.0 million in the first quarter of fiscal 2006.</w:t>
      </w:r>
    </w:p>
    <w:p>
      <w:pPr>
        <w:spacing w:after="0" w:line="13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Interest Expense and Other Income, net</w:t>
      </w:r>
    </w:p>
    <w:p>
      <w:pPr>
        <w:spacing w:after="0" w:line="100"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2"/>
          <w:szCs w:val="12"/>
          <w:color w:val="auto"/>
        </w:rPr>
        <w:t>Interest expense in the first quarter of fiscal 2007 was $22.3 million, down $1.4 million, or 6.1%, from interest expense of $23.7 million in the first quarter of fiscal 2006. The year-over-year decrease in interest expense is primarily a result of the refinancing activities which occurred in fiscal 2006. The Company repurchased $254.1 million of its 8.00% Notes due November 15, 2006 (the “8.00% Notes”) in September 2005 funded primarily with the issuance of $250.0 million of 6.00% Notes due September 1, 2015 (the “6.00% Notes”) and repurchased an additional $2.2 million of the 8.00% Notes in December 2005. In addition, during the fourth quarter of fiscal 2006, the Company repurchased $113.6 million of its</w:t>
      </w:r>
    </w:p>
    <w:p>
      <w:pPr>
        <w:ind w:left="680" w:right="80"/>
        <w:spacing w:after="0" w:line="193" w:lineRule="auto"/>
        <w:rPr>
          <w:sz w:val="20"/>
          <w:szCs w:val="20"/>
          <w:color w:val="auto"/>
        </w:rPr>
      </w:pPr>
      <w:r>
        <w:rPr>
          <w:rFonts w:ascii="Arial" w:cs="Arial" w:eastAsia="Arial" w:hAnsi="Arial"/>
          <w:sz w:val="12"/>
          <w:szCs w:val="12"/>
          <w:color w:val="auto"/>
        </w:rPr>
        <w:t>9</w:t>
      </w:r>
      <w:r>
        <w:rPr>
          <w:rFonts w:ascii="Arial" w:cs="Arial" w:eastAsia="Arial" w:hAnsi="Arial"/>
          <w:sz w:val="17"/>
          <w:szCs w:val="17"/>
          <w:color w:val="auto"/>
          <w:vertAlign w:val="superscript"/>
        </w:rPr>
        <w:t>3</w:t>
      </w:r>
      <w:r>
        <w:rPr>
          <w:rFonts w:ascii="Arial" w:cs="Arial" w:eastAsia="Arial" w:hAnsi="Arial"/>
          <w:sz w:val="12"/>
          <w:szCs w:val="12"/>
          <w:color w:val="auto"/>
        </w:rPr>
        <w:t>/</w:t>
      </w:r>
      <w:r>
        <w:rPr>
          <w:rFonts w:ascii="Arial" w:cs="Arial" w:eastAsia="Arial" w:hAnsi="Arial"/>
          <w:sz w:val="9"/>
          <w:szCs w:val="9"/>
          <w:color w:val="auto"/>
        </w:rPr>
        <w:t>4</w:t>
      </w:r>
      <w:r>
        <w:rPr>
          <w:rFonts w:ascii="Arial" w:cs="Arial" w:eastAsia="Arial" w:hAnsi="Arial"/>
          <w:sz w:val="12"/>
          <w:szCs w:val="12"/>
          <w:color w:val="auto"/>
        </w:rPr>
        <w:t>% Notes due February 15, 2008 (the “9</w:t>
      </w:r>
      <w:r>
        <w:rPr>
          <w:rFonts w:ascii="Arial" w:cs="Arial" w:eastAsia="Arial" w:hAnsi="Arial"/>
          <w:sz w:val="17"/>
          <w:szCs w:val="17"/>
          <w:color w:val="auto"/>
          <w:vertAlign w:val="superscript"/>
        </w:rPr>
        <w:t>3</w:t>
      </w:r>
      <w:r>
        <w:rPr>
          <w:rFonts w:ascii="Arial" w:cs="Arial" w:eastAsia="Arial" w:hAnsi="Arial"/>
          <w:sz w:val="12"/>
          <w:szCs w:val="12"/>
          <w:color w:val="auto"/>
        </w:rPr>
        <w:t>/</w:t>
      </w:r>
      <w:r>
        <w:rPr>
          <w:rFonts w:ascii="Arial" w:cs="Arial" w:eastAsia="Arial" w:hAnsi="Arial"/>
          <w:sz w:val="9"/>
          <w:szCs w:val="9"/>
          <w:color w:val="auto"/>
        </w:rPr>
        <w:t>4</w:t>
      </w:r>
      <w:r>
        <w:rPr>
          <w:rFonts w:ascii="Arial" w:cs="Arial" w:eastAsia="Arial" w:hAnsi="Arial"/>
          <w:sz w:val="12"/>
          <w:szCs w:val="12"/>
          <w:color w:val="auto"/>
        </w:rPr>
        <w:t>% Notes”) with available liquidity. Slightly offsetting the benefit from the financing activities was interest expense incurred in September 2006 on both the 9</w:t>
      </w:r>
      <w:r>
        <w:rPr>
          <w:rFonts w:ascii="Arial" w:cs="Arial" w:eastAsia="Arial" w:hAnsi="Arial"/>
          <w:sz w:val="17"/>
          <w:szCs w:val="17"/>
          <w:color w:val="auto"/>
          <w:vertAlign w:val="superscript"/>
        </w:rPr>
        <w:t>3</w:t>
      </w:r>
      <w:r>
        <w:rPr>
          <w:rFonts w:ascii="Arial" w:cs="Arial" w:eastAsia="Arial" w:hAnsi="Arial"/>
          <w:sz w:val="12"/>
          <w:szCs w:val="12"/>
          <w:color w:val="auto"/>
        </w:rPr>
        <w:t>/</w:t>
      </w:r>
      <w:r>
        <w:rPr>
          <w:rFonts w:ascii="Arial" w:cs="Arial" w:eastAsia="Arial" w:hAnsi="Arial"/>
          <w:sz w:val="9"/>
          <w:szCs w:val="9"/>
          <w:color w:val="auto"/>
        </w:rPr>
        <w:t>4</w:t>
      </w:r>
      <w:r>
        <w:rPr>
          <w:rFonts w:ascii="Arial" w:cs="Arial" w:eastAsia="Arial" w:hAnsi="Arial"/>
          <w:sz w:val="12"/>
          <w:szCs w:val="12"/>
          <w:color w:val="auto"/>
        </w:rPr>
        <w:t>% Notes and the new $300.0 million 6.625% Notes due 2016 issued during the first quarter. In September 2006, the Company issued $300.0 million principal amount of</w:t>
      </w:r>
    </w:p>
    <w:p>
      <w:pPr>
        <w:ind w:left="680" w:right="60"/>
        <w:spacing w:after="0" w:line="212" w:lineRule="auto"/>
        <w:rPr>
          <w:sz w:val="20"/>
          <w:szCs w:val="20"/>
          <w:color w:val="auto"/>
        </w:rPr>
      </w:pPr>
      <w:r>
        <w:rPr>
          <w:rFonts w:ascii="Arial" w:cs="Arial" w:eastAsia="Arial" w:hAnsi="Arial"/>
          <w:sz w:val="13"/>
          <w:szCs w:val="13"/>
          <w:color w:val="auto"/>
        </w:rPr>
        <w:t>6.625% Notes due 2016 (the “6.625% Notes”) and used the proceeds to fund the repurchase of $361.4 million of the 9</w:t>
      </w:r>
      <w:r>
        <w:rPr>
          <w:rFonts w:ascii="Arial" w:cs="Arial" w:eastAsia="Arial" w:hAnsi="Arial"/>
          <w:sz w:val="18"/>
          <w:szCs w:val="18"/>
          <w:color w:val="auto"/>
          <w:vertAlign w:val="superscript"/>
        </w:rPr>
        <w:t>3</w:t>
      </w:r>
      <w:r>
        <w:rPr>
          <w:rFonts w:ascii="Arial" w:cs="Arial" w:eastAsia="Arial" w:hAnsi="Arial"/>
          <w:sz w:val="13"/>
          <w:szCs w:val="13"/>
          <w:color w:val="auto"/>
        </w:rPr>
        <w:t>/</w:t>
      </w:r>
      <w:r>
        <w:rPr>
          <w:rFonts w:ascii="Arial" w:cs="Arial" w:eastAsia="Arial" w:hAnsi="Arial"/>
          <w:sz w:val="9"/>
          <w:szCs w:val="9"/>
          <w:color w:val="auto"/>
        </w:rPr>
        <w:t>4</w:t>
      </w:r>
      <w:r>
        <w:rPr>
          <w:rFonts w:ascii="Arial" w:cs="Arial" w:eastAsia="Arial" w:hAnsi="Arial"/>
          <w:sz w:val="13"/>
          <w:szCs w:val="13"/>
          <w:color w:val="auto"/>
        </w:rPr>
        <w:t xml:space="preserve">% Notes, which was completed on October 12, 2006. See </w:t>
      </w:r>
      <w:r>
        <w:rPr>
          <w:rFonts w:ascii="Arial" w:cs="Arial" w:eastAsia="Arial" w:hAnsi="Arial"/>
          <w:sz w:val="13"/>
          <w:szCs w:val="13"/>
          <w:i w:val="1"/>
          <w:iCs w:val="1"/>
          <w:color w:val="auto"/>
        </w:rPr>
        <w:t>Financing</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Transactions </w:t>
      </w:r>
      <w:r>
        <w:rPr>
          <w:rFonts w:ascii="Arial" w:cs="Arial" w:eastAsia="Arial" w:hAnsi="Arial"/>
          <w:sz w:val="13"/>
          <w:szCs w:val="13"/>
          <w:color w:val="auto"/>
        </w:rPr>
        <w:t>for further discussion of the Company’s outstanding debt.</w:t>
      </w:r>
    </w:p>
    <w:p>
      <w:pPr>
        <w:spacing w:after="0" w:line="82" w:lineRule="exact"/>
        <w:rPr>
          <w:sz w:val="20"/>
          <w:szCs w:val="20"/>
          <w:color w:val="auto"/>
        </w:rPr>
      </w:pPr>
    </w:p>
    <w:p>
      <w:pPr>
        <w:ind w:left="680" w:right="320" w:firstLine="399"/>
        <w:spacing w:after="0" w:line="320" w:lineRule="auto"/>
        <w:rPr>
          <w:sz w:val="20"/>
          <w:szCs w:val="20"/>
          <w:color w:val="auto"/>
        </w:rPr>
      </w:pPr>
      <w:r>
        <w:rPr>
          <w:rFonts w:ascii="Arial" w:cs="Arial" w:eastAsia="Arial" w:hAnsi="Arial"/>
          <w:sz w:val="12"/>
          <w:szCs w:val="12"/>
          <w:color w:val="auto"/>
        </w:rPr>
        <w:t>Other income, net, was $3.7 million in the first quarter of fiscal 2007 as compared with $1.9 million in the first quarter of fiscal 2006. The increase is primarily due to income of $2.8 million related to the recovery of a non-trade receivable in Europe, partially offset by higher foreign currency losses over prior year first quarter. Avnet acquired</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0" w:name="page21"/>
    <w:bookmarkEnd w:id="2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00"/>
        <w:spacing w:after="0" w:line="276" w:lineRule="auto"/>
        <w:rPr>
          <w:sz w:val="20"/>
          <w:szCs w:val="20"/>
          <w:color w:val="auto"/>
        </w:rPr>
      </w:pPr>
      <w:r>
        <w:rPr>
          <w:rFonts w:ascii="Arial" w:cs="Arial" w:eastAsia="Arial" w:hAnsi="Arial"/>
          <w:sz w:val="13"/>
          <w:szCs w:val="13"/>
          <w:color w:val="auto"/>
        </w:rPr>
        <w:t>the non-trade receivable as a result of the Memec acquisition on July 5, 2005 and wrote it down to its estimated realizable value during the purchase price allocation period, which closed at the end of fiscal 2006. The amount represents the recovery above the estimated realizable value.</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Debt Extinguishment Costs</w:t>
      </w:r>
    </w:p>
    <w:p>
      <w:pPr>
        <w:spacing w:after="0" w:line="100" w:lineRule="exact"/>
        <w:rPr>
          <w:sz w:val="20"/>
          <w:szCs w:val="20"/>
          <w:color w:val="auto"/>
        </w:rPr>
      </w:pPr>
    </w:p>
    <w:p>
      <w:pPr>
        <w:ind w:left="680" w:right="140" w:firstLine="399"/>
        <w:spacing w:after="0" w:line="233" w:lineRule="auto"/>
        <w:rPr>
          <w:sz w:val="20"/>
          <w:szCs w:val="20"/>
          <w:color w:val="auto"/>
        </w:rPr>
      </w:pPr>
      <w:r>
        <w:rPr>
          <w:rFonts w:ascii="Arial" w:cs="Arial" w:eastAsia="Arial" w:hAnsi="Arial"/>
          <w:sz w:val="13"/>
          <w:szCs w:val="13"/>
          <w:color w:val="auto"/>
        </w:rPr>
        <w:t xml:space="preserve">As further described in </w:t>
      </w:r>
      <w:r>
        <w:rPr>
          <w:rFonts w:ascii="Arial" w:cs="Arial" w:eastAsia="Arial" w:hAnsi="Arial"/>
          <w:sz w:val="13"/>
          <w:szCs w:val="13"/>
          <w:i w:val="1"/>
          <w:iCs w:val="1"/>
          <w:color w:val="auto"/>
        </w:rPr>
        <w:t>Financing Transactions</w:t>
      </w:r>
      <w:r>
        <w:rPr>
          <w:rFonts w:ascii="Arial" w:cs="Arial" w:eastAsia="Arial" w:hAnsi="Arial"/>
          <w:sz w:val="13"/>
          <w:szCs w:val="13"/>
          <w:color w:val="auto"/>
        </w:rPr>
        <w:t>, the Company incurred debt extinguishment costs in the first quarter of fiscal 2007 associated with the redemption of all of its outstanding 9</w:t>
      </w:r>
      <w:r>
        <w:rPr>
          <w:rFonts w:ascii="Arial" w:cs="Arial" w:eastAsia="Arial" w:hAnsi="Arial"/>
          <w:sz w:val="18"/>
          <w:szCs w:val="18"/>
          <w:color w:val="auto"/>
          <w:vertAlign w:val="superscript"/>
        </w:rPr>
        <w:t>3</w:t>
      </w:r>
      <w:r>
        <w:rPr>
          <w:rFonts w:ascii="Arial" w:cs="Arial" w:eastAsia="Arial" w:hAnsi="Arial"/>
          <w:sz w:val="13"/>
          <w:szCs w:val="13"/>
          <w:color w:val="auto"/>
        </w:rPr>
        <w:t>/</w:t>
      </w:r>
      <w:r>
        <w:rPr>
          <w:rFonts w:ascii="Arial" w:cs="Arial" w:eastAsia="Arial" w:hAnsi="Arial"/>
          <w:sz w:val="9"/>
          <w:szCs w:val="9"/>
          <w:color w:val="auto"/>
        </w:rPr>
        <w:t>4</w:t>
      </w:r>
      <w:r>
        <w:rPr>
          <w:rFonts w:ascii="Arial" w:cs="Arial" w:eastAsia="Arial" w:hAnsi="Arial"/>
          <w:sz w:val="13"/>
          <w:szCs w:val="13"/>
          <w:color w:val="auto"/>
        </w:rPr>
        <w:t>% Notes due February 15, 2008. The costs incurred as a result of the redemption totaled $27.4 million pre-tax, $16.5 million after tax, or $0.11 per share on a diluted basis, and consisted of $20.3 million for the make-whole redemption premium, $5.0 million associated with two interest rate swap terminations, and $2.1 million to write-off certain deferred financing costs.</w:t>
      </w:r>
    </w:p>
    <w:p>
      <w:pPr>
        <w:spacing w:after="0" w:line="81" w:lineRule="exact"/>
        <w:rPr>
          <w:sz w:val="20"/>
          <w:szCs w:val="20"/>
          <w:color w:val="auto"/>
        </w:rPr>
      </w:pPr>
    </w:p>
    <w:p>
      <w:pPr>
        <w:ind w:left="680" w:right="140" w:firstLine="399"/>
        <w:spacing w:after="0" w:line="320" w:lineRule="auto"/>
        <w:rPr>
          <w:sz w:val="20"/>
          <w:szCs w:val="20"/>
          <w:color w:val="auto"/>
        </w:rPr>
      </w:pPr>
      <w:r>
        <w:rPr>
          <w:rFonts w:ascii="Arial" w:cs="Arial" w:eastAsia="Arial" w:hAnsi="Arial"/>
          <w:sz w:val="12"/>
          <w:szCs w:val="12"/>
          <w:color w:val="auto"/>
        </w:rPr>
        <w:t>During the first quarter of fiscal 2006, the Company also incurred debt extinguishment costs associated with the repurchase of $254.1 million of the 8.00% Notes. The costs, which related primarily to premiums and other transaction costs associated with the repurchase, totaled $11.7 million pre-tax, $7.1 million after tax, or $0.05 per share on a diluted basis.</w:t>
      </w:r>
    </w:p>
    <w:p>
      <w:pPr>
        <w:spacing w:after="0" w:line="11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Income Tax Provision</w:t>
      </w:r>
    </w:p>
    <w:p>
      <w:pPr>
        <w:spacing w:after="0" w:line="100" w:lineRule="exact"/>
        <w:rPr>
          <w:sz w:val="20"/>
          <w:szCs w:val="20"/>
          <w:color w:val="auto"/>
        </w:rPr>
      </w:pPr>
    </w:p>
    <w:p>
      <w:pPr>
        <w:ind w:left="680" w:firstLine="399"/>
        <w:spacing w:after="0" w:line="296" w:lineRule="auto"/>
        <w:rPr>
          <w:sz w:val="20"/>
          <w:szCs w:val="20"/>
          <w:color w:val="auto"/>
        </w:rPr>
      </w:pPr>
      <w:r>
        <w:rPr>
          <w:rFonts w:ascii="Arial" w:cs="Arial" w:eastAsia="Arial" w:hAnsi="Arial"/>
          <w:sz w:val="12"/>
          <w:szCs w:val="12"/>
          <w:color w:val="auto"/>
        </w:rPr>
        <w:t>The Company’s effective tax rate on its income before income taxes was 35.3% in the first quarter of fiscal 2007 as compared with 33.0% in the first quarter of fiscal 2006. The effective tax rate was impacted by the combination of an increase in pre-tax income and a higher effective tax rate based upon the projected mix of profits for the remainder of the fiscal year. In addition, the Company recognized an additional tax provision for transfer pricing exposures in Europe in the amount of $3.4 million, or $0.02 per share on a diluted basis.</w:t>
      </w:r>
    </w:p>
    <w:p>
      <w:pPr>
        <w:spacing w:after="0" w:line="1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Net Income</w:t>
      </w:r>
    </w:p>
    <w:p>
      <w:pPr>
        <w:spacing w:after="0" w:line="100" w:lineRule="exact"/>
        <w:rPr>
          <w:sz w:val="20"/>
          <w:szCs w:val="20"/>
          <w:color w:val="auto"/>
        </w:rPr>
      </w:pPr>
    </w:p>
    <w:p>
      <w:pPr>
        <w:ind w:left="680" w:right="120" w:firstLine="399"/>
        <w:spacing w:after="0" w:line="282" w:lineRule="auto"/>
        <w:rPr>
          <w:sz w:val="20"/>
          <w:szCs w:val="20"/>
          <w:color w:val="auto"/>
        </w:rPr>
      </w:pPr>
      <w:r>
        <w:rPr>
          <w:rFonts w:ascii="Arial" w:cs="Arial" w:eastAsia="Arial" w:hAnsi="Arial"/>
          <w:sz w:val="12"/>
          <w:szCs w:val="12"/>
          <w:color w:val="auto"/>
        </w:rPr>
        <w:t>As a result of the operational performance and other factors described in the preceding sections of this MD&amp;A, the Company’s consolidated net income for the first quarter of fiscal 2007 was $64.1 million, or $0.44 per share on a diluted basis, as compared with $24.9 million or $0.17 per share on a diluted basis, in the prior year first quarter. Net income for the first quarter of fiscal 2007 was negatively impacted by costs totaling $18.1 million or $0.12 per share on a diluted basis, which included debt extinguishment costs ($16.5 million after tax or $0.11 per share on a diluted basis) and an income tax audit provision ($3.4 million after tax or $0.02 per share on a diluted basis), partially offset by the recovery of a previously reserved non-trade receivable ($1.8 million after tax or $0.01 per share on a diluted basis). The prior year first quarter results include restructuring and integration charges ($10.0 million after tax or $0.07 per share on a diluted basis) and debt extinguishment costs ($7.1 million after tax or $0.05 per share on a diluted basis).</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21" w:name="page22"/>
    <w:bookmarkEnd w:id="2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4440"/>
        <w:spacing w:after="0"/>
        <w:rPr>
          <w:sz w:val="20"/>
          <w:szCs w:val="20"/>
          <w:color w:val="auto"/>
        </w:rPr>
      </w:pPr>
      <w:r>
        <w:rPr>
          <w:rFonts w:ascii="Arial" w:cs="Arial" w:eastAsia="Arial" w:hAnsi="Arial"/>
          <w:sz w:val="13"/>
          <w:szCs w:val="13"/>
          <w:b w:val="1"/>
          <w:bCs w:val="1"/>
          <w:color w:val="auto"/>
        </w:rPr>
        <w:t>LIQUIDITY AND CAPITAL RESOURCES</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Cash Flow</w:t>
      </w:r>
    </w:p>
    <w:p>
      <w:pPr>
        <w:spacing w:after="0" w:line="100" w:lineRule="exact"/>
        <w:rPr>
          <w:sz w:val="20"/>
          <w:szCs w:val="20"/>
          <w:color w:val="auto"/>
        </w:rPr>
      </w:pPr>
    </w:p>
    <w:p>
      <w:pPr>
        <w:ind w:left="680" w:right="20" w:firstLine="399"/>
        <w:spacing w:after="0" w:line="281" w:lineRule="auto"/>
        <w:rPr>
          <w:sz w:val="20"/>
          <w:szCs w:val="20"/>
          <w:color w:val="auto"/>
        </w:rPr>
      </w:pPr>
      <w:r>
        <w:rPr>
          <w:rFonts w:ascii="Arial" w:cs="Arial" w:eastAsia="Arial" w:hAnsi="Arial"/>
          <w:sz w:val="12"/>
          <w:szCs w:val="12"/>
          <w:color w:val="auto"/>
        </w:rPr>
        <w:t>The following table summarizes the Company’s cash flow activity for the quarters ended September 30, 2006 and October 1, 2005, including the Company’s computation of free cash flow and a reconciliation of this metric to the nearest GAAP measures of net income and net cash flow from operations. Management’s computation of free cash flow consists of net cash flow from operations plus cash flows generated from or used for purchases and sales of property, plant and equipment, acquisitions of operations, effects of exchange rates on cash and cash equivalents and other financing activities. Management believes that the non-GAAP metric of free cash flow is a useful measure to help management and investors better assess and understand the Company’s operating performance and sources and uses of cash. Management also believes the analysis of free cash flow assists in identifying underlying trends in the business. Computations of free cash flow may differ from company to company. Therefore, the analysis of free cash flow should be used as a complement to, and in conjunction with, the Company’s consolidated statements of cash flows presented in the accompanying consolidated financial statements.</w:t>
      </w:r>
    </w:p>
    <w:p>
      <w:pPr>
        <w:spacing w:after="0" w:line="58"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Management also analyzes cash flow from operations based upon its three primary components noted in the table below: net income, non-cash and other reconciling items and cash flow generated from (used for) working capital. Similar to free cash flow, management believes that this breakout is an important measure to help management and investors understand the trends in the Company’s cash flows, including the impact of management’s focus on asset utilization and efficiency through its management of the net balance of receivables, inventories and accounts payable.</w:t>
      </w:r>
    </w:p>
    <w:p>
      <w:pPr>
        <w:spacing w:after="0" w:line="7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300" w:type="dxa"/>
            <w:vAlign w:val="bottom"/>
          </w:tcPr>
          <w:p>
            <w:pPr>
              <w:spacing w:after="0"/>
              <w:rPr>
                <w:sz w:val="10"/>
                <w:szCs w:val="10"/>
                <w:color w:val="auto"/>
              </w:rPr>
            </w:pPr>
          </w:p>
        </w:tc>
        <w:tc>
          <w:tcPr>
            <w:tcW w:w="6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160" w:type="dxa"/>
            <w:vAlign w:val="bottom"/>
            <w:gridSpan w:val="5"/>
          </w:tcPr>
          <w:p>
            <w:pPr>
              <w:jc w:val="right"/>
              <w:ind w:right="700"/>
              <w:spacing w:after="0"/>
              <w:rPr>
                <w:sz w:val="20"/>
                <w:szCs w:val="20"/>
                <w:color w:val="auto"/>
              </w:rPr>
            </w:pPr>
            <w:r>
              <w:rPr>
                <w:rFonts w:ascii="Arial" w:cs="Arial" w:eastAsia="Arial" w:hAnsi="Arial"/>
                <w:sz w:val="10"/>
                <w:szCs w:val="10"/>
                <w:b w:val="1"/>
                <w:bCs w:val="1"/>
                <w:color w:val="auto"/>
              </w:rPr>
              <w:t>First Quarters Ended</w:t>
            </w: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640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1260" w:type="dxa"/>
            <w:vAlign w:val="bottom"/>
            <w:tcBorders>
              <w:top w:val="single" w:sz="8" w:color="auto"/>
            </w:tcBorders>
            <w:gridSpan w:val="2"/>
          </w:tcPr>
          <w:p>
            <w:pPr>
              <w:jc w:val="right"/>
              <w:ind w:right="560"/>
              <w:spacing w:after="0" w:line="81" w:lineRule="exact"/>
              <w:rPr>
                <w:sz w:val="20"/>
                <w:szCs w:val="20"/>
                <w:color w:val="auto"/>
              </w:rPr>
            </w:pPr>
            <w:r>
              <w:rPr>
                <w:rFonts w:ascii="Arial" w:cs="Arial" w:eastAsia="Arial" w:hAnsi="Arial"/>
                <w:sz w:val="9"/>
                <w:szCs w:val="9"/>
                <w:b w:val="1"/>
                <w:bCs w:val="1"/>
                <w:color w:val="auto"/>
              </w:rPr>
              <w:t>September 30,</w:t>
            </w:r>
          </w:p>
        </w:tc>
        <w:tc>
          <w:tcPr>
            <w:tcW w:w="120" w:type="dxa"/>
            <w:vAlign w:val="bottom"/>
            <w:tcBorders>
              <w:top w:val="single" w:sz="8" w:color="auto"/>
            </w:tcBorders>
          </w:tcPr>
          <w:p>
            <w:pPr>
              <w:spacing w:after="0"/>
              <w:rPr>
                <w:sz w:val="7"/>
                <w:szCs w:val="7"/>
                <w:color w:val="auto"/>
              </w:rPr>
            </w:pPr>
          </w:p>
        </w:tc>
        <w:tc>
          <w:tcPr>
            <w:tcW w:w="680" w:type="dxa"/>
            <w:vAlign w:val="bottom"/>
            <w:tcBorders>
              <w:top w:val="single" w:sz="8" w:color="auto"/>
            </w:tcBorders>
          </w:tcPr>
          <w:p>
            <w:pPr>
              <w:jc w:val="right"/>
              <w:ind w:right="97"/>
              <w:spacing w:after="0" w:line="81" w:lineRule="exact"/>
              <w:rPr>
                <w:sz w:val="20"/>
                <w:szCs w:val="20"/>
                <w:color w:val="auto"/>
              </w:rPr>
            </w:pPr>
            <w:r>
              <w:rPr>
                <w:rFonts w:ascii="Arial" w:cs="Arial" w:eastAsia="Arial" w:hAnsi="Arial"/>
                <w:sz w:val="9"/>
                <w:szCs w:val="9"/>
                <w:b w:val="1"/>
                <w:bCs w:val="1"/>
                <w:color w:val="auto"/>
              </w:rPr>
              <w:t>October 1,</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6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ind w:right="338"/>
              <w:spacing w:after="0"/>
              <w:rPr>
                <w:sz w:val="20"/>
                <w:szCs w:val="20"/>
                <w:color w:val="auto"/>
              </w:rPr>
            </w:pPr>
            <w:r>
              <w:rPr>
                <w:rFonts w:ascii="Arial" w:cs="Arial" w:eastAsia="Arial" w:hAnsi="Arial"/>
                <w:sz w:val="10"/>
                <w:szCs w:val="10"/>
                <w:b w:val="1"/>
                <w:bCs w:val="1"/>
                <w:color w:val="auto"/>
              </w:rPr>
              <w:t>2006</w:t>
            </w:r>
          </w:p>
        </w:tc>
        <w:tc>
          <w:tcPr>
            <w:tcW w:w="3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ind w:right="217"/>
              <w:spacing w:after="0"/>
              <w:rPr>
                <w:sz w:val="20"/>
                <w:szCs w:val="20"/>
                <w:color w:val="auto"/>
              </w:rPr>
            </w:pPr>
            <w:r>
              <w:rPr>
                <w:rFonts w:ascii="Arial" w:cs="Arial" w:eastAsia="Arial" w:hAnsi="Arial"/>
                <w:sz w:val="10"/>
                <w:szCs w:val="10"/>
                <w:b w:val="1"/>
                <w:bCs w:val="1"/>
                <w:color w:val="auto"/>
              </w:rPr>
              <w:t>2005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300" w:type="dxa"/>
            <w:vAlign w:val="bottom"/>
          </w:tcPr>
          <w:p>
            <w:pPr>
              <w:spacing w:after="0"/>
              <w:rPr>
                <w:sz w:val="11"/>
                <w:szCs w:val="11"/>
                <w:color w:val="auto"/>
              </w:rPr>
            </w:pPr>
          </w:p>
        </w:tc>
        <w:tc>
          <w:tcPr>
            <w:tcW w:w="6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tcPr>
          <w:p>
            <w:pPr>
              <w:jc w:val="right"/>
              <w:spacing w:after="0"/>
              <w:rPr>
                <w:sz w:val="20"/>
                <w:szCs w:val="20"/>
                <w:color w:val="auto"/>
              </w:rPr>
            </w:pPr>
            <w:r>
              <w:rPr>
                <w:rFonts w:ascii="Arial" w:cs="Arial" w:eastAsia="Arial" w:hAnsi="Arial"/>
                <w:sz w:val="10"/>
                <w:szCs w:val="10"/>
                <w:b w:val="1"/>
                <w:bCs w:val="1"/>
                <w:color w:val="auto"/>
              </w:rPr>
              <w:t>(Thousands)</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7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64,143</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24,897</w:t>
            </w:r>
          </w:p>
        </w:tc>
        <w:tc>
          <w:tcPr>
            <w:tcW w:w="0" w:type="dxa"/>
            <w:vAlign w:val="bottom"/>
          </w:tcPr>
          <w:p>
            <w:pPr>
              <w:spacing w:after="0"/>
              <w:rPr>
                <w:sz w:val="1"/>
                <w:szCs w:val="1"/>
                <w:color w:val="auto"/>
              </w:rPr>
            </w:pPr>
          </w:p>
        </w:tc>
      </w:tr>
      <w:tr>
        <w:trPr>
          <w:trHeight w:val="157"/>
        </w:trPr>
        <w:tc>
          <w:tcPr>
            <w:tcW w:w="7700" w:type="dxa"/>
            <w:vAlign w:val="bottom"/>
            <w:gridSpan w:val="2"/>
          </w:tcPr>
          <w:p>
            <w:pPr>
              <w:spacing w:after="0"/>
              <w:rPr>
                <w:sz w:val="20"/>
                <w:szCs w:val="20"/>
                <w:color w:val="auto"/>
              </w:rPr>
            </w:pPr>
            <w:r>
              <w:rPr>
                <w:rFonts w:ascii="Arial" w:cs="Arial" w:eastAsia="Arial" w:hAnsi="Arial"/>
                <w:sz w:val="13"/>
                <w:szCs w:val="13"/>
                <w:color w:val="auto"/>
              </w:rPr>
              <w:t>Non-cash and other reconciling items(1)</w:t>
            </w:r>
          </w:p>
        </w:tc>
        <w:tc>
          <w:tcPr>
            <w:tcW w:w="120" w:type="dxa"/>
            <w:vAlign w:val="bottom"/>
          </w:tcPr>
          <w:p>
            <w:pPr>
              <w:spacing w:after="0"/>
              <w:rPr>
                <w:sz w:val="13"/>
                <w:szCs w:val="13"/>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3"/>
                <w:szCs w:val="13"/>
                <w:color w:val="auto"/>
              </w:rPr>
              <w:t>50,850</w:t>
            </w:r>
          </w:p>
        </w:tc>
        <w:tc>
          <w:tcPr>
            <w:tcW w:w="12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33,858</w:t>
            </w:r>
          </w:p>
        </w:tc>
        <w:tc>
          <w:tcPr>
            <w:tcW w:w="0" w:type="dxa"/>
            <w:vAlign w:val="bottom"/>
          </w:tcPr>
          <w:p>
            <w:pPr>
              <w:spacing w:after="0"/>
              <w:rPr>
                <w:sz w:val="1"/>
                <w:szCs w:val="1"/>
                <w:color w:val="auto"/>
              </w:rPr>
            </w:pPr>
          </w:p>
        </w:tc>
      </w:tr>
      <w:tr>
        <w:trPr>
          <w:trHeight w:val="157"/>
        </w:trPr>
        <w:tc>
          <w:tcPr>
            <w:tcW w:w="7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Cash flow used for working capital (excluding cash and cash equivalents)(2)</w:t>
            </w: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(141,610)</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(208,013)</w:t>
            </w:r>
          </w:p>
        </w:tc>
        <w:tc>
          <w:tcPr>
            <w:tcW w:w="0" w:type="dxa"/>
            <w:vAlign w:val="bottom"/>
          </w:tcPr>
          <w:p>
            <w:pPr>
              <w:spacing w:after="0"/>
              <w:rPr>
                <w:sz w:val="1"/>
                <w:szCs w:val="1"/>
                <w:color w:val="auto"/>
              </w:rPr>
            </w:pPr>
          </w:p>
        </w:tc>
      </w:tr>
      <w:tr>
        <w:trPr>
          <w:trHeight w:val="20"/>
        </w:trPr>
        <w:tc>
          <w:tcPr>
            <w:tcW w:w="7700" w:type="dxa"/>
            <w:vAlign w:val="bottom"/>
            <w:gridSpan w:val="2"/>
            <w:vMerge w:val="restart"/>
          </w:tcPr>
          <w:p>
            <w:pPr>
              <w:ind w:left="280"/>
              <w:spacing w:after="0"/>
              <w:rPr>
                <w:sz w:val="20"/>
                <w:szCs w:val="20"/>
                <w:color w:val="auto"/>
              </w:rPr>
            </w:pPr>
            <w:r>
              <w:rPr>
                <w:rFonts w:ascii="Arial" w:cs="Arial" w:eastAsia="Arial" w:hAnsi="Arial"/>
                <w:sz w:val="13"/>
                <w:szCs w:val="13"/>
                <w:color w:val="auto"/>
              </w:rPr>
              <w:t>Net cash flow used for operations</w:t>
            </w: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7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3"/>
                <w:szCs w:val="13"/>
                <w:color w:val="auto"/>
              </w:rPr>
              <w:t>(26,617)</w:t>
            </w:r>
          </w:p>
        </w:tc>
        <w:tc>
          <w:tcPr>
            <w:tcW w:w="120" w:type="dxa"/>
            <w:vAlign w:val="bottom"/>
          </w:tcPr>
          <w:p>
            <w:pPr>
              <w:spacing w:after="0"/>
              <w:rPr>
                <w:sz w:val="13"/>
                <w:szCs w:val="13"/>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3"/>
                <w:szCs w:val="13"/>
                <w:color w:val="auto"/>
              </w:rPr>
              <w:t>(149,258)</w:t>
            </w:r>
          </w:p>
        </w:tc>
        <w:tc>
          <w:tcPr>
            <w:tcW w:w="0" w:type="dxa"/>
            <w:vAlign w:val="bottom"/>
          </w:tcPr>
          <w:p>
            <w:pPr>
              <w:spacing w:after="0"/>
              <w:rPr>
                <w:sz w:val="1"/>
                <w:szCs w:val="1"/>
                <w:color w:val="auto"/>
              </w:rPr>
            </w:pPr>
          </w:p>
        </w:tc>
      </w:tr>
      <w:tr>
        <w:trPr>
          <w:trHeight w:val="158"/>
        </w:trPr>
        <w:tc>
          <w:tcPr>
            <w:tcW w:w="7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Cash flow generated from (used for):</w:t>
            </w: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700" w:type="dxa"/>
            <w:vAlign w:val="bottom"/>
            <w:gridSpan w:val="2"/>
          </w:tcPr>
          <w:p>
            <w:pPr>
              <w:ind w:left="140"/>
              <w:spacing w:after="0"/>
              <w:rPr>
                <w:sz w:val="20"/>
                <w:szCs w:val="20"/>
                <w:color w:val="auto"/>
              </w:rPr>
            </w:pPr>
            <w:r>
              <w:rPr>
                <w:rFonts w:ascii="Arial" w:cs="Arial" w:eastAsia="Arial" w:hAnsi="Arial"/>
                <w:sz w:val="13"/>
                <w:szCs w:val="13"/>
                <w:color w:val="auto"/>
              </w:rPr>
              <w:t>Purchase of property, plant and equipment</w:t>
            </w:r>
          </w:p>
        </w:tc>
        <w:tc>
          <w:tcPr>
            <w:tcW w:w="120" w:type="dxa"/>
            <w:vAlign w:val="bottom"/>
          </w:tcPr>
          <w:p>
            <w:pPr>
              <w:spacing w:after="0"/>
              <w:rPr>
                <w:sz w:val="13"/>
                <w:szCs w:val="13"/>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3"/>
                <w:szCs w:val="13"/>
                <w:color w:val="auto"/>
              </w:rPr>
              <w:t>(14,045)</w:t>
            </w:r>
          </w:p>
        </w:tc>
        <w:tc>
          <w:tcPr>
            <w:tcW w:w="120" w:type="dxa"/>
            <w:vAlign w:val="bottom"/>
          </w:tcPr>
          <w:p>
            <w:pPr>
              <w:spacing w:after="0"/>
              <w:rPr>
                <w:sz w:val="13"/>
                <w:szCs w:val="13"/>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3"/>
                <w:szCs w:val="13"/>
                <w:color w:val="auto"/>
              </w:rPr>
              <w:t>(13,149)</w:t>
            </w:r>
          </w:p>
        </w:tc>
        <w:tc>
          <w:tcPr>
            <w:tcW w:w="0" w:type="dxa"/>
            <w:vAlign w:val="bottom"/>
          </w:tcPr>
          <w:p>
            <w:pPr>
              <w:spacing w:after="0"/>
              <w:rPr>
                <w:sz w:val="1"/>
                <w:szCs w:val="1"/>
                <w:color w:val="auto"/>
              </w:rPr>
            </w:pPr>
          </w:p>
        </w:tc>
      </w:tr>
      <w:tr>
        <w:trPr>
          <w:trHeight w:val="157"/>
        </w:trPr>
        <w:tc>
          <w:tcPr>
            <w:tcW w:w="77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Cash proceeds from sales of property, plant and equipment</w:t>
            </w: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728</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292</w:t>
            </w:r>
          </w:p>
        </w:tc>
        <w:tc>
          <w:tcPr>
            <w:tcW w:w="0" w:type="dxa"/>
            <w:vAlign w:val="bottom"/>
          </w:tcPr>
          <w:p>
            <w:pPr>
              <w:spacing w:after="0"/>
              <w:rPr>
                <w:sz w:val="1"/>
                <w:szCs w:val="1"/>
                <w:color w:val="auto"/>
              </w:rPr>
            </w:pPr>
          </w:p>
        </w:tc>
      </w:tr>
      <w:tr>
        <w:trPr>
          <w:trHeight w:val="157"/>
        </w:trPr>
        <w:tc>
          <w:tcPr>
            <w:tcW w:w="7700" w:type="dxa"/>
            <w:vAlign w:val="bottom"/>
            <w:gridSpan w:val="2"/>
          </w:tcPr>
          <w:p>
            <w:pPr>
              <w:ind w:left="140"/>
              <w:spacing w:after="0"/>
              <w:rPr>
                <w:sz w:val="20"/>
                <w:szCs w:val="20"/>
                <w:color w:val="auto"/>
              </w:rPr>
            </w:pPr>
            <w:r>
              <w:rPr>
                <w:rFonts w:ascii="Arial" w:cs="Arial" w:eastAsia="Arial" w:hAnsi="Arial"/>
                <w:sz w:val="13"/>
                <w:szCs w:val="13"/>
                <w:color w:val="auto"/>
              </w:rPr>
              <w:t>Acquisitions of operations, net</w:t>
            </w:r>
          </w:p>
        </w:tc>
        <w:tc>
          <w:tcPr>
            <w:tcW w:w="120" w:type="dxa"/>
            <w:vAlign w:val="bottom"/>
          </w:tcPr>
          <w:p>
            <w:pPr>
              <w:spacing w:after="0"/>
              <w:rPr>
                <w:sz w:val="13"/>
                <w:szCs w:val="13"/>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3"/>
                <w:szCs w:val="13"/>
                <w:color w:val="auto"/>
              </w:rPr>
              <w:t>(297,990)</w:t>
            </w:r>
          </w:p>
        </w:tc>
        <w:tc>
          <w:tcPr>
            <w:tcW w:w="0" w:type="dxa"/>
            <w:vAlign w:val="bottom"/>
          </w:tcPr>
          <w:p>
            <w:pPr>
              <w:spacing w:after="0"/>
              <w:rPr>
                <w:sz w:val="1"/>
                <w:szCs w:val="1"/>
                <w:color w:val="auto"/>
              </w:rPr>
            </w:pPr>
          </w:p>
        </w:tc>
      </w:tr>
      <w:tr>
        <w:trPr>
          <w:trHeight w:val="157"/>
        </w:trPr>
        <w:tc>
          <w:tcPr>
            <w:tcW w:w="77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Effect of exchange rates on cash and cash equivalents</w:t>
            </w: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88</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(1,039)</w:t>
            </w:r>
          </w:p>
        </w:tc>
        <w:tc>
          <w:tcPr>
            <w:tcW w:w="0" w:type="dxa"/>
            <w:vAlign w:val="bottom"/>
          </w:tcPr>
          <w:p>
            <w:pPr>
              <w:spacing w:after="0"/>
              <w:rPr>
                <w:sz w:val="1"/>
                <w:szCs w:val="1"/>
                <w:color w:val="auto"/>
              </w:rPr>
            </w:pPr>
          </w:p>
        </w:tc>
      </w:tr>
      <w:tr>
        <w:trPr>
          <w:trHeight w:val="157"/>
        </w:trPr>
        <w:tc>
          <w:tcPr>
            <w:tcW w:w="7700" w:type="dxa"/>
            <w:vAlign w:val="bottom"/>
            <w:gridSpan w:val="2"/>
          </w:tcPr>
          <w:p>
            <w:pPr>
              <w:ind w:left="140"/>
              <w:spacing w:after="0"/>
              <w:rPr>
                <w:sz w:val="20"/>
                <w:szCs w:val="20"/>
                <w:color w:val="auto"/>
              </w:rPr>
            </w:pPr>
            <w:r>
              <w:rPr>
                <w:rFonts w:ascii="Arial" w:cs="Arial" w:eastAsia="Arial" w:hAnsi="Arial"/>
                <w:sz w:val="13"/>
                <w:szCs w:val="13"/>
                <w:color w:val="auto"/>
              </w:rPr>
              <w:t>Other, net financing activities</w:t>
            </w:r>
          </w:p>
        </w:tc>
        <w:tc>
          <w:tcPr>
            <w:tcW w:w="1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3,082</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22,069</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70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Net free cash flow</w:t>
            </w: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(36,764)</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(439,075)</w:t>
            </w:r>
          </w:p>
        </w:tc>
        <w:tc>
          <w:tcPr>
            <w:tcW w:w="0" w:type="dxa"/>
            <w:vAlign w:val="bottom"/>
          </w:tcPr>
          <w:p>
            <w:pPr>
              <w:spacing w:after="0"/>
              <w:rPr>
                <w:sz w:val="1"/>
                <w:szCs w:val="1"/>
                <w:color w:val="auto"/>
              </w:rPr>
            </w:pPr>
          </w:p>
        </w:tc>
      </w:tr>
      <w:tr>
        <w:trPr>
          <w:trHeight w:val="157"/>
        </w:trPr>
        <w:tc>
          <w:tcPr>
            <w:tcW w:w="7700" w:type="dxa"/>
            <w:vAlign w:val="bottom"/>
            <w:gridSpan w:val="2"/>
          </w:tcPr>
          <w:p>
            <w:pPr>
              <w:spacing w:after="0"/>
              <w:rPr>
                <w:sz w:val="20"/>
                <w:szCs w:val="20"/>
                <w:color w:val="auto"/>
              </w:rPr>
            </w:pPr>
            <w:r>
              <w:rPr>
                <w:rFonts w:ascii="Arial" w:cs="Arial" w:eastAsia="Arial" w:hAnsi="Arial"/>
                <w:sz w:val="13"/>
                <w:szCs w:val="13"/>
                <w:color w:val="auto"/>
              </w:rPr>
              <w:t>Proceeds from debt, net</w:t>
            </w:r>
          </w:p>
        </w:tc>
        <w:tc>
          <w:tcPr>
            <w:tcW w:w="1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241,830</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5,874</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770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Net increase (decrease) in 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205,066</w:t>
            </w: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(433,201)</w:t>
            </w: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6400" w:type="dxa"/>
            <w:vAlign w:val="bottom"/>
          </w:tcPr>
          <w:p>
            <w:pPr>
              <w:spacing w:after="0"/>
              <w:rPr>
                <w:sz w:val="9"/>
                <w:szCs w:val="9"/>
                <w:color w:val="auto"/>
              </w:rPr>
            </w:pPr>
          </w:p>
        </w:tc>
        <w:tc>
          <w:tcPr>
            <w:tcW w:w="120" w:type="dxa"/>
            <w:vAlign w:val="bottom"/>
            <w:tcBorders>
              <w:top w:val="single" w:sz="8" w:color="000003"/>
            </w:tcBorders>
          </w:tcPr>
          <w:p>
            <w:pPr>
              <w:spacing w:after="0"/>
              <w:rPr>
                <w:sz w:val="9"/>
                <w:szCs w:val="9"/>
                <w:color w:val="auto"/>
              </w:rPr>
            </w:pPr>
          </w:p>
        </w:tc>
        <w:tc>
          <w:tcPr>
            <w:tcW w:w="880" w:type="dxa"/>
            <w:vAlign w:val="bottom"/>
            <w:tcBorders>
              <w:top w:val="single" w:sz="8" w:color="000003"/>
            </w:tcBorders>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Borders>
              <w:top w:val="single" w:sz="8" w:color="000003"/>
            </w:tcBorders>
          </w:tcPr>
          <w:p>
            <w:pPr>
              <w:spacing w:after="0"/>
              <w:rPr>
                <w:sz w:val="9"/>
                <w:szCs w:val="9"/>
                <w:color w:val="auto"/>
              </w:rPr>
            </w:pPr>
          </w:p>
        </w:tc>
        <w:tc>
          <w:tcPr>
            <w:tcW w:w="680" w:type="dxa"/>
            <w:vAlign w:val="bottom"/>
            <w:tcBorders>
              <w:top w:val="single" w:sz="8" w:color="000003"/>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000" w:right="140" w:hanging="259"/>
        <w:spacing w:after="0" w:line="276" w:lineRule="auto"/>
        <w:tabs>
          <w:tab w:leader="none" w:pos="1000" w:val="left"/>
        </w:tabs>
        <w:numPr>
          <w:ilvl w:val="0"/>
          <w:numId w:val="10"/>
        </w:numPr>
        <w:rPr>
          <w:rFonts w:ascii="Arial" w:cs="Arial" w:eastAsia="Arial" w:hAnsi="Arial"/>
          <w:sz w:val="13"/>
          <w:szCs w:val="13"/>
          <w:color w:val="auto"/>
        </w:rPr>
      </w:pPr>
      <w:r>
        <w:rPr>
          <w:rFonts w:ascii="Arial" w:cs="Arial" w:eastAsia="Arial" w:hAnsi="Arial"/>
          <w:sz w:val="13"/>
          <w:szCs w:val="13"/>
          <w:color w:val="auto"/>
        </w:rPr>
        <w:t>Non-cash and other reconciling items are the combination of depreciation and amortization, deferred income taxes, non-cash restructuring and other charges, and other, net (primarily stock-based compensation expense and the provision for doubtful accounts), in cash flows from operations.</w:t>
      </w:r>
    </w:p>
    <w:p>
      <w:pPr>
        <w:spacing w:after="0" w:line="10" w:lineRule="exact"/>
        <w:rPr>
          <w:rFonts w:ascii="Arial" w:cs="Arial" w:eastAsia="Arial" w:hAnsi="Arial"/>
          <w:sz w:val="13"/>
          <w:szCs w:val="13"/>
          <w:color w:val="auto"/>
        </w:rPr>
      </w:pPr>
    </w:p>
    <w:p>
      <w:pPr>
        <w:ind w:left="1000" w:right="180" w:hanging="259"/>
        <w:spacing w:after="0" w:line="276" w:lineRule="auto"/>
        <w:tabs>
          <w:tab w:leader="none" w:pos="1000" w:val="left"/>
        </w:tabs>
        <w:numPr>
          <w:ilvl w:val="0"/>
          <w:numId w:val="10"/>
        </w:numPr>
        <w:rPr>
          <w:rFonts w:ascii="Arial" w:cs="Arial" w:eastAsia="Arial" w:hAnsi="Arial"/>
          <w:sz w:val="13"/>
          <w:szCs w:val="13"/>
          <w:color w:val="auto"/>
        </w:rPr>
      </w:pPr>
      <w:r>
        <w:rPr>
          <w:rFonts w:ascii="Arial" w:cs="Arial" w:eastAsia="Arial" w:hAnsi="Arial"/>
          <w:sz w:val="13"/>
          <w:szCs w:val="13"/>
          <w:color w:val="auto"/>
        </w:rPr>
        <w:t>Cash flow used for working capital is the combination of the changes in the Company’s working capital and other balance sheet accounts in cash flows from operations (receivables, inventories, accounts payable and accrued expenses and other, net).</w:t>
      </w:r>
    </w:p>
    <w:p>
      <w:pPr>
        <w:spacing w:after="0" w:line="59" w:lineRule="exact"/>
        <w:rPr>
          <w:sz w:val="20"/>
          <w:szCs w:val="20"/>
          <w:color w:val="auto"/>
        </w:rPr>
      </w:pPr>
    </w:p>
    <w:p>
      <w:pPr>
        <w:ind w:left="680" w:right="160" w:firstLine="399"/>
        <w:spacing w:after="0" w:line="320" w:lineRule="auto"/>
        <w:rPr>
          <w:sz w:val="20"/>
          <w:szCs w:val="20"/>
          <w:color w:val="auto"/>
        </w:rPr>
      </w:pPr>
      <w:r>
        <w:rPr>
          <w:rFonts w:ascii="Arial" w:cs="Arial" w:eastAsia="Arial" w:hAnsi="Arial"/>
          <w:sz w:val="12"/>
          <w:szCs w:val="12"/>
          <w:color w:val="auto"/>
        </w:rPr>
        <w:t>During the first quarter of fiscal 2007, the Company used $26.6 million of cash and cash equivalents for its operating activities as compared with a use of $149.3 million in the first quarter of fiscal 2006. These results are comprised of: (1) the cash flow generated from net income excluding non-cash and other reconciling items, which</w:t>
      </w:r>
    </w:p>
    <w:p>
      <w:pPr>
        <w:spacing w:after="0" w:line="23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2" w:name="page23"/>
    <w:bookmarkEnd w:id="2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60"/>
        <w:spacing w:after="0" w:line="277" w:lineRule="auto"/>
        <w:rPr>
          <w:sz w:val="20"/>
          <w:szCs w:val="20"/>
          <w:color w:val="auto"/>
        </w:rPr>
      </w:pPr>
      <w:r>
        <w:rPr>
          <w:rFonts w:ascii="Arial" w:cs="Arial" w:eastAsia="Arial" w:hAnsi="Arial"/>
          <w:sz w:val="12"/>
          <w:szCs w:val="12"/>
          <w:color w:val="auto"/>
        </w:rPr>
        <w:t xml:space="preserve">includes the add-back of depreciation and amortization, deferred income taxes and other non-cash items (primarily stock-based compensation expense and the provision for doubtful accounts) as well as non-cash restructuring and other charges in the prior year first quarter (see </w:t>
      </w:r>
      <w:r>
        <w:rPr>
          <w:rFonts w:ascii="Arial" w:cs="Arial" w:eastAsia="Arial" w:hAnsi="Arial"/>
          <w:sz w:val="12"/>
          <w:szCs w:val="12"/>
          <w:i w:val="1"/>
          <w:iCs w:val="1"/>
          <w:color w:val="auto"/>
        </w:rPr>
        <w:t>Results of Operations — Restructuring and Integration Charges</w:t>
      </w:r>
      <w:r>
        <w:rPr>
          <w:rFonts w:ascii="Arial" w:cs="Arial" w:eastAsia="Arial" w:hAnsi="Arial"/>
          <w:sz w:val="12"/>
          <w:szCs w:val="12"/>
          <w:color w:val="auto"/>
        </w:rPr>
        <w:t xml:space="preserve"> in this MD&amp;A for further discussion) and (2) the cash flows (used for) generated from working capital, excluding cash and cash equivalents. The working capital outflow in the first quarter of fiscal 2007 consists of growth in receivables ($80.6 million), growth in inventories ($34.3 million), net cash outflows for accounts payable ($9.5 million) and cash outflow for other items ($17.2 million). During the first quarter of fiscal 2007, EM experienced a small inventory build although inventory turns remained near its highest levels. In the prior year first quarter, two significant uses of cash and cash equivalents for operating activities related to: (1) an accelerated contribution of $58.6 million to the Company’s pension plan during the first quarter of fiscal 2006 and (2) cash payments of approximately $20.3 million made during the first quarter of fiscal 2006 associated with the various reserves established through the Company’s restructuring charges and purchase accounting adjustments recorded during the prior year first quarter (see Note 3 and 12 to the accompanying consolidated financial statements and </w:t>
      </w:r>
      <w:r>
        <w:rPr>
          <w:rFonts w:ascii="Arial" w:cs="Arial" w:eastAsia="Arial" w:hAnsi="Arial"/>
          <w:sz w:val="12"/>
          <w:szCs w:val="12"/>
          <w:i w:val="1"/>
          <w:iCs w:val="1"/>
          <w:color w:val="auto"/>
        </w:rPr>
        <w:t>Results of Operations —</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Restructuring and Integration Charges </w:t>
      </w:r>
      <w:r>
        <w:rPr>
          <w:rFonts w:ascii="Arial" w:cs="Arial" w:eastAsia="Arial" w:hAnsi="Arial"/>
          <w:sz w:val="12"/>
          <w:szCs w:val="12"/>
          <w:color w:val="auto"/>
        </w:rPr>
        <w:t>in this MD&amp;A for further discussion of these items). The remaining use of cash, primarily for working capital requirements, in the first quarter of</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fiscal 2006 was a result of some strategic buildup of inventory in EM’s Asia and EMEA operations in anticipation of the integration of Memec IT-systems in both regions and the integration of Memec’s warehouse operations in Asia in the early part of the second quarter of fiscal 2006. The softening of demand, primarily in EM’s EMEA operations (see </w:t>
      </w:r>
      <w:r>
        <w:rPr>
          <w:rFonts w:ascii="Arial" w:cs="Arial" w:eastAsia="Arial" w:hAnsi="Arial"/>
          <w:sz w:val="12"/>
          <w:szCs w:val="12"/>
          <w:i w:val="1"/>
          <w:iCs w:val="1"/>
          <w:color w:val="auto"/>
        </w:rPr>
        <w:t>Results of Operations —</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Sales </w:t>
      </w:r>
      <w:r>
        <w:rPr>
          <w:rFonts w:ascii="Arial" w:cs="Arial" w:eastAsia="Arial" w:hAnsi="Arial"/>
          <w:sz w:val="12"/>
          <w:szCs w:val="12"/>
          <w:color w:val="auto"/>
        </w:rPr>
        <w:t>for further discussion), also contributed to a lesser extent to some buildup of inventory during the first quarter of fiscal 2006. Despite the growth of inventory, EM achieved record</w:t>
      </w:r>
      <w:r>
        <w:rPr>
          <w:rFonts w:ascii="Arial" w:cs="Arial" w:eastAsia="Arial" w:hAnsi="Arial"/>
          <w:sz w:val="12"/>
          <w:szCs w:val="12"/>
          <w:i w:val="1"/>
          <w:iCs w:val="1"/>
          <w:color w:val="auto"/>
        </w:rPr>
        <w:t xml:space="preserve"> </w:t>
      </w:r>
      <w:r>
        <w:rPr>
          <w:rFonts w:ascii="Arial" w:cs="Arial" w:eastAsia="Arial" w:hAnsi="Arial"/>
          <w:sz w:val="12"/>
          <w:szCs w:val="12"/>
          <w:color w:val="auto"/>
        </w:rPr>
        <w:t>inventory turns during the first quarter of fiscal 2006.</w:t>
      </w:r>
    </w:p>
    <w:p>
      <w:pPr>
        <w:spacing w:after="0" w:line="63" w:lineRule="exact"/>
        <w:rPr>
          <w:sz w:val="20"/>
          <w:szCs w:val="20"/>
          <w:color w:val="auto"/>
        </w:rPr>
      </w:pPr>
    </w:p>
    <w:p>
      <w:pPr>
        <w:ind w:left="680" w:right="120" w:firstLine="399"/>
        <w:spacing w:after="0" w:line="280" w:lineRule="auto"/>
        <w:rPr>
          <w:sz w:val="20"/>
          <w:szCs w:val="20"/>
          <w:color w:val="auto"/>
        </w:rPr>
      </w:pPr>
      <w:r>
        <w:rPr>
          <w:rFonts w:ascii="Arial" w:cs="Arial" w:eastAsia="Arial" w:hAnsi="Arial"/>
          <w:sz w:val="12"/>
          <w:szCs w:val="12"/>
          <w:color w:val="auto"/>
        </w:rPr>
        <w:t xml:space="preserve">The Company’s cash flows associated with investing activities included capital expenditures during the first quarter of fiscal 2007 related to system development costs, computer hardware and software expenditures and certain leasehold improvement costs. For the first quarter of fiscal 2006, the expenditures included a new mainframe purchase and the ongoing development of one additional operating system to replace one of the systems that was disposed of as part of the restructuring charge in the first quarter of fiscal 2006 (see </w:t>
      </w:r>
      <w:r>
        <w:rPr>
          <w:rFonts w:ascii="Arial" w:cs="Arial" w:eastAsia="Arial" w:hAnsi="Arial"/>
          <w:sz w:val="12"/>
          <w:szCs w:val="12"/>
          <w:i w:val="1"/>
          <w:iCs w:val="1"/>
          <w:color w:val="auto"/>
        </w:rPr>
        <w:t>Results of</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Operations — Restructuring and Integration Charges </w:t>
      </w:r>
      <w:r>
        <w:rPr>
          <w:rFonts w:ascii="Arial" w:cs="Arial" w:eastAsia="Arial" w:hAnsi="Arial"/>
          <w:sz w:val="12"/>
          <w:szCs w:val="12"/>
          <w:color w:val="auto"/>
        </w:rPr>
        <w:t>for further discussion). Also included in cash flows from investing activities in prior year is the significant outflow of approximately</w:t>
      </w:r>
      <w:r>
        <w:rPr>
          <w:rFonts w:ascii="Arial" w:cs="Arial" w:eastAsia="Arial" w:hAnsi="Arial"/>
          <w:sz w:val="12"/>
          <w:szCs w:val="12"/>
          <w:i w:val="1"/>
          <w:iCs w:val="1"/>
          <w:color w:val="auto"/>
        </w:rPr>
        <w:t xml:space="preserve"> </w:t>
      </w:r>
      <w:r>
        <w:rPr>
          <w:rFonts w:ascii="Arial" w:cs="Arial" w:eastAsia="Arial" w:hAnsi="Arial"/>
          <w:sz w:val="12"/>
          <w:szCs w:val="12"/>
          <w:color w:val="auto"/>
        </w:rPr>
        <w:t>$297.1 million, during the quarter, associated with the Company’s acquisition of Memec. The remaining cash outflows for acquisitions primarily related to an additional earn-out payment associated with a small acquisition completed in fiscal 2005. The cash inflows associated with other net financing activities in the first quarter of fiscal 2007 relates to the excess tax benefit associated with stock option exercises. In the first quarter of fiscal 2006, the other net financing activities related primarily to cash received for exercise of stock options and the excess tax benefit associated with stock option exercises.</w:t>
      </w:r>
    </w:p>
    <w:p>
      <w:pPr>
        <w:spacing w:after="0" w:line="59"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 xml:space="preserve">As a result of the factors discussed above, the Company utilized free cash flow of $36.8 million in the first quarter of fiscal 2007 as compared with a utilization of $439.1 million in the first quarter of fiscal 2006. The Company also generated a net cash inflow of $241.8 million and $5.9 million from financing activities in the first quarter of fiscal 2007 and first quarter of fiscal 2006, respectively. During the first quarter of fiscal 2007, the Company issued $300.0 million of 6.625% Notes due 2016 (see </w:t>
      </w:r>
      <w:r>
        <w:rPr>
          <w:rFonts w:ascii="Arial" w:cs="Arial" w:eastAsia="Arial" w:hAnsi="Arial"/>
          <w:sz w:val="12"/>
          <w:szCs w:val="12"/>
          <w:i w:val="1"/>
          <w:iCs w:val="1"/>
          <w:color w:val="auto"/>
        </w:rPr>
        <w:t>Financing Transactions</w:t>
      </w:r>
      <w:r>
        <w:rPr>
          <w:rFonts w:ascii="Arial" w:cs="Arial" w:eastAsia="Arial" w:hAnsi="Arial"/>
          <w:sz w:val="12"/>
          <w:szCs w:val="12"/>
          <w:color w:val="auto"/>
        </w:rPr>
        <w:t xml:space="preserve"> for further discussion). As part of the Company’s financing activities in first quarter of fiscal 2006, the Company repurchased $254.1 million of its 8.00% Notes (see </w:t>
      </w:r>
      <w:r>
        <w:rPr>
          <w:rFonts w:ascii="Arial" w:cs="Arial" w:eastAsia="Arial" w:hAnsi="Arial"/>
          <w:sz w:val="12"/>
          <w:szCs w:val="12"/>
          <w:i w:val="1"/>
          <w:iCs w:val="1"/>
          <w:color w:val="auto"/>
        </w:rPr>
        <w:t>Financing Transactions</w:t>
      </w:r>
      <w:r>
        <w:rPr>
          <w:rFonts w:ascii="Arial" w:cs="Arial" w:eastAsia="Arial" w:hAnsi="Arial"/>
          <w:sz w:val="12"/>
          <w:szCs w:val="12"/>
          <w:color w:val="auto"/>
        </w:rPr>
        <w:t>). These results combined to yield a net inflow of cash of $205.1 million in the first quarter of fiscal 2007 as compared with a net usage of cash of $433.2 million in the first quarter of fiscal 2006.</w:t>
      </w:r>
    </w:p>
    <w:p>
      <w:pPr>
        <w:spacing w:after="0" w:line="26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3" w:name="page24"/>
    <w:bookmarkEnd w:id="2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Capital Structure and Contractual Obligations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summarizes the Company’s capital structure as of the end of the first quarter of fiscal 2007 with a comparison to fiscal 2006 year-end:</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4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3"/>
              </w:rPr>
              <w:t>September 30,</w:t>
            </w:r>
          </w:p>
        </w:tc>
        <w:tc>
          <w:tcPr>
            <w:tcW w:w="1400" w:type="dxa"/>
            <w:vAlign w:val="bottom"/>
            <w:gridSpan w:val="2"/>
          </w:tcPr>
          <w:p>
            <w:pPr>
              <w:jc w:val="right"/>
              <w:ind w:right="608"/>
              <w:spacing w:after="0"/>
              <w:rPr>
                <w:sz w:val="20"/>
                <w:szCs w:val="20"/>
                <w:color w:val="auto"/>
              </w:rPr>
            </w:pPr>
            <w:r>
              <w:rPr>
                <w:rFonts w:ascii="Arial" w:cs="Arial" w:eastAsia="Arial" w:hAnsi="Arial"/>
                <w:sz w:val="10"/>
                <w:szCs w:val="10"/>
                <w:b w:val="1"/>
                <w:bCs w:val="1"/>
                <w:color w:val="auto"/>
              </w:rPr>
              <w:t>% of Total</w:t>
            </w:r>
          </w:p>
        </w:tc>
        <w:tc>
          <w:tcPr>
            <w:tcW w:w="280" w:type="dxa"/>
            <w:vAlign w:val="bottom"/>
          </w:tcPr>
          <w:p>
            <w:pPr>
              <w:spacing w:after="0"/>
              <w:rPr>
                <w:sz w:val="10"/>
                <w:szCs w:val="10"/>
                <w:color w:val="auto"/>
              </w:rPr>
            </w:pPr>
          </w:p>
        </w:tc>
        <w:tc>
          <w:tcPr>
            <w:tcW w:w="1020" w:type="dxa"/>
            <w:vAlign w:val="bottom"/>
            <w:gridSpan w:val="2"/>
          </w:tcPr>
          <w:p>
            <w:pPr>
              <w:jc w:val="center"/>
              <w:ind w:right="680"/>
              <w:spacing w:after="0"/>
              <w:rPr>
                <w:sz w:val="20"/>
                <w:szCs w:val="20"/>
                <w:color w:val="auto"/>
              </w:rPr>
            </w:pPr>
            <w:r>
              <w:rPr>
                <w:rFonts w:ascii="Arial" w:cs="Arial" w:eastAsia="Arial" w:hAnsi="Arial"/>
                <w:sz w:val="10"/>
                <w:szCs w:val="10"/>
                <w:b w:val="1"/>
                <w:bCs w:val="1"/>
                <w:color w:val="auto"/>
                <w:w w:val="96"/>
              </w:rPr>
              <w:t>July 1,</w:t>
            </w:r>
          </w:p>
        </w:tc>
        <w:tc>
          <w:tcPr>
            <w:tcW w:w="110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96"/>
              </w:rPr>
              <w:t>% of Total</w:t>
            </w:r>
          </w:p>
        </w:tc>
      </w:tr>
      <w:tr>
        <w:trPr>
          <w:trHeight w:val="125"/>
        </w:trPr>
        <w:tc>
          <w:tcPr>
            <w:tcW w:w="48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318"/>
              <w:spacing w:after="0"/>
              <w:rPr>
                <w:sz w:val="20"/>
                <w:szCs w:val="20"/>
                <w:color w:val="auto"/>
              </w:rPr>
            </w:pPr>
            <w:r>
              <w:rPr>
                <w:rFonts w:ascii="Arial" w:cs="Arial" w:eastAsia="Arial" w:hAnsi="Arial"/>
                <w:sz w:val="10"/>
                <w:szCs w:val="10"/>
                <w:b w:val="1"/>
                <w:bCs w:val="1"/>
                <w:color w:val="auto"/>
              </w:rPr>
              <w:t>2006</w:t>
            </w:r>
          </w:p>
        </w:tc>
        <w:tc>
          <w:tcPr>
            <w:tcW w:w="400" w:type="dxa"/>
            <w:vAlign w:val="bottom"/>
          </w:tcPr>
          <w:p>
            <w:pPr>
              <w:spacing w:after="0"/>
              <w:rPr>
                <w:sz w:val="10"/>
                <w:szCs w:val="10"/>
                <w:color w:val="auto"/>
              </w:rPr>
            </w:pPr>
          </w:p>
        </w:tc>
        <w:tc>
          <w:tcPr>
            <w:tcW w:w="1000" w:type="dxa"/>
            <w:vAlign w:val="bottom"/>
            <w:tcBorders>
              <w:bottom w:val="single" w:sz="8" w:color="auto"/>
            </w:tcBorders>
          </w:tcPr>
          <w:p>
            <w:pPr>
              <w:jc w:val="right"/>
              <w:ind w:right="119"/>
              <w:spacing w:after="0"/>
              <w:rPr>
                <w:sz w:val="20"/>
                <w:szCs w:val="20"/>
                <w:color w:val="auto"/>
              </w:rPr>
            </w:pPr>
            <w:r>
              <w:rPr>
                <w:rFonts w:ascii="Arial" w:cs="Arial" w:eastAsia="Arial" w:hAnsi="Arial"/>
                <w:sz w:val="10"/>
                <w:szCs w:val="10"/>
                <w:b w:val="1"/>
                <w:bCs w:val="1"/>
                <w:color w:val="auto"/>
              </w:rPr>
              <w:t>Capitalization</w:t>
            </w:r>
          </w:p>
        </w:tc>
        <w:tc>
          <w:tcPr>
            <w:tcW w:w="40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278"/>
              <w:spacing w:after="0"/>
              <w:rPr>
                <w:sz w:val="20"/>
                <w:szCs w:val="20"/>
                <w:color w:val="auto"/>
              </w:rPr>
            </w:pPr>
            <w:r>
              <w:rPr>
                <w:rFonts w:ascii="Arial" w:cs="Arial" w:eastAsia="Arial" w:hAnsi="Arial"/>
                <w:sz w:val="10"/>
                <w:szCs w:val="10"/>
                <w:b w:val="1"/>
                <w:bCs w:val="1"/>
                <w:color w:val="auto"/>
              </w:rPr>
              <w:t>2006</w:t>
            </w:r>
          </w:p>
        </w:tc>
        <w:tc>
          <w:tcPr>
            <w:tcW w:w="400" w:type="dxa"/>
            <w:vAlign w:val="bottom"/>
          </w:tcPr>
          <w:p>
            <w:pPr>
              <w:spacing w:after="0"/>
              <w:rPr>
                <w:sz w:val="10"/>
                <w:szCs w:val="10"/>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5"/>
              </w:rPr>
              <w:t>Capitalization</w:t>
            </w:r>
          </w:p>
        </w:tc>
        <w:tc>
          <w:tcPr>
            <w:tcW w:w="120" w:type="dxa"/>
            <w:vAlign w:val="bottom"/>
          </w:tcPr>
          <w:p>
            <w:pPr>
              <w:spacing w:after="0"/>
              <w:rPr>
                <w:sz w:val="10"/>
                <w:szCs w:val="10"/>
                <w:color w:val="auto"/>
              </w:rPr>
            </w:pPr>
          </w:p>
        </w:tc>
      </w:tr>
      <w:tr>
        <w:trPr>
          <w:trHeight w:val="131"/>
        </w:trPr>
        <w:tc>
          <w:tcPr>
            <w:tcW w:w="4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Arial" w:cs="Arial" w:eastAsia="Arial" w:hAnsi="Arial"/>
                <w:sz w:val="10"/>
                <w:szCs w:val="10"/>
                <w:b w:val="1"/>
                <w:bCs w:val="1"/>
                <w:color w:val="auto"/>
              </w:rPr>
              <w:t>(Dollars</w:t>
            </w:r>
          </w:p>
        </w:tc>
        <w:tc>
          <w:tcPr>
            <w:tcW w:w="680" w:type="dxa"/>
            <w:vAlign w:val="bottom"/>
            <w:gridSpan w:val="2"/>
          </w:tcPr>
          <w:p>
            <w:pPr>
              <w:jc w:val="right"/>
              <w:spacing w:after="0"/>
              <w:rPr>
                <w:sz w:val="20"/>
                <w:szCs w:val="20"/>
                <w:color w:val="auto"/>
              </w:rPr>
            </w:pPr>
            <w:r>
              <w:rPr>
                <w:rFonts w:ascii="Arial" w:cs="Arial" w:eastAsia="Arial" w:hAnsi="Arial"/>
                <w:sz w:val="10"/>
                <w:szCs w:val="10"/>
                <w:b w:val="1"/>
                <w:bCs w:val="1"/>
                <w:color w:val="auto"/>
                <w:w w:val="94"/>
              </w:rPr>
              <w:t>in thousands)</w:t>
            </w: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63"/>
        </w:trPr>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Short-term debt</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628,254</w:t>
            </w:r>
          </w:p>
        </w:tc>
        <w:tc>
          <w:tcPr>
            <w:tcW w:w="1400" w:type="dxa"/>
            <w:vAlign w:val="bottom"/>
            <w:gridSpan w:val="2"/>
            <w:shd w:val="clear" w:color="auto" w:fill="CCEEFF"/>
          </w:tcPr>
          <w:p>
            <w:pPr>
              <w:jc w:val="right"/>
              <w:ind w:right="248"/>
              <w:spacing w:after="0"/>
              <w:rPr>
                <w:sz w:val="20"/>
                <w:szCs w:val="20"/>
                <w:color w:val="auto"/>
              </w:rPr>
            </w:pPr>
            <w:r>
              <w:rPr>
                <w:rFonts w:ascii="Arial" w:cs="Arial" w:eastAsia="Arial" w:hAnsi="Arial"/>
                <w:sz w:val="13"/>
                <w:szCs w:val="13"/>
                <w:color w:val="auto"/>
              </w:rPr>
              <w:t>14.3%</w:t>
            </w:r>
          </w:p>
        </w:tc>
        <w:tc>
          <w:tcPr>
            <w:tcW w:w="280" w:type="dxa"/>
            <w:vAlign w:val="bottom"/>
            <w:shd w:val="clear" w:color="auto" w:fill="CCEEFF"/>
          </w:tcPr>
          <w:p>
            <w:pPr>
              <w:jc w:val="right"/>
              <w:ind w:right="134"/>
              <w:spacing w:after="0"/>
              <w:rPr>
                <w:sz w:val="20"/>
                <w:szCs w:val="20"/>
                <w:color w:val="auto"/>
              </w:rPr>
            </w:pPr>
            <w:r>
              <w:rPr>
                <w:rFonts w:ascii="Arial" w:cs="Arial" w:eastAsia="Arial" w:hAnsi="Arial"/>
                <w:sz w:val="13"/>
                <w:szCs w:val="13"/>
                <w:color w:val="auto"/>
                <w:w w:val="82"/>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316,016</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7.8%</w:t>
            </w:r>
          </w:p>
        </w:tc>
      </w:tr>
      <w:tr>
        <w:trPr>
          <w:trHeight w:val="157"/>
        </w:trPr>
        <w:tc>
          <w:tcPr>
            <w:tcW w:w="4800" w:type="dxa"/>
            <w:vAlign w:val="bottom"/>
          </w:tcPr>
          <w:p>
            <w:pPr>
              <w:spacing w:after="0"/>
              <w:rPr>
                <w:sz w:val="20"/>
                <w:szCs w:val="20"/>
                <w:color w:val="auto"/>
              </w:rPr>
            </w:pPr>
            <w:r>
              <w:rPr>
                <w:rFonts w:ascii="Arial" w:cs="Arial" w:eastAsia="Arial" w:hAnsi="Arial"/>
                <w:sz w:val="13"/>
                <w:szCs w:val="13"/>
                <w:color w:val="auto"/>
              </w:rPr>
              <w:t>Long-term debt</w:t>
            </w:r>
          </w:p>
        </w:tc>
        <w:tc>
          <w:tcPr>
            <w:tcW w:w="120" w:type="dxa"/>
            <w:vAlign w:val="bottom"/>
          </w:tcPr>
          <w:p>
            <w:pPr>
              <w:spacing w:after="0"/>
              <w:rPr>
                <w:sz w:val="13"/>
                <w:szCs w:val="13"/>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3"/>
                <w:szCs w:val="13"/>
                <w:color w:val="auto"/>
              </w:rPr>
              <w:t>857,310</w:t>
            </w:r>
          </w:p>
        </w:tc>
        <w:tc>
          <w:tcPr>
            <w:tcW w:w="1400" w:type="dxa"/>
            <w:vAlign w:val="bottom"/>
            <w:gridSpan w:val="2"/>
          </w:tcPr>
          <w:p>
            <w:pPr>
              <w:jc w:val="right"/>
              <w:ind w:right="348"/>
              <w:spacing w:after="0"/>
              <w:rPr>
                <w:sz w:val="20"/>
                <w:szCs w:val="20"/>
                <w:color w:val="auto"/>
              </w:rPr>
            </w:pPr>
            <w:r>
              <w:rPr>
                <w:rFonts w:ascii="Arial" w:cs="Arial" w:eastAsia="Arial" w:hAnsi="Arial"/>
                <w:sz w:val="13"/>
                <w:szCs w:val="13"/>
                <w:color w:val="auto"/>
              </w:rPr>
              <w:t>19.5</w:t>
            </w:r>
          </w:p>
        </w:tc>
        <w:tc>
          <w:tcPr>
            <w:tcW w:w="28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918,810</w:t>
            </w:r>
          </w:p>
        </w:tc>
        <w:tc>
          <w:tcPr>
            <w:tcW w:w="1100" w:type="dxa"/>
            <w:vAlign w:val="bottom"/>
            <w:gridSpan w:val="2"/>
          </w:tcPr>
          <w:p>
            <w:pPr>
              <w:jc w:val="right"/>
              <w:ind w:right="120"/>
              <w:spacing w:after="0"/>
              <w:rPr>
                <w:sz w:val="20"/>
                <w:szCs w:val="20"/>
                <w:color w:val="auto"/>
              </w:rPr>
            </w:pPr>
            <w:r>
              <w:rPr>
                <w:rFonts w:ascii="Arial" w:cs="Arial" w:eastAsia="Arial" w:hAnsi="Arial"/>
                <w:sz w:val="13"/>
                <w:szCs w:val="13"/>
                <w:color w:val="auto"/>
              </w:rPr>
              <w:t>22.6</w:t>
            </w:r>
          </w:p>
        </w:tc>
      </w:tr>
      <w:tr>
        <w:trPr>
          <w:trHeight w:val="20"/>
        </w:trPr>
        <w:tc>
          <w:tcPr>
            <w:tcW w:w="48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57"/>
        </w:trPr>
        <w:tc>
          <w:tcPr>
            <w:tcW w:w="4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 debt</w:t>
            </w: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1,485,564</w:t>
            </w:r>
          </w:p>
        </w:tc>
        <w:tc>
          <w:tcPr>
            <w:tcW w:w="140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33.8</w:t>
            </w:r>
          </w:p>
        </w:tc>
        <w:tc>
          <w:tcPr>
            <w:tcW w:w="2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1,234,826</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30.4</w:t>
            </w:r>
          </w:p>
        </w:tc>
      </w:tr>
      <w:tr>
        <w:trPr>
          <w:trHeight w:val="157"/>
        </w:trPr>
        <w:tc>
          <w:tcPr>
            <w:tcW w:w="4800" w:type="dxa"/>
            <w:vAlign w:val="bottom"/>
          </w:tcPr>
          <w:p>
            <w:pPr>
              <w:spacing w:after="0"/>
              <w:rPr>
                <w:sz w:val="20"/>
                <w:szCs w:val="20"/>
                <w:color w:val="auto"/>
              </w:rPr>
            </w:pPr>
            <w:r>
              <w:rPr>
                <w:rFonts w:ascii="Arial" w:cs="Arial" w:eastAsia="Arial" w:hAnsi="Arial"/>
                <w:sz w:val="13"/>
                <w:szCs w:val="13"/>
                <w:color w:val="auto"/>
              </w:rPr>
              <w:t>Shareholders’ equity</w:t>
            </w:r>
          </w:p>
        </w:tc>
        <w:tc>
          <w:tcPr>
            <w:tcW w:w="120" w:type="dxa"/>
            <w:vAlign w:val="bottom"/>
          </w:tcPr>
          <w:p>
            <w:pPr>
              <w:spacing w:after="0"/>
              <w:rPr>
                <w:sz w:val="13"/>
                <w:szCs w:val="13"/>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3"/>
                <w:szCs w:val="13"/>
                <w:color w:val="auto"/>
              </w:rPr>
              <w:t>2,909,063</w:t>
            </w:r>
          </w:p>
        </w:tc>
        <w:tc>
          <w:tcPr>
            <w:tcW w:w="1400" w:type="dxa"/>
            <w:vAlign w:val="bottom"/>
            <w:gridSpan w:val="2"/>
          </w:tcPr>
          <w:p>
            <w:pPr>
              <w:jc w:val="right"/>
              <w:ind w:right="348"/>
              <w:spacing w:after="0"/>
              <w:rPr>
                <w:sz w:val="20"/>
                <w:szCs w:val="20"/>
                <w:color w:val="auto"/>
              </w:rPr>
            </w:pPr>
            <w:r>
              <w:rPr>
                <w:rFonts w:ascii="Arial" w:cs="Arial" w:eastAsia="Arial" w:hAnsi="Arial"/>
                <w:sz w:val="13"/>
                <w:szCs w:val="13"/>
                <w:color w:val="auto"/>
              </w:rPr>
              <w:t>66.2</w:t>
            </w:r>
          </w:p>
        </w:tc>
        <w:tc>
          <w:tcPr>
            <w:tcW w:w="28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2,831,183</w:t>
            </w:r>
          </w:p>
        </w:tc>
        <w:tc>
          <w:tcPr>
            <w:tcW w:w="1100" w:type="dxa"/>
            <w:vAlign w:val="bottom"/>
            <w:gridSpan w:val="2"/>
          </w:tcPr>
          <w:p>
            <w:pPr>
              <w:jc w:val="right"/>
              <w:ind w:right="120"/>
              <w:spacing w:after="0"/>
              <w:rPr>
                <w:sz w:val="20"/>
                <w:szCs w:val="20"/>
                <w:color w:val="auto"/>
              </w:rPr>
            </w:pPr>
            <w:r>
              <w:rPr>
                <w:rFonts w:ascii="Arial" w:cs="Arial" w:eastAsia="Arial" w:hAnsi="Arial"/>
                <w:sz w:val="13"/>
                <w:szCs w:val="13"/>
                <w:color w:val="auto"/>
              </w:rPr>
              <w:t>69.6</w:t>
            </w:r>
          </w:p>
        </w:tc>
      </w:tr>
      <w:tr>
        <w:trPr>
          <w:trHeight w:val="20"/>
        </w:trPr>
        <w:tc>
          <w:tcPr>
            <w:tcW w:w="48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57"/>
        </w:trPr>
        <w:tc>
          <w:tcPr>
            <w:tcW w:w="4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 capitalization</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4,394,627</w:t>
            </w:r>
          </w:p>
        </w:tc>
        <w:tc>
          <w:tcPr>
            <w:tcW w:w="140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100.0</w:t>
            </w:r>
          </w:p>
        </w:tc>
        <w:tc>
          <w:tcPr>
            <w:tcW w:w="280" w:type="dxa"/>
            <w:vAlign w:val="bottom"/>
            <w:shd w:val="clear" w:color="auto" w:fill="CCEEFF"/>
          </w:tcPr>
          <w:p>
            <w:pPr>
              <w:jc w:val="right"/>
              <w:ind w:right="134"/>
              <w:spacing w:after="0"/>
              <w:rPr>
                <w:sz w:val="20"/>
                <w:szCs w:val="20"/>
                <w:color w:val="auto"/>
              </w:rPr>
            </w:pPr>
            <w:r>
              <w:rPr>
                <w:rFonts w:ascii="Arial" w:cs="Arial" w:eastAsia="Arial" w:hAnsi="Arial"/>
                <w:sz w:val="13"/>
                <w:szCs w:val="13"/>
                <w:color w:val="auto"/>
                <w:w w:val="82"/>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4,066,009</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100.0</w:t>
            </w:r>
          </w:p>
        </w:tc>
      </w:tr>
      <w:tr>
        <w:trPr>
          <w:trHeight w:val="29"/>
        </w:trPr>
        <w:tc>
          <w:tcPr>
            <w:tcW w:w="4800" w:type="dxa"/>
            <w:vAlign w:val="bottom"/>
          </w:tcPr>
          <w:p>
            <w:pPr>
              <w:spacing w:after="0"/>
              <w:rPr>
                <w:sz w:val="2"/>
                <w:szCs w:val="2"/>
                <w:color w:val="auto"/>
              </w:rPr>
            </w:pPr>
          </w:p>
        </w:tc>
        <w:tc>
          <w:tcPr>
            <w:tcW w:w="120" w:type="dxa"/>
            <w:vAlign w:val="bottom"/>
            <w:shd w:val="clear" w:color="auto" w:fill="000003"/>
          </w:tcPr>
          <w:p>
            <w:pPr>
              <w:spacing w:after="0"/>
              <w:rPr>
                <w:sz w:val="2"/>
                <w:szCs w:val="2"/>
                <w:color w:val="auto"/>
              </w:rPr>
            </w:pPr>
          </w:p>
        </w:tc>
        <w:tc>
          <w:tcPr>
            <w:tcW w:w="860" w:type="dxa"/>
            <w:vAlign w:val="bottom"/>
            <w:shd w:val="clear" w:color="auto" w:fill="000003"/>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shd w:val="clear" w:color="auto" w:fill="000003"/>
          </w:tcPr>
          <w:p>
            <w:pPr>
              <w:spacing w:after="0"/>
              <w:rPr>
                <w:sz w:val="2"/>
                <w:szCs w:val="2"/>
                <w:color w:val="auto"/>
              </w:rPr>
            </w:pPr>
          </w:p>
        </w:tc>
        <w:tc>
          <w:tcPr>
            <w:tcW w:w="620" w:type="dxa"/>
            <w:vAlign w:val="bottom"/>
            <w:shd w:val="clear" w:color="auto" w:fill="000003"/>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r>
    </w:tbl>
    <w:p>
      <w:pPr>
        <w:spacing w:after="0" w:line="90" w:lineRule="exact"/>
        <w:rPr>
          <w:sz w:val="20"/>
          <w:szCs w:val="20"/>
          <w:color w:val="auto"/>
        </w:rPr>
      </w:pPr>
    </w:p>
    <w:p>
      <w:pPr>
        <w:ind w:left="680" w:right="60" w:firstLine="399"/>
        <w:spacing w:after="0" w:line="229" w:lineRule="auto"/>
        <w:rPr>
          <w:sz w:val="20"/>
          <w:szCs w:val="20"/>
          <w:color w:val="auto"/>
        </w:rPr>
      </w:pPr>
      <w:r>
        <w:rPr>
          <w:rFonts w:ascii="Arial" w:cs="Arial" w:eastAsia="Arial" w:hAnsi="Arial"/>
          <w:sz w:val="12"/>
          <w:szCs w:val="12"/>
          <w:color w:val="auto"/>
        </w:rPr>
        <w:t>At July 1, 2006, long-term debt in the above table includes a fair value adjustment of $7.5 million decreasing total debt and capitalization. This fair value adjustment is a result of the Company’s fair value hedges on its 9</w:t>
      </w:r>
      <w:r>
        <w:rPr>
          <w:rFonts w:ascii="Arial" w:cs="Arial" w:eastAsia="Arial" w:hAnsi="Arial"/>
          <w:sz w:val="17"/>
          <w:szCs w:val="17"/>
          <w:color w:val="auto"/>
          <w:vertAlign w:val="superscript"/>
        </w:rPr>
        <w:t>3</w:t>
      </w:r>
      <w:r>
        <w:rPr>
          <w:rFonts w:ascii="Arial" w:cs="Arial" w:eastAsia="Arial" w:hAnsi="Arial"/>
          <w:sz w:val="12"/>
          <w:szCs w:val="12"/>
          <w:color w:val="auto"/>
        </w:rPr>
        <w:t>/</w:t>
      </w:r>
      <w:r>
        <w:rPr>
          <w:rFonts w:ascii="Arial" w:cs="Arial" w:eastAsia="Arial" w:hAnsi="Arial"/>
          <w:sz w:val="9"/>
          <w:szCs w:val="9"/>
          <w:color w:val="auto"/>
        </w:rPr>
        <w:t>4</w:t>
      </w:r>
      <w:r>
        <w:rPr>
          <w:rFonts w:ascii="Arial" w:cs="Arial" w:eastAsia="Arial" w:hAnsi="Arial"/>
          <w:sz w:val="12"/>
          <w:szCs w:val="12"/>
          <w:color w:val="auto"/>
        </w:rPr>
        <w:t xml:space="preserve">% Notes discussed in </w:t>
      </w:r>
      <w:r>
        <w:rPr>
          <w:rFonts w:ascii="Arial" w:cs="Arial" w:eastAsia="Arial" w:hAnsi="Arial"/>
          <w:sz w:val="12"/>
          <w:szCs w:val="12"/>
          <w:i w:val="1"/>
          <w:iCs w:val="1"/>
          <w:color w:val="auto"/>
        </w:rPr>
        <w:t>Financing Transactions</w:t>
      </w:r>
      <w:r>
        <w:rPr>
          <w:rFonts w:ascii="Arial" w:cs="Arial" w:eastAsia="Arial" w:hAnsi="Arial"/>
          <w:sz w:val="12"/>
          <w:szCs w:val="12"/>
          <w:color w:val="auto"/>
        </w:rPr>
        <w:t xml:space="preserve"> below. In addition, due to the timing of the redemption of the 9</w:t>
      </w:r>
      <w:r>
        <w:rPr>
          <w:rFonts w:ascii="Arial" w:cs="Arial" w:eastAsia="Arial" w:hAnsi="Arial"/>
          <w:sz w:val="17"/>
          <w:szCs w:val="17"/>
          <w:color w:val="auto"/>
          <w:vertAlign w:val="superscript"/>
        </w:rPr>
        <w:t>3</w:t>
      </w:r>
      <w:r>
        <w:rPr>
          <w:rFonts w:ascii="Arial" w:cs="Arial" w:eastAsia="Arial" w:hAnsi="Arial"/>
          <w:sz w:val="12"/>
          <w:szCs w:val="12"/>
          <w:color w:val="auto"/>
        </w:rPr>
        <w:t>/</w:t>
      </w:r>
      <w:r>
        <w:rPr>
          <w:rFonts w:ascii="Arial" w:cs="Arial" w:eastAsia="Arial" w:hAnsi="Arial"/>
          <w:sz w:val="9"/>
          <w:szCs w:val="9"/>
          <w:color w:val="auto"/>
        </w:rPr>
        <w:t>4</w:t>
      </w:r>
      <w:r>
        <w:rPr>
          <w:rFonts w:ascii="Arial" w:cs="Arial" w:eastAsia="Arial" w:hAnsi="Arial"/>
          <w:sz w:val="12"/>
          <w:szCs w:val="12"/>
          <w:color w:val="auto"/>
        </w:rPr>
        <w:t xml:space="preserve">% Notes (discussed further in </w:t>
      </w:r>
      <w:r>
        <w:rPr>
          <w:rFonts w:ascii="Arial" w:cs="Arial" w:eastAsia="Arial" w:hAnsi="Arial"/>
          <w:sz w:val="12"/>
          <w:szCs w:val="12"/>
          <w:i w:val="1"/>
          <w:iCs w:val="1"/>
          <w:color w:val="auto"/>
        </w:rPr>
        <w:t xml:space="preserve">Financing Transactions </w:t>
      </w:r>
      <w:r>
        <w:rPr>
          <w:rFonts w:ascii="Arial" w:cs="Arial" w:eastAsia="Arial" w:hAnsi="Arial"/>
          <w:sz w:val="12"/>
          <w:szCs w:val="12"/>
          <w:color w:val="auto"/>
        </w:rPr>
        <w:t>below), both the 9</w:t>
      </w:r>
      <w:r>
        <w:rPr>
          <w:rFonts w:ascii="Arial" w:cs="Arial" w:eastAsia="Arial" w:hAnsi="Arial"/>
          <w:sz w:val="17"/>
          <w:szCs w:val="17"/>
          <w:color w:val="auto"/>
          <w:vertAlign w:val="superscript"/>
        </w:rPr>
        <w:t>3</w:t>
      </w:r>
      <w:r>
        <w:rPr>
          <w:rFonts w:ascii="Arial" w:cs="Arial" w:eastAsia="Arial" w:hAnsi="Arial"/>
          <w:sz w:val="12"/>
          <w:szCs w:val="12"/>
          <w:color w:val="auto"/>
        </w:rPr>
        <w:t>/</w:t>
      </w:r>
      <w:r>
        <w:rPr>
          <w:rFonts w:ascii="Arial" w:cs="Arial" w:eastAsia="Arial" w:hAnsi="Arial"/>
          <w:sz w:val="9"/>
          <w:szCs w:val="9"/>
          <w:color w:val="auto"/>
        </w:rPr>
        <w:t>4</w:t>
      </w:r>
      <w:r>
        <w:rPr>
          <w:rFonts w:ascii="Arial" w:cs="Arial" w:eastAsia="Arial" w:hAnsi="Arial"/>
          <w:sz w:val="12"/>
          <w:szCs w:val="12"/>
          <w:color w:val="auto"/>
        </w:rPr>
        <w:t>% Notes and the 6.625% Notes issued in September 2006 were outstanding at September 30, 2006. The 9</w:t>
      </w:r>
      <w:r>
        <w:rPr>
          <w:rFonts w:ascii="Arial" w:cs="Arial" w:eastAsia="Arial" w:hAnsi="Arial"/>
          <w:sz w:val="17"/>
          <w:szCs w:val="17"/>
          <w:color w:val="auto"/>
          <w:vertAlign w:val="superscript"/>
        </w:rPr>
        <w:t>3</w:t>
      </w:r>
      <w:r>
        <w:rPr>
          <w:rFonts w:ascii="Arial" w:cs="Arial" w:eastAsia="Arial" w:hAnsi="Arial"/>
          <w:sz w:val="12"/>
          <w:szCs w:val="12"/>
          <w:color w:val="auto"/>
        </w:rPr>
        <w:t>/</w:t>
      </w:r>
      <w:r>
        <w:rPr>
          <w:rFonts w:ascii="Arial" w:cs="Arial" w:eastAsia="Arial" w:hAnsi="Arial"/>
          <w:sz w:val="9"/>
          <w:szCs w:val="9"/>
          <w:color w:val="auto"/>
        </w:rPr>
        <w:t>4</w:t>
      </w:r>
      <w:r>
        <w:rPr>
          <w:rFonts w:ascii="Arial" w:cs="Arial" w:eastAsia="Arial" w:hAnsi="Arial"/>
          <w:sz w:val="12"/>
          <w:szCs w:val="12"/>
          <w:color w:val="auto"/>
        </w:rPr>
        <w:t>% Notes outstanding amount of</w:t>
      </w:r>
      <w:r>
        <w:rPr>
          <w:rFonts w:ascii="Arial" w:cs="Arial" w:eastAsia="Arial" w:hAnsi="Arial"/>
          <w:sz w:val="12"/>
          <w:szCs w:val="12"/>
          <w:i w:val="1"/>
          <w:iCs w:val="1"/>
          <w:color w:val="auto"/>
        </w:rPr>
        <w:t xml:space="preserve"> </w:t>
      </w:r>
      <w:r>
        <w:rPr>
          <w:rFonts w:ascii="Arial" w:cs="Arial" w:eastAsia="Arial" w:hAnsi="Arial"/>
          <w:sz w:val="12"/>
          <w:szCs w:val="12"/>
          <w:color w:val="auto"/>
        </w:rPr>
        <w:t>$361.4 million was included in short-term debt and $300.0 million principal amount of the 6.625% Notes was included as long-term debt at September 30, 2006.</w:t>
      </w:r>
    </w:p>
    <w:p>
      <w:pPr>
        <w:spacing w:after="0" w:line="81"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color w:val="auto"/>
        </w:rPr>
        <w:t xml:space="preserve">For a description of the Company’s long-term debt and lease commitments for the next five years and thereafter, see </w:t>
      </w:r>
      <w:r>
        <w:rPr>
          <w:rFonts w:ascii="Arial" w:cs="Arial" w:eastAsia="Arial" w:hAnsi="Arial"/>
          <w:sz w:val="13"/>
          <w:szCs w:val="13"/>
          <w:i w:val="1"/>
          <w:iCs w:val="1"/>
          <w:color w:val="auto"/>
        </w:rPr>
        <w:t>Long-Term Contractual Obligations</w:t>
      </w:r>
      <w:r>
        <w:rPr>
          <w:rFonts w:ascii="Arial" w:cs="Arial" w:eastAsia="Arial" w:hAnsi="Arial"/>
          <w:sz w:val="13"/>
          <w:szCs w:val="13"/>
          <w:color w:val="auto"/>
        </w:rPr>
        <w:t xml:space="preserve"> appearing in Item 7 of the Company’s Annual Report on Form 10-K for the year ended July 1, 2006. With the exception of the Company’s debt transactions and equity issuance discussed herein, there are no material changes to this information outside of normal lease payments.</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Company does not currently have any material commitments for capital expenditures.</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Financing Transactions</w:t>
      </w:r>
    </w:p>
    <w:p>
      <w:pPr>
        <w:spacing w:after="0" w:line="100"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The Company has an unsecured $500.0 million credit facility with a syndicate of banks (the “Credit Facility”), expiring in October 2010. The Company may select from various interest rate options, currencies and maturities under the Credit Facility. The Credit Facility contains certain covenants, all of which the Company was in compliance with as of September 30, 2006. As of July 1, 2006, there was $6.0 million drawn under the Credit Facility included in “long-term debt” in the consolidated financial statements and $22.9 million in letters of credit issued under the Credit Facility which represents a utilization of the Credit Facility capacity but they are not recorded in the consolidated balance sheet as the letters of credit are not debt. At September 30, 2006, there were no borrowings under the Credit Facility; however, there was $19.6 million of letters of credit issued under the Credit Facility.</w:t>
      </w:r>
    </w:p>
    <w:p>
      <w:pPr>
        <w:spacing w:after="0" w:line="55" w:lineRule="exact"/>
        <w:rPr>
          <w:sz w:val="20"/>
          <w:szCs w:val="20"/>
          <w:color w:val="auto"/>
        </w:rPr>
      </w:pPr>
    </w:p>
    <w:p>
      <w:pPr>
        <w:jc w:val="both"/>
        <w:ind w:left="680" w:right="200" w:firstLine="399"/>
        <w:spacing w:after="0" w:line="296" w:lineRule="auto"/>
        <w:rPr>
          <w:sz w:val="20"/>
          <w:szCs w:val="20"/>
          <w:color w:val="auto"/>
        </w:rPr>
      </w:pPr>
      <w:r>
        <w:rPr>
          <w:rFonts w:ascii="Arial" w:cs="Arial" w:eastAsia="Arial" w:hAnsi="Arial"/>
          <w:sz w:val="12"/>
          <w:szCs w:val="12"/>
          <w:color w:val="auto"/>
        </w:rPr>
        <w:t>The Company has an accounts receivable securitization program (the “Securitization Program” or the “Program”) with a group of financial institutions that allows the Company to sell, on a revolving basis, an undivided interest of up to $450.0 million in eligible receivables while retaining a subordinated interest in a portion of the receivables. The Program does not qualify for sale accounting. The Program has a one year term that expires in August 2007. There were no drawings outstanding under the Program at September 30, 2006.</w:t>
      </w:r>
    </w:p>
    <w:p>
      <w:pPr>
        <w:spacing w:after="0" w:line="21"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During September 2006, the Company elected to redeem all of its outstanding 9</w:t>
      </w:r>
      <w:r>
        <w:rPr>
          <w:rFonts w:ascii="Arial" w:cs="Arial" w:eastAsia="Arial" w:hAnsi="Arial"/>
          <w:sz w:val="17"/>
          <w:szCs w:val="17"/>
          <w:color w:val="auto"/>
          <w:vertAlign w:val="superscript"/>
        </w:rPr>
        <w:t>3</w:t>
      </w:r>
      <w:r>
        <w:rPr>
          <w:rFonts w:ascii="Arial" w:cs="Arial" w:eastAsia="Arial" w:hAnsi="Arial"/>
          <w:sz w:val="12"/>
          <w:szCs w:val="12"/>
          <w:color w:val="auto"/>
        </w:rPr>
        <w:t>/</w:t>
      </w:r>
      <w:r>
        <w:rPr>
          <w:rFonts w:ascii="Arial" w:cs="Arial" w:eastAsia="Arial" w:hAnsi="Arial"/>
          <w:sz w:val="9"/>
          <w:szCs w:val="9"/>
          <w:color w:val="auto"/>
        </w:rPr>
        <w:t>4</w:t>
      </w:r>
      <w:r>
        <w:rPr>
          <w:rFonts w:ascii="Arial" w:cs="Arial" w:eastAsia="Arial" w:hAnsi="Arial"/>
          <w:sz w:val="12"/>
          <w:szCs w:val="12"/>
          <w:color w:val="auto"/>
        </w:rPr>
        <w:t>% Notes due February 15, 2008 (the “9</w:t>
      </w:r>
      <w:r>
        <w:rPr>
          <w:rFonts w:ascii="Arial" w:cs="Arial" w:eastAsia="Arial" w:hAnsi="Arial"/>
          <w:sz w:val="17"/>
          <w:szCs w:val="17"/>
          <w:color w:val="auto"/>
          <w:vertAlign w:val="superscript"/>
        </w:rPr>
        <w:t>3</w:t>
      </w:r>
      <w:r>
        <w:rPr>
          <w:rFonts w:ascii="Arial" w:cs="Arial" w:eastAsia="Arial" w:hAnsi="Arial"/>
          <w:sz w:val="12"/>
          <w:szCs w:val="12"/>
          <w:color w:val="auto"/>
        </w:rPr>
        <w:t>/</w:t>
      </w:r>
      <w:r>
        <w:rPr>
          <w:rFonts w:ascii="Arial" w:cs="Arial" w:eastAsia="Arial" w:hAnsi="Arial"/>
          <w:sz w:val="9"/>
          <w:szCs w:val="9"/>
          <w:color w:val="auto"/>
        </w:rPr>
        <w:t>4</w:t>
      </w:r>
      <w:r>
        <w:rPr>
          <w:rFonts w:ascii="Arial" w:cs="Arial" w:eastAsia="Arial" w:hAnsi="Arial"/>
          <w:sz w:val="12"/>
          <w:szCs w:val="12"/>
          <w:color w:val="auto"/>
        </w:rPr>
        <w:t>% Notes”). The Company used the net proceeds of</w:t>
      </w:r>
    </w:p>
    <w:p>
      <w:pPr>
        <w:ind w:left="680"/>
        <w:spacing w:after="0" w:line="193" w:lineRule="auto"/>
        <w:rPr>
          <w:sz w:val="20"/>
          <w:szCs w:val="20"/>
          <w:color w:val="auto"/>
        </w:rPr>
      </w:pPr>
      <w:r>
        <w:rPr>
          <w:rFonts w:ascii="Arial" w:cs="Arial" w:eastAsia="Arial" w:hAnsi="Arial"/>
          <w:sz w:val="12"/>
          <w:szCs w:val="12"/>
          <w:color w:val="auto"/>
        </w:rPr>
        <w:t>$296.1 million from the issuance in the first quarter of $300.0 million principal amount of 6.625% Notes due September 15, 2016 plus available liquidity, to repurchase the 9</w:t>
      </w:r>
      <w:r>
        <w:rPr>
          <w:rFonts w:ascii="Arial" w:cs="Arial" w:eastAsia="Arial" w:hAnsi="Arial"/>
          <w:sz w:val="17"/>
          <w:szCs w:val="17"/>
          <w:color w:val="auto"/>
          <w:vertAlign w:val="superscript"/>
        </w:rPr>
        <w:t>3</w:t>
      </w:r>
      <w:r>
        <w:rPr>
          <w:rFonts w:ascii="Arial" w:cs="Arial" w:eastAsia="Arial" w:hAnsi="Arial"/>
          <w:sz w:val="12"/>
          <w:szCs w:val="12"/>
          <w:color w:val="auto"/>
        </w:rPr>
        <w:t>/</w:t>
      </w:r>
      <w:r>
        <w:rPr>
          <w:rFonts w:ascii="Arial" w:cs="Arial" w:eastAsia="Arial" w:hAnsi="Arial"/>
          <w:sz w:val="9"/>
          <w:szCs w:val="9"/>
          <w:color w:val="auto"/>
        </w:rPr>
        <w:t>4</w:t>
      </w:r>
      <w:r>
        <w:rPr>
          <w:rFonts w:ascii="Arial" w:cs="Arial" w:eastAsia="Arial" w:hAnsi="Arial"/>
          <w:sz w:val="12"/>
          <w:szCs w:val="12"/>
          <w:color w:val="auto"/>
        </w:rPr>
        <w:t>% Notes on</w:t>
      </w:r>
    </w:p>
    <w:p>
      <w:pPr>
        <w:ind w:left="680"/>
        <w:spacing w:after="0"/>
        <w:rPr>
          <w:sz w:val="20"/>
          <w:szCs w:val="20"/>
          <w:color w:val="auto"/>
        </w:rPr>
      </w:pPr>
      <w:r>
        <w:rPr>
          <w:rFonts w:ascii="Arial" w:cs="Arial" w:eastAsia="Arial" w:hAnsi="Arial"/>
          <w:sz w:val="12"/>
          <w:szCs w:val="12"/>
          <w:color w:val="auto"/>
        </w:rPr>
        <w:t>October 12, 2006. In connection with the repurchase, the Company terminated two interest rate swaps with a total notional amount of $200.0 million that hedged a portion of the</w:t>
      </w:r>
    </w:p>
    <w:p>
      <w:pPr>
        <w:spacing w:after="0" w:line="15" w:lineRule="exact"/>
        <w:rPr>
          <w:sz w:val="20"/>
          <w:szCs w:val="20"/>
          <w:color w:val="auto"/>
        </w:rPr>
      </w:pPr>
    </w:p>
    <w:p>
      <w:pPr>
        <w:ind w:left="680" w:right="240"/>
        <w:spacing w:after="0" w:line="272" w:lineRule="auto"/>
        <w:rPr>
          <w:sz w:val="20"/>
          <w:szCs w:val="20"/>
          <w:color w:val="auto"/>
        </w:rPr>
      </w:pPr>
      <w:r>
        <w:rPr>
          <w:rFonts w:ascii="Arial" w:cs="Arial" w:eastAsia="Arial" w:hAnsi="Arial"/>
          <w:sz w:val="11"/>
          <w:szCs w:val="11"/>
          <w:color w:val="auto"/>
        </w:rPr>
        <w:t>9</w:t>
      </w:r>
      <w:r>
        <w:rPr>
          <w:rFonts w:ascii="Arial" w:cs="Arial" w:eastAsia="Arial" w:hAnsi="Arial"/>
          <w:sz w:val="15"/>
          <w:szCs w:val="15"/>
          <w:color w:val="auto"/>
          <w:vertAlign w:val="superscript"/>
        </w:rPr>
        <w:t>3</w:t>
      </w:r>
      <w:r>
        <w:rPr>
          <w:rFonts w:ascii="Arial" w:cs="Arial" w:eastAsia="Arial" w:hAnsi="Arial"/>
          <w:sz w:val="11"/>
          <w:szCs w:val="11"/>
          <w:color w:val="auto"/>
        </w:rPr>
        <w:t>/</w:t>
      </w:r>
      <w:r>
        <w:rPr>
          <w:rFonts w:ascii="Arial" w:cs="Arial" w:eastAsia="Arial" w:hAnsi="Arial"/>
          <w:sz w:val="8"/>
          <w:szCs w:val="8"/>
          <w:color w:val="auto"/>
        </w:rPr>
        <w:t>4</w:t>
      </w:r>
      <w:r>
        <w:rPr>
          <w:rFonts w:ascii="Arial" w:cs="Arial" w:eastAsia="Arial" w:hAnsi="Arial"/>
          <w:sz w:val="11"/>
          <w:szCs w:val="11"/>
          <w:color w:val="auto"/>
        </w:rPr>
        <w:t>% Notes. Debt extinguishment costs incurred as a result of the redemption totaled $27.4 million pre-tax, $16.5 million after tax, or $0.11 per share on a diluted basis, and consisted of $20.3 million for a make-whole redemption premium, $5.0 million associated with the two interest rate swap terminations, and $2.1 million to write-off certain deferred financing costs.</w:t>
      </w:r>
    </w:p>
    <w:p>
      <w:pPr>
        <w:spacing w:after="0" w:line="26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4" w:name="page25"/>
    <w:bookmarkEnd w:id="2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In August 2005, the Company issued $250.0 million of 6.00% Notes due September 1, 2015. The proceeds from the offering, net of discount and underwriting fees, were</w:t>
      </w:r>
    </w:p>
    <w:p>
      <w:pPr>
        <w:spacing w:after="0" w:line="27" w:lineRule="exact"/>
        <w:rPr>
          <w:sz w:val="20"/>
          <w:szCs w:val="20"/>
          <w:color w:val="auto"/>
        </w:rPr>
      </w:pPr>
    </w:p>
    <w:p>
      <w:pPr>
        <w:jc w:val="both"/>
        <w:ind w:left="680" w:right="20"/>
        <w:spacing w:after="0" w:line="256" w:lineRule="auto"/>
        <w:rPr>
          <w:sz w:val="20"/>
          <w:szCs w:val="20"/>
          <w:color w:val="auto"/>
        </w:rPr>
      </w:pPr>
      <w:r>
        <w:rPr>
          <w:rFonts w:ascii="Arial" w:cs="Arial" w:eastAsia="Arial" w:hAnsi="Arial"/>
          <w:sz w:val="13"/>
          <w:szCs w:val="13"/>
          <w:color w:val="auto"/>
        </w:rPr>
        <w:t>$246.5 million. The Company used these proceeds, plus cash and cash equivalents on hand, to fund the tender and repurchase of $250.0 million of the 8.00% Notes due November 15, 2006 (the “8% Notes”), at a price of $1,045 per $1,000 principal amount of Notes. Also during the first quarter of fiscal 2006, the Company repurchased $4.1 million of the 8% Notes at a price of approximately $1,038 per $1,000 principal amount of Notes. As a result of the tender and repurchases, the Company incurred debt extinguishment costs of $11.7 million pre-tax, $7.1 million after tax, or $0.05 per share on a diluted basis, relating primarily to premiums and other transaction costs.</w:t>
      </w:r>
    </w:p>
    <w:p>
      <w:pPr>
        <w:spacing w:after="0" w:line="72" w:lineRule="exact"/>
        <w:rPr>
          <w:sz w:val="20"/>
          <w:szCs w:val="20"/>
          <w:color w:val="auto"/>
        </w:rPr>
      </w:pPr>
    </w:p>
    <w:p>
      <w:pPr>
        <w:ind w:left="680" w:right="60" w:firstLine="399"/>
        <w:spacing w:after="0" w:line="280" w:lineRule="auto"/>
        <w:rPr>
          <w:sz w:val="20"/>
          <w:szCs w:val="20"/>
          <w:color w:val="auto"/>
        </w:rPr>
      </w:pPr>
      <w:r>
        <w:rPr>
          <w:rFonts w:ascii="Arial" w:cs="Arial" w:eastAsia="Arial" w:hAnsi="Arial"/>
          <w:sz w:val="12"/>
          <w:szCs w:val="12"/>
          <w:color w:val="auto"/>
        </w:rPr>
        <w:t>The Company’s $300.0 million of 2% Convertible Senior Debentures due March 15, 2034 (the “Debentures”) are convertible into Avnet common stock at a rate of 29.5516 shares of common stock per $1,000 principal amount of Debentures. The Debentures are only convertible under certain circumstances, including if: (i) the closing price of the Company’s common stock reaches $45.68 per share (subject to adjustment in certain circumstances) for a specified period of time; (ii) the average trading price of the Debentures falls below a certain percentage of the conversion value per Debenture for a specified period of time; (iii) the Company calls the Debentures for redemption; or (iv) certain corporate transactions, as defined, occur. Upon conversion, the Company will deliver cash in lieu of common stock as the Company made an irrevocable election in December 2004 to satisfy the principal portion of the Debentures, if converted, in cash. The Company may redeem some or all of the Debentures for cash any time on or after March 20, 2009 at the Debentures’ full principal amount plus accrued and unpaid interest, if any. Holders of the Debentures may require the Company to purchase, in cash, all or a portion of the Debentures on March 15, 2009, 2014, 2019, 2024 and 2029, or upon a fundamental change, as defined, at the Debentures’ full principal amount plus accrued and unpaid interest, if any.</w:t>
      </w:r>
    </w:p>
    <w:p>
      <w:pPr>
        <w:spacing w:after="0" w:line="59"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 xml:space="preserve">The hedged fixed rate debt and the interest rate swaps outstanding at the end of fiscal 2006 were adjusted to current market values through interest expense in the accompanying consolidated statements of operations. The Company accounts for hedges using the shortcut method as defined under Statement of Financial Accounting Standards No. 133, </w:t>
      </w:r>
      <w:r>
        <w:rPr>
          <w:rFonts w:ascii="Arial" w:cs="Arial" w:eastAsia="Arial" w:hAnsi="Arial"/>
          <w:sz w:val="13"/>
          <w:szCs w:val="13"/>
          <w:i w:val="1"/>
          <w:iCs w:val="1"/>
          <w:color w:val="auto"/>
        </w:rPr>
        <w:t>Accounting for</w:t>
      </w:r>
      <w:r>
        <w:rPr>
          <w:rFonts w:ascii="Arial" w:cs="Arial" w:eastAsia="Arial" w:hAnsi="Arial"/>
          <w:sz w:val="13"/>
          <w:szCs w:val="13"/>
          <w:color w:val="auto"/>
        </w:rPr>
        <w:t xml:space="preserve"> </w:t>
      </w:r>
      <w:r>
        <w:rPr>
          <w:rFonts w:ascii="Arial" w:cs="Arial" w:eastAsia="Arial" w:hAnsi="Arial"/>
          <w:sz w:val="13"/>
          <w:szCs w:val="13"/>
          <w:i w:val="1"/>
          <w:iCs w:val="1"/>
          <w:color w:val="auto"/>
        </w:rPr>
        <w:t>Derivative Instruments and Hedging Activities</w:t>
      </w:r>
      <w:r>
        <w:rPr>
          <w:rFonts w:ascii="Arial" w:cs="Arial" w:eastAsia="Arial" w:hAnsi="Arial"/>
          <w:sz w:val="13"/>
          <w:szCs w:val="13"/>
          <w:color w:val="auto"/>
        </w:rPr>
        <w:t>, as amended by Statement of Financial Accounting Standards No. 138,</w:t>
      </w:r>
      <w:r>
        <w:rPr>
          <w:rFonts w:ascii="Arial" w:cs="Arial" w:eastAsia="Arial" w:hAnsi="Arial"/>
          <w:sz w:val="13"/>
          <w:szCs w:val="13"/>
          <w:i w:val="1"/>
          <w:iCs w:val="1"/>
          <w:color w:val="auto"/>
        </w:rPr>
        <w:t xml:space="preserve"> Accounting for Certain Derivative Instruments and Hedging Activities. </w:t>
      </w:r>
      <w:r>
        <w:rPr>
          <w:rFonts w:ascii="Arial" w:cs="Arial" w:eastAsia="Arial" w:hAnsi="Arial"/>
          <w:sz w:val="13"/>
          <w:szCs w:val="13"/>
          <w:color w:val="auto"/>
        </w:rPr>
        <w:t>Due to the effectiveness of the hedges since inception, the market value adjustments for the hedged debt and the interest rate swaps directly offset one another. The fair value of</w:t>
      </w:r>
      <w:r>
        <w:rPr>
          <w:rFonts w:ascii="Arial" w:cs="Arial" w:eastAsia="Arial" w:hAnsi="Arial"/>
          <w:sz w:val="13"/>
          <w:szCs w:val="13"/>
          <w:i w:val="1"/>
          <w:iCs w:val="1"/>
          <w:color w:val="auto"/>
        </w:rPr>
        <w:t xml:space="preserve"> </w:t>
      </w:r>
      <w:r>
        <w:rPr>
          <w:rFonts w:ascii="Arial" w:cs="Arial" w:eastAsia="Arial" w:hAnsi="Arial"/>
          <w:sz w:val="13"/>
          <w:szCs w:val="13"/>
          <w:color w:val="auto"/>
        </w:rPr>
        <w:t>the interest rate swaps at July 1, 2006 was a liability of $7.5 million which is included in “other long-term liabilities” and a corresponding fair value adjustment of the hedged debt decreased long-term debt by the same amount. As discussed above, the Company terminated all remaining interest rate swaps during the first quarter of fiscal 2007 in connection with the redemption of the 9</w:t>
      </w:r>
      <w:r>
        <w:rPr>
          <w:rFonts w:ascii="Arial" w:cs="Arial" w:eastAsia="Arial" w:hAnsi="Arial"/>
          <w:sz w:val="18"/>
          <w:szCs w:val="18"/>
          <w:color w:val="auto"/>
          <w:vertAlign w:val="superscript"/>
        </w:rPr>
        <w:t>3</w:t>
      </w:r>
      <w:r>
        <w:rPr>
          <w:rFonts w:ascii="Arial" w:cs="Arial" w:eastAsia="Arial" w:hAnsi="Arial"/>
          <w:sz w:val="13"/>
          <w:szCs w:val="13"/>
          <w:color w:val="auto"/>
        </w:rPr>
        <w:t>/</w:t>
      </w:r>
      <w:r>
        <w:rPr>
          <w:rFonts w:ascii="Arial" w:cs="Arial" w:eastAsia="Arial" w:hAnsi="Arial"/>
          <w:sz w:val="9"/>
          <w:szCs w:val="9"/>
          <w:color w:val="auto"/>
        </w:rPr>
        <w:t>4</w:t>
      </w:r>
      <w:r>
        <w:rPr>
          <w:rFonts w:ascii="Arial" w:cs="Arial" w:eastAsia="Arial" w:hAnsi="Arial"/>
          <w:sz w:val="13"/>
          <w:szCs w:val="13"/>
          <w:color w:val="auto"/>
        </w:rPr>
        <w:t>% Notes.</w:t>
      </w:r>
    </w:p>
    <w:p>
      <w:pPr>
        <w:spacing w:after="0" w:line="3" w:lineRule="exact"/>
        <w:rPr>
          <w:sz w:val="20"/>
          <w:szCs w:val="20"/>
          <w:color w:val="auto"/>
        </w:rPr>
      </w:pPr>
    </w:p>
    <w:p>
      <w:pPr>
        <w:ind w:left="680" w:right="460" w:firstLine="399"/>
        <w:spacing w:after="0" w:line="320" w:lineRule="auto"/>
        <w:rPr>
          <w:sz w:val="20"/>
          <w:szCs w:val="20"/>
          <w:color w:val="auto"/>
        </w:rPr>
      </w:pPr>
      <w:r>
        <w:rPr>
          <w:rFonts w:ascii="Arial" w:cs="Arial" w:eastAsia="Arial" w:hAnsi="Arial"/>
          <w:sz w:val="12"/>
          <w:szCs w:val="12"/>
          <w:color w:val="auto"/>
        </w:rPr>
        <w:t>In addition to its primary financing arrangements, the Company has several small lines of credit in various locations to fund the short-term working capital, foreign exchange, overdraft and letter of credit needs of its wholly owned subsidiaries in Europe, Asia and Canada. Avnet generally guarantees its subsidiaries’ debt under these facilities.</w:t>
      </w:r>
    </w:p>
    <w:p>
      <w:pPr>
        <w:spacing w:after="0" w:line="11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Covenants and Conditions</w:t>
      </w:r>
    </w:p>
    <w:p>
      <w:pPr>
        <w:spacing w:after="0" w:line="100" w:lineRule="exact"/>
        <w:rPr>
          <w:sz w:val="20"/>
          <w:szCs w:val="20"/>
          <w:color w:val="auto"/>
        </w:rPr>
      </w:pPr>
    </w:p>
    <w:p>
      <w:pPr>
        <w:ind w:left="680" w:firstLine="399"/>
        <w:spacing w:after="0" w:line="256" w:lineRule="auto"/>
        <w:rPr>
          <w:sz w:val="20"/>
          <w:szCs w:val="20"/>
          <w:color w:val="auto"/>
        </w:rPr>
      </w:pPr>
      <w:r>
        <w:rPr>
          <w:rFonts w:ascii="Arial" w:cs="Arial" w:eastAsia="Arial" w:hAnsi="Arial"/>
          <w:sz w:val="13"/>
          <w:szCs w:val="13"/>
          <w:color w:val="auto"/>
        </w:rPr>
        <w:t>The Securitization Program discussed above requires the Company to maintain certain minimum interest coverage and leverage ratios as defined in the Credit Facility (see discussion below) in order to continue utilizing the Program. The Program agreement also contains certain covenants relating to the quality of the receivables sold. If these conditions are not met, the Company may not be able to borrow any additional funds and the financial institutions may consider this an amortization event, as defined in the agreement, which would permit the financial institutions to liquidate the accounts receivable sold to cover any outstanding borrowings. Circumstances that could affect the Company’s ability to meet the required covenants and conditions of the agreement include the Company’s ongoing profitability and various other economic, market and industry factors. Management does not believe that the covenants under the Program limit the Company’s ability to pursue its intended business strategy or future financing needs. The Company was in compliance with all covenants of the Program agreement at September 30, 2006.</w:t>
      </w:r>
    </w:p>
    <w:p>
      <w:pPr>
        <w:spacing w:after="0" w:line="280"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5" w:name="page26"/>
    <w:bookmarkEnd w:id="2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00" w:firstLine="399"/>
        <w:spacing w:after="0" w:line="260" w:lineRule="auto"/>
        <w:rPr>
          <w:sz w:val="20"/>
          <w:szCs w:val="20"/>
          <w:color w:val="auto"/>
        </w:rPr>
      </w:pPr>
      <w:r>
        <w:rPr>
          <w:rFonts w:ascii="Arial" w:cs="Arial" w:eastAsia="Arial" w:hAnsi="Arial"/>
          <w:sz w:val="13"/>
          <w:szCs w:val="13"/>
          <w:color w:val="auto"/>
        </w:rPr>
        <w:t xml:space="preserve">The Credit Facility discussed in </w:t>
      </w:r>
      <w:r>
        <w:rPr>
          <w:rFonts w:ascii="Arial" w:cs="Arial" w:eastAsia="Arial" w:hAnsi="Arial"/>
          <w:sz w:val="13"/>
          <w:szCs w:val="13"/>
          <w:i w:val="1"/>
          <w:iCs w:val="1"/>
          <w:color w:val="auto"/>
        </w:rPr>
        <w:t>Financing Transactions</w:t>
      </w:r>
      <w:r>
        <w:rPr>
          <w:rFonts w:ascii="Arial" w:cs="Arial" w:eastAsia="Arial" w:hAnsi="Arial"/>
          <w:sz w:val="13"/>
          <w:szCs w:val="13"/>
          <w:color w:val="auto"/>
        </w:rPr>
        <w:t xml:space="preserve"> contain certain covenants with various limitations on debt incurrence, dividends, investments and capital expenditures and also includes financial covenants requiring the Company to maintain minimum interest coverage and leverage ratios, as defined. Management does not believe that the covenants in the Credit Facility limit the Company’s ability to pursue its intended business strategy or future financing needs. The Company was in compliance with all covenants of the Credit Facility as of September 30, 2006.</w:t>
      </w:r>
    </w:p>
    <w:p>
      <w:pPr>
        <w:spacing w:after="0" w:line="7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 xml:space="preserve">See </w:t>
      </w:r>
      <w:r>
        <w:rPr>
          <w:rFonts w:ascii="Arial" w:cs="Arial" w:eastAsia="Arial" w:hAnsi="Arial"/>
          <w:sz w:val="13"/>
          <w:szCs w:val="13"/>
          <w:i w:val="1"/>
          <w:iCs w:val="1"/>
          <w:color w:val="auto"/>
        </w:rPr>
        <w:t>Liquidity</w:t>
      </w:r>
      <w:r>
        <w:rPr>
          <w:rFonts w:ascii="Arial" w:cs="Arial" w:eastAsia="Arial" w:hAnsi="Arial"/>
          <w:sz w:val="13"/>
          <w:szCs w:val="13"/>
          <w:color w:val="auto"/>
        </w:rPr>
        <w:t xml:space="preserve"> for further discussion of the Company’s availability under these various facilities.</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Liquidity</w:t>
      </w:r>
    </w:p>
    <w:p>
      <w:pPr>
        <w:spacing w:after="0" w:line="100" w:lineRule="exact"/>
        <w:rPr>
          <w:sz w:val="20"/>
          <w:szCs w:val="20"/>
          <w:color w:val="auto"/>
        </w:rPr>
      </w:pPr>
    </w:p>
    <w:p>
      <w:pPr>
        <w:ind w:left="680" w:firstLine="399"/>
        <w:spacing w:after="0" w:line="255" w:lineRule="auto"/>
        <w:rPr>
          <w:sz w:val="20"/>
          <w:szCs w:val="20"/>
          <w:color w:val="auto"/>
        </w:rPr>
      </w:pPr>
      <w:r>
        <w:rPr>
          <w:rFonts w:ascii="Arial" w:cs="Arial" w:eastAsia="Arial" w:hAnsi="Arial"/>
          <w:sz w:val="13"/>
          <w:szCs w:val="13"/>
          <w:color w:val="auto"/>
        </w:rPr>
        <w:t xml:space="preserve">The Company had total borrowing capacity of $950.0 million at September 30, 2006 under the Credit Facility and the Program, against which $19.6 million in letters of credit were issued under the Credit Facility resulting in $930.4 million of net availability at the end of the first quarter. The Company also had an additional $481.8 million of cash and cash equivalents at September 30, 2006. There are no significant financial commitments of the Company outside of normal debt and lease maturities discussed in </w:t>
      </w:r>
      <w:r>
        <w:rPr>
          <w:rFonts w:ascii="Arial" w:cs="Arial" w:eastAsia="Arial" w:hAnsi="Arial"/>
          <w:sz w:val="13"/>
          <w:szCs w:val="13"/>
          <w:i w:val="1"/>
          <w:iCs w:val="1"/>
          <w:color w:val="auto"/>
        </w:rPr>
        <w:t>Capital Structure and Contractual</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Obligations. </w:t>
      </w:r>
      <w:r>
        <w:rPr>
          <w:rFonts w:ascii="Arial" w:cs="Arial" w:eastAsia="Arial" w:hAnsi="Arial"/>
          <w:sz w:val="13"/>
          <w:szCs w:val="13"/>
          <w:color w:val="auto"/>
        </w:rPr>
        <w:t>Management believes that Avnet’s borrowing capacity, its current cash availability and the Company’s expected ability to generate operating cash flows are sufficient to meet its</w:t>
      </w:r>
      <w:r>
        <w:rPr>
          <w:rFonts w:ascii="Arial" w:cs="Arial" w:eastAsia="Arial" w:hAnsi="Arial"/>
          <w:sz w:val="13"/>
          <w:szCs w:val="13"/>
          <w:i w:val="1"/>
          <w:iCs w:val="1"/>
          <w:color w:val="auto"/>
        </w:rPr>
        <w:t xml:space="preserve"> </w:t>
      </w:r>
      <w:r>
        <w:rPr>
          <w:rFonts w:ascii="Arial" w:cs="Arial" w:eastAsia="Arial" w:hAnsi="Arial"/>
          <w:sz w:val="13"/>
          <w:szCs w:val="13"/>
          <w:color w:val="auto"/>
        </w:rPr>
        <w:t>projected financing needs. The Company is less likely to generate significant operating cash flows in a growing electronic component and computer products industry. However, additional cash requirements for working capital are generally expected to be offset by the operating cash flows generated by the Company’s enhanced profitability resulting from the Company’s cost reductions achieved in recent years. The next significant public debt maturity is the $143.7 million of 8% Notes due to mature in November 2006, which management will repay through available cash and cash equivalents or available liquidity.</w:t>
      </w:r>
    </w:p>
    <w:p>
      <w:pPr>
        <w:spacing w:after="0" w:line="7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highlights the Company’s liquidity and related ratios as of the end of the first quarter of fiscal 2007 with a comparison to the fiscal 2006 year-end:</w:t>
      </w:r>
    </w:p>
    <w:p>
      <w:pPr>
        <w:spacing w:after="0" w:line="250" w:lineRule="exact"/>
        <w:rPr>
          <w:sz w:val="20"/>
          <w:szCs w:val="20"/>
          <w:color w:val="auto"/>
        </w:rPr>
      </w:pPr>
    </w:p>
    <w:p>
      <w:pPr>
        <w:ind w:left="4380"/>
        <w:spacing w:after="0"/>
        <w:rPr>
          <w:sz w:val="20"/>
          <w:szCs w:val="20"/>
          <w:color w:val="auto"/>
        </w:rPr>
      </w:pPr>
      <w:r>
        <w:rPr>
          <w:rFonts w:ascii="Arial" w:cs="Arial" w:eastAsia="Arial" w:hAnsi="Arial"/>
          <w:sz w:val="13"/>
          <w:szCs w:val="13"/>
          <w:b w:val="1"/>
          <w:bCs w:val="1"/>
          <w:color w:val="auto"/>
        </w:rPr>
        <w:t>COMPARATIVE ANALYSIS — LIQUIDITY</w:t>
      </w:r>
    </w:p>
    <w:p>
      <w:pPr>
        <w:spacing w:after="0" w:line="95"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6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93"/>
              </w:rPr>
              <w:t>September 30,</w:t>
            </w: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2"/>
          </w:tcPr>
          <w:p>
            <w:pPr>
              <w:jc w:val="center"/>
              <w:ind w:right="520"/>
              <w:spacing w:after="0"/>
              <w:rPr>
                <w:sz w:val="20"/>
                <w:szCs w:val="20"/>
                <w:color w:val="auto"/>
              </w:rPr>
            </w:pPr>
            <w:r>
              <w:rPr>
                <w:rFonts w:ascii="Arial" w:cs="Arial" w:eastAsia="Arial" w:hAnsi="Arial"/>
                <w:sz w:val="10"/>
                <w:szCs w:val="10"/>
                <w:b w:val="1"/>
                <w:bCs w:val="1"/>
                <w:color w:val="auto"/>
                <w:w w:val="96"/>
              </w:rPr>
              <w:t>July 1,</w:t>
            </w:r>
          </w:p>
        </w:tc>
        <w:tc>
          <w:tcPr>
            <w:tcW w:w="80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88"/>
              </w:rPr>
              <w:t>Percentage</w:t>
            </w:r>
          </w:p>
        </w:tc>
      </w:tr>
      <w:tr>
        <w:trPr>
          <w:trHeight w:val="125"/>
        </w:trPr>
        <w:tc>
          <w:tcPr>
            <w:tcW w:w="66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317"/>
              <w:spacing w:after="0"/>
              <w:rPr>
                <w:sz w:val="20"/>
                <w:szCs w:val="20"/>
                <w:color w:val="auto"/>
              </w:rPr>
            </w:pPr>
            <w:r>
              <w:rPr>
                <w:rFonts w:ascii="Arial" w:cs="Arial" w:eastAsia="Arial" w:hAnsi="Arial"/>
                <w:sz w:val="10"/>
                <w:szCs w:val="10"/>
                <w:b w:val="1"/>
                <w:bCs w:val="1"/>
                <w:color w:val="auto"/>
              </w:rPr>
              <w:t>2006</w:t>
            </w: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ind w:right="177"/>
              <w:spacing w:after="0"/>
              <w:rPr>
                <w:sz w:val="20"/>
                <w:szCs w:val="20"/>
                <w:color w:val="auto"/>
              </w:rPr>
            </w:pPr>
            <w:r>
              <w:rPr>
                <w:rFonts w:ascii="Arial" w:cs="Arial" w:eastAsia="Arial" w:hAnsi="Arial"/>
                <w:sz w:val="10"/>
                <w:szCs w:val="10"/>
                <w:b w:val="1"/>
                <w:bCs w:val="1"/>
                <w:color w:val="auto"/>
              </w:rPr>
              <w:t>2006</w:t>
            </w:r>
          </w:p>
        </w:tc>
        <w:tc>
          <w:tcPr>
            <w:tcW w:w="420" w:type="dxa"/>
            <w:vAlign w:val="bottom"/>
          </w:tcPr>
          <w:p>
            <w:pPr>
              <w:spacing w:after="0"/>
              <w:rPr>
                <w:sz w:val="10"/>
                <w:szCs w:val="10"/>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2"/>
              </w:rPr>
              <w:t>Change</w:t>
            </w:r>
          </w:p>
        </w:tc>
        <w:tc>
          <w:tcPr>
            <w:tcW w:w="120" w:type="dxa"/>
            <w:vAlign w:val="bottom"/>
          </w:tcPr>
          <w:p>
            <w:pPr>
              <w:spacing w:after="0"/>
              <w:rPr>
                <w:sz w:val="10"/>
                <w:szCs w:val="10"/>
                <w:color w:val="auto"/>
              </w:rPr>
            </w:pPr>
          </w:p>
        </w:tc>
      </w:tr>
      <w:tr>
        <w:trPr>
          <w:trHeight w:val="131"/>
        </w:trPr>
        <w:tc>
          <w:tcPr>
            <w:tcW w:w="6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3"/>
          </w:tcPr>
          <w:p>
            <w:pPr>
              <w:ind w:left="20"/>
              <w:spacing w:after="0"/>
              <w:rPr>
                <w:sz w:val="20"/>
                <w:szCs w:val="20"/>
                <w:color w:val="auto"/>
              </w:rPr>
            </w:pPr>
            <w:r>
              <w:rPr>
                <w:rFonts w:ascii="Arial" w:cs="Arial" w:eastAsia="Arial" w:hAnsi="Arial"/>
                <w:sz w:val="10"/>
                <w:szCs w:val="10"/>
                <w:b w:val="1"/>
                <w:bCs w:val="1"/>
                <w:color w:val="auto"/>
                <w:w w:val="99"/>
              </w:rPr>
              <w:t>(Dollars in millions)</w:t>
            </w: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63"/>
        </w:trPr>
        <w:tc>
          <w:tcPr>
            <w:tcW w:w="6680" w:type="dxa"/>
            <w:vAlign w:val="bottom"/>
            <w:shd w:val="clear" w:color="auto" w:fill="CCEEFF"/>
          </w:tcPr>
          <w:p>
            <w:pPr>
              <w:spacing w:after="0"/>
              <w:rPr>
                <w:sz w:val="20"/>
                <w:szCs w:val="20"/>
                <w:color w:val="auto"/>
              </w:rPr>
            </w:pPr>
            <w:r>
              <w:rPr>
                <w:rFonts w:ascii="Arial" w:cs="Arial" w:eastAsia="Arial" w:hAnsi="Arial"/>
                <w:sz w:val="13"/>
                <w:szCs w:val="13"/>
                <w:color w:val="auto"/>
              </w:rPr>
              <w:t>Current Assets</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4,821.2</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4,467.5</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7.9%</w:t>
            </w:r>
          </w:p>
        </w:tc>
      </w:tr>
      <w:tr>
        <w:trPr>
          <w:trHeight w:val="157"/>
        </w:trPr>
        <w:tc>
          <w:tcPr>
            <w:tcW w:w="6680" w:type="dxa"/>
            <w:vAlign w:val="bottom"/>
          </w:tcPr>
          <w:p>
            <w:pPr>
              <w:spacing w:after="0"/>
              <w:rPr>
                <w:sz w:val="20"/>
                <w:szCs w:val="20"/>
                <w:color w:val="auto"/>
              </w:rPr>
            </w:pPr>
            <w:r>
              <w:rPr>
                <w:rFonts w:ascii="Arial" w:cs="Arial" w:eastAsia="Arial" w:hAnsi="Arial"/>
                <w:sz w:val="13"/>
                <w:szCs w:val="13"/>
                <w:color w:val="auto"/>
              </w:rPr>
              <w:t>Quick Assets</w:t>
            </w:r>
          </w:p>
        </w:tc>
        <w:tc>
          <w:tcPr>
            <w:tcW w:w="120" w:type="dxa"/>
            <w:vAlign w:val="bottom"/>
          </w:tcPr>
          <w:p>
            <w:pPr>
              <w:spacing w:after="0"/>
              <w:rPr>
                <w:sz w:val="13"/>
                <w:szCs w:val="13"/>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3"/>
                <w:szCs w:val="13"/>
                <w:color w:val="auto"/>
              </w:rPr>
              <w:t>3,039.2</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3"/>
                <w:szCs w:val="13"/>
                <w:color w:val="auto"/>
              </w:rPr>
              <w:t>2,753.8</w:t>
            </w: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10.4</w:t>
            </w:r>
          </w:p>
        </w:tc>
      </w:tr>
      <w:tr>
        <w:trPr>
          <w:trHeight w:val="157"/>
        </w:trPr>
        <w:tc>
          <w:tcPr>
            <w:tcW w:w="6680" w:type="dxa"/>
            <w:vAlign w:val="bottom"/>
            <w:shd w:val="clear" w:color="auto" w:fill="CCEEFF"/>
          </w:tcPr>
          <w:p>
            <w:pPr>
              <w:spacing w:after="0"/>
              <w:rPr>
                <w:sz w:val="20"/>
                <w:szCs w:val="20"/>
                <w:color w:val="auto"/>
              </w:rPr>
            </w:pPr>
            <w:r>
              <w:rPr>
                <w:rFonts w:ascii="Arial" w:cs="Arial" w:eastAsia="Arial" w:hAnsi="Arial"/>
                <w:sz w:val="13"/>
                <w:szCs w:val="13"/>
                <w:color w:val="auto"/>
              </w:rPr>
              <w:t>Current Liabilities</w:t>
            </w:r>
          </w:p>
        </w:tc>
        <w:tc>
          <w:tcPr>
            <w:tcW w:w="12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2,733.0</w:t>
            </w: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2,438.3</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12.1</w:t>
            </w:r>
          </w:p>
        </w:tc>
      </w:tr>
      <w:tr>
        <w:trPr>
          <w:trHeight w:val="157"/>
        </w:trPr>
        <w:tc>
          <w:tcPr>
            <w:tcW w:w="6680" w:type="dxa"/>
            <w:vAlign w:val="bottom"/>
          </w:tcPr>
          <w:p>
            <w:pPr>
              <w:spacing w:after="0"/>
              <w:rPr>
                <w:sz w:val="20"/>
                <w:szCs w:val="20"/>
                <w:color w:val="auto"/>
              </w:rPr>
            </w:pPr>
            <w:r>
              <w:rPr>
                <w:rFonts w:ascii="Arial" w:cs="Arial" w:eastAsia="Arial" w:hAnsi="Arial"/>
                <w:sz w:val="13"/>
                <w:szCs w:val="13"/>
                <w:color w:val="auto"/>
              </w:rPr>
              <w:t>Working Capital</w:t>
            </w:r>
          </w:p>
        </w:tc>
        <w:tc>
          <w:tcPr>
            <w:tcW w:w="120" w:type="dxa"/>
            <w:vAlign w:val="bottom"/>
          </w:tcPr>
          <w:p>
            <w:pPr>
              <w:spacing w:after="0"/>
              <w:rPr>
                <w:sz w:val="13"/>
                <w:szCs w:val="13"/>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3"/>
                <w:szCs w:val="13"/>
                <w:color w:val="auto"/>
              </w:rPr>
              <w:t>2,088.2</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3"/>
                <w:szCs w:val="13"/>
                <w:color w:val="auto"/>
              </w:rPr>
              <w:t>2,029.2</w:t>
            </w: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2.9</w:t>
            </w:r>
          </w:p>
        </w:tc>
      </w:tr>
      <w:tr>
        <w:trPr>
          <w:trHeight w:val="157"/>
        </w:trPr>
        <w:tc>
          <w:tcPr>
            <w:tcW w:w="6680" w:type="dxa"/>
            <w:vAlign w:val="bottom"/>
            <w:shd w:val="clear" w:color="auto" w:fill="CCEEFF"/>
          </w:tcPr>
          <w:p>
            <w:pPr>
              <w:spacing w:after="0"/>
              <w:rPr>
                <w:sz w:val="20"/>
                <w:szCs w:val="20"/>
                <w:color w:val="auto"/>
              </w:rPr>
            </w:pPr>
            <w:r>
              <w:rPr>
                <w:rFonts w:ascii="Arial" w:cs="Arial" w:eastAsia="Arial" w:hAnsi="Arial"/>
                <w:sz w:val="13"/>
                <w:szCs w:val="13"/>
                <w:color w:val="auto"/>
              </w:rPr>
              <w:t>Total Debt</w:t>
            </w:r>
          </w:p>
        </w:tc>
        <w:tc>
          <w:tcPr>
            <w:tcW w:w="12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1,485.6</w:t>
            </w: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1,234.8</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20.3</w:t>
            </w:r>
          </w:p>
        </w:tc>
      </w:tr>
      <w:tr>
        <w:trPr>
          <w:trHeight w:val="157"/>
        </w:trPr>
        <w:tc>
          <w:tcPr>
            <w:tcW w:w="6680" w:type="dxa"/>
            <w:vAlign w:val="bottom"/>
          </w:tcPr>
          <w:p>
            <w:pPr>
              <w:spacing w:after="0"/>
              <w:rPr>
                <w:sz w:val="20"/>
                <w:szCs w:val="20"/>
                <w:color w:val="auto"/>
              </w:rPr>
            </w:pPr>
            <w:r>
              <w:rPr>
                <w:rFonts w:ascii="Arial" w:cs="Arial" w:eastAsia="Arial" w:hAnsi="Arial"/>
                <w:sz w:val="13"/>
                <w:szCs w:val="13"/>
                <w:color w:val="auto"/>
              </w:rPr>
              <w:t>Total Capital (total debt plus total shareholders’ equity)</w:t>
            </w:r>
          </w:p>
        </w:tc>
        <w:tc>
          <w:tcPr>
            <w:tcW w:w="120" w:type="dxa"/>
            <w:vAlign w:val="bottom"/>
          </w:tcPr>
          <w:p>
            <w:pPr>
              <w:spacing w:after="0"/>
              <w:rPr>
                <w:sz w:val="13"/>
                <w:szCs w:val="13"/>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3"/>
                <w:szCs w:val="13"/>
                <w:color w:val="auto"/>
              </w:rPr>
              <w:t>4,394.6</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3"/>
                <w:szCs w:val="13"/>
                <w:color w:val="auto"/>
              </w:rPr>
              <w:t>4,066.0</w:t>
            </w: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8.1</w:t>
            </w:r>
          </w:p>
        </w:tc>
      </w:tr>
      <w:tr>
        <w:trPr>
          <w:trHeight w:val="157"/>
        </w:trPr>
        <w:tc>
          <w:tcPr>
            <w:tcW w:w="6680" w:type="dxa"/>
            <w:vAlign w:val="bottom"/>
            <w:shd w:val="clear" w:color="auto" w:fill="CCEEFF"/>
          </w:tcPr>
          <w:p>
            <w:pPr>
              <w:spacing w:after="0"/>
              <w:rPr>
                <w:sz w:val="20"/>
                <w:szCs w:val="20"/>
                <w:color w:val="auto"/>
              </w:rPr>
            </w:pPr>
            <w:r>
              <w:rPr>
                <w:rFonts w:ascii="Arial" w:cs="Arial" w:eastAsia="Arial" w:hAnsi="Arial"/>
                <w:sz w:val="13"/>
                <w:szCs w:val="13"/>
                <w:color w:val="auto"/>
              </w:rPr>
              <w:t>Quick Ratio</w:t>
            </w:r>
          </w:p>
        </w:tc>
        <w:tc>
          <w:tcPr>
            <w:tcW w:w="12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1.1:1</w:t>
            </w: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1.1:1</w:t>
            </w: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57"/>
        </w:trPr>
        <w:tc>
          <w:tcPr>
            <w:tcW w:w="6680" w:type="dxa"/>
            <w:vAlign w:val="bottom"/>
          </w:tcPr>
          <w:p>
            <w:pPr>
              <w:spacing w:after="0"/>
              <w:rPr>
                <w:sz w:val="20"/>
                <w:szCs w:val="20"/>
                <w:color w:val="auto"/>
              </w:rPr>
            </w:pPr>
            <w:r>
              <w:rPr>
                <w:rFonts w:ascii="Arial" w:cs="Arial" w:eastAsia="Arial" w:hAnsi="Arial"/>
                <w:sz w:val="13"/>
                <w:szCs w:val="13"/>
                <w:color w:val="auto"/>
              </w:rPr>
              <w:t>Working Capital Ratio</w:t>
            </w:r>
          </w:p>
        </w:tc>
        <w:tc>
          <w:tcPr>
            <w:tcW w:w="120" w:type="dxa"/>
            <w:vAlign w:val="bottom"/>
          </w:tcPr>
          <w:p>
            <w:pPr>
              <w:spacing w:after="0"/>
              <w:rPr>
                <w:sz w:val="13"/>
                <w:szCs w:val="13"/>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3"/>
                <w:szCs w:val="13"/>
                <w:color w:val="auto"/>
              </w:rPr>
              <w:t>1.8:1</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3"/>
                <w:szCs w:val="13"/>
                <w:color w:val="auto"/>
              </w:rPr>
              <w:t>1.8:1</w:t>
            </w: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7"/>
        </w:trPr>
        <w:tc>
          <w:tcPr>
            <w:tcW w:w="6680" w:type="dxa"/>
            <w:vAlign w:val="bottom"/>
            <w:shd w:val="clear" w:color="auto" w:fill="CCEEFF"/>
          </w:tcPr>
          <w:p>
            <w:pPr>
              <w:spacing w:after="0"/>
              <w:rPr>
                <w:sz w:val="20"/>
                <w:szCs w:val="20"/>
                <w:color w:val="auto"/>
              </w:rPr>
            </w:pPr>
            <w:r>
              <w:rPr>
                <w:rFonts w:ascii="Arial" w:cs="Arial" w:eastAsia="Arial" w:hAnsi="Arial"/>
                <w:sz w:val="13"/>
                <w:szCs w:val="13"/>
                <w:color w:val="auto"/>
              </w:rPr>
              <w:t>Debt to Total Capital</w:t>
            </w:r>
          </w:p>
        </w:tc>
        <w:tc>
          <w:tcPr>
            <w:tcW w:w="12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33.8%</w:t>
            </w: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30.4%</w:t>
            </w: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bl>
    <w:p>
      <w:pPr>
        <w:spacing w:after="0" w:line="80" w:lineRule="exact"/>
        <w:rPr>
          <w:sz w:val="20"/>
          <w:szCs w:val="20"/>
          <w:color w:val="auto"/>
        </w:rPr>
      </w:pPr>
    </w:p>
    <w:p>
      <w:pPr>
        <w:ind w:left="680" w:right="60" w:firstLine="399"/>
        <w:spacing w:after="0" w:line="269" w:lineRule="auto"/>
        <w:rPr>
          <w:sz w:val="20"/>
          <w:szCs w:val="20"/>
          <w:color w:val="auto"/>
        </w:rPr>
      </w:pPr>
      <w:r>
        <w:rPr>
          <w:rFonts w:ascii="Arial" w:cs="Arial" w:eastAsia="Arial" w:hAnsi="Arial"/>
          <w:sz w:val="11"/>
          <w:szCs w:val="11"/>
          <w:color w:val="auto"/>
        </w:rPr>
        <w:t>The Company’s quick assets (consisting of cash and cash equivalents and receivables) increased 10.4% from July 1, 2006 to September 30, 2006 primarily as a result of the proceeds from the issuance of the $300.0 million 6.625% Notes which were included in cash and cash equivalents at September 30, 2006. On October, 12, 2006, the proceeds were used, along with available liquidity, to fund the redemption of the 9</w:t>
      </w:r>
      <w:r>
        <w:rPr>
          <w:rFonts w:ascii="Arial" w:cs="Arial" w:eastAsia="Arial" w:hAnsi="Arial"/>
          <w:sz w:val="15"/>
          <w:szCs w:val="15"/>
          <w:color w:val="auto"/>
          <w:vertAlign w:val="superscript"/>
        </w:rPr>
        <w:t>3</w:t>
      </w:r>
      <w:r>
        <w:rPr>
          <w:rFonts w:ascii="Arial" w:cs="Arial" w:eastAsia="Arial" w:hAnsi="Arial"/>
          <w:sz w:val="11"/>
          <w:szCs w:val="11"/>
          <w:color w:val="auto"/>
        </w:rPr>
        <w:t>/</w:t>
      </w:r>
      <w:r>
        <w:rPr>
          <w:rFonts w:ascii="Arial" w:cs="Arial" w:eastAsia="Arial" w:hAnsi="Arial"/>
          <w:sz w:val="8"/>
          <w:szCs w:val="8"/>
          <w:color w:val="auto"/>
        </w:rPr>
        <w:t>4</w:t>
      </w:r>
      <w:r>
        <w:rPr>
          <w:rFonts w:ascii="Arial" w:cs="Arial" w:eastAsia="Arial" w:hAnsi="Arial"/>
          <w:sz w:val="11"/>
          <w:szCs w:val="11"/>
          <w:color w:val="auto"/>
        </w:rPr>
        <w:t>% Notes outstanding balance of $361.4 million. Similarly, current liabilities grew 12.1% due to the short-term classification of the</w:t>
      </w:r>
    </w:p>
    <w:p>
      <w:pPr>
        <w:spacing w:after="0" w:line="1" w:lineRule="exact"/>
        <w:rPr>
          <w:sz w:val="20"/>
          <w:szCs w:val="20"/>
          <w:color w:val="auto"/>
        </w:rPr>
      </w:pPr>
    </w:p>
    <w:p>
      <w:pPr>
        <w:ind w:left="680" w:right="120"/>
        <w:spacing w:after="0" w:line="250" w:lineRule="auto"/>
        <w:rPr>
          <w:sz w:val="20"/>
          <w:szCs w:val="20"/>
          <w:color w:val="auto"/>
        </w:rPr>
      </w:pPr>
      <w:r>
        <w:rPr>
          <w:rFonts w:ascii="Arial" w:cs="Arial" w:eastAsia="Arial" w:hAnsi="Arial"/>
          <w:sz w:val="12"/>
          <w:szCs w:val="12"/>
          <w:color w:val="auto"/>
        </w:rPr>
        <w:t>9</w:t>
      </w:r>
      <w:r>
        <w:rPr>
          <w:rFonts w:ascii="Arial" w:cs="Arial" w:eastAsia="Arial" w:hAnsi="Arial"/>
          <w:sz w:val="17"/>
          <w:szCs w:val="17"/>
          <w:color w:val="auto"/>
          <w:vertAlign w:val="superscript"/>
        </w:rPr>
        <w:t>3</w:t>
      </w:r>
      <w:r>
        <w:rPr>
          <w:rFonts w:ascii="Arial" w:cs="Arial" w:eastAsia="Arial" w:hAnsi="Arial"/>
          <w:sz w:val="12"/>
          <w:szCs w:val="12"/>
          <w:color w:val="auto"/>
        </w:rPr>
        <w:t>/</w:t>
      </w:r>
      <w:r>
        <w:rPr>
          <w:rFonts w:ascii="Arial" w:cs="Arial" w:eastAsia="Arial" w:hAnsi="Arial"/>
          <w:sz w:val="9"/>
          <w:szCs w:val="9"/>
          <w:color w:val="auto"/>
        </w:rPr>
        <w:t>4</w:t>
      </w:r>
      <w:r>
        <w:rPr>
          <w:rFonts w:ascii="Arial" w:cs="Arial" w:eastAsia="Arial" w:hAnsi="Arial"/>
          <w:sz w:val="12"/>
          <w:szCs w:val="12"/>
          <w:color w:val="auto"/>
        </w:rPr>
        <w:t>% Notes as the redemption notice was issued in September but the 9</w:t>
      </w:r>
      <w:r>
        <w:rPr>
          <w:rFonts w:ascii="Arial" w:cs="Arial" w:eastAsia="Arial" w:hAnsi="Arial"/>
          <w:sz w:val="17"/>
          <w:szCs w:val="17"/>
          <w:color w:val="auto"/>
          <w:vertAlign w:val="superscript"/>
        </w:rPr>
        <w:t>3</w:t>
      </w:r>
      <w:r>
        <w:rPr>
          <w:rFonts w:ascii="Arial" w:cs="Arial" w:eastAsia="Arial" w:hAnsi="Arial"/>
          <w:sz w:val="12"/>
          <w:szCs w:val="12"/>
          <w:color w:val="auto"/>
        </w:rPr>
        <w:t>/</w:t>
      </w:r>
      <w:r>
        <w:rPr>
          <w:rFonts w:ascii="Arial" w:cs="Arial" w:eastAsia="Arial" w:hAnsi="Arial"/>
          <w:sz w:val="9"/>
          <w:szCs w:val="9"/>
          <w:color w:val="auto"/>
        </w:rPr>
        <w:t>4</w:t>
      </w:r>
      <w:r>
        <w:rPr>
          <w:rFonts w:ascii="Arial" w:cs="Arial" w:eastAsia="Arial" w:hAnsi="Arial"/>
          <w:sz w:val="12"/>
          <w:szCs w:val="12"/>
          <w:color w:val="auto"/>
        </w:rPr>
        <w:t>% Notes were retired in October. This increase was slightly offset by the reduction in the accounts receivable securitization balance along with small declines in accounts payable and accrued expenses since July 1, 2006. As a result of the factors noted above, total working capital increased by approximately 2.9% during the first quarter of fiscal 2007. Total debt increased 20.3% due to the issuance of the 6.625% Notes in September 2006 as discussed above, offset slightly by the reduction in the accounts receivable securitization balance. Total capital grew primarily due to net income for the quarter of $64.1 million.</w:t>
      </w:r>
    </w:p>
    <w:p>
      <w:pPr>
        <w:spacing w:after="0" w:line="28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6" w:name="page27"/>
    <w:bookmarkEnd w:id="2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00"/>
        <w:spacing w:after="0" w:line="282" w:lineRule="auto"/>
        <w:rPr>
          <w:sz w:val="20"/>
          <w:szCs w:val="20"/>
          <w:color w:val="auto"/>
        </w:rPr>
      </w:pPr>
      <w:r>
        <w:rPr>
          <w:rFonts w:ascii="Arial" w:cs="Arial" w:eastAsia="Arial" w:hAnsi="Arial"/>
          <w:sz w:val="13"/>
          <w:szCs w:val="13"/>
          <w:color w:val="auto"/>
        </w:rPr>
        <w:t>Finally, the debt to capital ratio increased to 33.8% at September 30, 2006 from 30.4% at July 1, 2006 primary as a result of the 6.625% Notes issued in September from which the proceeds were not used until October to fund the redemption of the 9</w:t>
      </w:r>
      <w:r>
        <w:rPr>
          <w:rFonts w:ascii="Arial" w:cs="Arial" w:eastAsia="Arial" w:hAnsi="Arial"/>
          <w:sz w:val="18"/>
          <w:szCs w:val="18"/>
          <w:color w:val="auto"/>
          <w:vertAlign w:val="superscript"/>
        </w:rPr>
        <w:t>3</w:t>
      </w:r>
      <w:r>
        <w:rPr>
          <w:rFonts w:ascii="Arial" w:cs="Arial" w:eastAsia="Arial" w:hAnsi="Arial"/>
          <w:sz w:val="13"/>
          <w:szCs w:val="13"/>
          <w:color w:val="auto"/>
        </w:rPr>
        <w:t>/</w:t>
      </w:r>
      <w:r>
        <w:rPr>
          <w:rFonts w:ascii="Arial" w:cs="Arial" w:eastAsia="Arial" w:hAnsi="Arial"/>
          <w:sz w:val="9"/>
          <w:szCs w:val="9"/>
          <w:color w:val="auto"/>
        </w:rPr>
        <w:t>4</w:t>
      </w:r>
      <w:r>
        <w:rPr>
          <w:rFonts w:ascii="Arial" w:cs="Arial" w:eastAsia="Arial" w:hAnsi="Arial"/>
          <w:sz w:val="13"/>
          <w:szCs w:val="13"/>
          <w:color w:val="auto"/>
        </w:rPr>
        <w:t>% Notes.</w:t>
      </w:r>
    </w:p>
    <w:p>
      <w:pPr>
        <w:spacing w:after="0" w:line="63"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Recently Issued Accounting Pronouncements</w:t>
      </w:r>
    </w:p>
    <w:p>
      <w:pPr>
        <w:spacing w:after="0" w:line="96" w:lineRule="exact"/>
        <w:rPr>
          <w:sz w:val="20"/>
          <w:szCs w:val="20"/>
          <w:color w:val="auto"/>
        </w:rPr>
      </w:pPr>
    </w:p>
    <w:p>
      <w:pPr>
        <w:ind w:left="680" w:right="140" w:firstLine="399"/>
        <w:spacing w:after="0" w:line="260" w:lineRule="auto"/>
        <w:rPr>
          <w:sz w:val="20"/>
          <w:szCs w:val="20"/>
          <w:color w:val="auto"/>
        </w:rPr>
      </w:pPr>
      <w:r>
        <w:rPr>
          <w:rFonts w:ascii="Arial" w:cs="Arial" w:eastAsia="Arial" w:hAnsi="Arial"/>
          <w:sz w:val="13"/>
          <w:szCs w:val="13"/>
          <w:color w:val="auto"/>
        </w:rPr>
        <w:t xml:space="preserve">In September 2006, the Securities and Exchange Commission issued Staff Accounting Bulletin No. 108, </w:t>
      </w:r>
      <w:r>
        <w:rPr>
          <w:rFonts w:ascii="Arial" w:cs="Arial" w:eastAsia="Arial" w:hAnsi="Arial"/>
          <w:sz w:val="13"/>
          <w:szCs w:val="13"/>
          <w:i w:val="1"/>
          <w:iCs w:val="1"/>
          <w:color w:val="auto"/>
        </w:rPr>
        <w:t>Considering the Effects of Prior Year Misstatements when Quantifying</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Current Year Misstatements </w:t>
      </w:r>
      <w:r>
        <w:rPr>
          <w:rFonts w:ascii="Arial" w:cs="Arial" w:eastAsia="Arial" w:hAnsi="Arial"/>
          <w:sz w:val="13"/>
          <w:szCs w:val="13"/>
          <w:color w:val="auto"/>
        </w:rPr>
        <w:t>(“SAB 108”). SAB 108 requires analysis of misstatements using both an income statement (rollover) approach and a balance sheet (iron curtain) approach in</w:t>
      </w:r>
      <w:r>
        <w:rPr>
          <w:rFonts w:ascii="Arial" w:cs="Arial" w:eastAsia="Arial" w:hAnsi="Arial"/>
          <w:sz w:val="13"/>
          <w:szCs w:val="13"/>
          <w:i w:val="1"/>
          <w:iCs w:val="1"/>
          <w:color w:val="auto"/>
        </w:rPr>
        <w:t xml:space="preserve"> </w:t>
      </w:r>
      <w:r>
        <w:rPr>
          <w:rFonts w:ascii="Arial" w:cs="Arial" w:eastAsia="Arial" w:hAnsi="Arial"/>
          <w:sz w:val="13"/>
          <w:szCs w:val="13"/>
          <w:color w:val="auto"/>
        </w:rPr>
        <w:t>assessing materiality and provides for a one-time cumulative effect transition adjustment. SAB 108 is effective for fiscal year end 2007. The Company is evaluating the potential impact on its consolidated financial statements upon adoption of SAB 108.</w:t>
      </w:r>
    </w:p>
    <w:p>
      <w:pPr>
        <w:spacing w:after="0" w:line="70"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 xml:space="preserve">In September 2006, the Financial Accounting Standards Board (FASB) issued Statement of Financial Accounting Standard (“SFAS”) No. 158, </w:t>
      </w:r>
      <w:r>
        <w:rPr>
          <w:rFonts w:ascii="Arial" w:cs="Arial" w:eastAsia="Arial" w:hAnsi="Arial"/>
          <w:sz w:val="13"/>
          <w:szCs w:val="13"/>
          <w:i w:val="1"/>
          <w:iCs w:val="1"/>
          <w:color w:val="auto"/>
        </w:rPr>
        <w:t>Employers’ Accounting for Defined</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Benefit Pension and Other Postretirement Plans </w:t>
      </w:r>
      <w:r>
        <w:rPr>
          <w:rFonts w:ascii="Arial" w:cs="Arial" w:eastAsia="Arial" w:hAnsi="Arial"/>
          <w:sz w:val="13"/>
          <w:szCs w:val="13"/>
          <w:color w:val="auto"/>
        </w:rPr>
        <w:t>(“SFAS 158”). SFAS 158 requires the recognition in the balance sheet of the overfunded or underfunded positions of defined benefit pension</w:t>
      </w:r>
      <w:r>
        <w:rPr>
          <w:rFonts w:ascii="Arial" w:cs="Arial" w:eastAsia="Arial" w:hAnsi="Arial"/>
          <w:sz w:val="13"/>
          <w:szCs w:val="13"/>
          <w:i w:val="1"/>
          <w:iCs w:val="1"/>
          <w:color w:val="auto"/>
        </w:rPr>
        <w:t xml:space="preserve"> </w:t>
      </w:r>
      <w:r>
        <w:rPr>
          <w:rFonts w:ascii="Arial" w:cs="Arial" w:eastAsia="Arial" w:hAnsi="Arial"/>
          <w:sz w:val="13"/>
          <w:szCs w:val="13"/>
          <w:color w:val="auto"/>
        </w:rPr>
        <w:t>and other postretirement plans, along with a corresponding non-cash after-tax adjustment to stockholders’ equity. SFAS 158 is effective for fiscal year end 2007. The Company is evaluating the potential impact on its consolidated financial statements upon adoption of SFAS 158.</w:t>
      </w:r>
    </w:p>
    <w:p>
      <w:pPr>
        <w:spacing w:after="0" w:line="70"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color w:val="auto"/>
        </w:rPr>
        <w:t xml:space="preserve">In September 2006, the FASB issued SFAS No. 157, </w:t>
      </w:r>
      <w:r>
        <w:rPr>
          <w:rFonts w:ascii="Arial" w:cs="Arial" w:eastAsia="Arial" w:hAnsi="Arial"/>
          <w:sz w:val="13"/>
          <w:szCs w:val="13"/>
          <w:i w:val="1"/>
          <w:iCs w:val="1"/>
          <w:color w:val="auto"/>
        </w:rPr>
        <w:t>Fair Value Measurements</w:t>
      </w:r>
      <w:r>
        <w:rPr>
          <w:rFonts w:ascii="Arial" w:cs="Arial" w:eastAsia="Arial" w:hAnsi="Arial"/>
          <w:sz w:val="13"/>
          <w:szCs w:val="13"/>
          <w:color w:val="auto"/>
        </w:rPr>
        <w:t xml:space="preserve"> (“SFAS 157”)</w:t>
      </w:r>
      <w:r>
        <w:rPr>
          <w:rFonts w:ascii="Arial" w:cs="Arial" w:eastAsia="Arial" w:hAnsi="Arial"/>
          <w:sz w:val="13"/>
          <w:szCs w:val="13"/>
          <w:i w:val="1"/>
          <w:iCs w:val="1"/>
          <w:color w:val="auto"/>
        </w:rPr>
        <w:t>,</w:t>
      </w:r>
      <w:r>
        <w:rPr>
          <w:rFonts w:ascii="Arial" w:cs="Arial" w:eastAsia="Arial" w:hAnsi="Arial"/>
          <w:sz w:val="13"/>
          <w:szCs w:val="13"/>
          <w:color w:val="auto"/>
        </w:rPr>
        <w:t xml:space="preserve"> which defines fair value, establishes a framework for measuring fair value in generally accepted accounting principles, and expands disclosures about fair value measurements. SFAS 157 does not require any new fair value measurements, but provides guidance on how to measure fair value by providing a fair value hierarchy used to classify the source of the information. SFAS 157 is effective for fiscal year 2009. The Company is evaluating the potential impact on its consolidated financial statements upon adoption of SFAS 157.</w:t>
      </w:r>
    </w:p>
    <w:p>
      <w:pPr>
        <w:spacing w:after="0" w:line="70"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 xml:space="preserve">In July 2006, the FASB issued Interpretation No. 48 (“FIN 48”), </w:t>
      </w:r>
      <w:r>
        <w:rPr>
          <w:rFonts w:ascii="Arial" w:cs="Arial" w:eastAsia="Arial" w:hAnsi="Arial"/>
          <w:sz w:val="12"/>
          <w:szCs w:val="12"/>
          <w:i w:val="1"/>
          <w:iCs w:val="1"/>
          <w:color w:val="auto"/>
        </w:rPr>
        <w:t>Accounting for Uncertainty in Income Taxes — an interpretation of FASB Statement No. 109</w:t>
      </w:r>
      <w:r>
        <w:rPr>
          <w:rFonts w:ascii="Arial" w:cs="Arial" w:eastAsia="Arial" w:hAnsi="Arial"/>
          <w:sz w:val="12"/>
          <w:szCs w:val="12"/>
          <w:color w:val="auto"/>
        </w:rPr>
        <w:t xml:space="preserve"> (“SFAS 109”). FIN 48 clarifies the accounting for uncertainty in income taxes recognized in an entity’s financial statements in accordance with SFAS 109 and prescribes that a company should use a more-likely-than-not recognition threshold based on the technical merits of the tax position taken or expected to be taken. Tax positions that meet the more-likely-than-not recognition threshold should be measured in order to determine the tax benefit to be recognized in the financial statements. Additionally, FIN 48 provides guidance on derecognition, classification, interest and penalties, accounting in interim periods, disclosure and transition. FIN 48 is effective for fiscal years beginning after December 15, 2006, with early adoption permitted. The Company is currently evaluating the impact of FIN 48 on its consolidated financial statements, which will be adopted beginning fiscal 2008.</w:t>
      </w:r>
    </w:p>
    <w:p>
      <w:pPr>
        <w:spacing w:after="0" w:line="59"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 xml:space="preserve">In March 2006, the FASB issued Emerging Issues Task Force 06-03, </w:t>
      </w:r>
      <w:r>
        <w:rPr>
          <w:rFonts w:ascii="Arial" w:cs="Arial" w:eastAsia="Arial" w:hAnsi="Arial"/>
          <w:sz w:val="13"/>
          <w:szCs w:val="13"/>
          <w:i w:val="1"/>
          <w:iCs w:val="1"/>
          <w:color w:val="auto"/>
        </w:rPr>
        <w:t>How Taxes Collected from Customers and Remitted to Governmental Authorities Should Be Presented in the</w:t>
      </w:r>
      <w:r>
        <w:rPr>
          <w:rFonts w:ascii="Arial" w:cs="Arial" w:eastAsia="Arial" w:hAnsi="Arial"/>
          <w:sz w:val="13"/>
          <w:szCs w:val="13"/>
          <w:color w:val="auto"/>
        </w:rPr>
        <w:t xml:space="preserve"> </w:t>
      </w:r>
      <w:r>
        <w:rPr>
          <w:rFonts w:ascii="Arial" w:cs="Arial" w:eastAsia="Arial" w:hAnsi="Arial"/>
          <w:sz w:val="13"/>
          <w:szCs w:val="13"/>
          <w:i w:val="1"/>
          <w:iCs w:val="1"/>
          <w:color w:val="auto"/>
        </w:rPr>
        <w:t>Income Statement (That is, Gross versus Net Presentation)</w:t>
      </w:r>
      <w:r>
        <w:rPr>
          <w:rFonts w:ascii="Arial" w:cs="Arial" w:eastAsia="Arial" w:hAnsi="Arial"/>
          <w:sz w:val="13"/>
          <w:szCs w:val="13"/>
          <w:color w:val="auto"/>
        </w:rPr>
        <w:t>(“EITF 06-03”), which clarifies how a company discloses its recording of taxes collected that are imposed on revenue producing</w:t>
      </w:r>
      <w:r>
        <w:rPr>
          <w:rFonts w:ascii="Arial" w:cs="Arial" w:eastAsia="Arial" w:hAnsi="Arial"/>
          <w:sz w:val="13"/>
          <w:szCs w:val="13"/>
          <w:i w:val="1"/>
          <w:iCs w:val="1"/>
          <w:color w:val="auto"/>
        </w:rPr>
        <w:t xml:space="preserve"> </w:t>
      </w:r>
      <w:r>
        <w:rPr>
          <w:rFonts w:ascii="Arial" w:cs="Arial" w:eastAsia="Arial" w:hAnsi="Arial"/>
          <w:sz w:val="13"/>
          <w:szCs w:val="13"/>
          <w:color w:val="auto"/>
        </w:rPr>
        <w:t>activities. EITF 06-03 is effective for the first interim reporting period beginning after December 15, 2006. The Company is evaluating the impact of EITF 06-03 on its consolidated financial statements, which will be adopted beginning third quarter of fiscal 2007.</w:t>
      </w:r>
    </w:p>
    <w:p>
      <w:pPr>
        <w:spacing w:after="0" w:line="70" w:lineRule="exact"/>
        <w:rPr>
          <w:sz w:val="20"/>
          <w:szCs w:val="20"/>
          <w:color w:val="auto"/>
        </w:rPr>
      </w:pPr>
    </w:p>
    <w:p>
      <w:pPr>
        <w:jc w:val="both"/>
        <w:ind w:left="680" w:firstLine="399"/>
        <w:spacing w:after="0" w:line="334" w:lineRule="auto"/>
        <w:rPr>
          <w:sz w:val="20"/>
          <w:szCs w:val="20"/>
          <w:color w:val="auto"/>
        </w:rPr>
      </w:pPr>
      <w:r>
        <w:rPr>
          <w:rFonts w:ascii="Arial" w:cs="Arial" w:eastAsia="Arial" w:hAnsi="Arial"/>
          <w:sz w:val="11"/>
          <w:szCs w:val="11"/>
          <w:color w:val="auto"/>
        </w:rPr>
        <w:t xml:space="preserve">In March 2006, FASB issued SFAS No. 156, </w:t>
      </w:r>
      <w:r>
        <w:rPr>
          <w:rFonts w:ascii="Arial" w:cs="Arial" w:eastAsia="Arial" w:hAnsi="Arial"/>
          <w:sz w:val="11"/>
          <w:szCs w:val="11"/>
          <w:i w:val="1"/>
          <w:iCs w:val="1"/>
          <w:color w:val="auto"/>
        </w:rPr>
        <w:t>Accounting for Servicing of Financial Assets — an Amendment of FASB Statement No. 140”</w:t>
      </w:r>
      <w:r>
        <w:rPr>
          <w:rFonts w:ascii="Arial" w:cs="Arial" w:eastAsia="Arial" w:hAnsi="Arial"/>
          <w:sz w:val="11"/>
          <w:szCs w:val="11"/>
          <w:color w:val="auto"/>
        </w:rPr>
        <w:t xml:space="preserve"> (“SFAS 156”). SFAS 156 provides guidance on the accounting for servicing assets and liabilities when an entity undertakes an obligation to service a financial asset by entering into a servicing contract. This statement is effective for all transactions at the beginning of fiscal 2008. The adoption of SFAS 156 is not expected to have a material impact on the Company’s consolidated financial condition or results of operations.</w:t>
      </w:r>
    </w:p>
    <w:p>
      <w:pPr>
        <w:spacing w:after="0" w:line="32" w:lineRule="exact"/>
        <w:rPr>
          <w:sz w:val="20"/>
          <w:szCs w:val="20"/>
          <w:color w:val="auto"/>
        </w:rPr>
      </w:pPr>
    </w:p>
    <w:p>
      <w:pPr>
        <w:ind w:left="680" w:right="120" w:firstLine="399"/>
        <w:spacing w:after="0" w:line="264" w:lineRule="auto"/>
        <w:rPr>
          <w:sz w:val="20"/>
          <w:szCs w:val="20"/>
          <w:color w:val="auto"/>
        </w:rPr>
      </w:pPr>
      <w:r>
        <w:rPr>
          <w:rFonts w:ascii="Arial" w:cs="Arial" w:eastAsia="Arial" w:hAnsi="Arial"/>
          <w:sz w:val="13"/>
          <w:szCs w:val="13"/>
          <w:color w:val="auto"/>
        </w:rPr>
        <w:t xml:space="preserve">In February 2006, the FASB issued SFAS No. 155, </w:t>
      </w:r>
      <w:r>
        <w:rPr>
          <w:rFonts w:ascii="Arial" w:cs="Arial" w:eastAsia="Arial" w:hAnsi="Arial"/>
          <w:sz w:val="13"/>
          <w:szCs w:val="13"/>
          <w:i w:val="1"/>
          <w:iCs w:val="1"/>
          <w:color w:val="auto"/>
        </w:rPr>
        <w:t>Accounting for Certain Hybrid Financial Instruments — an Amendment of FASB Statements No. 133 and 140</w:t>
      </w:r>
      <w:r>
        <w:rPr>
          <w:rFonts w:ascii="Arial" w:cs="Arial" w:eastAsia="Arial" w:hAnsi="Arial"/>
          <w:sz w:val="13"/>
          <w:szCs w:val="13"/>
          <w:color w:val="auto"/>
        </w:rPr>
        <w:t xml:space="preserve"> (“SFAS 155”). SFAS 155 allows financial instruments that contain an embedded derivative and that otherwise would require bifurcation to be accounted for as a whole on a fair value basis, at the holders’ election. SFAS 155 also clarifies and amends certain other provisions of SFAS 133 and</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7" w:name="page28"/>
    <w:bookmarkEnd w:id="2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SFAS 140. SFAS 155 is effective beginning fiscal 2008. The adoption of SFAS 155 is not expected to have a material effect on the Company’s consolidated financial statements.</w:t>
      </w:r>
    </w:p>
    <w:p>
      <w:pPr>
        <w:spacing w:after="0" w:line="96"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 xml:space="preserve">In May 2005, the FASB issued SFAS No. 154 (“SFAS 154”), </w:t>
      </w:r>
      <w:r>
        <w:rPr>
          <w:rFonts w:ascii="Arial" w:cs="Arial" w:eastAsia="Arial" w:hAnsi="Arial"/>
          <w:sz w:val="12"/>
          <w:szCs w:val="12"/>
          <w:i w:val="1"/>
          <w:iCs w:val="1"/>
          <w:color w:val="auto"/>
        </w:rPr>
        <w:t>Accounting Changes and Error Corrections.</w:t>
      </w:r>
      <w:r>
        <w:rPr>
          <w:rFonts w:ascii="Arial" w:cs="Arial" w:eastAsia="Arial" w:hAnsi="Arial"/>
          <w:sz w:val="12"/>
          <w:szCs w:val="12"/>
          <w:color w:val="auto"/>
        </w:rPr>
        <w:t xml:space="preserve"> SFAS 154 applies to all voluntary changes in accounting principle as well as to changes required by an accounting pronouncement that does not include specific transition provisions. SFAS 154 eliminates the requirement in Accounting Principles Board Opinion No. 20, </w:t>
      </w:r>
      <w:r>
        <w:rPr>
          <w:rFonts w:ascii="Arial" w:cs="Arial" w:eastAsia="Arial" w:hAnsi="Arial"/>
          <w:sz w:val="12"/>
          <w:szCs w:val="12"/>
          <w:i w:val="1"/>
          <w:iCs w:val="1"/>
          <w:color w:val="auto"/>
        </w:rPr>
        <w:t>Accounting Changes</w:t>
      </w:r>
      <w:r>
        <w:rPr>
          <w:rFonts w:ascii="Arial" w:cs="Arial" w:eastAsia="Arial" w:hAnsi="Arial"/>
          <w:sz w:val="12"/>
          <w:szCs w:val="12"/>
          <w:color w:val="auto"/>
        </w:rPr>
        <w:t>, to include the cumulative effect of changes in accounting principle in the income statement in the period of change and, instead, requires changes in accounting principle to be retrospectively applied. Retrospective application requires the new accounting principle to be applied as if the change occurred at the beginning of the first period presented by modifying periods previously reported, if an estimate of the prior period impact is practicable and estimable. SFAS 154 is effective for accounting changes and corrections of errors made in fiscal years beginning after December 15, 2005. The adoption of SFAS 154 did not have a material impact on the Company’s consolidated financial statements.</w:t>
      </w:r>
    </w:p>
    <w:p>
      <w:pPr>
        <w:spacing w:after="0" w:line="134"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3.</w:t>
      </w:r>
      <w:r>
        <w:rPr>
          <w:sz w:val="20"/>
          <w:szCs w:val="20"/>
          <w:color w:val="auto"/>
        </w:rPr>
        <w:tab/>
      </w:r>
      <w:r>
        <w:rPr>
          <w:rFonts w:ascii="Arial" w:cs="Arial" w:eastAsia="Arial" w:hAnsi="Arial"/>
          <w:sz w:val="11"/>
          <w:szCs w:val="11"/>
          <w:b w:val="1"/>
          <w:bCs w:val="1"/>
          <w:i w:val="1"/>
          <w:iCs w:val="1"/>
          <w:color w:val="auto"/>
        </w:rPr>
        <w:t>Quantitative and Qualitative Disclosures About Market Risk</w:t>
      </w:r>
    </w:p>
    <w:p>
      <w:pPr>
        <w:spacing w:after="0" w:line="100" w:lineRule="exact"/>
        <w:rPr>
          <w:sz w:val="20"/>
          <w:szCs w:val="20"/>
          <w:color w:val="auto"/>
        </w:rPr>
      </w:pPr>
    </w:p>
    <w:p>
      <w:pPr>
        <w:ind w:left="680" w:right="100" w:firstLine="399"/>
        <w:spacing w:after="0" w:line="371" w:lineRule="auto"/>
        <w:rPr>
          <w:sz w:val="20"/>
          <w:szCs w:val="20"/>
          <w:color w:val="auto"/>
        </w:rPr>
      </w:pPr>
      <w:r>
        <w:rPr>
          <w:rFonts w:ascii="Arial" w:cs="Arial" w:eastAsia="Arial" w:hAnsi="Arial"/>
          <w:sz w:val="11"/>
          <w:szCs w:val="11"/>
          <w:color w:val="auto"/>
        </w:rPr>
        <w:t>The Company seeks to reduce earnings and cash flow volatility associated with changes in interest rates and foreign currency exchange rates by entering into financial arrangements intended to provide a hedge against all or a portion of the risks associated with such volatility. The Company continues to have exposure to such risks to the extent they are not hedged.</w:t>
      </w:r>
    </w:p>
    <w:p>
      <w:pPr>
        <w:spacing w:after="0" w:line="12"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 xml:space="preserve">See Item 7A, </w:t>
      </w:r>
      <w:r>
        <w:rPr>
          <w:rFonts w:ascii="Arial" w:cs="Arial" w:eastAsia="Arial" w:hAnsi="Arial"/>
          <w:sz w:val="13"/>
          <w:szCs w:val="13"/>
          <w:i w:val="1"/>
          <w:iCs w:val="1"/>
          <w:color w:val="auto"/>
        </w:rPr>
        <w:t>Quantitative and Qualitative Disclosures About Market Risk</w:t>
      </w:r>
      <w:r>
        <w:rPr>
          <w:rFonts w:ascii="Arial" w:cs="Arial" w:eastAsia="Arial" w:hAnsi="Arial"/>
          <w:sz w:val="13"/>
          <w:szCs w:val="13"/>
          <w:color w:val="auto"/>
        </w:rPr>
        <w:t xml:space="preserve">, in the Company’s Annual Report on Form 10-K for the year ended July 1, 2006 for further discussion of market risks associated with interest rates and foreign currency exchange. Avnet’s exposure to foreign exchange risks have not changed materially since July 1, 2006 as the Company continues to hedge the majority of its foreign exchange exposures. Thus, any increase or decrease in fair value of the Company’s foreign exchange contracts is generally offset by an opposite effect on the related hedged position. As discussed in </w:t>
      </w:r>
      <w:r>
        <w:rPr>
          <w:rFonts w:ascii="Arial" w:cs="Arial" w:eastAsia="Arial" w:hAnsi="Arial"/>
          <w:sz w:val="13"/>
          <w:szCs w:val="13"/>
          <w:i w:val="1"/>
          <w:iCs w:val="1"/>
          <w:color w:val="auto"/>
        </w:rPr>
        <w:t>Financing Transactions</w:t>
      </w:r>
      <w:r>
        <w:rPr>
          <w:rFonts w:ascii="Arial" w:cs="Arial" w:eastAsia="Arial" w:hAnsi="Arial"/>
          <w:sz w:val="13"/>
          <w:szCs w:val="13"/>
          <w:color w:val="auto"/>
        </w:rPr>
        <w:t>, the Company terminated its remaining interest rate swaps during the first quarter of fiscal 2007 in connection with the redemption of its 9</w:t>
      </w:r>
      <w:r>
        <w:rPr>
          <w:rFonts w:ascii="Arial" w:cs="Arial" w:eastAsia="Arial" w:hAnsi="Arial"/>
          <w:sz w:val="18"/>
          <w:szCs w:val="18"/>
          <w:color w:val="auto"/>
          <w:vertAlign w:val="superscript"/>
        </w:rPr>
        <w:t>3</w:t>
      </w:r>
      <w:r>
        <w:rPr>
          <w:rFonts w:ascii="Arial" w:cs="Arial" w:eastAsia="Arial" w:hAnsi="Arial"/>
          <w:sz w:val="13"/>
          <w:szCs w:val="13"/>
          <w:color w:val="auto"/>
        </w:rPr>
        <w:t>/</w:t>
      </w:r>
      <w:r>
        <w:rPr>
          <w:rFonts w:ascii="Arial" w:cs="Arial" w:eastAsia="Arial" w:hAnsi="Arial"/>
          <w:sz w:val="9"/>
          <w:szCs w:val="9"/>
          <w:color w:val="auto"/>
        </w:rPr>
        <w:t>4</w:t>
      </w:r>
      <w:r>
        <w:rPr>
          <w:rFonts w:ascii="Arial" w:cs="Arial" w:eastAsia="Arial" w:hAnsi="Arial"/>
          <w:sz w:val="13"/>
          <w:szCs w:val="13"/>
          <w:color w:val="auto"/>
        </w:rPr>
        <w:t>% Notes.</w:t>
      </w:r>
    </w:p>
    <w:p>
      <w:pPr>
        <w:spacing w:after="0" w:line="3" w:lineRule="exact"/>
        <w:rPr>
          <w:sz w:val="20"/>
          <w:szCs w:val="20"/>
          <w:color w:val="auto"/>
        </w:rPr>
      </w:pPr>
    </w:p>
    <w:p>
      <w:pPr>
        <w:ind w:left="680" w:right="100" w:firstLine="399"/>
        <w:spacing w:after="0" w:line="260" w:lineRule="auto"/>
        <w:rPr>
          <w:sz w:val="20"/>
          <w:szCs w:val="20"/>
          <w:color w:val="auto"/>
        </w:rPr>
      </w:pPr>
      <w:r>
        <w:rPr>
          <w:rFonts w:ascii="Arial" w:cs="Arial" w:eastAsia="Arial" w:hAnsi="Arial"/>
          <w:sz w:val="13"/>
          <w:szCs w:val="13"/>
          <w:color w:val="auto"/>
        </w:rPr>
        <w:t xml:space="preserve">See </w:t>
      </w:r>
      <w:r>
        <w:rPr>
          <w:rFonts w:ascii="Arial" w:cs="Arial" w:eastAsia="Arial" w:hAnsi="Arial"/>
          <w:sz w:val="13"/>
          <w:szCs w:val="13"/>
          <w:i w:val="1"/>
          <w:iCs w:val="1"/>
          <w:color w:val="auto"/>
        </w:rPr>
        <w:t>Liquidity and Capital Resources — Financing Transactions</w:t>
      </w:r>
      <w:r>
        <w:rPr>
          <w:rFonts w:ascii="Arial" w:cs="Arial" w:eastAsia="Arial" w:hAnsi="Arial"/>
          <w:sz w:val="13"/>
          <w:szCs w:val="13"/>
          <w:color w:val="auto"/>
        </w:rPr>
        <w:t xml:space="preserve"> appearing in Item 2 of this Report for further discussion of the Company’s financing facilities and capital structure. As of September 30, 2006, 92% of the Company’s debt bears interest at a fixed rate and 8% of the Company’s debt bears interest at variable rates. Therefore, a hypothetical 1.0% (100 basis point) increase in interest rates would result in a $0.3 million impact on income before income taxes in the Company’s consolidated statement of operations for the quarter ended September 30, 2006.</w:t>
      </w:r>
    </w:p>
    <w:p>
      <w:pPr>
        <w:spacing w:after="0" w:line="144"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4.</w:t>
      </w:r>
      <w:r>
        <w:rPr>
          <w:sz w:val="20"/>
          <w:szCs w:val="20"/>
          <w:color w:val="auto"/>
        </w:rPr>
        <w:tab/>
      </w:r>
      <w:r>
        <w:rPr>
          <w:rFonts w:ascii="Arial" w:cs="Arial" w:eastAsia="Arial" w:hAnsi="Arial"/>
          <w:sz w:val="11"/>
          <w:szCs w:val="11"/>
          <w:b w:val="1"/>
          <w:bCs w:val="1"/>
          <w:i w:val="1"/>
          <w:iCs w:val="1"/>
          <w:color w:val="auto"/>
        </w:rPr>
        <w:t>Controls and Procedures</w:t>
      </w:r>
    </w:p>
    <w:p>
      <w:pPr>
        <w:spacing w:after="0" w:line="100"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The Company’s management, including its Chief Executive Officer and Chief Financial Officer, have evaluated the effectiveness of the Company’s disclosure controls and procedures (as such term is defined in Rules 13a-15(e) and 15d-15(e) under the Securities Exchange Act of 1934 (the “Exchange Act”)) as of the end of the reporting period covered by this quarterly report on Form 10-Q. Based on such evaluation, the Chief Executive Officer and Chief Financial Officer have concluded that, as of the end of the period covered by this quarterly report on Form 10-Q, the Company’s disclosure controls and procedures are effective such that material information required to be disclosed by the Company in the reports that it files or submits under the Exchange Act is recorded, processed, summarized and reported, within the time periods specified by the Securities and Exchange Commission’s rules and forms relating to the Company.</w:t>
      </w:r>
    </w:p>
    <w:p>
      <w:pPr>
        <w:spacing w:after="0" w:line="72"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During the first quarter of fiscal 2007, there have been no changes to the Company’s internal control over financial reporting that have materially affected, or are reasonably likely to materially affect, the Company’s internal control over financial reporting.</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8" w:name="page29"/>
    <w:bookmarkEnd w:id="2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PART II</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OTHER INFORMATION</w:t>
      </w:r>
    </w:p>
    <w:p>
      <w:pPr>
        <w:spacing w:after="0" w:line="175"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1.</w:t>
      </w:r>
      <w:r>
        <w:rPr>
          <w:sz w:val="20"/>
          <w:szCs w:val="20"/>
          <w:color w:val="auto"/>
        </w:rPr>
        <w:tab/>
      </w:r>
      <w:r>
        <w:rPr>
          <w:rFonts w:ascii="Arial" w:cs="Arial" w:eastAsia="Arial" w:hAnsi="Arial"/>
          <w:sz w:val="11"/>
          <w:szCs w:val="11"/>
          <w:b w:val="1"/>
          <w:bCs w:val="1"/>
          <w:i w:val="1"/>
          <w:iCs w:val="1"/>
          <w:color w:val="auto"/>
        </w:rPr>
        <w:t>Legal Proceedings</w:t>
      </w:r>
    </w:p>
    <w:p>
      <w:pPr>
        <w:spacing w:after="0" w:line="100"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As a result primarily of certain former manufacturing operations, Avnet may have liability under various federal, state and local environmental laws and regulations, including those governing pollution and exposure to and the handling, storage and disposal of, hazardous substances. For example, under the Comprehensive Environmental Response, Compensation and Liability Act of 1980, as amended (“CERCLA”) and similar state laws, Avnet may be liable for the costs of cleaning up environmental contamination on or from its current or former properties, and at off-site locations where the Company disposed of wastes in the past. Such laws may impose joint and several liability. Typically, however, the costs for cleanup at such sites are allocated among potentially responsible parties (“PRPs”) based upon each party’s relative contribution to the contamination, and other factors.</w:t>
      </w:r>
    </w:p>
    <w:p>
      <w:pPr>
        <w:spacing w:after="0" w:line="55"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In May 1993, the Company and the former owners of a Company-owned site in Oxford, North Carolina entered into a Settlement Agreement in which the former owners agreed to bear 100% of all costs associated with investigation and cleanup of soils and sludges remaining on the site and 70% of all costs associated with investigation and cleanup of groundwater. The Company agreed to be responsible for 30% of the groundwater investigation and cleanup costs. In October 1993, the Company and the former owners entered into a Consent Decree and Court Order with the Environmental Protection Agency (the “EPA”) for the environmental clean up of the site, the cost of which, according to the EPA’s remedial investigation and feasibility study, was estimated to be approximately $6.3 million, exclusive of the approximately $1.5 million in EPA past costs paid by the PRPs. Based on current information, the Company does not anticipate its liability in the matter will be material to its financial position, cash flow or results of operations.</w:t>
      </w:r>
    </w:p>
    <w:p>
      <w:pPr>
        <w:spacing w:after="0" w:line="59" w:lineRule="exact"/>
        <w:rPr>
          <w:sz w:val="20"/>
          <w:szCs w:val="20"/>
          <w:color w:val="auto"/>
        </w:rPr>
      </w:pPr>
    </w:p>
    <w:p>
      <w:pPr>
        <w:ind w:left="680" w:right="20" w:firstLine="399"/>
        <w:spacing w:after="0" w:line="282" w:lineRule="auto"/>
        <w:rPr>
          <w:sz w:val="20"/>
          <w:szCs w:val="20"/>
          <w:color w:val="auto"/>
        </w:rPr>
      </w:pPr>
      <w:r>
        <w:rPr>
          <w:rFonts w:ascii="Arial" w:cs="Arial" w:eastAsia="Arial" w:hAnsi="Arial"/>
          <w:sz w:val="12"/>
          <w:szCs w:val="12"/>
          <w:color w:val="auto"/>
        </w:rPr>
        <w:t>The Company is a PRP at a manufacturing site in Huguenot, New York, currently under investigation by the New York State Department of Environmental Conservation (“NYSDEC”), which site the Company owned from the mid-1960s until the early 1970s. The Company has reached a settlement in litigation to apportion the estimated clean-up costs among it and the current and former owners and operators of the site. Pursuant to the settlement, the Company has paid a portion of past costs incurred by NYSDEC and the current owner of the site, and will also pay a percentage of the cost of the environmental clean up of the site (the first phase of which has been estimated to cost a total of $2.4 million for all parties to remediate contaminated soils). The remediation plan is still subject to final approval by NYSDEC. Based on the settlement arrangement and the expected costs of the remediation efforts, the Company does not anticipate its liability in the matter will be material to its financial position, cash flow or results of operations.</w:t>
      </w:r>
    </w:p>
    <w:p>
      <w:pPr>
        <w:spacing w:after="0" w:line="59"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Based on the information known to date, management believes that the Company has appropriately accrued in its consolidated financial statements for its share of the costs associated with these environmental clean up sites.</w:t>
      </w:r>
    </w:p>
    <w:p>
      <w:pPr>
        <w:spacing w:after="0" w:line="59" w:lineRule="exact"/>
        <w:rPr>
          <w:sz w:val="20"/>
          <w:szCs w:val="20"/>
          <w:color w:val="auto"/>
        </w:rPr>
      </w:pPr>
    </w:p>
    <w:p>
      <w:pPr>
        <w:jc w:val="both"/>
        <w:ind w:left="680" w:right="400" w:firstLine="399"/>
        <w:spacing w:after="0" w:line="264" w:lineRule="auto"/>
        <w:rPr>
          <w:sz w:val="20"/>
          <w:szCs w:val="20"/>
          <w:color w:val="auto"/>
        </w:rPr>
      </w:pPr>
      <w:r>
        <w:rPr>
          <w:rFonts w:ascii="Arial" w:cs="Arial" w:eastAsia="Arial" w:hAnsi="Arial"/>
          <w:sz w:val="13"/>
          <w:szCs w:val="13"/>
          <w:color w:val="auto"/>
        </w:rPr>
        <w:t>The Company and/or its subsidiaries are also parties to various other legal proceedings arising from time to time in the normal course of business. While litigation is subject to inherent uncertainties, management currently believes that the ultimate outcome of these proceedings, individually and in the aggregate, will not have a material adverse effect on the Company’s financial position, cash flow or results of operations.</w:t>
      </w:r>
    </w:p>
    <w:p>
      <w:pPr>
        <w:spacing w:after="0" w:line="142"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1A.</w:t>
      </w:r>
      <w:r>
        <w:rPr>
          <w:sz w:val="20"/>
          <w:szCs w:val="20"/>
          <w:color w:val="auto"/>
        </w:rPr>
        <w:tab/>
      </w:r>
      <w:r>
        <w:rPr>
          <w:rFonts w:ascii="Arial" w:cs="Arial" w:eastAsia="Arial" w:hAnsi="Arial"/>
          <w:sz w:val="11"/>
          <w:szCs w:val="11"/>
          <w:b w:val="1"/>
          <w:bCs w:val="1"/>
          <w:i w:val="1"/>
          <w:iCs w:val="1"/>
          <w:color w:val="auto"/>
        </w:rPr>
        <w:t>Risk Factors</w:t>
      </w:r>
    </w:p>
    <w:p>
      <w:pPr>
        <w:spacing w:after="0" w:line="100" w:lineRule="exact"/>
        <w:rPr>
          <w:sz w:val="20"/>
          <w:szCs w:val="20"/>
          <w:color w:val="auto"/>
        </w:rPr>
      </w:pPr>
    </w:p>
    <w:p>
      <w:pPr>
        <w:ind w:left="680" w:right="80" w:firstLine="399"/>
        <w:spacing w:after="0" w:line="257" w:lineRule="auto"/>
        <w:rPr>
          <w:sz w:val="20"/>
          <w:szCs w:val="20"/>
          <w:color w:val="auto"/>
        </w:rPr>
      </w:pPr>
      <w:r>
        <w:rPr>
          <w:rFonts w:ascii="Arial" w:cs="Arial" w:eastAsia="Arial" w:hAnsi="Arial"/>
          <w:sz w:val="13"/>
          <w:szCs w:val="13"/>
          <w:color w:val="auto"/>
        </w:rPr>
        <w:t>This Report contains forward-looking statements within the meaning of Section 27A of the Securities Act of 1933, as amended and Section 21E of the Securities Exchange Act of 1934, as amended, with respect to the financial condition, results of operations and business of Avnet, Inc. and subsidiaries (“Avnet” or the “Company”). You can find many of these statements by looking for words like “believes,” “expects,” ““anticipates,” “should,” “will,” “may,” “estimates” or similar expressions in this Report or in documents incorporated by reference in this Report. These forward-looking statements are subject to numerous assumptions, risks and uncertainties. Any forward-looking statement speaks only as of the date on which that statement is made. The Company assumes no obligation to update any forward-looking statement to reflect events or circumstances that occur after the date on which the statement is made.</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9" w:name="page30"/>
    <w:bookmarkEnd w:id="2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The discussion of Avnet’s business and operations should be read together with the risk factors contained in Item 1A of its 2006 Annual Report on Form 10-K, filed with the Securities and Exchange Commission, which describe various risks and uncertainties to which the Company is or may become subject. These risks and uncertainties have the potential to affect Avnet’s business, financial condition, results of operations, cash flows, strategies or prospects in a material and adverse manner. As of September 30, 2006, there have been no material changes to the risk factors set forth in the Company’s 2006 Annual Report on Form 10-K.</w:t>
      </w:r>
    </w:p>
    <w:p>
      <w:pPr>
        <w:spacing w:after="0" w:line="144"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2.</w:t>
      </w:r>
      <w:r>
        <w:rPr>
          <w:sz w:val="20"/>
          <w:szCs w:val="20"/>
          <w:color w:val="auto"/>
        </w:rPr>
        <w:tab/>
      </w:r>
      <w:r>
        <w:rPr>
          <w:rFonts w:ascii="Arial" w:cs="Arial" w:eastAsia="Arial" w:hAnsi="Arial"/>
          <w:sz w:val="11"/>
          <w:szCs w:val="11"/>
          <w:b w:val="1"/>
          <w:bCs w:val="1"/>
          <w:i w:val="1"/>
          <w:iCs w:val="1"/>
          <w:color w:val="auto"/>
        </w:rPr>
        <w:t>Unregistered Sales of Equity Securities and Use of Proceeds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includes the Company’s monthly purchases of common stock during the first quarter ended September 30, 2006:</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31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38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6"/>
              </w:rPr>
              <w:t>Total Number of</w:t>
            </w:r>
          </w:p>
        </w:tc>
        <w:tc>
          <w:tcPr>
            <w:tcW w:w="400" w:type="dxa"/>
            <w:vAlign w:val="bottom"/>
          </w:tcPr>
          <w:p>
            <w:pPr>
              <w:spacing w:after="0"/>
              <w:rPr>
                <w:sz w:val="10"/>
                <w:szCs w:val="10"/>
                <w:color w:val="auto"/>
              </w:rPr>
            </w:pPr>
          </w:p>
        </w:tc>
        <w:tc>
          <w:tcPr>
            <w:tcW w:w="17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rPr>
              <w:t>Maximum Number</w:t>
            </w:r>
          </w:p>
        </w:tc>
        <w:tc>
          <w:tcPr>
            <w:tcW w:w="0" w:type="dxa"/>
            <w:vAlign w:val="bottom"/>
          </w:tcPr>
          <w:p>
            <w:pPr>
              <w:spacing w:after="0"/>
              <w:rPr>
                <w:sz w:val="1"/>
                <w:szCs w:val="1"/>
                <w:color w:val="auto"/>
              </w:rPr>
            </w:pPr>
          </w:p>
        </w:tc>
      </w:tr>
      <w:tr>
        <w:trPr>
          <w:trHeight w:val="108"/>
        </w:trPr>
        <w:tc>
          <w:tcPr>
            <w:tcW w:w="31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38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1780" w:type="dxa"/>
            <w:vAlign w:val="bottom"/>
            <w:gridSpan w:val="2"/>
          </w:tcPr>
          <w:p>
            <w:pPr>
              <w:jc w:val="center"/>
              <w:ind w:right="80"/>
              <w:spacing w:after="0" w:line="108" w:lineRule="exact"/>
              <w:rPr>
                <w:sz w:val="20"/>
                <w:szCs w:val="20"/>
                <w:color w:val="auto"/>
              </w:rPr>
            </w:pPr>
            <w:r>
              <w:rPr>
                <w:rFonts w:ascii="Arial" w:cs="Arial" w:eastAsia="Arial" w:hAnsi="Arial"/>
                <w:sz w:val="10"/>
                <w:szCs w:val="10"/>
                <w:b w:val="1"/>
                <w:bCs w:val="1"/>
                <w:color w:val="auto"/>
                <w:w w:val="97"/>
              </w:rPr>
              <w:t>(or Approximate Dollar</w:t>
            </w:r>
          </w:p>
        </w:tc>
        <w:tc>
          <w:tcPr>
            <w:tcW w:w="0" w:type="dxa"/>
            <w:vAlign w:val="bottom"/>
          </w:tcPr>
          <w:p>
            <w:pPr>
              <w:spacing w:after="0"/>
              <w:rPr>
                <w:sz w:val="1"/>
                <w:szCs w:val="1"/>
                <w:color w:val="auto"/>
              </w:rPr>
            </w:pPr>
          </w:p>
        </w:tc>
      </w:tr>
      <w:tr>
        <w:trPr>
          <w:trHeight w:val="108"/>
        </w:trPr>
        <w:tc>
          <w:tcPr>
            <w:tcW w:w="31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38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88"/>
              </w:rPr>
              <w:t>Shares Purchased as</w:t>
            </w:r>
          </w:p>
        </w:tc>
        <w:tc>
          <w:tcPr>
            <w:tcW w:w="400" w:type="dxa"/>
            <w:vAlign w:val="bottom"/>
          </w:tcPr>
          <w:p>
            <w:pPr>
              <w:spacing w:after="0"/>
              <w:rPr>
                <w:sz w:val="9"/>
                <w:szCs w:val="9"/>
                <w:color w:val="auto"/>
              </w:rPr>
            </w:pPr>
          </w:p>
        </w:tc>
        <w:tc>
          <w:tcPr>
            <w:tcW w:w="1780" w:type="dxa"/>
            <w:vAlign w:val="bottom"/>
            <w:gridSpan w:val="2"/>
          </w:tcPr>
          <w:p>
            <w:pPr>
              <w:jc w:val="center"/>
              <w:ind w:right="100"/>
              <w:spacing w:after="0" w:line="108" w:lineRule="exact"/>
              <w:rPr>
                <w:sz w:val="20"/>
                <w:szCs w:val="20"/>
                <w:color w:val="auto"/>
              </w:rPr>
            </w:pPr>
            <w:r>
              <w:rPr>
                <w:rFonts w:ascii="Arial" w:cs="Arial" w:eastAsia="Arial" w:hAnsi="Arial"/>
                <w:sz w:val="10"/>
                <w:szCs w:val="10"/>
                <w:b w:val="1"/>
                <w:bCs w:val="1"/>
                <w:color w:val="auto"/>
                <w:w w:val="91"/>
              </w:rPr>
              <w:t>Value) of Shares</w:t>
            </w:r>
          </w:p>
        </w:tc>
        <w:tc>
          <w:tcPr>
            <w:tcW w:w="0" w:type="dxa"/>
            <w:vAlign w:val="bottom"/>
          </w:tcPr>
          <w:p>
            <w:pPr>
              <w:spacing w:after="0"/>
              <w:rPr>
                <w:sz w:val="1"/>
                <w:szCs w:val="1"/>
                <w:color w:val="auto"/>
              </w:rPr>
            </w:pPr>
          </w:p>
        </w:tc>
      </w:tr>
      <w:tr>
        <w:trPr>
          <w:trHeight w:val="108"/>
        </w:trPr>
        <w:tc>
          <w:tcPr>
            <w:tcW w:w="3120" w:type="dxa"/>
            <w:vAlign w:val="bottom"/>
          </w:tcPr>
          <w:p>
            <w:pPr>
              <w:spacing w:after="0"/>
              <w:rPr>
                <w:sz w:val="9"/>
                <w:szCs w:val="9"/>
                <w:color w:val="auto"/>
              </w:rPr>
            </w:pPr>
          </w:p>
        </w:tc>
        <w:tc>
          <w:tcPr>
            <w:tcW w:w="1200" w:type="dxa"/>
            <w:vAlign w:val="bottom"/>
            <w:vMerge w:val="restart"/>
          </w:tcPr>
          <w:p>
            <w:pPr>
              <w:jc w:val="right"/>
              <w:ind w:right="180"/>
              <w:spacing w:after="0"/>
              <w:rPr>
                <w:sz w:val="20"/>
                <w:szCs w:val="20"/>
                <w:color w:val="auto"/>
              </w:rPr>
            </w:pPr>
            <w:r>
              <w:rPr>
                <w:rFonts w:ascii="Arial" w:cs="Arial" w:eastAsia="Arial" w:hAnsi="Arial"/>
                <w:sz w:val="10"/>
                <w:szCs w:val="10"/>
                <w:b w:val="1"/>
                <w:bCs w:val="1"/>
                <w:color w:val="auto"/>
              </w:rPr>
              <w:t>Total Number of</w:t>
            </w: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20" w:type="dxa"/>
            <w:vAlign w:val="bottom"/>
            <w:vMerge w:val="restart"/>
          </w:tcPr>
          <w:p>
            <w:pPr>
              <w:jc w:val="right"/>
              <w:ind w:right="160"/>
              <w:spacing w:after="0"/>
              <w:rPr>
                <w:sz w:val="20"/>
                <w:szCs w:val="20"/>
                <w:color w:val="auto"/>
              </w:rPr>
            </w:pPr>
            <w:r>
              <w:rPr>
                <w:rFonts w:ascii="Arial" w:cs="Arial" w:eastAsia="Arial" w:hAnsi="Arial"/>
                <w:sz w:val="10"/>
                <w:szCs w:val="10"/>
                <w:b w:val="1"/>
                <w:bCs w:val="1"/>
                <w:color w:val="auto"/>
                <w:w w:val="97"/>
              </w:rPr>
              <w:t>Average Price Paid</w:t>
            </w:r>
          </w:p>
        </w:tc>
        <w:tc>
          <w:tcPr>
            <w:tcW w:w="400" w:type="dxa"/>
            <w:vAlign w:val="bottom"/>
          </w:tcPr>
          <w:p>
            <w:pPr>
              <w:spacing w:after="0"/>
              <w:rPr>
                <w:sz w:val="9"/>
                <w:szCs w:val="9"/>
                <w:color w:val="auto"/>
              </w:rPr>
            </w:pPr>
          </w:p>
        </w:tc>
        <w:tc>
          <w:tcPr>
            <w:tcW w:w="138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6"/>
              </w:rPr>
              <w:t>Part of Publicly</w:t>
            </w:r>
          </w:p>
        </w:tc>
        <w:tc>
          <w:tcPr>
            <w:tcW w:w="400" w:type="dxa"/>
            <w:vAlign w:val="bottom"/>
          </w:tcPr>
          <w:p>
            <w:pPr>
              <w:spacing w:after="0"/>
              <w:rPr>
                <w:sz w:val="9"/>
                <w:szCs w:val="9"/>
                <w:color w:val="auto"/>
              </w:rPr>
            </w:pPr>
          </w:p>
        </w:tc>
        <w:tc>
          <w:tcPr>
            <w:tcW w:w="1780" w:type="dxa"/>
            <w:vAlign w:val="bottom"/>
            <w:gridSpan w:val="2"/>
          </w:tcPr>
          <w:p>
            <w:pPr>
              <w:jc w:val="center"/>
              <w:ind w:right="100"/>
              <w:spacing w:after="0" w:line="108" w:lineRule="exact"/>
              <w:rPr>
                <w:sz w:val="20"/>
                <w:szCs w:val="20"/>
                <w:color w:val="auto"/>
              </w:rPr>
            </w:pPr>
            <w:r>
              <w:rPr>
                <w:rFonts w:ascii="Arial" w:cs="Arial" w:eastAsia="Arial" w:hAnsi="Arial"/>
                <w:sz w:val="10"/>
                <w:szCs w:val="10"/>
                <w:b w:val="1"/>
                <w:bCs w:val="1"/>
                <w:color w:val="auto"/>
                <w:w w:val="98"/>
              </w:rPr>
              <w:t>That May Yet Be</w:t>
            </w:r>
          </w:p>
        </w:tc>
        <w:tc>
          <w:tcPr>
            <w:tcW w:w="0" w:type="dxa"/>
            <w:vAlign w:val="bottom"/>
          </w:tcPr>
          <w:p>
            <w:pPr>
              <w:spacing w:after="0"/>
              <w:rPr>
                <w:sz w:val="1"/>
                <w:szCs w:val="1"/>
                <w:color w:val="auto"/>
              </w:rPr>
            </w:pPr>
          </w:p>
        </w:tc>
      </w:tr>
      <w:tr>
        <w:trPr>
          <w:trHeight w:val="118"/>
        </w:trPr>
        <w:tc>
          <w:tcPr>
            <w:tcW w:w="3120" w:type="dxa"/>
            <w:vAlign w:val="bottom"/>
            <w:vMerge w:val="restart"/>
          </w:tcPr>
          <w:p>
            <w:pPr>
              <w:spacing w:after="0"/>
              <w:rPr>
                <w:sz w:val="20"/>
                <w:szCs w:val="20"/>
                <w:color w:val="auto"/>
              </w:rPr>
            </w:pPr>
            <w:r>
              <w:rPr>
                <w:rFonts w:ascii="Arial" w:cs="Arial" w:eastAsia="Arial" w:hAnsi="Arial"/>
                <w:sz w:val="10"/>
                <w:szCs w:val="10"/>
                <w:b w:val="1"/>
                <w:bCs w:val="1"/>
                <w:color w:val="auto"/>
              </w:rPr>
              <w:t>Period</w:t>
            </w:r>
          </w:p>
        </w:tc>
        <w:tc>
          <w:tcPr>
            <w:tcW w:w="120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1380" w:type="dxa"/>
            <w:vAlign w:val="bottom"/>
          </w:tcPr>
          <w:p>
            <w:pPr>
              <w:jc w:val="center"/>
              <w:spacing w:after="0"/>
              <w:rPr>
                <w:sz w:val="20"/>
                <w:szCs w:val="20"/>
                <w:color w:val="auto"/>
              </w:rPr>
            </w:pPr>
            <w:r>
              <w:rPr>
                <w:rFonts w:ascii="Arial" w:cs="Arial" w:eastAsia="Arial" w:hAnsi="Arial"/>
                <w:sz w:val="10"/>
                <w:szCs w:val="10"/>
                <w:b w:val="1"/>
                <w:bCs w:val="1"/>
                <w:color w:val="auto"/>
                <w:w w:val="92"/>
              </w:rPr>
              <w:t>Announced Plans or</w:t>
            </w:r>
          </w:p>
        </w:tc>
        <w:tc>
          <w:tcPr>
            <w:tcW w:w="400" w:type="dxa"/>
            <w:vAlign w:val="bottom"/>
          </w:tcPr>
          <w:p>
            <w:pPr>
              <w:spacing w:after="0"/>
              <w:rPr>
                <w:sz w:val="10"/>
                <w:szCs w:val="10"/>
                <w:color w:val="auto"/>
              </w:rPr>
            </w:pPr>
          </w:p>
        </w:tc>
        <w:tc>
          <w:tcPr>
            <w:tcW w:w="17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5"/>
              </w:rPr>
              <w:t>Purchased Under the</w:t>
            </w:r>
          </w:p>
        </w:tc>
        <w:tc>
          <w:tcPr>
            <w:tcW w:w="0" w:type="dxa"/>
            <w:vAlign w:val="bottom"/>
          </w:tcPr>
          <w:p>
            <w:pPr>
              <w:spacing w:after="0"/>
              <w:rPr>
                <w:sz w:val="1"/>
                <w:szCs w:val="1"/>
                <w:color w:val="auto"/>
              </w:rPr>
            </w:pPr>
          </w:p>
        </w:tc>
      </w:tr>
      <w:tr>
        <w:trPr>
          <w:trHeight w:val="125"/>
        </w:trPr>
        <w:tc>
          <w:tcPr>
            <w:tcW w:w="3120" w:type="dxa"/>
            <w:vAlign w:val="bottom"/>
            <w:vMerge w:val="continue"/>
          </w:tcPr>
          <w:p>
            <w:pPr>
              <w:spacing w:after="0"/>
              <w:rPr>
                <w:sz w:val="10"/>
                <w:szCs w:val="10"/>
                <w:color w:val="auto"/>
              </w:rPr>
            </w:pPr>
          </w:p>
        </w:tc>
        <w:tc>
          <w:tcPr>
            <w:tcW w:w="1200" w:type="dxa"/>
            <w:vAlign w:val="bottom"/>
          </w:tcPr>
          <w:p>
            <w:pPr>
              <w:jc w:val="right"/>
              <w:ind w:right="140"/>
              <w:spacing w:after="0"/>
              <w:rPr>
                <w:sz w:val="20"/>
                <w:szCs w:val="20"/>
                <w:color w:val="auto"/>
              </w:rPr>
            </w:pPr>
            <w:r>
              <w:rPr>
                <w:rFonts w:ascii="Arial" w:cs="Arial" w:eastAsia="Arial" w:hAnsi="Arial"/>
                <w:sz w:val="10"/>
                <w:szCs w:val="10"/>
                <w:b w:val="1"/>
                <w:bCs w:val="1"/>
                <w:color w:val="auto"/>
              </w:rPr>
              <w:t>Shares Purchased</w:t>
            </w: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tcPr>
          <w:p>
            <w:pPr>
              <w:jc w:val="right"/>
              <w:ind w:right="360"/>
              <w:spacing w:after="0"/>
              <w:rPr>
                <w:sz w:val="20"/>
                <w:szCs w:val="20"/>
                <w:color w:val="auto"/>
              </w:rPr>
            </w:pPr>
            <w:r>
              <w:rPr>
                <w:rFonts w:ascii="Arial" w:cs="Arial" w:eastAsia="Arial" w:hAnsi="Arial"/>
                <w:sz w:val="10"/>
                <w:szCs w:val="10"/>
                <w:b w:val="1"/>
                <w:bCs w:val="1"/>
                <w:color w:val="auto"/>
              </w:rPr>
              <w:t>per Share</w:t>
            </w:r>
          </w:p>
        </w:tc>
        <w:tc>
          <w:tcPr>
            <w:tcW w:w="400" w:type="dxa"/>
            <w:vAlign w:val="bottom"/>
          </w:tcPr>
          <w:p>
            <w:pPr>
              <w:spacing w:after="0"/>
              <w:rPr>
                <w:sz w:val="10"/>
                <w:szCs w:val="10"/>
                <w:color w:val="auto"/>
              </w:rPr>
            </w:pPr>
          </w:p>
        </w:tc>
        <w:tc>
          <w:tcPr>
            <w:tcW w:w="1380" w:type="dxa"/>
            <w:vAlign w:val="bottom"/>
          </w:tcPr>
          <w:p>
            <w:pPr>
              <w:jc w:val="center"/>
              <w:spacing w:after="0"/>
              <w:rPr>
                <w:sz w:val="20"/>
                <w:szCs w:val="20"/>
                <w:color w:val="auto"/>
              </w:rPr>
            </w:pPr>
            <w:r>
              <w:rPr>
                <w:rFonts w:ascii="Arial" w:cs="Arial" w:eastAsia="Arial" w:hAnsi="Arial"/>
                <w:sz w:val="10"/>
                <w:szCs w:val="10"/>
                <w:b w:val="1"/>
                <w:bCs w:val="1"/>
                <w:color w:val="auto"/>
                <w:w w:val="98"/>
              </w:rPr>
              <w:t>Programs</w:t>
            </w:r>
          </w:p>
        </w:tc>
        <w:tc>
          <w:tcPr>
            <w:tcW w:w="400" w:type="dxa"/>
            <w:vAlign w:val="bottom"/>
          </w:tcPr>
          <w:p>
            <w:pPr>
              <w:spacing w:after="0"/>
              <w:rPr>
                <w:sz w:val="10"/>
                <w:szCs w:val="10"/>
                <w:color w:val="auto"/>
              </w:rPr>
            </w:pPr>
          </w:p>
        </w:tc>
        <w:tc>
          <w:tcPr>
            <w:tcW w:w="17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4"/>
              </w:rPr>
              <w:t>Plans or Programs</w:t>
            </w:r>
          </w:p>
        </w:tc>
        <w:tc>
          <w:tcPr>
            <w:tcW w:w="0" w:type="dxa"/>
            <w:vAlign w:val="bottom"/>
          </w:tcPr>
          <w:p>
            <w:pPr>
              <w:spacing w:after="0"/>
              <w:rPr>
                <w:sz w:val="1"/>
                <w:szCs w:val="1"/>
                <w:color w:val="auto"/>
              </w:rPr>
            </w:pPr>
          </w:p>
        </w:tc>
      </w:tr>
      <w:tr>
        <w:trPr>
          <w:trHeight w:val="29"/>
        </w:trPr>
        <w:tc>
          <w:tcPr>
            <w:tcW w:w="3120" w:type="dxa"/>
            <w:vAlign w:val="bottom"/>
          </w:tcPr>
          <w:p>
            <w:pPr>
              <w:spacing w:after="0"/>
              <w:rPr>
                <w:sz w:val="2"/>
                <w:szCs w:val="2"/>
                <w:color w:val="auto"/>
              </w:rPr>
            </w:pPr>
          </w:p>
        </w:tc>
        <w:tc>
          <w:tcPr>
            <w:tcW w:w="120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1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6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120" w:type="dxa"/>
            <w:vAlign w:val="bottom"/>
            <w:shd w:val="clear" w:color="auto" w:fill="CCEEFF"/>
          </w:tcPr>
          <w:p>
            <w:pPr>
              <w:spacing w:after="0"/>
              <w:rPr>
                <w:sz w:val="20"/>
                <w:szCs w:val="20"/>
                <w:color w:val="auto"/>
              </w:rPr>
            </w:pPr>
            <w:r>
              <w:rPr>
                <w:rFonts w:ascii="Arial" w:cs="Arial" w:eastAsia="Arial" w:hAnsi="Arial"/>
                <w:sz w:val="13"/>
                <w:szCs w:val="13"/>
                <w:color w:val="auto"/>
              </w:rPr>
              <w:t>July</w:t>
            </w:r>
          </w:p>
        </w:tc>
        <w:tc>
          <w:tcPr>
            <w:tcW w:w="1200" w:type="dxa"/>
            <w:vAlign w:val="bottom"/>
            <w:shd w:val="clear" w:color="auto" w:fill="CCEEFF"/>
          </w:tcPr>
          <w:p>
            <w:pPr>
              <w:jc w:val="right"/>
              <w:ind w:right="300"/>
              <w:spacing w:after="0"/>
              <w:rPr>
                <w:sz w:val="20"/>
                <w:szCs w:val="20"/>
                <w:color w:val="auto"/>
              </w:rPr>
            </w:pPr>
            <w:r>
              <w:rPr>
                <w:rFonts w:ascii="Arial" w:cs="Arial" w:eastAsia="Arial" w:hAnsi="Arial"/>
                <w:sz w:val="13"/>
                <w:szCs w:val="13"/>
                <w:color w:val="auto"/>
              </w:rPr>
              <w:t>12,000</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ind w:right="380"/>
              <w:spacing w:after="0"/>
              <w:rPr>
                <w:sz w:val="20"/>
                <w:szCs w:val="20"/>
                <w:color w:val="auto"/>
              </w:rPr>
            </w:pPr>
            <w:r>
              <w:rPr>
                <w:rFonts w:ascii="Arial" w:cs="Arial" w:eastAsia="Arial" w:hAnsi="Arial"/>
                <w:sz w:val="13"/>
                <w:szCs w:val="13"/>
                <w:color w:val="auto"/>
              </w:rPr>
              <w:t>19.24</w:t>
            </w:r>
          </w:p>
        </w:tc>
        <w:tc>
          <w:tcPr>
            <w:tcW w:w="400" w:type="dxa"/>
            <w:vAlign w:val="bottom"/>
            <w:shd w:val="clear" w:color="auto" w:fill="CCEEFF"/>
          </w:tcPr>
          <w:p>
            <w:pPr>
              <w:spacing w:after="0"/>
              <w:rPr>
                <w:sz w:val="13"/>
                <w:szCs w:val="13"/>
                <w:color w:val="auto"/>
              </w:rPr>
            </w:pPr>
          </w:p>
        </w:tc>
        <w:tc>
          <w:tcPr>
            <w:tcW w:w="1380" w:type="dxa"/>
            <w:vAlign w:val="bottom"/>
            <w:shd w:val="clear" w:color="auto" w:fill="CCEEFF"/>
          </w:tcPr>
          <w:p>
            <w:pPr>
              <w:ind w:left="680"/>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1780" w:type="dxa"/>
            <w:vAlign w:val="bottom"/>
            <w:gridSpan w:val="2"/>
            <w:shd w:val="clear" w:color="auto" w:fill="CCEEFF"/>
          </w:tcPr>
          <w:p>
            <w:pPr>
              <w:ind w:left="8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3120" w:type="dxa"/>
            <w:vAlign w:val="bottom"/>
          </w:tcPr>
          <w:p>
            <w:pPr>
              <w:spacing w:after="0"/>
              <w:rPr>
                <w:sz w:val="20"/>
                <w:szCs w:val="20"/>
                <w:color w:val="auto"/>
              </w:rPr>
            </w:pPr>
            <w:r>
              <w:rPr>
                <w:rFonts w:ascii="Arial" w:cs="Arial" w:eastAsia="Arial" w:hAnsi="Arial"/>
                <w:sz w:val="13"/>
                <w:szCs w:val="13"/>
                <w:color w:val="auto"/>
              </w:rPr>
              <w:t>August</w:t>
            </w:r>
          </w:p>
        </w:tc>
        <w:tc>
          <w:tcPr>
            <w:tcW w:w="1200" w:type="dxa"/>
            <w:vAlign w:val="bottom"/>
          </w:tcPr>
          <w:p>
            <w:pPr>
              <w:jc w:val="right"/>
              <w:ind w:right="300"/>
              <w:spacing w:after="0"/>
              <w:rPr>
                <w:sz w:val="20"/>
                <w:szCs w:val="20"/>
                <w:color w:val="auto"/>
              </w:rPr>
            </w:pPr>
            <w:r>
              <w:rPr>
                <w:rFonts w:ascii="Arial" w:cs="Arial" w:eastAsia="Arial" w:hAnsi="Arial"/>
                <w:sz w:val="13"/>
                <w:szCs w:val="13"/>
                <w:color w:val="auto"/>
              </w:rPr>
              <w:t>15,000</w:t>
            </w:r>
          </w:p>
        </w:tc>
        <w:tc>
          <w:tcPr>
            <w:tcW w:w="5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380"/>
              <w:spacing w:after="0"/>
              <w:rPr>
                <w:sz w:val="20"/>
                <w:szCs w:val="20"/>
                <w:color w:val="auto"/>
              </w:rPr>
            </w:pPr>
            <w:r>
              <w:rPr>
                <w:rFonts w:ascii="Arial" w:cs="Arial" w:eastAsia="Arial" w:hAnsi="Arial"/>
                <w:sz w:val="13"/>
                <w:szCs w:val="13"/>
                <w:color w:val="auto"/>
              </w:rPr>
              <w:t>17.66</w:t>
            </w:r>
          </w:p>
        </w:tc>
        <w:tc>
          <w:tcPr>
            <w:tcW w:w="400" w:type="dxa"/>
            <w:vAlign w:val="bottom"/>
          </w:tcPr>
          <w:p>
            <w:pPr>
              <w:spacing w:after="0"/>
              <w:rPr>
                <w:sz w:val="13"/>
                <w:szCs w:val="13"/>
                <w:color w:val="auto"/>
              </w:rPr>
            </w:pPr>
          </w:p>
        </w:tc>
        <w:tc>
          <w:tcPr>
            <w:tcW w:w="1380" w:type="dxa"/>
            <w:vAlign w:val="bottom"/>
          </w:tcPr>
          <w:p>
            <w:pPr>
              <w:ind w:left="68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1780" w:type="dxa"/>
            <w:vAlign w:val="bottom"/>
            <w:gridSpan w:val="2"/>
          </w:tcPr>
          <w:p>
            <w:pPr>
              <w:ind w:left="8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3120" w:type="dxa"/>
            <w:vAlign w:val="bottom"/>
            <w:shd w:val="clear" w:color="auto" w:fill="CCEEFF"/>
          </w:tcPr>
          <w:p>
            <w:pPr>
              <w:spacing w:after="0"/>
              <w:rPr>
                <w:sz w:val="20"/>
                <w:szCs w:val="20"/>
                <w:color w:val="auto"/>
              </w:rPr>
            </w:pPr>
            <w:r>
              <w:rPr>
                <w:rFonts w:ascii="Arial" w:cs="Arial" w:eastAsia="Arial" w:hAnsi="Arial"/>
                <w:sz w:val="13"/>
                <w:szCs w:val="13"/>
                <w:color w:val="auto"/>
              </w:rPr>
              <w:t>September</w:t>
            </w:r>
          </w:p>
        </w:tc>
        <w:tc>
          <w:tcPr>
            <w:tcW w:w="1200" w:type="dxa"/>
            <w:vAlign w:val="bottom"/>
            <w:shd w:val="clear" w:color="auto" w:fill="CCEEFF"/>
          </w:tcPr>
          <w:p>
            <w:pPr>
              <w:jc w:val="right"/>
              <w:ind w:right="300"/>
              <w:spacing w:after="0"/>
              <w:rPr>
                <w:sz w:val="20"/>
                <w:szCs w:val="20"/>
                <w:color w:val="auto"/>
              </w:rPr>
            </w:pPr>
            <w:r>
              <w:rPr>
                <w:rFonts w:ascii="Arial" w:cs="Arial" w:eastAsia="Arial" w:hAnsi="Arial"/>
                <w:sz w:val="13"/>
                <w:szCs w:val="13"/>
                <w:color w:val="auto"/>
              </w:rPr>
              <w:t>10,000</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ind w:right="380"/>
              <w:spacing w:after="0"/>
              <w:rPr>
                <w:sz w:val="20"/>
                <w:szCs w:val="20"/>
                <w:color w:val="auto"/>
              </w:rPr>
            </w:pPr>
            <w:r>
              <w:rPr>
                <w:rFonts w:ascii="Arial" w:cs="Arial" w:eastAsia="Arial" w:hAnsi="Arial"/>
                <w:sz w:val="13"/>
                <w:szCs w:val="13"/>
                <w:color w:val="auto"/>
              </w:rPr>
              <w:t>18.43</w:t>
            </w:r>
          </w:p>
        </w:tc>
        <w:tc>
          <w:tcPr>
            <w:tcW w:w="400" w:type="dxa"/>
            <w:vAlign w:val="bottom"/>
            <w:shd w:val="clear" w:color="auto" w:fill="CCEEFF"/>
          </w:tcPr>
          <w:p>
            <w:pPr>
              <w:spacing w:after="0"/>
              <w:rPr>
                <w:sz w:val="13"/>
                <w:szCs w:val="13"/>
                <w:color w:val="auto"/>
              </w:rPr>
            </w:pPr>
          </w:p>
        </w:tc>
        <w:tc>
          <w:tcPr>
            <w:tcW w:w="1380" w:type="dxa"/>
            <w:vAlign w:val="bottom"/>
            <w:shd w:val="clear" w:color="auto" w:fill="CCEEFF"/>
          </w:tcPr>
          <w:p>
            <w:pPr>
              <w:ind w:left="680"/>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1780" w:type="dxa"/>
            <w:vAlign w:val="bottom"/>
            <w:gridSpan w:val="2"/>
            <w:shd w:val="clear" w:color="auto" w:fill="CCEEFF"/>
          </w:tcPr>
          <w:p>
            <w:pPr>
              <w:ind w:left="8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-330200</wp:posOffset>
            </wp:positionV>
            <wp:extent cx="18415" cy="63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8415" cy="6350"/>
                    </a:xfrm>
                    <a:prstGeom prst="rect">
                      <a:avLst/>
                    </a:prstGeom>
                    <a:noFill/>
                  </pic:spPr>
                </pic:pic>
              </a:graphicData>
            </a:graphic>
          </wp:anchor>
        </w:drawing>
      </w:r>
    </w:p>
    <w:p>
      <w:pPr>
        <w:spacing w:after="0" w:line="60"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The purchases of Avnet common stock noted above were made on the open market to obtain shares for purchase under the Company’s Employee Stock Purchase Plan. None of these purchases were made pursuant to a publicly announced repurchase plan and the Company does not currently have a stock repurchase plan in place.</w:t>
      </w:r>
    </w:p>
    <w:p>
      <w:pPr>
        <w:spacing w:after="0" w:line="134" w:lineRule="exact"/>
        <w:rPr>
          <w:sz w:val="20"/>
          <w:szCs w:val="20"/>
          <w:color w:val="auto"/>
        </w:rPr>
      </w:pPr>
    </w:p>
    <w:tbl>
      <w:tblPr>
        <w:tblLayout w:type="fixed"/>
        <w:tblInd w:w="680" w:type="dxa"/>
        <w:tblCellMar>
          <w:top w:w="0" w:type="dxa"/>
          <w:left w:w="0" w:type="dxa"/>
          <w:bottom w:w="0" w:type="dxa"/>
          <w:right w:w="0" w:type="dxa"/>
        </w:tblCellMar>
      </w:tblPr>
      <w:tr>
        <w:trPr>
          <w:trHeight w:val="169"/>
        </w:trPr>
        <w:tc>
          <w:tcPr>
            <w:tcW w:w="780" w:type="dxa"/>
            <w:vAlign w:val="bottom"/>
          </w:tcPr>
          <w:p>
            <w:pPr>
              <w:spacing w:after="0"/>
              <w:rPr>
                <w:sz w:val="20"/>
                <w:szCs w:val="20"/>
                <w:color w:val="auto"/>
              </w:rPr>
            </w:pPr>
            <w:r>
              <w:rPr>
                <w:rFonts w:ascii="Arial" w:cs="Arial" w:eastAsia="Arial" w:hAnsi="Arial"/>
                <w:sz w:val="13"/>
                <w:szCs w:val="13"/>
                <w:b w:val="1"/>
                <w:bCs w:val="1"/>
                <w:color w:val="auto"/>
              </w:rPr>
              <w:t>Item 6.</w:t>
            </w:r>
          </w:p>
        </w:tc>
        <w:tc>
          <w:tcPr>
            <w:tcW w:w="6240" w:type="dxa"/>
            <w:vAlign w:val="bottom"/>
            <w:gridSpan w:val="3"/>
          </w:tcPr>
          <w:p>
            <w:pPr>
              <w:ind w:left="40"/>
              <w:spacing w:after="0"/>
              <w:rPr>
                <w:sz w:val="20"/>
                <w:szCs w:val="20"/>
                <w:color w:val="auto"/>
              </w:rPr>
            </w:pPr>
            <w:r>
              <w:rPr>
                <w:rFonts w:ascii="Arial" w:cs="Arial" w:eastAsia="Arial" w:hAnsi="Arial"/>
                <w:sz w:val="13"/>
                <w:szCs w:val="13"/>
                <w:b w:val="1"/>
                <w:bCs w:val="1"/>
                <w:i w:val="1"/>
                <w:iCs w:val="1"/>
                <w:color w:val="auto"/>
              </w:rPr>
              <w:t>Exhibits</w:t>
            </w:r>
          </w:p>
        </w:tc>
        <w:tc>
          <w:tcPr>
            <w:tcW w:w="0" w:type="dxa"/>
            <w:vAlign w:val="bottom"/>
          </w:tcPr>
          <w:p>
            <w:pPr>
              <w:spacing w:after="0"/>
              <w:rPr>
                <w:sz w:val="1"/>
                <w:szCs w:val="1"/>
                <w:color w:val="auto"/>
              </w:rPr>
            </w:pPr>
          </w:p>
        </w:tc>
      </w:tr>
      <w:tr>
        <w:trPr>
          <w:trHeight w:val="191"/>
        </w:trPr>
        <w:tc>
          <w:tcPr>
            <w:tcW w:w="780" w:type="dxa"/>
            <w:vAlign w:val="bottom"/>
          </w:tcPr>
          <w:p>
            <w:pPr>
              <w:ind w:left="200"/>
              <w:spacing w:after="0"/>
              <w:rPr>
                <w:sz w:val="20"/>
                <w:szCs w:val="20"/>
                <w:color w:val="auto"/>
              </w:rPr>
            </w:pPr>
            <w:r>
              <w:rPr>
                <w:rFonts w:ascii="Arial" w:cs="Arial" w:eastAsia="Arial" w:hAnsi="Arial"/>
                <w:sz w:val="10"/>
                <w:szCs w:val="10"/>
                <w:b w:val="1"/>
                <w:bCs w:val="1"/>
                <w:color w:val="auto"/>
              </w:rPr>
              <w:t>Exhibit</w:t>
            </w:r>
          </w:p>
        </w:tc>
        <w:tc>
          <w:tcPr>
            <w:tcW w:w="4620" w:type="dxa"/>
            <w:vAlign w:val="bottom"/>
          </w:tcPr>
          <w:p>
            <w:pPr>
              <w:spacing w:after="0"/>
              <w:rPr>
                <w:sz w:val="16"/>
                <w:szCs w:val="16"/>
                <w:color w:val="auto"/>
              </w:rPr>
            </w:pPr>
          </w:p>
        </w:tc>
        <w:tc>
          <w:tcPr>
            <w:tcW w:w="162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Exhibit</w:t>
            </w:r>
          </w:p>
        </w:tc>
        <w:tc>
          <w:tcPr>
            <w:tcW w:w="0" w:type="dxa"/>
            <w:vAlign w:val="bottom"/>
          </w:tcPr>
          <w:p>
            <w:pPr>
              <w:spacing w:after="0"/>
              <w:rPr>
                <w:sz w:val="1"/>
                <w:szCs w:val="1"/>
                <w:color w:val="auto"/>
              </w:rPr>
            </w:pPr>
          </w:p>
        </w:tc>
      </w:tr>
      <w:tr>
        <w:trPr>
          <w:trHeight w:val="135"/>
        </w:trPr>
        <w:tc>
          <w:tcPr>
            <w:tcW w:w="780" w:type="dxa"/>
            <w:vAlign w:val="bottom"/>
          </w:tcPr>
          <w:p>
            <w:pPr>
              <w:ind w:left="360"/>
              <w:spacing w:after="0"/>
              <w:rPr>
                <w:sz w:val="20"/>
                <w:szCs w:val="20"/>
                <w:color w:val="auto"/>
              </w:rPr>
            </w:pPr>
            <w:r>
              <w:rPr>
                <w:rFonts w:ascii="Arial" w:cs="Arial" w:eastAsia="Arial" w:hAnsi="Arial"/>
                <w:sz w:val="10"/>
                <w:szCs w:val="10"/>
                <w:b w:val="1"/>
                <w:bCs w:val="1"/>
                <w:color w:val="auto"/>
              </w:rPr>
              <w:t>Number</w:t>
            </w:r>
          </w:p>
        </w:tc>
        <w:tc>
          <w:tcPr>
            <w:tcW w:w="4620" w:type="dxa"/>
            <w:vAlign w:val="bottom"/>
          </w:tcPr>
          <w:p>
            <w:pPr>
              <w:spacing w:after="0"/>
              <w:rPr>
                <w:sz w:val="11"/>
                <w:szCs w:val="11"/>
                <w:color w:val="auto"/>
              </w:rPr>
            </w:pPr>
          </w:p>
        </w:tc>
        <w:tc>
          <w:tcPr>
            <w:tcW w:w="16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780" w:type="dxa"/>
            <w:vAlign w:val="bottom"/>
          </w:tcPr>
          <w:p>
            <w:pPr>
              <w:ind w:left="300"/>
              <w:spacing w:after="0"/>
              <w:rPr>
                <w:sz w:val="20"/>
                <w:szCs w:val="20"/>
                <w:color w:val="auto"/>
              </w:rPr>
            </w:pPr>
            <w:r>
              <w:rPr>
                <w:rFonts w:ascii="Arial" w:cs="Arial" w:eastAsia="Arial" w:hAnsi="Arial"/>
                <w:sz w:val="13"/>
                <w:szCs w:val="13"/>
                <w:color w:val="auto"/>
              </w:rPr>
              <w:t>31.1*</w:t>
            </w:r>
          </w:p>
        </w:tc>
        <w:tc>
          <w:tcPr>
            <w:tcW w:w="6240" w:type="dxa"/>
            <w:vAlign w:val="bottom"/>
            <w:gridSpan w:val="3"/>
          </w:tcPr>
          <w:p>
            <w:pPr>
              <w:ind w:left="140"/>
              <w:spacing w:after="0"/>
              <w:rPr>
                <w:sz w:val="20"/>
                <w:szCs w:val="20"/>
                <w:color w:val="auto"/>
              </w:rPr>
            </w:pPr>
            <w:r>
              <w:rPr>
                <w:rFonts w:ascii="Arial" w:cs="Arial" w:eastAsia="Arial" w:hAnsi="Arial"/>
                <w:sz w:val="13"/>
                <w:szCs w:val="13"/>
                <w:color w:val="auto"/>
                <w:w w:val="99"/>
              </w:rPr>
              <w:t>Certification by Roy Vallee, Chief Executive Officer, under Section 302 of the Sarbanes-Oxley Act of 2002.</w:t>
            </w:r>
          </w:p>
        </w:tc>
        <w:tc>
          <w:tcPr>
            <w:tcW w:w="0" w:type="dxa"/>
            <w:vAlign w:val="bottom"/>
          </w:tcPr>
          <w:p>
            <w:pPr>
              <w:spacing w:after="0"/>
              <w:rPr>
                <w:sz w:val="1"/>
                <w:szCs w:val="1"/>
                <w:color w:val="auto"/>
              </w:rPr>
            </w:pPr>
          </w:p>
        </w:tc>
      </w:tr>
      <w:tr>
        <w:trPr>
          <w:trHeight w:val="157"/>
        </w:trPr>
        <w:tc>
          <w:tcPr>
            <w:tcW w:w="780" w:type="dxa"/>
            <w:vAlign w:val="bottom"/>
          </w:tcPr>
          <w:p>
            <w:pPr>
              <w:ind w:left="300"/>
              <w:spacing w:after="0"/>
              <w:rPr>
                <w:sz w:val="20"/>
                <w:szCs w:val="20"/>
                <w:color w:val="auto"/>
              </w:rPr>
            </w:pPr>
            <w:r>
              <w:rPr>
                <w:rFonts w:ascii="Arial" w:cs="Arial" w:eastAsia="Arial" w:hAnsi="Arial"/>
                <w:sz w:val="13"/>
                <w:szCs w:val="13"/>
                <w:color w:val="auto"/>
              </w:rPr>
              <w:t>31.2*</w:t>
            </w:r>
          </w:p>
        </w:tc>
        <w:tc>
          <w:tcPr>
            <w:tcW w:w="6240" w:type="dxa"/>
            <w:vAlign w:val="bottom"/>
            <w:gridSpan w:val="3"/>
          </w:tcPr>
          <w:p>
            <w:pPr>
              <w:ind w:left="140"/>
              <w:spacing w:after="0"/>
              <w:rPr>
                <w:sz w:val="20"/>
                <w:szCs w:val="20"/>
                <w:color w:val="auto"/>
              </w:rPr>
            </w:pPr>
            <w:r>
              <w:rPr>
                <w:rFonts w:ascii="Arial" w:cs="Arial" w:eastAsia="Arial" w:hAnsi="Arial"/>
                <w:sz w:val="13"/>
                <w:szCs w:val="13"/>
                <w:color w:val="auto"/>
                <w:w w:val="92"/>
              </w:rPr>
              <w:t>Certification by Raymond Sadowski, Chief Financial Officer, under Section 302 of the Sarbanes-Oxley Act of 2002.</w:t>
            </w:r>
          </w:p>
        </w:tc>
        <w:tc>
          <w:tcPr>
            <w:tcW w:w="0" w:type="dxa"/>
            <w:vAlign w:val="bottom"/>
          </w:tcPr>
          <w:p>
            <w:pPr>
              <w:spacing w:after="0"/>
              <w:rPr>
                <w:sz w:val="1"/>
                <w:szCs w:val="1"/>
                <w:color w:val="auto"/>
              </w:rPr>
            </w:pPr>
          </w:p>
        </w:tc>
      </w:tr>
      <w:tr>
        <w:trPr>
          <w:trHeight w:val="157"/>
        </w:trPr>
        <w:tc>
          <w:tcPr>
            <w:tcW w:w="780" w:type="dxa"/>
            <w:vAlign w:val="bottom"/>
          </w:tcPr>
          <w:p>
            <w:pPr>
              <w:ind w:left="300"/>
              <w:spacing w:after="0"/>
              <w:rPr>
                <w:sz w:val="20"/>
                <w:szCs w:val="20"/>
                <w:color w:val="auto"/>
              </w:rPr>
            </w:pPr>
            <w:r>
              <w:rPr>
                <w:rFonts w:ascii="Arial" w:cs="Arial" w:eastAsia="Arial" w:hAnsi="Arial"/>
                <w:sz w:val="13"/>
                <w:szCs w:val="13"/>
                <w:color w:val="auto"/>
              </w:rPr>
              <w:t>32.1**</w:t>
            </w:r>
          </w:p>
        </w:tc>
        <w:tc>
          <w:tcPr>
            <w:tcW w:w="6240" w:type="dxa"/>
            <w:vAlign w:val="bottom"/>
            <w:gridSpan w:val="3"/>
          </w:tcPr>
          <w:p>
            <w:pPr>
              <w:ind w:left="140"/>
              <w:spacing w:after="0"/>
              <w:rPr>
                <w:sz w:val="20"/>
                <w:szCs w:val="20"/>
                <w:color w:val="auto"/>
              </w:rPr>
            </w:pPr>
            <w:r>
              <w:rPr>
                <w:rFonts w:ascii="Arial" w:cs="Arial" w:eastAsia="Arial" w:hAnsi="Arial"/>
                <w:sz w:val="13"/>
                <w:szCs w:val="13"/>
                <w:color w:val="auto"/>
                <w:w w:val="99"/>
              </w:rPr>
              <w:t>Certification by Roy Vallee, Chief Executive Officer, under Section 906 of the Sarbanes-Oxley Act of 2002.</w:t>
            </w:r>
          </w:p>
        </w:tc>
        <w:tc>
          <w:tcPr>
            <w:tcW w:w="0" w:type="dxa"/>
            <w:vAlign w:val="bottom"/>
          </w:tcPr>
          <w:p>
            <w:pPr>
              <w:spacing w:after="0"/>
              <w:rPr>
                <w:sz w:val="1"/>
                <w:szCs w:val="1"/>
                <w:color w:val="auto"/>
              </w:rPr>
            </w:pPr>
          </w:p>
        </w:tc>
      </w:tr>
      <w:tr>
        <w:trPr>
          <w:trHeight w:val="165"/>
        </w:trPr>
        <w:tc>
          <w:tcPr>
            <w:tcW w:w="780" w:type="dxa"/>
            <w:vAlign w:val="bottom"/>
          </w:tcPr>
          <w:p>
            <w:pPr>
              <w:ind w:left="300"/>
              <w:spacing w:after="0"/>
              <w:rPr>
                <w:sz w:val="20"/>
                <w:szCs w:val="20"/>
                <w:color w:val="auto"/>
              </w:rPr>
            </w:pPr>
            <w:r>
              <w:rPr>
                <w:rFonts w:ascii="Arial" w:cs="Arial" w:eastAsia="Arial" w:hAnsi="Arial"/>
                <w:sz w:val="13"/>
                <w:szCs w:val="13"/>
                <w:color w:val="auto"/>
              </w:rPr>
              <w:t>32.2**</w:t>
            </w:r>
          </w:p>
        </w:tc>
        <w:tc>
          <w:tcPr>
            <w:tcW w:w="6240" w:type="dxa"/>
            <w:vAlign w:val="bottom"/>
            <w:gridSpan w:val="3"/>
          </w:tcPr>
          <w:p>
            <w:pPr>
              <w:ind w:left="140"/>
              <w:spacing w:after="0"/>
              <w:rPr>
                <w:sz w:val="20"/>
                <w:szCs w:val="20"/>
                <w:color w:val="auto"/>
              </w:rPr>
            </w:pPr>
            <w:r>
              <w:rPr>
                <w:rFonts w:ascii="Arial" w:cs="Arial" w:eastAsia="Arial" w:hAnsi="Arial"/>
                <w:sz w:val="13"/>
                <w:szCs w:val="13"/>
                <w:color w:val="auto"/>
                <w:w w:val="92"/>
              </w:rPr>
              <w:t>Certification by Raymond Sadowski, Chief Financial Officer, under Section 906 of the Sarbanes-Oxley Act of 2002.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-429260</wp:posOffset>
            </wp:positionV>
            <wp:extent cx="6350" cy="63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436245</wp:posOffset>
            </wp:positionH>
            <wp:positionV relativeFrom="paragraph">
              <wp:posOffset>63500</wp:posOffset>
            </wp:positionV>
            <wp:extent cx="823595" cy="63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30" w:lineRule="exact"/>
        <w:rPr>
          <w:sz w:val="20"/>
          <w:szCs w:val="20"/>
          <w:color w:val="auto"/>
        </w:rPr>
      </w:pPr>
    </w:p>
    <w:p>
      <w:pPr>
        <w:ind w:left="1000" w:hanging="172"/>
        <w:spacing w:after="0"/>
        <w:tabs>
          <w:tab w:leader="none" w:pos="1000" w:val="left"/>
        </w:tabs>
        <w:numPr>
          <w:ilvl w:val="1"/>
          <w:numId w:val="11"/>
        </w:numPr>
        <w:rPr>
          <w:rFonts w:ascii="Arial" w:cs="Arial" w:eastAsia="Arial" w:hAnsi="Arial"/>
          <w:sz w:val="13"/>
          <w:szCs w:val="13"/>
          <w:color w:val="auto"/>
        </w:rPr>
      </w:pPr>
      <w:r>
        <w:rPr>
          <w:rFonts w:ascii="Arial" w:cs="Arial" w:eastAsia="Arial" w:hAnsi="Arial"/>
          <w:sz w:val="13"/>
          <w:szCs w:val="13"/>
          <w:color w:val="auto"/>
        </w:rPr>
        <w:t>Filed herewith.</w:t>
      </w:r>
    </w:p>
    <w:p>
      <w:pPr>
        <w:spacing w:after="0" w:line="47" w:lineRule="exact"/>
        <w:rPr>
          <w:rFonts w:ascii="Arial" w:cs="Arial" w:eastAsia="Arial" w:hAnsi="Arial"/>
          <w:sz w:val="13"/>
          <w:szCs w:val="13"/>
          <w:color w:val="auto"/>
        </w:rPr>
      </w:pPr>
    </w:p>
    <w:p>
      <w:pPr>
        <w:ind w:left="1000" w:hanging="238"/>
        <w:spacing w:after="0"/>
        <w:tabs>
          <w:tab w:leader="none" w:pos="10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Furnished herewith.</w:t>
      </w:r>
    </w:p>
    <w:p>
      <w:pPr>
        <w:spacing w:after="0" w:line="29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0" w:name="page31"/>
    <w:bookmarkEnd w:id="3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100"/>
        <w:spacing w:after="0"/>
        <w:rPr>
          <w:sz w:val="20"/>
          <w:szCs w:val="20"/>
          <w:color w:val="auto"/>
        </w:rPr>
      </w:pPr>
      <w:r>
        <w:rPr>
          <w:rFonts w:ascii="Arial" w:cs="Arial" w:eastAsia="Arial" w:hAnsi="Arial"/>
          <w:sz w:val="13"/>
          <w:szCs w:val="13"/>
          <w:b w:val="1"/>
          <w:bCs w:val="1"/>
          <w:color w:val="auto"/>
        </w:rPr>
        <w:t>SIGNATURE</w:t>
      </w:r>
    </w:p>
    <w:p>
      <w:pPr>
        <w:spacing w:after="0" w:line="100" w:lineRule="exact"/>
        <w:rPr>
          <w:sz w:val="20"/>
          <w:szCs w:val="20"/>
          <w:color w:val="auto"/>
        </w:rPr>
      </w:pPr>
    </w:p>
    <w:p>
      <w:pPr>
        <w:ind w:left="680" w:right="179" w:firstLine="399"/>
        <w:spacing w:after="0" w:line="276" w:lineRule="auto"/>
        <w:rPr>
          <w:sz w:val="20"/>
          <w:szCs w:val="20"/>
          <w:color w:val="auto"/>
        </w:rPr>
      </w:pPr>
      <w:r>
        <w:rPr>
          <w:rFonts w:ascii="Arial" w:cs="Arial" w:eastAsia="Arial" w:hAnsi="Arial"/>
          <w:sz w:val="13"/>
          <w:szCs w:val="13"/>
          <w:color w:val="auto"/>
        </w:rPr>
        <w:t>Pursuant to the requirements of the Securities Exchange Act of 1934, the registrant has duly caused this report to be signed on its behalf by the undersigned, thereunto duly authorized.</w:t>
      </w:r>
    </w:p>
    <w:p>
      <w:pPr>
        <w:spacing w:after="0" w:line="295"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AVNET, INC.</w:t>
      </w:r>
    </w:p>
    <w:p>
      <w:pPr>
        <w:spacing w:after="0" w:line="15"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580"/>
        <w:spacing w:after="0"/>
        <w:tabs>
          <w:tab w:leader="none" w:pos="752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3"/>
          <w:szCs w:val="13"/>
          <w:color w:val="auto"/>
        </w:rPr>
        <w:t>/s/ RAYMOND SADOWSKI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16510</wp:posOffset>
            </wp:positionV>
            <wp:extent cx="3533775" cy="63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533775" cy="6350"/>
                    </a:xfrm>
                    <a:prstGeom prst="rect">
                      <a:avLst/>
                    </a:prstGeom>
                    <a:noFill/>
                  </pic:spPr>
                </pic:pic>
              </a:graphicData>
            </a:graphic>
          </wp:anchor>
        </w:drawing>
      </w:r>
    </w:p>
    <w:p>
      <w:pPr>
        <w:spacing w:after="0" w:line="7" w:lineRule="exact"/>
        <w:rPr>
          <w:sz w:val="20"/>
          <w:szCs w:val="20"/>
          <w:color w:val="auto"/>
        </w:rPr>
      </w:pPr>
    </w:p>
    <w:p>
      <w:pPr>
        <w:ind w:left="7800"/>
        <w:spacing w:after="0"/>
        <w:rPr>
          <w:sz w:val="20"/>
          <w:szCs w:val="20"/>
          <w:color w:val="auto"/>
        </w:rPr>
      </w:pPr>
      <w:r>
        <w:rPr>
          <w:rFonts w:ascii="Arial" w:cs="Arial" w:eastAsia="Arial" w:hAnsi="Arial"/>
          <w:sz w:val="13"/>
          <w:szCs w:val="13"/>
          <w:color w:val="auto"/>
        </w:rPr>
        <w:t>Raymond Sadowski</w:t>
      </w:r>
    </w:p>
    <w:p>
      <w:pPr>
        <w:spacing w:after="0" w:line="15" w:lineRule="exact"/>
        <w:rPr>
          <w:sz w:val="20"/>
          <w:szCs w:val="20"/>
          <w:color w:val="auto"/>
        </w:rPr>
      </w:pPr>
    </w:p>
    <w:p>
      <w:pPr>
        <w:ind w:left="5980"/>
        <w:spacing w:after="0"/>
        <w:rPr>
          <w:sz w:val="20"/>
          <w:szCs w:val="20"/>
          <w:color w:val="auto"/>
        </w:rPr>
      </w:pPr>
      <w:r>
        <w:rPr>
          <w:rFonts w:ascii="Arial" w:cs="Arial" w:eastAsia="Arial" w:hAnsi="Arial"/>
          <w:sz w:val="13"/>
          <w:szCs w:val="13"/>
          <w:i w:val="1"/>
          <w:iCs w:val="1"/>
          <w:color w:val="auto"/>
        </w:rPr>
        <w:t>Senior Vice President and</w:t>
      </w:r>
    </w:p>
    <w:p>
      <w:pPr>
        <w:spacing w:after="0" w:line="8" w:lineRule="exact"/>
        <w:rPr>
          <w:sz w:val="20"/>
          <w:szCs w:val="20"/>
          <w:color w:val="auto"/>
        </w:rPr>
      </w:pPr>
    </w:p>
    <w:p>
      <w:pPr>
        <w:ind w:left="5980"/>
        <w:spacing w:after="0"/>
        <w:rPr>
          <w:sz w:val="20"/>
          <w:szCs w:val="20"/>
          <w:color w:val="auto"/>
        </w:rPr>
      </w:pPr>
      <w:r>
        <w:rPr>
          <w:rFonts w:ascii="Arial" w:cs="Arial" w:eastAsia="Arial" w:hAnsi="Arial"/>
          <w:sz w:val="13"/>
          <w:szCs w:val="13"/>
          <w:i w:val="1"/>
          <w:iCs w:val="1"/>
          <w:color w:val="auto"/>
        </w:rPr>
        <w:t>Chief Financial Officer</w:t>
      </w:r>
    </w:p>
    <w:p>
      <w:pPr>
        <w:spacing w:after="0" w:line="16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Date: November 8, 2006</w:t>
      </w:r>
    </w:p>
    <w:p>
      <w:pPr>
        <w:spacing w:after="0" w:line="29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29</w:t>
      </w:r>
    </w:p>
    <w:p>
      <w:pPr>
        <w:sectPr>
          <w:pgSz w:w="11900" w:h="16838" w:orient="portrait"/>
          <w:cols w:equalWidth="0" w:num="1">
            <w:col w:w="10239"/>
          </w:cols>
          <w:pgMar w:left="220" w:top="343" w:right="1440" w:bottom="1440" w:gutter="0" w:footer="0" w:header="0"/>
        </w:sectPr>
      </w:pPr>
    </w:p>
    <w:bookmarkStart w:id="31" w:name="page32"/>
    <w:bookmarkEnd w:id="31"/>
    <w:p>
      <w:pPr>
        <w:jc w:val="right"/>
        <w:spacing w:after="0"/>
        <w:rPr>
          <w:sz w:val="20"/>
          <w:szCs w:val="20"/>
          <w:color w:val="auto"/>
        </w:rPr>
      </w:pPr>
      <w:r>
        <w:rPr>
          <w:rFonts w:ascii="Arial" w:cs="Arial" w:eastAsia="Arial" w:hAnsi="Arial"/>
          <w:sz w:val="13"/>
          <w:szCs w:val="13"/>
          <w:color w:val="auto"/>
        </w:rPr>
        <w:t>Exhibit 31.1</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OF CHIEF EXECUTIVE OFFICER</w:t>
      </w:r>
    </w:p>
    <w:p>
      <w:pPr>
        <w:spacing w:after="0" w:line="90" w:lineRule="exact"/>
        <w:rPr>
          <w:sz w:val="20"/>
          <w:szCs w:val="20"/>
          <w:color w:val="auto"/>
        </w:rPr>
      </w:pPr>
    </w:p>
    <w:p>
      <w:pPr>
        <w:spacing w:after="0"/>
        <w:rPr>
          <w:sz w:val="20"/>
          <w:szCs w:val="20"/>
          <w:color w:val="auto"/>
        </w:rPr>
      </w:pPr>
      <w:r>
        <w:rPr>
          <w:rFonts w:ascii="Arial" w:cs="Arial" w:eastAsia="Arial" w:hAnsi="Arial"/>
          <w:sz w:val="13"/>
          <w:szCs w:val="13"/>
          <w:color w:val="auto"/>
        </w:rPr>
        <w:t>I, Roy Vallee, Chief Executive Officer of Avnet, Inc., certify that:</w:t>
      </w:r>
    </w:p>
    <w:p>
      <w:pPr>
        <w:spacing w:after="0" w:line="86" w:lineRule="exact"/>
        <w:rPr>
          <w:sz w:val="20"/>
          <w:szCs w:val="20"/>
          <w:color w:val="auto"/>
        </w:rPr>
      </w:pPr>
    </w:p>
    <w:p>
      <w:pPr>
        <w:ind w:left="560" w:hanging="335"/>
        <w:spacing w:after="0"/>
        <w:tabs>
          <w:tab w:leader="none" w:pos="560" w:val="left"/>
        </w:tabs>
        <w:numPr>
          <w:ilvl w:val="0"/>
          <w:numId w:val="12"/>
        </w:numPr>
        <w:rPr>
          <w:rFonts w:ascii="Arial" w:cs="Arial" w:eastAsia="Arial" w:hAnsi="Arial"/>
          <w:sz w:val="13"/>
          <w:szCs w:val="13"/>
          <w:color w:val="auto"/>
        </w:rPr>
      </w:pPr>
      <w:r>
        <w:rPr>
          <w:rFonts w:ascii="Arial" w:cs="Arial" w:eastAsia="Arial" w:hAnsi="Arial"/>
          <w:sz w:val="13"/>
          <w:szCs w:val="13"/>
          <w:color w:val="auto"/>
        </w:rPr>
        <w:t>I have reviewed this quarterly report on Form 10-Q of Avnet, Inc.;</w:t>
      </w:r>
    </w:p>
    <w:p>
      <w:pPr>
        <w:spacing w:after="0" w:line="96" w:lineRule="exact"/>
        <w:rPr>
          <w:rFonts w:ascii="Arial" w:cs="Arial" w:eastAsia="Arial" w:hAnsi="Arial"/>
          <w:sz w:val="13"/>
          <w:szCs w:val="13"/>
          <w:color w:val="auto"/>
        </w:rPr>
      </w:pPr>
    </w:p>
    <w:p>
      <w:pPr>
        <w:ind w:left="560" w:right="140" w:hanging="335"/>
        <w:spacing w:after="0" w:line="276" w:lineRule="auto"/>
        <w:tabs>
          <w:tab w:leader="none" w:pos="560" w:val="left"/>
        </w:tabs>
        <w:numPr>
          <w:ilvl w:val="0"/>
          <w:numId w:val="12"/>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3"/>
          <w:szCs w:val="13"/>
          <w:color w:val="auto"/>
        </w:rPr>
      </w:pPr>
    </w:p>
    <w:p>
      <w:pPr>
        <w:ind w:left="560" w:right="160" w:hanging="335"/>
        <w:spacing w:after="0" w:line="276" w:lineRule="auto"/>
        <w:tabs>
          <w:tab w:leader="none" w:pos="560" w:val="left"/>
        </w:tabs>
        <w:numPr>
          <w:ilvl w:val="0"/>
          <w:numId w:val="12"/>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9" w:lineRule="exact"/>
        <w:rPr>
          <w:rFonts w:ascii="Arial" w:cs="Arial" w:eastAsia="Arial" w:hAnsi="Arial"/>
          <w:sz w:val="13"/>
          <w:szCs w:val="13"/>
          <w:color w:val="auto"/>
        </w:rPr>
      </w:pPr>
    </w:p>
    <w:p>
      <w:pPr>
        <w:ind w:left="560" w:right="160" w:hanging="335"/>
        <w:spacing w:after="0" w:line="276" w:lineRule="auto"/>
        <w:tabs>
          <w:tab w:leader="none" w:pos="560" w:val="left"/>
        </w:tabs>
        <w:numPr>
          <w:ilvl w:val="0"/>
          <w:numId w:val="12"/>
        </w:numPr>
        <w:rPr>
          <w:rFonts w:ascii="Arial" w:cs="Arial" w:eastAsia="Arial" w:hAnsi="Arial"/>
          <w:sz w:val="13"/>
          <w:szCs w:val="13"/>
          <w:color w:val="auto"/>
        </w:rPr>
      </w:pPr>
      <w:r>
        <w:rPr>
          <w:rFonts w:ascii="Arial" w:cs="Arial" w:eastAsia="Arial" w:hAnsi="Arial"/>
          <w:sz w:val="13"/>
          <w:szCs w:val="13"/>
          <w:color w:val="auto"/>
        </w:rPr>
        <w:t>The registrant’s other certifying officer(s) and I are responsible for establishing and maintaining disclosure controls and procedures (as such term is defined in Exchange Act Rules 13a-15(e) and 15d-15(e)) and internal control over financial reporting (as defined in Exchange Act Rules 13a-15(f) and 15d-15(f)) for the registrant and have:</w:t>
      </w:r>
    </w:p>
    <w:p>
      <w:pPr>
        <w:spacing w:after="0" w:line="49" w:lineRule="exact"/>
        <w:rPr>
          <w:rFonts w:ascii="Arial" w:cs="Arial" w:eastAsia="Arial" w:hAnsi="Arial"/>
          <w:sz w:val="13"/>
          <w:szCs w:val="13"/>
          <w:color w:val="auto"/>
        </w:rPr>
      </w:pPr>
    </w:p>
    <w:p>
      <w:pPr>
        <w:ind w:left="1240" w:right="340" w:hanging="327"/>
        <w:spacing w:after="0" w:line="320" w:lineRule="auto"/>
        <w:tabs>
          <w:tab w:leader="none" w:pos="1240" w:val="left"/>
        </w:tabs>
        <w:numPr>
          <w:ilvl w:val="1"/>
          <w:numId w:val="12"/>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5" w:lineRule="exact"/>
        <w:rPr>
          <w:rFonts w:ascii="Arial" w:cs="Arial" w:eastAsia="Arial" w:hAnsi="Arial"/>
          <w:sz w:val="12"/>
          <w:szCs w:val="12"/>
          <w:color w:val="auto"/>
        </w:rPr>
      </w:pPr>
    </w:p>
    <w:p>
      <w:pPr>
        <w:ind w:left="1240" w:hanging="327"/>
        <w:spacing w:after="0" w:line="320" w:lineRule="auto"/>
        <w:tabs>
          <w:tab w:leader="none" w:pos="1240" w:val="left"/>
        </w:tabs>
        <w:numPr>
          <w:ilvl w:val="1"/>
          <w:numId w:val="12"/>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5" w:lineRule="exact"/>
        <w:rPr>
          <w:rFonts w:ascii="Arial" w:cs="Arial" w:eastAsia="Arial" w:hAnsi="Arial"/>
          <w:sz w:val="12"/>
          <w:szCs w:val="12"/>
          <w:color w:val="auto"/>
        </w:rPr>
      </w:pPr>
    </w:p>
    <w:p>
      <w:pPr>
        <w:ind w:left="1240" w:right="100" w:hanging="327"/>
        <w:spacing w:after="0" w:line="276" w:lineRule="auto"/>
        <w:tabs>
          <w:tab w:leader="none" w:pos="1240" w:val="left"/>
        </w:tabs>
        <w:numPr>
          <w:ilvl w:val="1"/>
          <w:numId w:val="12"/>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9" w:lineRule="exact"/>
        <w:rPr>
          <w:rFonts w:ascii="Arial" w:cs="Arial" w:eastAsia="Arial" w:hAnsi="Arial"/>
          <w:sz w:val="13"/>
          <w:szCs w:val="13"/>
          <w:color w:val="auto"/>
        </w:rPr>
      </w:pPr>
    </w:p>
    <w:p>
      <w:pPr>
        <w:ind w:left="1240" w:right="20" w:hanging="327"/>
        <w:spacing w:after="0" w:line="276" w:lineRule="auto"/>
        <w:tabs>
          <w:tab w:leader="none" w:pos="1240" w:val="left"/>
        </w:tabs>
        <w:numPr>
          <w:ilvl w:val="1"/>
          <w:numId w:val="12"/>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9" w:lineRule="exact"/>
        <w:rPr>
          <w:rFonts w:ascii="Arial" w:cs="Arial" w:eastAsia="Arial" w:hAnsi="Arial"/>
          <w:sz w:val="13"/>
          <w:szCs w:val="13"/>
          <w:color w:val="auto"/>
        </w:rPr>
      </w:pPr>
    </w:p>
    <w:p>
      <w:pPr>
        <w:ind w:left="560" w:right="360" w:hanging="335"/>
        <w:spacing w:after="0" w:line="276" w:lineRule="auto"/>
        <w:tabs>
          <w:tab w:leader="none" w:pos="560" w:val="left"/>
        </w:tabs>
        <w:numPr>
          <w:ilvl w:val="0"/>
          <w:numId w:val="12"/>
        </w:numPr>
        <w:rPr>
          <w:rFonts w:ascii="Arial" w:cs="Arial" w:eastAsia="Arial" w:hAnsi="Arial"/>
          <w:sz w:val="13"/>
          <w:szCs w:val="13"/>
          <w:color w:val="auto"/>
        </w:rPr>
      </w:pPr>
      <w:r>
        <w:rPr>
          <w:rFonts w:ascii="Arial" w:cs="Arial" w:eastAsia="Arial" w:hAnsi="Arial"/>
          <w:sz w:val="13"/>
          <w:szCs w:val="13"/>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equivalent functions):</w:t>
      </w:r>
    </w:p>
    <w:p>
      <w:pPr>
        <w:spacing w:after="0" w:line="49" w:lineRule="exact"/>
        <w:rPr>
          <w:rFonts w:ascii="Arial" w:cs="Arial" w:eastAsia="Arial" w:hAnsi="Arial"/>
          <w:sz w:val="13"/>
          <w:szCs w:val="13"/>
          <w:color w:val="auto"/>
        </w:rPr>
      </w:pPr>
    </w:p>
    <w:p>
      <w:pPr>
        <w:ind w:left="1240" w:right="100" w:hanging="327"/>
        <w:spacing w:after="0" w:line="276" w:lineRule="auto"/>
        <w:tabs>
          <w:tab w:leader="none" w:pos="1240" w:val="left"/>
        </w:tabs>
        <w:numPr>
          <w:ilvl w:val="1"/>
          <w:numId w:val="12"/>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9" w:lineRule="exact"/>
        <w:rPr>
          <w:rFonts w:ascii="Arial" w:cs="Arial" w:eastAsia="Arial" w:hAnsi="Arial"/>
          <w:sz w:val="13"/>
          <w:szCs w:val="13"/>
          <w:color w:val="auto"/>
        </w:rPr>
      </w:pPr>
    </w:p>
    <w:p>
      <w:pPr>
        <w:ind w:left="1240" w:hanging="327"/>
        <w:spacing w:after="0"/>
        <w:tabs>
          <w:tab w:leader="none" w:pos="1240" w:val="left"/>
        </w:tabs>
        <w:numPr>
          <w:ilvl w:val="1"/>
          <w:numId w:val="12"/>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auto"/>
        </w:rPr>
        <w:t>Date: November 8, 2006</w:t>
      </w:r>
    </w:p>
    <w:p>
      <w:pPr>
        <w:spacing w:after="0" w:line="165" w:lineRule="exact"/>
        <w:rPr>
          <w:sz w:val="20"/>
          <w:szCs w:val="20"/>
          <w:color w:val="auto"/>
        </w:rPr>
      </w:pPr>
    </w:p>
    <w:p>
      <w:pPr>
        <w:ind w:left="6200"/>
        <w:spacing w:after="0"/>
        <w:rPr>
          <w:sz w:val="20"/>
          <w:szCs w:val="20"/>
          <w:color w:val="auto"/>
        </w:rPr>
      </w:pPr>
      <w:r>
        <w:rPr>
          <w:rFonts w:ascii="Arial" w:cs="Arial" w:eastAsia="Arial" w:hAnsi="Arial"/>
          <w:sz w:val="13"/>
          <w:szCs w:val="13"/>
          <w:color w:val="auto"/>
        </w:rPr>
        <w:t>/s/ ROY VALLEE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3937635</wp:posOffset>
            </wp:positionH>
            <wp:positionV relativeFrom="paragraph">
              <wp:posOffset>10795</wp:posOffset>
            </wp:positionV>
            <wp:extent cx="2621280" cy="63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621280" cy="6350"/>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Arial" w:cs="Arial" w:eastAsia="Arial" w:hAnsi="Arial"/>
          <w:sz w:val="13"/>
          <w:szCs w:val="13"/>
          <w:color w:val="auto"/>
        </w:rPr>
        <w:t>Roy Vallee</w:t>
      </w:r>
    </w:p>
    <w:p>
      <w:pPr>
        <w:spacing w:after="0" w:line="15" w:lineRule="exact"/>
        <w:rPr>
          <w:sz w:val="20"/>
          <w:szCs w:val="20"/>
          <w:color w:val="auto"/>
        </w:rPr>
      </w:pPr>
    </w:p>
    <w:p>
      <w:pPr>
        <w:ind w:left="6200"/>
        <w:spacing w:after="0"/>
        <w:rPr>
          <w:sz w:val="20"/>
          <w:szCs w:val="20"/>
          <w:color w:val="auto"/>
        </w:rPr>
      </w:pPr>
      <w:r>
        <w:rPr>
          <w:rFonts w:ascii="Arial" w:cs="Arial" w:eastAsia="Arial" w:hAnsi="Arial"/>
          <w:sz w:val="13"/>
          <w:szCs w:val="13"/>
          <w:color w:val="auto"/>
        </w:rPr>
        <w:t>Chief Executive Officer</w:t>
      </w:r>
    </w:p>
    <w:p>
      <w:pPr>
        <w:sectPr>
          <w:pgSz w:w="11900" w:h="16838" w:orient="portrait"/>
          <w:cols w:equalWidth="0" w:num="1">
            <w:col w:w="11460"/>
          </w:cols>
          <w:pgMar w:left="220" w:top="720" w:right="219" w:bottom="1440" w:gutter="0" w:footer="0" w:header="0"/>
        </w:sectPr>
      </w:pPr>
    </w:p>
    <w:bookmarkStart w:id="32" w:name="page33"/>
    <w:bookmarkEnd w:id="32"/>
    <w:p>
      <w:pPr>
        <w:jc w:val="right"/>
        <w:spacing w:after="0"/>
        <w:rPr>
          <w:sz w:val="20"/>
          <w:szCs w:val="20"/>
          <w:color w:val="auto"/>
        </w:rPr>
      </w:pPr>
      <w:r>
        <w:rPr>
          <w:rFonts w:ascii="Arial" w:cs="Arial" w:eastAsia="Arial" w:hAnsi="Arial"/>
          <w:sz w:val="13"/>
          <w:szCs w:val="13"/>
          <w:color w:val="auto"/>
        </w:rPr>
        <w:t>Exhibit 31.2</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OF CHIEF FINANCIAL OFFICER</w:t>
      </w:r>
    </w:p>
    <w:p>
      <w:pPr>
        <w:spacing w:after="0" w:line="90" w:lineRule="exact"/>
        <w:rPr>
          <w:sz w:val="20"/>
          <w:szCs w:val="20"/>
          <w:color w:val="auto"/>
        </w:rPr>
      </w:pPr>
    </w:p>
    <w:p>
      <w:pPr>
        <w:spacing w:after="0"/>
        <w:rPr>
          <w:sz w:val="20"/>
          <w:szCs w:val="20"/>
          <w:color w:val="auto"/>
        </w:rPr>
      </w:pPr>
      <w:r>
        <w:rPr>
          <w:rFonts w:ascii="Arial" w:cs="Arial" w:eastAsia="Arial" w:hAnsi="Arial"/>
          <w:sz w:val="13"/>
          <w:szCs w:val="13"/>
          <w:color w:val="auto"/>
        </w:rPr>
        <w:t>I, Raymond Sadowski, Chief Financial Officer of Avnet, Inc., certify that:</w:t>
      </w:r>
    </w:p>
    <w:p>
      <w:pPr>
        <w:spacing w:after="0" w:line="86" w:lineRule="exact"/>
        <w:rPr>
          <w:sz w:val="20"/>
          <w:szCs w:val="20"/>
          <w:color w:val="auto"/>
        </w:rPr>
      </w:pPr>
    </w:p>
    <w:p>
      <w:pPr>
        <w:ind w:left="560" w:hanging="335"/>
        <w:spacing w:after="0"/>
        <w:tabs>
          <w:tab w:leader="none" w:pos="560" w:val="left"/>
        </w:tabs>
        <w:numPr>
          <w:ilvl w:val="0"/>
          <w:numId w:val="13"/>
        </w:numPr>
        <w:rPr>
          <w:rFonts w:ascii="Arial" w:cs="Arial" w:eastAsia="Arial" w:hAnsi="Arial"/>
          <w:sz w:val="13"/>
          <w:szCs w:val="13"/>
          <w:color w:val="auto"/>
        </w:rPr>
      </w:pPr>
      <w:r>
        <w:rPr>
          <w:rFonts w:ascii="Arial" w:cs="Arial" w:eastAsia="Arial" w:hAnsi="Arial"/>
          <w:sz w:val="13"/>
          <w:szCs w:val="13"/>
          <w:color w:val="auto"/>
        </w:rPr>
        <w:t>I have reviewed this quarterly report on Form 10-Q of Avnet, Inc.;</w:t>
      </w:r>
    </w:p>
    <w:p>
      <w:pPr>
        <w:spacing w:after="0" w:line="96" w:lineRule="exact"/>
        <w:rPr>
          <w:rFonts w:ascii="Arial" w:cs="Arial" w:eastAsia="Arial" w:hAnsi="Arial"/>
          <w:sz w:val="13"/>
          <w:szCs w:val="13"/>
          <w:color w:val="auto"/>
        </w:rPr>
      </w:pPr>
    </w:p>
    <w:p>
      <w:pPr>
        <w:ind w:left="560" w:right="140" w:hanging="335"/>
        <w:spacing w:after="0" w:line="276" w:lineRule="auto"/>
        <w:tabs>
          <w:tab w:leader="none" w:pos="560" w:val="left"/>
        </w:tabs>
        <w:numPr>
          <w:ilvl w:val="0"/>
          <w:numId w:val="13"/>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3"/>
          <w:szCs w:val="13"/>
          <w:color w:val="auto"/>
        </w:rPr>
      </w:pPr>
    </w:p>
    <w:p>
      <w:pPr>
        <w:ind w:left="560" w:right="160" w:hanging="335"/>
        <w:spacing w:after="0" w:line="276" w:lineRule="auto"/>
        <w:tabs>
          <w:tab w:leader="none" w:pos="560" w:val="left"/>
        </w:tabs>
        <w:numPr>
          <w:ilvl w:val="0"/>
          <w:numId w:val="13"/>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9" w:lineRule="exact"/>
        <w:rPr>
          <w:rFonts w:ascii="Arial" w:cs="Arial" w:eastAsia="Arial" w:hAnsi="Arial"/>
          <w:sz w:val="13"/>
          <w:szCs w:val="13"/>
          <w:color w:val="auto"/>
        </w:rPr>
      </w:pPr>
    </w:p>
    <w:p>
      <w:pPr>
        <w:ind w:left="560" w:right="160" w:hanging="335"/>
        <w:spacing w:after="0" w:line="276" w:lineRule="auto"/>
        <w:tabs>
          <w:tab w:leader="none" w:pos="560" w:val="left"/>
        </w:tabs>
        <w:numPr>
          <w:ilvl w:val="0"/>
          <w:numId w:val="13"/>
        </w:numPr>
        <w:rPr>
          <w:rFonts w:ascii="Arial" w:cs="Arial" w:eastAsia="Arial" w:hAnsi="Arial"/>
          <w:sz w:val="13"/>
          <w:szCs w:val="13"/>
          <w:color w:val="auto"/>
        </w:rPr>
      </w:pPr>
      <w:r>
        <w:rPr>
          <w:rFonts w:ascii="Arial" w:cs="Arial" w:eastAsia="Arial" w:hAnsi="Arial"/>
          <w:sz w:val="13"/>
          <w:szCs w:val="13"/>
          <w:color w:val="auto"/>
        </w:rPr>
        <w:t>The registrant’s other certifying officer(s) and I are responsible for establishing and maintaining disclosure controls and procedures (as such term is defined in Exchange Act Rules 13a-15(e) and 15d-15(e)) and internal control over financial reporting (as defined in Exchange Act Rules 13a-15(f) and 15d-15(f)) for the registrant and have:</w:t>
      </w:r>
    </w:p>
    <w:p>
      <w:pPr>
        <w:spacing w:after="0" w:line="49" w:lineRule="exact"/>
        <w:rPr>
          <w:rFonts w:ascii="Arial" w:cs="Arial" w:eastAsia="Arial" w:hAnsi="Arial"/>
          <w:sz w:val="13"/>
          <w:szCs w:val="13"/>
          <w:color w:val="auto"/>
        </w:rPr>
      </w:pPr>
    </w:p>
    <w:p>
      <w:pPr>
        <w:ind w:left="1240" w:right="340" w:hanging="327"/>
        <w:spacing w:after="0" w:line="320" w:lineRule="auto"/>
        <w:tabs>
          <w:tab w:leader="none" w:pos="1240" w:val="left"/>
        </w:tabs>
        <w:numPr>
          <w:ilvl w:val="1"/>
          <w:numId w:val="13"/>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5" w:lineRule="exact"/>
        <w:rPr>
          <w:rFonts w:ascii="Arial" w:cs="Arial" w:eastAsia="Arial" w:hAnsi="Arial"/>
          <w:sz w:val="12"/>
          <w:szCs w:val="12"/>
          <w:color w:val="auto"/>
        </w:rPr>
      </w:pPr>
    </w:p>
    <w:p>
      <w:pPr>
        <w:ind w:left="1240" w:hanging="327"/>
        <w:spacing w:after="0" w:line="320" w:lineRule="auto"/>
        <w:tabs>
          <w:tab w:leader="none" w:pos="1240" w:val="left"/>
        </w:tabs>
        <w:numPr>
          <w:ilvl w:val="1"/>
          <w:numId w:val="13"/>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5" w:lineRule="exact"/>
        <w:rPr>
          <w:rFonts w:ascii="Arial" w:cs="Arial" w:eastAsia="Arial" w:hAnsi="Arial"/>
          <w:sz w:val="12"/>
          <w:szCs w:val="12"/>
          <w:color w:val="auto"/>
        </w:rPr>
      </w:pPr>
    </w:p>
    <w:p>
      <w:pPr>
        <w:ind w:left="1240" w:right="100" w:hanging="327"/>
        <w:spacing w:after="0" w:line="276" w:lineRule="auto"/>
        <w:tabs>
          <w:tab w:leader="none" w:pos="1240" w:val="left"/>
        </w:tabs>
        <w:numPr>
          <w:ilvl w:val="1"/>
          <w:numId w:val="13"/>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9" w:lineRule="exact"/>
        <w:rPr>
          <w:rFonts w:ascii="Arial" w:cs="Arial" w:eastAsia="Arial" w:hAnsi="Arial"/>
          <w:sz w:val="13"/>
          <w:szCs w:val="13"/>
          <w:color w:val="auto"/>
        </w:rPr>
      </w:pPr>
    </w:p>
    <w:p>
      <w:pPr>
        <w:ind w:left="1240" w:right="20" w:hanging="327"/>
        <w:spacing w:after="0" w:line="276" w:lineRule="auto"/>
        <w:tabs>
          <w:tab w:leader="none" w:pos="1240" w:val="left"/>
        </w:tabs>
        <w:numPr>
          <w:ilvl w:val="1"/>
          <w:numId w:val="13"/>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9" w:lineRule="exact"/>
        <w:rPr>
          <w:rFonts w:ascii="Arial" w:cs="Arial" w:eastAsia="Arial" w:hAnsi="Arial"/>
          <w:sz w:val="13"/>
          <w:szCs w:val="13"/>
          <w:color w:val="auto"/>
        </w:rPr>
      </w:pPr>
    </w:p>
    <w:p>
      <w:pPr>
        <w:ind w:left="560" w:right="360" w:hanging="335"/>
        <w:spacing w:after="0" w:line="276" w:lineRule="auto"/>
        <w:tabs>
          <w:tab w:leader="none" w:pos="560" w:val="left"/>
        </w:tabs>
        <w:numPr>
          <w:ilvl w:val="0"/>
          <w:numId w:val="13"/>
        </w:numPr>
        <w:rPr>
          <w:rFonts w:ascii="Arial" w:cs="Arial" w:eastAsia="Arial" w:hAnsi="Arial"/>
          <w:sz w:val="13"/>
          <w:szCs w:val="13"/>
          <w:color w:val="auto"/>
        </w:rPr>
      </w:pPr>
      <w:r>
        <w:rPr>
          <w:rFonts w:ascii="Arial" w:cs="Arial" w:eastAsia="Arial" w:hAnsi="Arial"/>
          <w:sz w:val="13"/>
          <w:szCs w:val="13"/>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equivalent functions):</w:t>
      </w:r>
    </w:p>
    <w:p>
      <w:pPr>
        <w:spacing w:after="0" w:line="49" w:lineRule="exact"/>
        <w:rPr>
          <w:rFonts w:ascii="Arial" w:cs="Arial" w:eastAsia="Arial" w:hAnsi="Arial"/>
          <w:sz w:val="13"/>
          <w:szCs w:val="13"/>
          <w:color w:val="auto"/>
        </w:rPr>
      </w:pPr>
    </w:p>
    <w:p>
      <w:pPr>
        <w:ind w:left="1240" w:right="100" w:hanging="327"/>
        <w:spacing w:after="0" w:line="276" w:lineRule="auto"/>
        <w:tabs>
          <w:tab w:leader="none" w:pos="1240" w:val="left"/>
        </w:tabs>
        <w:numPr>
          <w:ilvl w:val="1"/>
          <w:numId w:val="13"/>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9" w:lineRule="exact"/>
        <w:rPr>
          <w:rFonts w:ascii="Arial" w:cs="Arial" w:eastAsia="Arial" w:hAnsi="Arial"/>
          <w:sz w:val="13"/>
          <w:szCs w:val="13"/>
          <w:color w:val="auto"/>
        </w:rPr>
      </w:pPr>
    </w:p>
    <w:p>
      <w:pPr>
        <w:ind w:left="1240" w:hanging="327"/>
        <w:spacing w:after="0"/>
        <w:tabs>
          <w:tab w:leader="none" w:pos="1240" w:val="left"/>
        </w:tabs>
        <w:numPr>
          <w:ilvl w:val="1"/>
          <w:numId w:val="13"/>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auto"/>
        </w:rPr>
        <w:t>Date: November 8, 2006</w:t>
      </w:r>
    </w:p>
    <w:p>
      <w:pPr>
        <w:spacing w:after="0" w:line="165" w:lineRule="exact"/>
        <w:rPr>
          <w:sz w:val="20"/>
          <w:szCs w:val="20"/>
          <w:color w:val="auto"/>
        </w:rPr>
      </w:pPr>
    </w:p>
    <w:p>
      <w:pPr>
        <w:ind w:left="6200"/>
        <w:spacing w:after="0"/>
        <w:rPr>
          <w:sz w:val="20"/>
          <w:szCs w:val="20"/>
          <w:color w:val="auto"/>
        </w:rPr>
      </w:pPr>
      <w:r>
        <w:rPr>
          <w:rFonts w:ascii="Arial" w:cs="Arial" w:eastAsia="Arial" w:hAnsi="Arial"/>
          <w:sz w:val="13"/>
          <w:szCs w:val="13"/>
          <w:color w:val="auto"/>
        </w:rPr>
        <w:t>/s/ RAYMOND SADOWSKI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3937635</wp:posOffset>
            </wp:positionH>
            <wp:positionV relativeFrom="paragraph">
              <wp:posOffset>10795</wp:posOffset>
            </wp:positionV>
            <wp:extent cx="2621280" cy="63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621280" cy="6350"/>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Arial" w:cs="Arial" w:eastAsia="Arial" w:hAnsi="Arial"/>
          <w:sz w:val="13"/>
          <w:szCs w:val="13"/>
          <w:color w:val="auto"/>
        </w:rPr>
        <w:t>Raymond Sadowski</w:t>
      </w:r>
    </w:p>
    <w:p>
      <w:pPr>
        <w:spacing w:after="0" w:line="15" w:lineRule="exact"/>
        <w:rPr>
          <w:sz w:val="20"/>
          <w:szCs w:val="20"/>
          <w:color w:val="auto"/>
        </w:rPr>
      </w:pPr>
    </w:p>
    <w:p>
      <w:pPr>
        <w:ind w:left="6200"/>
        <w:spacing w:after="0"/>
        <w:rPr>
          <w:sz w:val="20"/>
          <w:szCs w:val="20"/>
          <w:color w:val="auto"/>
        </w:rPr>
      </w:pPr>
      <w:r>
        <w:rPr>
          <w:rFonts w:ascii="Arial" w:cs="Arial" w:eastAsia="Arial" w:hAnsi="Arial"/>
          <w:sz w:val="13"/>
          <w:szCs w:val="13"/>
          <w:color w:val="auto"/>
        </w:rPr>
        <w:t>Chief Financial Officer</w:t>
      </w:r>
    </w:p>
    <w:p>
      <w:pPr>
        <w:sectPr>
          <w:pgSz w:w="11900" w:h="16838" w:orient="portrait"/>
          <w:cols w:equalWidth="0" w:num="1">
            <w:col w:w="11460"/>
          </w:cols>
          <w:pgMar w:left="220" w:top="720" w:right="219" w:bottom="1440" w:gutter="0" w:footer="0" w:header="0"/>
        </w:sectPr>
      </w:pPr>
    </w:p>
    <w:bookmarkStart w:id="33" w:name="page34"/>
    <w:bookmarkEnd w:id="33"/>
    <w:p>
      <w:pPr>
        <w:jc w:val="right"/>
        <w:spacing w:after="0"/>
        <w:rPr>
          <w:sz w:val="20"/>
          <w:szCs w:val="20"/>
          <w:color w:val="auto"/>
        </w:rPr>
      </w:pPr>
      <w:r>
        <w:rPr>
          <w:rFonts w:ascii="Arial" w:cs="Arial" w:eastAsia="Arial" w:hAnsi="Arial"/>
          <w:sz w:val="13"/>
          <w:szCs w:val="13"/>
          <w:color w:val="auto"/>
        </w:rPr>
        <w:t>Exhibit 32.1</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w:t>
      </w:r>
      <w:r>
        <w:rPr>
          <w:rFonts w:ascii="Arial" w:cs="Arial" w:eastAsia="Arial" w:hAnsi="Arial"/>
          <w:sz w:val="8"/>
          <w:szCs w:val="8"/>
          <w:b w:val="1"/>
          <w:bCs w:val="1"/>
          <w:color w:val="auto"/>
        </w:rPr>
        <w:t>ERTIFICATION</w:t>
      </w:r>
      <w:r>
        <w:rPr>
          <w:rFonts w:ascii="Arial" w:cs="Arial" w:eastAsia="Arial" w:hAnsi="Arial"/>
          <w:sz w:val="13"/>
          <w:szCs w:val="13"/>
          <w:b w:val="1"/>
          <w:bCs w:val="1"/>
          <w:color w:val="auto"/>
        </w:rPr>
        <w:t xml:space="preserve"> P</w:t>
      </w:r>
      <w:r>
        <w:rPr>
          <w:rFonts w:ascii="Arial" w:cs="Arial" w:eastAsia="Arial" w:hAnsi="Arial"/>
          <w:sz w:val="8"/>
          <w:szCs w:val="8"/>
          <w:b w:val="1"/>
          <w:bCs w:val="1"/>
          <w:color w:val="auto"/>
        </w:rPr>
        <w:t>URSUANT TO</w:t>
      </w:r>
      <w:r>
        <w:rPr>
          <w:rFonts w:ascii="Arial" w:cs="Arial" w:eastAsia="Arial" w:hAnsi="Arial"/>
          <w:sz w:val="13"/>
          <w:szCs w:val="13"/>
          <w:b w:val="1"/>
          <w:bCs w:val="1"/>
          <w:color w:val="auto"/>
        </w:rPr>
        <w:t xml:space="preserve"> 18 U.S.C. S</w:t>
      </w:r>
      <w:r>
        <w:rPr>
          <w:rFonts w:ascii="Arial" w:cs="Arial" w:eastAsia="Arial" w:hAnsi="Arial"/>
          <w:sz w:val="8"/>
          <w:szCs w:val="8"/>
          <w:b w:val="1"/>
          <w:bCs w:val="1"/>
          <w:color w:val="auto"/>
        </w:rPr>
        <w:t>ECTION</w:t>
      </w:r>
      <w:r>
        <w:rPr>
          <w:rFonts w:ascii="Arial" w:cs="Arial" w:eastAsia="Arial" w:hAnsi="Arial"/>
          <w:sz w:val="13"/>
          <w:szCs w:val="13"/>
          <w:b w:val="1"/>
          <w:bCs w:val="1"/>
          <w:color w:val="auto"/>
        </w:rPr>
        <w:t xml:space="preserve"> 1350</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8"/>
          <w:szCs w:val="8"/>
          <w:b w:val="1"/>
          <w:bCs w:val="1"/>
          <w:color w:val="auto"/>
        </w:rPr>
        <w:t>AS ADOPTED PURSUANT TO</w:t>
      </w:r>
      <w:r>
        <w:rPr>
          <w:rFonts w:ascii="Arial" w:cs="Arial" w:eastAsia="Arial" w:hAnsi="Arial"/>
          <w:sz w:val="13"/>
          <w:szCs w:val="13"/>
          <w:b w:val="1"/>
          <w:bCs w:val="1"/>
          <w:color w:val="auto"/>
        </w:rPr>
        <w:t xml:space="preserve"> S</w:t>
      </w:r>
      <w:r>
        <w:rPr>
          <w:rFonts w:ascii="Arial" w:cs="Arial" w:eastAsia="Arial" w:hAnsi="Arial"/>
          <w:sz w:val="8"/>
          <w:szCs w:val="8"/>
          <w:b w:val="1"/>
          <w:bCs w:val="1"/>
          <w:color w:val="auto"/>
        </w:rPr>
        <w:t>ECTION</w:t>
      </w:r>
      <w:r>
        <w:rPr>
          <w:rFonts w:ascii="Arial" w:cs="Arial" w:eastAsia="Arial" w:hAnsi="Arial"/>
          <w:sz w:val="13"/>
          <w:szCs w:val="13"/>
          <w:b w:val="1"/>
          <w:bCs w:val="1"/>
          <w:color w:val="auto"/>
        </w:rPr>
        <w:t xml:space="preserve"> 906 </w:t>
      </w:r>
      <w:r>
        <w:rPr>
          <w:rFonts w:ascii="Arial" w:cs="Arial" w:eastAsia="Arial" w:hAnsi="Arial"/>
          <w:sz w:val="8"/>
          <w:szCs w:val="8"/>
          <w:b w:val="1"/>
          <w:bCs w:val="1"/>
          <w:color w:val="auto"/>
        </w:rPr>
        <w:t>OF THE</w:t>
      </w:r>
      <w:r>
        <w:rPr>
          <w:rFonts w:ascii="Arial" w:cs="Arial" w:eastAsia="Arial" w:hAnsi="Arial"/>
          <w:sz w:val="13"/>
          <w:szCs w:val="13"/>
          <w:b w:val="1"/>
          <w:bCs w:val="1"/>
          <w:color w:val="auto"/>
        </w:rPr>
        <w:t xml:space="preserve"> S</w:t>
      </w:r>
      <w:r>
        <w:rPr>
          <w:rFonts w:ascii="Arial" w:cs="Arial" w:eastAsia="Arial" w:hAnsi="Arial"/>
          <w:sz w:val="8"/>
          <w:szCs w:val="8"/>
          <w:b w:val="1"/>
          <w:bCs w:val="1"/>
          <w:color w:val="auto"/>
        </w:rPr>
        <w:t>ARBANES</w:t>
      </w:r>
      <w:r>
        <w:rPr>
          <w:rFonts w:ascii="Arial" w:cs="Arial" w:eastAsia="Arial" w:hAnsi="Arial"/>
          <w:sz w:val="13"/>
          <w:szCs w:val="13"/>
          <w:b w:val="1"/>
          <w:bCs w:val="1"/>
          <w:color w:val="auto"/>
        </w:rPr>
        <w:t>-O</w:t>
      </w:r>
      <w:r>
        <w:rPr>
          <w:rFonts w:ascii="Arial" w:cs="Arial" w:eastAsia="Arial" w:hAnsi="Arial"/>
          <w:sz w:val="8"/>
          <w:szCs w:val="8"/>
          <w:b w:val="1"/>
          <w:bCs w:val="1"/>
          <w:color w:val="auto"/>
        </w:rPr>
        <w:t>XLEY</w:t>
      </w:r>
      <w:r>
        <w:rPr>
          <w:rFonts w:ascii="Arial" w:cs="Arial" w:eastAsia="Arial" w:hAnsi="Arial"/>
          <w:sz w:val="13"/>
          <w:szCs w:val="13"/>
          <w:b w:val="1"/>
          <w:bCs w:val="1"/>
          <w:color w:val="auto"/>
        </w:rPr>
        <w:t xml:space="preserve"> A</w:t>
      </w:r>
      <w:r>
        <w:rPr>
          <w:rFonts w:ascii="Arial" w:cs="Arial" w:eastAsia="Arial" w:hAnsi="Arial"/>
          <w:sz w:val="8"/>
          <w:szCs w:val="8"/>
          <w:b w:val="1"/>
          <w:bCs w:val="1"/>
          <w:color w:val="auto"/>
        </w:rPr>
        <w:t>CT OF</w:t>
      </w:r>
      <w:r>
        <w:rPr>
          <w:rFonts w:ascii="Arial" w:cs="Arial" w:eastAsia="Arial" w:hAnsi="Arial"/>
          <w:sz w:val="13"/>
          <w:szCs w:val="13"/>
          <w:b w:val="1"/>
          <w:bCs w:val="1"/>
          <w:color w:val="auto"/>
        </w:rPr>
        <w:t xml:space="preserve"> 2002)</w:t>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color w:val="auto"/>
        </w:rPr>
        <w:t>In connection with the Quarterly Report on Form 10-Q for the period ended September 30, 2006 (the “Report”), I, Roy Vallee, Chief Executive Officer of Avnet, Inc., (the “Company”) hereby certify that:</w:t>
      </w:r>
    </w:p>
    <w:p>
      <w:pPr>
        <w:spacing w:after="0" w:line="86" w:lineRule="exact"/>
        <w:rPr>
          <w:sz w:val="20"/>
          <w:szCs w:val="20"/>
          <w:color w:val="auto"/>
        </w:rPr>
      </w:pPr>
    </w:p>
    <w:p>
      <w:pPr>
        <w:ind w:left="780" w:hanging="329"/>
        <w:spacing w:after="0"/>
        <w:tabs>
          <w:tab w:leader="none" w:pos="7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The Report fully complies with the requirements of Section 13(a) or 15(d), as applicable, of the Securities Exchange Act of 1934; and</w:t>
      </w:r>
    </w:p>
    <w:p>
      <w:pPr>
        <w:spacing w:after="0" w:line="96" w:lineRule="exact"/>
        <w:rPr>
          <w:rFonts w:ascii="Arial" w:cs="Arial" w:eastAsia="Arial" w:hAnsi="Arial"/>
          <w:sz w:val="13"/>
          <w:szCs w:val="13"/>
          <w:color w:val="auto"/>
        </w:rPr>
      </w:pPr>
    </w:p>
    <w:p>
      <w:pPr>
        <w:ind w:left="780" w:hanging="329"/>
        <w:spacing w:after="0"/>
        <w:tabs>
          <w:tab w:leader="none" w:pos="7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results of operations of the Company.</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auto"/>
        </w:rPr>
        <w:t>Date: November 8, 2006</w:t>
      </w:r>
    </w:p>
    <w:p>
      <w:pPr>
        <w:spacing w:after="0" w:line="165" w:lineRule="exact"/>
        <w:rPr>
          <w:sz w:val="20"/>
          <w:szCs w:val="20"/>
          <w:color w:val="auto"/>
        </w:rPr>
      </w:pPr>
    </w:p>
    <w:p>
      <w:pPr>
        <w:ind w:left="6200"/>
        <w:spacing w:after="0"/>
        <w:rPr>
          <w:sz w:val="20"/>
          <w:szCs w:val="20"/>
          <w:color w:val="auto"/>
        </w:rPr>
      </w:pPr>
      <w:r>
        <w:rPr>
          <w:rFonts w:ascii="Arial" w:cs="Arial" w:eastAsia="Arial" w:hAnsi="Arial"/>
          <w:sz w:val="13"/>
          <w:szCs w:val="13"/>
          <w:color w:val="auto"/>
        </w:rPr>
        <w:t>/s/ ROY VALLEE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3937635</wp:posOffset>
            </wp:positionH>
            <wp:positionV relativeFrom="paragraph">
              <wp:posOffset>10795</wp:posOffset>
            </wp:positionV>
            <wp:extent cx="2621280" cy="63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621280" cy="6350"/>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Arial" w:cs="Arial" w:eastAsia="Arial" w:hAnsi="Arial"/>
          <w:sz w:val="13"/>
          <w:szCs w:val="13"/>
          <w:color w:val="auto"/>
        </w:rPr>
        <w:t>Roy Vallee</w:t>
      </w:r>
    </w:p>
    <w:p>
      <w:pPr>
        <w:spacing w:after="0" w:line="15" w:lineRule="exact"/>
        <w:rPr>
          <w:sz w:val="20"/>
          <w:szCs w:val="20"/>
          <w:color w:val="auto"/>
        </w:rPr>
      </w:pPr>
    </w:p>
    <w:p>
      <w:pPr>
        <w:ind w:left="6200"/>
        <w:spacing w:after="0"/>
        <w:rPr>
          <w:sz w:val="20"/>
          <w:szCs w:val="20"/>
          <w:color w:val="auto"/>
        </w:rPr>
      </w:pPr>
      <w:r>
        <w:rPr>
          <w:rFonts w:ascii="Arial" w:cs="Arial" w:eastAsia="Arial" w:hAnsi="Arial"/>
          <w:sz w:val="13"/>
          <w:szCs w:val="13"/>
          <w:color w:val="auto"/>
        </w:rPr>
        <w:t>Chief Executive Officer</w:t>
      </w:r>
    </w:p>
    <w:p>
      <w:pPr>
        <w:spacing w:after="0" w:line="79" w:lineRule="exact"/>
        <w:rPr>
          <w:sz w:val="20"/>
          <w:szCs w:val="20"/>
          <w:color w:val="auto"/>
        </w:rPr>
      </w:pPr>
    </w:p>
    <w:p>
      <w:pPr>
        <w:ind w:right="20"/>
        <w:spacing w:after="0" w:line="296" w:lineRule="auto"/>
        <w:rPr>
          <w:sz w:val="20"/>
          <w:szCs w:val="20"/>
          <w:color w:val="auto"/>
        </w:rPr>
      </w:pPr>
      <w:r>
        <w:rPr>
          <w:rFonts w:ascii="Arial" w:cs="Arial" w:eastAsia="Arial" w:hAnsi="Arial"/>
          <w:sz w:val="12"/>
          <w:szCs w:val="12"/>
          <w:color w:val="auto"/>
        </w:rPr>
        <w:t>A signed original of this written statement required by Section 906 of the Sarbanes-Oxley Act of 2002 has been provided to the Company and will be retained by the Company and furnished to the Securities and Exchange Commission or its staff upon request. This certification will not be deemed “filed” for purposes of Section 18 of the Exchange Act, or otherwise subject to the liability of that section. Nor will this certification be deemed to be incorporated by reference into any filing under the Securities Act or the Exchange Act, except to the extent that the registrant specifically incorporates it by reference.</w:t>
      </w:r>
    </w:p>
    <w:p>
      <w:pPr>
        <w:sectPr>
          <w:pgSz w:w="11900" w:h="16838" w:orient="portrait"/>
          <w:cols w:equalWidth="0" w:num="1">
            <w:col w:w="11460"/>
          </w:cols>
          <w:pgMar w:left="220" w:top="720" w:right="219" w:bottom="1440" w:gutter="0" w:footer="0" w:header="0"/>
        </w:sectPr>
      </w:pPr>
    </w:p>
    <w:bookmarkStart w:id="34" w:name="page35"/>
    <w:bookmarkEnd w:id="34"/>
    <w:p>
      <w:pPr>
        <w:jc w:val="right"/>
        <w:spacing w:after="0"/>
        <w:rPr>
          <w:sz w:val="20"/>
          <w:szCs w:val="20"/>
          <w:color w:val="auto"/>
        </w:rPr>
      </w:pPr>
      <w:r>
        <w:rPr>
          <w:rFonts w:ascii="Arial" w:cs="Arial" w:eastAsia="Arial" w:hAnsi="Arial"/>
          <w:sz w:val="13"/>
          <w:szCs w:val="13"/>
          <w:color w:val="auto"/>
        </w:rPr>
        <w:t>Exhibit 32.2</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w:t>
      </w:r>
      <w:r>
        <w:rPr>
          <w:rFonts w:ascii="Arial" w:cs="Arial" w:eastAsia="Arial" w:hAnsi="Arial"/>
          <w:sz w:val="8"/>
          <w:szCs w:val="8"/>
          <w:b w:val="1"/>
          <w:bCs w:val="1"/>
          <w:color w:val="auto"/>
        </w:rPr>
        <w:t>ERTIFICATION</w:t>
      </w:r>
      <w:r>
        <w:rPr>
          <w:rFonts w:ascii="Arial" w:cs="Arial" w:eastAsia="Arial" w:hAnsi="Arial"/>
          <w:sz w:val="13"/>
          <w:szCs w:val="13"/>
          <w:b w:val="1"/>
          <w:bCs w:val="1"/>
          <w:color w:val="auto"/>
        </w:rPr>
        <w:t xml:space="preserve"> P</w:t>
      </w:r>
      <w:r>
        <w:rPr>
          <w:rFonts w:ascii="Arial" w:cs="Arial" w:eastAsia="Arial" w:hAnsi="Arial"/>
          <w:sz w:val="8"/>
          <w:szCs w:val="8"/>
          <w:b w:val="1"/>
          <w:bCs w:val="1"/>
          <w:color w:val="auto"/>
        </w:rPr>
        <w:t>URSUANT TO</w:t>
      </w:r>
      <w:r>
        <w:rPr>
          <w:rFonts w:ascii="Arial" w:cs="Arial" w:eastAsia="Arial" w:hAnsi="Arial"/>
          <w:sz w:val="13"/>
          <w:szCs w:val="13"/>
          <w:b w:val="1"/>
          <w:bCs w:val="1"/>
          <w:color w:val="auto"/>
        </w:rPr>
        <w:t xml:space="preserve"> 18 U.S.C. S</w:t>
      </w:r>
      <w:r>
        <w:rPr>
          <w:rFonts w:ascii="Arial" w:cs="Arial" w:eastAsia="Arial" w:hAnsi="Arial"/>
          <w:sz w:val="8"/>
          <w:szCs w:val="8"/>
          <w:b w:val="1"/>
          <w:bCs w:val="1"/>
          <w:color w:val="auto"/>
        </w:rPr>
        <w:t>ECTION</w:t>
      </w:r>
      <w:r>
        <w:rPr>
          <w:rFonts w:ascii="Arial" w:cs="Arial" w:eastAsia="Arial" w:hAnsi="Arial"/>
          <w:sz w:val="13"/>
          <w:szCs w:val="13"/>
          <w:b w:val="1"/>
          <w:bCs w:val="1"/>
          <w:color w:val="auto"/>
        </w:rPr>
        <w:t xml:space="preserve"> 1350</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8"/>
          <w:szCs w:val="8"/>
          <w:b w:val="1"/>
          <w:bCs w:val="1"/>
          <w:color w:val="auto"/>
        </w:rPr>
        <w:t>AS ADOPTED PURSUANT TO</w:t>
      </w:r>
      <w:r>
        <w:rPr>
          <w:rFonts w:ascii="Arial" w:cs="Arial" w:eastAsia="Arial" w:hAnsi="Arial"/>
          <w:sz w:val="13"/>
          <w:szCs w:val="13"/>
          <w:b w:val="1"/>
          <w:bCs w:val="1"/>
          <w:color w:val="auto"/>
        </w:rPr>
        <w:t xml:space="preserve"> S</w:t>
      </w:r>
      <w:r>
        <w:rPr>
          <w:rFonts w:ascii="Arial" w:cs="Arial" w:eastAsia="Arial" w:hAnsi="Arial"/>
          <w:sz w:val="8"/>
          <w:szCs w:val="8"/>
          <w:b w:val="1"/>
          <w:bCs w:val="1"/>
          <w:color w:val="auto"/>
        </w:rPr>
        <w:t>ECTION</w:t>
      </w:r>
      <w:r>
        <w:rPr>
          <w:rFonts w:ascii="Arial" w:cs="Arial" w:eastAsia="Arial" w:hAnsi="Arial"/>
          <w:sz w:val="13"/>
          <w:szCs w:val="13"/>
          <w:b w:val="1"/>
          <w:bCs w:val="1"/>
          <w:color w:val="auto"/>
        </w:rPr>
        <w:t xml:space="preserve"> 906 </w:t>
      </w:r>
      <w:r>
        <w:rPr>
          <w:rFonts w:ascii="Arial" w:cs="Arial" w:eastAsia="Arial" w:hAnsi="Arial"/>
          <w:sz w:val="8"/>
          <w:szCs w:val="8"/>
          <w:b w:val="1"/>
          <w:bCs w:val="1"/>
          <w:color w:val="auto"/>
        </w:rPr>
        <w:t>OF THE</w:t>
      </w:r>
      <w:r>
        <w:rPr>
          <w:rFonts w:ascii="Arial" w:cs="Arial" w:eastAsia="Arial" w:hAnsi="Arial"/>
          <w:sz w:val="13"/>
          <w:szCs w:val="13"/>
          <w:b w:val="1"/>
          <w:bCs w:val="1"/>
          <w:color w:val="auto"/>
        </w:rPr>
        <w:t xml:space="preserve"> S</w:t>
      </w:r>
      <w:r>
        <w:rPr>
          <w:rFonts w:ascii="Arial" w:cs="Arial" w:eastAsia="Arial" w:hAnsi="Arial"/>
          <w:sz w:val="8"/>
          <w:szCs w:val="8"/>
          <w:b w:val="1"/>
          <w:bCs w:val="1"/>
          <w:color w:val="auto"/>
        </w:rPr>
        <w:t>ARBANES</w:t>
      </w:r>
      <w:r>
        <w:rPr>
          <w:rFonts w:ascii="Arial" w:cs="Arial" w:eastAsia="Arial" w:hAnsi="Arial"/>
          <w:sz w:val="13"/>
          <w:szCs w:val="13"/>
          <w:b w:val="1"/>
          <w:bCs w:val="1"/>
          <w:color w:val="auto"/>
        </w:rPr>
        <w:t>-O</w:t>
      </w:r>
      <w:r>
        <w:rPr>
          <w:rFonts w:ascii="Arial" w:cs="Arial" w:eastAsia="Arial" w:hAnsi="Arial"/>
          <w:sz w:val="8"/>
          <w:szCs w:val="8"/>
          <w:b w:val="1"/>
          <w:bCs w:val="1"/>
          <w:color w:val="auto"/>
        </w:rPr>
        <w:t>XLEY</w:t>
      </w:r>
      <w:r>
        <w:rPr>
          <w:rFonts w:ascii="Arial" w:cs="Arial" w:eastAsia="Arial" w:hAnsi="Arial"/>
          <w:sz w:val="13"/>
          <w:szCs w:val="13"/>
          <w:b w:val="1"/>
          <w:bCs w:val="1"/>
          <w:color w:val="auto"/>
        </w:rPr>
        <w:t xml:space="preserve"> A</w:t>
      </w:r>
      <w:r>
        <w:rPr>
          <w:rFonts w:ascii="Arial" w:cs="Arial" w:eastAsia="Arial" w:hAnsi="Arial"/>
          <w:sz w:val="8"/>
          <w:szCs w:val="8"/>
          <w:b w:val="1"/>
          <w:bCs w:val="1"/>
          <w:color w:val="auto"/>
        </w:rPr>
        <w:t>CT OF</w:t>
      </w:r>
      <w:r>
        <w:rPr>
          <w:rFonts w:ascii="Arial" w:cs="Arial" w:eastAsia="Arial" w:hAnsi="Arial"/>
          <w:sz w:val="13"/>
          <w:szCs w:val="13"/>
          <w:b w:val="1"/>
          <w:bCs w:val="1"/>
          <w:color w:val="auto"/>
        </w:rPr>
        <w:t xml:space="preserve"> 2002)</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color w:val="auto"/>
        </w:rPr>
        <w:t>In connection with the Quarterly Report on Form 10-Q for the period ended September 30, 2006 (the “Report”), I, Raymond Sadowski, Chief Financial Officer of Avnet, Inc., (the “Company”) hereby certify that:</w:t>
      </w:r>
    </w:p>
    <w:p>
      <w:pPr>
        <w:spacing w:after="0" w:line="98" w:lineRule="exact"/>
        <w:rPr>
          <w:sz w:val="20"/>
          <w:szCs w:val="20"/>
          <w:color w:val="auto"/>
        </w:rPr>
      </w:pPr>
    </w:p>
    <w:p>
      <w:pPr>
        <w:ind w:left="780" w:hanging="329"/>
        <w:spacing w:after="0"/>
        <w:tabs>
          <w:tab w:leader="none" w:pos="7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The Report fully complies with the requirements of Section 13(a) or 15(d), as applicable, of the Securities Exchange Act of 1934; and</w:t>
      </w:r>
    </w:p>
    <w:p>
      <w:pPr>
        <w:spacing w:after="0" w:line="96" w:lineRule="exact"/>
        <w:rPr>
          <w:rFonts w:ascii="Arial" w:cs="Arial" w:eastAsia="Arial" w:hAnsi="Arial"/>
          <w:sz w:val="13"/>
          <w:szCs w:val="13"/>
          <w:color w:val="auto"/>
        </w:rPr>
      </w:pPr>
    </w:p>
    <w:p>
      <w:pPr>
        <w:ind w:left="780" w:hanging="329"/>
        <w:spacing w:after="0"/>
        <w:tabs>
          <w:tab w:leader="none" w:pos="7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results of operations of the Company.</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auto"/>
        </w:rPr>
        <w:t>Date: November 8, 2006</w:t>
      </w:r>
    </w:p>
    <w:p>
      <w:pPr>
        <w:spacing w:after="0" w:line="165" w:lineRule="exact"/>
        <w:rPr>
          <w:sz w:val="20"/>
          <w:szCs w:val="20"/>
          <w:color w:val="auto"/>
        </w:rPr>
      </w:pPr>
    </w:p>
    <w:p>
      <w:pPr>
        <w:ind w:left="6200"/>
        <w:spacing w:after="0"/>
        <w:rPr>
          <w:sz w:val="20"/>
          <w:szCs w:val="20"/>
          <w:color w:val="auto"/>
        </w:rPr>
      </w:pPr>
      <w:r>
        <w:rPr>
          <w:rFonts w:ascii="Arial" w:cs="Arial" w:eastAsia="Arial" w:hAnsi="Arial"/>
          <w:sz w:val="13"/>
          <w:szCs w:val="13"/>
          <w:color w:val="auto"/>
        </w:rPr>
        <w:t>/s/ RAYMOND SADOWSKI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3937635</wp:posOffset>
            </wp:positionH>
            <wp:positionV relativeFrom="paragraph">
              <wp:posOffset>10795</wp:posOffset>
            </wp:positionV>
            <wp:extent cx="2621280" cy="63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621280" cy="6350"/>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Arial" w:cs="Arial" w:eastAsia="Arial" w:hAnsi="Arial"/>
          <w:sz w:val="13"/>
          <w:szCs w:val="13"/>
          <w:color w:val="auto"/>
        </w:rPr>
        <w:t>Raymond Sadowski</w:t>
      </w:r>
    </w:p>
    <w:p>
      <w:pPr>
        <w:spacing w:after="0" w:line="15" w:lineRule="exact"/>
        <w:rPr>
          <w:sz w:val="20"/>
          <w:szCs w:val="20"/>
          <w:color w:val="auto"/>
        </w:rPr>
      </w:pPr>
    </w:p>
    <w:p>
      <w:pPr>
        <w:ind w:left="6200"/>
        <w:spacing w:after="0"/>
        <w:rPr>
          <w:sz w:val="20"/>
          <w:szCs w:val="20"/>
          <w:color w:val="auto"/>
        </w:rPr>
      </w:pPr>
      <w:r>
        <w:rPr>
          <w:rFonts w:ascii="Arial" w:cs="Arial" w:eastAsia="Arial" w:hAnsi="Arial"/>
          <w:sz w:val="13"/>
          <w:szCs w:val="13"/>
          <w:color w:val="auto"/>
        </w:rPr>
        <w:t>Chief Financial Officer</w:t>
      </w:r>
    </w:p>
    <w:p>
      <w:pPr>
        <w:spacing w:after="0" w:line="79" w:lineRule="exact"/>
        <w:rPr>
          <w:sz w:val="20"/>
          <w:szCs w:val="20"/>
          <w:color w:val="auto"/>
        </w:rPr>
      </w:pPr>
    </w:p>
    <w:p>
      <w:pPr>
        <w:ind w:right="20"/>
        <w:spacing w:after="0" w:line="296" w:lineRule="auto"/>
        <w:rPr>
          <w:sz w:val="20"/>
          <w:szCs w:val="20"/>
          <w:color w:val="auto"/>
        </w:rPr>
      </w:pPr>
      <w:r>
        <w:rPr>
          <w:rFonts w:ascii="Arial" w:cs="Arial" w:eastAsia="Arial" w:hAnsi="Arial"/>
          <w:sz w:val="12"/>
          <w:szCs w:val="12"/>
          <w:color w:val="auto"/>
        </w:rPr>
        <w:t>A signed original of this written statement required by Section 906 of the Sarbanes-Oxley Act of 2002 has been provided to the Company and will be retained by the Company and furnished to the Securities and Exchange Commission or its staff upon request. This certification will not be deemed “filed” for purposes of Section 18 of the Exchange Act, or otherwise subject to the liability of that section. Nor will this certification be deemed to be incorporated by reference into any filing under the Securities Act or the Exchange Act, except to the extent that the registrant specifically incorporates it by reference.</w:t>
      </w:r>
    </w:p>
    <w:sectPr>
      <w:pgSz w:w="11900" w:h="16838" w:orient="portrait"/>
      <w:cols w:equalWidth="0" w:num="1">
        <w:col w:w="11460"/>
      </w:cols>
      <w:pgMar w:left="220" w:top="720"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1."/>
      <w:numFmt w:val="decimal"/>
      <w:start w:val="1"/>
    </w:lvl>
  </w:abstractNum>
  <w:abstractNum w:abstractNumId="1">
    <w:nsid w:val="515F007C"/>
    <w:multiLevelType w:val="hybridMultilevel"/>
    <w:lvl w:ilvl="0">
      <w:lvlJc w:val="left"/>
      <w:lvlText w:val="%1."/>
      <w:numFmt w:val="decimal"/>
      <w:start w:val="4"/>
    </w:lvl>
  </w:abstractNum>
  <w:abstractNum w:abstractNumId="2">
    <w:nsid w:val="5BD062C2"/>
    <w:multiLevelType w:val="hybridMultilevel"/>
    <w:lvl w:ilvl="0">
      <w:lvlJc w:val="left"/>
      <w:lvlText w:val="%1."/>
      <w:numFmt w:val="decimal"/>
      <w:start w:val="6"/>
    </w:lvl>
  </w:abstractNum>
  <w:abstractNum w:abstractNumId="3">
    <w:nsid w:val="12200854"/>
    <w:multiLevelType w:val="hybridMultilevel"/>
    <w:lvl w:ilvl="0">
      <w:lvlJc w:val="left"/>
      <w:lvlText w:val="%1."/>
      <w:numFmt w:val="decimal"/>
      <w:start w:val="7"/>
    </w:lvl>
  </w:abstractNum>
  <w:abstractNum w:abstractNumId="4">
    <w:nsid w:val="4DB127F8"/>
    <w:multiLevelType w:val="hybridMultilevel"/>
    <w:lvl w:ilvl="0">
      <w:lvlJc w:val="left"/>
      <w:lvlText w:val="(%1)"/>
      <w:numFmt w:val="decimal"/>
      <w:start w:val="1"/>
    </w:lvl>
  </w:abstractNum>
  <w:abstractNum w:abstractNumId="5">
    <w:nsid w:val="216231B"/>
    <w:multiLevelType w:val="hybridMultilevel"/>
    <w:lvl w:ilvl="0">
      <w:lvlJc w:val="left"/>
      <w:lvlText w:val="%1"/>
      <w:numFmt w:val="decimal"/>
      <w:start w:val="1"/>
    </w:lvl>
    <w:lvl w:ilvl="1">
      <w:lvlJc w:val="left"/>
      <w:lvlText w:val="(%2)"/>
      <w:numFmt w:val="decimal"/>
      <w:start w:val="4"/>
    </w:lvl>
  </w:abstractNum>
  <w:abstractNum w:abstractNumId="6">
    <w:nsid w:val="1F16E9E8"/>
    <w:multiLevelType w:val="hybridMultilevel"/>
    <w:lvl w:ilvl="0">
      <w:lvlJc w:val="left"/>
      <w:lvlText w:val="%1."/>
      <w:numFmt w:val="decimal"/>
      <w:start w:val="12"/>
    </w:lvl>
    <w:lvl w:ilvl="1">
      <w:lvlJc w:val="left"/>
      <w:lvlText w:val="%2"/>
      <w:numFmt w:val="decimal"/>
      <w:start w:val="1"/>
    </w:lvl>
  </w:abstractNum>
  <w:abstractNum w:abstractNumId="7">
    <w:nsid w:val="1190CDE7"/>
    <w:multiLevelType w:val="hybridMultilevel"/>
    <w:lvl w:ilvl="0">
      <w:lvlJc w:val="left"/>
      <w:lvlText w:val="%1."/>
      <w:numFmt w:val="decimal"/>
      <w:start w:val="13"/>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1)"/>
      <w:numFmt w:val="decimal"/>
      <w:start w:val="1"/>
    </w:lvl>
  </w:abstractNum>
  <w:abstractNum w:abstractNumId="10">
    <w:nsid w:val="3352255A"/>
    <w:multiLevelType w:val="hybridMultilevel"/>
    <w:lvl w:ilvl="0">
      <w:lvlJc w:val="left"/>
      <w:lvlText w:val="**"/>
      <w:numFmt w:val="bullet"/>
      <w:start w:val="1"/>
    </w:lvl>
    <w:lvl w:ilvl="1">
      <w:lvlJc w:val="left"/>
      <w:lvlText w:val="*"/>
      <w:numFmt w:val="bullet"/>
      <w:start w:val="1"/>
    </w:lvl>
  </w:abstractNum>
  <w:abstractNum w:abstractNumId="11">
    <w:nsid w:val="109CF92E"/>
    <w:multiLevelType w:val="hybridMultilevel"/>
    <w:lvl w:ilvl="0">
      <w:lvlJc w:val="left"/>
      <w:lvlText w:val="%1."/>
      <w:numFmt w:val="decimal"/>
      <w:start w:val="1"/>
    </w:lvl>
    <w:lvl w:ilvl="1">
      <w:lvlJc w:val="left"/>
      <w:lvlText w:val="%2."/>
      <w:numFmt w:val="lowerLetter"/>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2019-12-20T06:42:27Z</dcterms:created>
  <dcterms:modified xsi:type="dcterms:W3CDTF">2019-12-20T06:42:27Z</dcterms:modified>
</cp:coreProperties>
</file>