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65601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32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8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124460</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103505</wp:posOffset>
            </wp:positionV>
            <wp:extent cx="1637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left="3220" w:right="660" w:hanging="3205"/>
        <w:spacing w:after="0" w:line="390" w:lineRule="auto"/>
        <w:tabs>
          <w:tab w:leader="none" w:pos="51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December 28, 2019</w:t>
      </w:r>
    </w:p>
    <w:p>
      <w:pPr>
        <w:spacing w:after="0" w:line="30" w:lineRule="exact"/>
        <w:rPr>
          <w:sz w:val="24"/>
          <w:szCs w:val="24"/>
          <w:color w:val="auto"/>
        </w:rPr>
      </w:pPr>
    </w:p>
    <w:p>
      <w:pPr>
        <w:ind w:left="520" w:hanging="505"/>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85725</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6"/>
          <w:szCs w:val="36"/>
          <w:b w:val="1"/>
          <w:bCs w:val="1"/>
          <w:color w:val="auto"/>
        </w:rPr>
        <w:t>,</w:t>
      </w:r>
      <w:r>
        <w:rPr>
          <w:rFonts w:ascii="Arial" w:cs="Arial" w:eastAsia="Arial" w:hAnsi="Arial"/>
          <w:sz w:val="29"/>
          <w:szCs w:val="29"/>
          <w:b w:val="1"/>
          <w:bCs w:val="1"/>
          <w:color w:val="auto"/>
        </w:rPr>
        <w:t xml:space="preserve"> INC.</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340"/>
          </w:cols>
          <w:pgMar w:left="780" w:top="665" w:right="779" w:bottom="1440" w:gutter="0" w:footer="0" w:header="0"/>
        </w:sectPr>
      </w:pPr>
    </w:p>
    <w:p>
      <w:pPr>
        <w:spacing w:after="0" w:line="86" w:lineRule="exact"/>
        <w:rPr>
          <w:sz w:val="24"/>
          <w:szCs w:val="24"/>
          <w:color w:val="auto"/>
        </w:rPr>
      </w:pPr>
    </w:p>
    <w:p>
      <w:pPr>
        <w:jc w:val="center"/>
        <w:ind w:right="4060"/>
        <w:spacing w:after="0"/>
        <w:rPr>
          <w:sz w:val="20"/>
          <w:szCs w:val="20"/>
          <w:color w:val="auto"/>
        </w:rPr>
      </w:pPr>
      <w:r>
        <w:rPr>
          <w:rFonts w:ascii="Arial" w:cs="Arial" w:eastAsia="Arial" w:hAnsi="Arial"/>
          <w:sz w:val="18"/>
          <w:szCs w:val="18"/>
          <w:b w:val="1"/>
          <w:bCs w:val="1"/>
          <w:color w:val="auto"/>
        </w:rPr>
        <w:t>New York</w:t>
      </w:r>
    </w:p>
    <w:p>
      <w:pPr>
        <w:jc w:val="center"/>
        <w:ind w:right="406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11-1890605</w:t>
      </w:r>
    </w:p>
    <w:p>
      <w:pPr>
        <w:jc w:val="center"/>
        <w:ind w:right="900"/>
        <w:spacing w:after="0" w:line="203" w:lineRule="auto"/>
        <w:rPr>
          <w:sz w:val="20"/>
          <w:szCs w:val="20"/>
          <w:color w:val="auto"/>
        </w:rPr>
      </w:pPr>
      <w:r>
        <w:rPr>
          <w:rFonts w:ascii="Arial" w:cs="Arial" w:eastAsia="Arial" w:hAnsi="Arial"/>
          <w:sz w:val="18"/>
          <w:szCs w:val="18"/>
          <w:color w:val="auto"/>
        </w:rPr>
        <w:t>(IRS Employer</w:t>
      </w: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380" w:space="720"/>
            <w:col w:w="2240"/>
          </w:cols>
          <w:pgMar w:left="780" w:top="665" w:right="779" w:bottom="1440" w:gutter="0" w:footer="0" w:header="0"/>
          <w:type w:val="continuous"/>
        </w:sectPr>
      </w:pPr>
    </w:p>
    <w:p>
      <w:pPr>
        <w:spacing w:after="0" w:line="11" w:lineRule="exact"/>
        <w:rPr>
          <w:sz w:val="24"/>
          <w:szCs w:val="24"/>
          <w:color w:val="auto"/>
        </w:rPr>
      </w:pPr>
    </w:p>
    <w:p>
      <w:pPr>
        <w:jc w:val="center"/>
        <w:ind w:right="166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8"/>
          <w:szCs w:val="18"/>
          <w:b w:val="1"/>
          <w:bCs w:val="1"/>
          <w:color w:val="auto"/>
        </w:rPr>
        <w:t>85034</w:t>
      </w:r>
    </w:p>
    <w:p>
      <w:pPr>
        <w:jc w:val="center"/>
        <w:ind w:right="210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720" w:space="720"/>
            <w:col w:w="2900"/>
          </w:cols>
          <w:pgMar w:left="780" w:top="665" w:right="77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340"/>
          </w:cols>
          <w:pgMar w:left="780" w:top="665" w:right="7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Title of Each Class</w:t>
            </w: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Trading Symbol</w:t>
            </w: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30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76835</wp:posOffset>
            </wp:positionV>
            <wp:extent cx="1637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62" w:lineRule="exact"/>
        <w:rPr>
          <w:sz w:val="24"/>
          <w:szCs w:val="24"/>
          <w:color w:val="auto"/>
        </w:rPr>
      </w:pPr>
    </w:p>
    <w:p>
      <w:pPr>
        <w:jc w:val="both"/>
        <w:ind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7"/>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40"/>
          </w:cols>
          <w:pgMar w:left="780" w:top="665" w:right="779" w:bottom="1440" w:gutter="0" w:footer="0" w:header="0"/>
          <w:type w:val="continuous"/>
        </w:sectPr>
      </w:pPr>
    </w:p>
    <w:p>
      <w:pPr>
        <w:spacing w:after="0" w:line="54"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120" w:space="720"/>
            <w:col w:w="3500"/>
          </w:cols>
          <w:pgMar w:left="780" w:top="665" w:right="779" w:bottom="1440" w:gutter="0" w:footer="0" w:header="0"/>
          <w:type w:val="continuous"/>
        </w:sectPr>
      </w:pPr>
    </w:p>
    <w:p>
      <w:pPr>
        <w:ind w:firstLine="427"/>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4"/>
          <w:szCs w:val="24"/>
          <w:color w:val="auto"/>
        </w:rPr>
      </w:pPr>
    </w:p>
    <w:p>
      <w:pPr>
        <w:ind w:left="4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firstLine="427"/>
        <w:spacing w:after="0" w:line="277" w:lineRule="auto"/>
        <w:rPr>
          <w:sz w:val="20"/>
          <w:szCs w:val="20"/>
          <w:color w:val="auto"/>
        </w:rPr>
      </w:pPr>
      <w:r>
        <w:rPr>
          <w:rFonts w:ascii="Arial" w:cs="Arial" w:eastAsia="Arial" w:hAnsi="Arial"/>
          <w:sz w:val="18"/>
          <w:szCs w:val="18"/>
          <w:color w:val="auto"/>
        </w:rPr>
        <w:t>As of January 16, 2020, the total number of shares outstanding of the registrant’s Common Stock was 99,835,238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656018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656018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018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65601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ectPr>
          <w:pgSz w:w="11900" w:h="16838" w:orient="portrait"/>
          <w:cols w:equalWidth="0" w:num="1">
            <w:col w:w="10340"/>
          </w:cols>
          <w:pgMar w:left="780" w:top="665" w:right="7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13"/>
          </w:tcPr>
          <w:p>
            <w:pPr>
              <w:jc w:val="center"/>
              <w:ind w:right="20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4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vMerge w:val="restart"/>
          </w:tcPr>
          <w:p>
            <w:pPr>
              <w:spacing w:after="0"/>
              <w:rPr>
                <w:sz w:val="24"/>
                <w:szCs w:val="24"/>
                <w:color w:val="auto"/>
              </w:rPr>
            </w:pPr>
          </w:p>
        </w:tc>
        <w:tc>
          <w:tcPr>
            <w:tcW w:w="5520" w:type="dxa"/>
            <w:vAlign w:val="bottom"/>
            <w:gridSpan w:val="15"/>
            <w:vMerge w:val="restart"/>
          </w:tcPr>
          <w:p>
            <w:pPr>
              <w:jc w:val="center"/>
              <w:ind w:right="264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5520" w:type="dxa"/>
            <w:vAlign w:val="bottom"/>
            <w:gridSpan w:val="1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5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880" w:type="dxa"/>
            <w:vAlign w:val="bottom"/>
            <w:tcBorders>
              <w:top w:val="single" w:sz="8" w:color="0000EE"/>
            </w:tcBorders>
            <w:gridSpan w:val="9"/>
          </w:tcPr>
          <w:p>
            <w:pPr>
              <w:spacing w:after="0"/>
              <w:rPr>
                <w:sz w:val="24"/>
                <w:szCs w:val="24"/>
                <w:color w:val="auto"/>
              </w:rPr>
            </w:pPr>
          </w:p>
        </w:tc>
        <w:tc>
          <w:tcPr>
            <w:tcW w:w="264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2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December 28, 2019 and June 29, 2019</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20" w:type="dxa"/>
            <w:vAlign w:val="bottom"/>
            <w:gridSpan w:val="2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Operations for the second quarters and six months ended December 28, 2019</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and December 29, 2018</w:t>
              </w:r>
            </w:hyperlink>
          </w:p>
        </w:tc>
        <w:tc>
          <w:tcPr>
            <w:tcW w:w="5720" w:type="dxa"/>
            <w:vAlign w:val="bottom"/>
            <w:tcBorders>
              <w:top w:val="single" w:sz="8" w:color="0000EE"/>
            </w:tcBorders>
            <w:gridSpan w:val="15"/>
          </w:tcPr>
          <w:p>
            <w:pPr>
              <w:spacing w:after="0"/>
              <w:rPr>
                <w:sz w:val="17"/>
                <w:szCs w:val="17"/>
                <w:color w:val="auto"/>
              </w:rPr>
            </w:pPr>
          </w:p>
        </w:tc>
        <w:tc>
          <w:tcPr>
            <w:tcW w:w="18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20" w:type="dxa"/>
            <w:vAlign w:val="bottom"/>
            <w:gridSpan w:val="27"/>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Statements of Comprehensive Income for the second quarters and six months ended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1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December 28, 2019 and December 29, 2018</w:t>
              </w:r>
            </w:hyperlink>
          </w:p>
        </w:tc>
        <w:tc>
          <w:tcPr>
            <w:tcW w:w="3720" w:type="dxa"/>
            <w:vAlign w:val="bottom"/>
            <w:tcBorders>
              <w:top w:val="single" w:sz="8" w:color="0000EE"/>
            </w:tcBorders>
            <w:gridSpan w:val="7"/>
          </w:tcPr>
          <w:p>
            <w:pPr>
              <w:spacing w:after="0"/>
              <w:rPr>
                <w:sz w:val="17"/>
                <w:szCs w:val="17"/>
                <w:color w:val="auto"/>
              </w:rPr>
            </w:pPr>
          </w:p>
        </w:tc>
        <w:tc>
          <w:tcPr>
            <w:tcW w:w="72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4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Shareholders’ Equity for the second quarters and six months ended December</w:t>
              </w:r>
            </w:hyperlink>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28, 2019 and December 29, 2018</w:t>
              </w:r>
            </w:hyperlink>
          </w:p>
        </w:tc>
        <w:tc>
          <w:tcPr>
            <w:tcW w:w="518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20" w:type="dxa"/>
            <w:vAlign w:val="bottom"/>
            <w:gridSpan w:val="27"/>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Statements of Cash Flows for the six months ended December 28, 2019 and December 29,</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gridSpan w:val="2"/>
          </w:tcPr>
          <w:p>
            <w:pPr>
              <w:spacing w:after="0"/>
              <w:rPr>
                <w:sz w:val="17"/>
                <w:szCs w:val="17"/>
                <w:color w:val="auto"/>
              </w:rPr>
            </w:pPr>
          </w:p>
        </w:tc>
        <w:tc>
          <w:tcPr>
            <w:tcW w:w="460" w:type="dxa"/>
            <w:vAlign w:val="bottom"/>
            <w:tcBorders>
              <w:top w:val="single" w:sz="8" w:color="0000EE"/>
            </w:tcBorders>
            <w:gridSpan w:val="3"/>
          </w:tcPr>
          <w:p>
            <w:pPr>
              <w:ind w:left="10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Financial Statements</w:t>
              </w:r>
            </w:hyperlink>
          </w:p>
        </w:tc>
        <w:tc>
          <w:tcPr>
            <w:tcW w:w="460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106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316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PART II. OTHER INFORMATION</w:t>
              </w:r>
            </w:hyperlink>
          </w:p>
        </w:tc>
        <w:tc>
          <w:tcPr>
            <w:tcW w:w="278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618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648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2"/>
          </w:tcPr>
          <w:p>
            <w:pPr>
              <w:spacing w:after="0"/>
              <w:rPr>
                <w:sz w:val="24"/>
                <w:szCs w:val="24"/>
                <w:color w:val="auto"/>
              </w:rPr>
            </w:pPr>
          </w:p>
        </w:tc>
        <w:tc>
          <w:tcPr>
            <w:tcW w:w="318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2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00" w:type="dxa"/>
            <w:vAlign w:val="bottom"/>
          </w:tcPr>
          <w:p>
            <w:pPr>
              <w:jc w:val="center"/>
              <w:ind w:left="1550"/>
              <w:spacing w:after="0"/>
              <w:rPr>
                <w:sz w:val="20"/>
                <w:szCs w:val="20"/>
                <w:color w:val="auto"/>
              </w:rPr>
            </w:pPr>
            <w:r>
              <w:rPr>
                <w:rFonts w:ascii="Arial" w:cs="Arial" w:eastAsia="Arial" w:hAnsi="Arial"/>
                <w:sz w:val="18"/>
                <w:szCs w:val="18"/>
                <w:b w:val="1"/>
                <w:bCs w:val="1"/>
                <w:color w:val="auto"/>
                <w:w w:val="98"/>
              </w:rPr>
              <w:t>PART I</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w:t>
            </w:r>
          </w:p>
        </w:tc>
        <w:tc>
          <w:tcPr>
            <w:tcW w:w="5500" w:type="dxa"/>
            <w:vAlign w:val="bottom"/>
          </w:tcPr>
          <w:p>
            <w:pPr>
              <w:jc w:val="center"/>
              <w:ind w:left="155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60" w:type="dxa"/>
            <w:vAlign w:val="bottom"/>
            <w:gridSpan w:val="2"/>
            <w:vMerge w:val="continue"/>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50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AVNET, INC. AND SUBSIDIARIES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50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00" w:type="dxa"/>
            <w:vAlign w:val="bottom"/>
          </w:tcPr>
          <w:p>
            <w:pPr>
              <w:jc w:val="center"/>
              <w:ind w:left="155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28,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June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90"/>
              <w:spacing w:after="0" w:line="198" w:lineRule="exact"/>
              <w:rPr>
                <w:sz w:val="20"/>
                <w:szCs w:val="20"/>
                <w:color w:val="auto"/>
              </w:rPr>
            </w:pPr>
            <w:r>
              <w:rPr>
                <w:rFonts w:ascii="Arial" w:cs="Arial" w:eastAsia="Arial" w:hAnsi="Arial"/>
                <w:sz w:val="18"/>
                <w:szCs w:val="18"/>
                <w:b w:val="1"/>
                <w:bCs w:val="1"/>
                <w:color w:val="auto"/>
                <w:w w:val="88"/>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500" w:type="dxa"/>
            <w:vAlign w:val="bottom"/>
            <w:shd w:val="clear" w:color="auto" w:fill="CCEEFF"/>
          </w:tcPr>
          <w:p>
            <w:pPr>
              <w:jc w:val="center"/>
              <w:ind w:right="830"/>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488,810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Receivables, less allowances of $49,642 and $53,499,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2,977,773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3,168,369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2,908,575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3,008,424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6,536,501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6,876,336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431,410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119,186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assets (Note 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247,581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215,801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8,525,112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8,564,556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00" w:type="dxa"/>
            <w:vAlign w:val="bottom"/>
            <w:vMerge w:val="restart"/>
          </w:tcPr>
          <w:p>
            <w:pPr>
              <w:jc w:val="center"/>
              <w:ind w:right="83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5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Short-term debt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492,223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1,802,484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1,864,342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Accrued expenses and 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398,486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 (Note 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52,057</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top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2,745,250</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2,578,576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1,419,922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Long-term operating lease liabilities (Note 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244,622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383,792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4,567,779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4,424,083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$1.00 par; authorized 300,000,000 shares; issued 99,348,624 shares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104,037,769 shares, respectively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1,588,466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1,573,005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2,767,469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(306,018)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3,957,333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4,140,473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8,525,112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8,564,556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Second Quarters Ended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28,</w:t>
            </w:r>
          </w:p>
        </w:tc>
        <w:tc>
          <w:tcPr>
            <w:tcW w:w="20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29,</w:t>
            </w:r>
          </w:p>
        </w:tc>
        <w:tc>
          <w:tcPr>
            <w:tcW w:w="180" w:type="dxa"/>
            <w:vAlign w:val="bottom"/>
          </w:tcPr>
          <w:p>
            <w:pPr>
              <w:spacing w:after="0"/>
              <w:rPr>
                <w:sz w:val="17"/>
                <w:szCs w:val="17"/>
                <w:color w:val="auto"/>
              </w:rPr>
            </w:pPr>
          </w:p>
        </w:tc>
        <w:tc>
          <w:tcPr>
            <w:tcW w:w="12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28,</w:t>
            </w:r>
          </w:p>
        </w:tc>
        <w:tc>
          <w:tcPr>
            <w:tcW w:w="2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December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10"/>
          </w:tcPr>
          <w:p>
            <w:pPr>
              <w:jc w:val="right"/>
              <w:spacing w:after="0"/>
              <w:rPr>
                <w:sz w:val="20"/>
                <w:szCs w:val="20"/>
                <w:color w:val="auto"/>
              </w:rPr>
            </w:pPr>
            <w:r>
              <w:rPr>
                <w:rFonts w:ascii="Arial" w:cs="Arial" w:eastAsia="Arial" w:hAnsi="Arial"/>
                <w:sz w:val="18"/>
                <w:szCs w:val="18"/>
                <w:b w:val="1"/>
                <w:bCs w:val="1"/>
                <w:color w:val="auto"/>
              </w:rPr>
              <w:t>(Thousands, except per share amounts)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4,534,806</w:t>
            </w:r>
          </w:p>
        </w:tc>
        <w:tc>
          <w:tcPr>
            <w:tcW w:w="3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5,048,980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9,164,814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10,138,859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4,009,193</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4,418,947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8,095,362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464,873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471,723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921,377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946,868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62,260</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46,475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96,050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109,212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242,866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financing expenses, net</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(33,904)</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from continuing operations before taxes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28,141</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45,420</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income per share basic</w:t>
            </w: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per share diluted</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100,431</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110,332</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101,781</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101,302</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111,462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102,839</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113,967</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2"/>
              </w:rPr>
              <w:t>Second Quarters Ended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28,</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29,</w:t>
            </w:r>
          </w:p>
        </w:tc>
        <w:tc>
          <w:tcPr>
            <w:tcW w:w="240" w:type="dxa"/>
            <w:vAlign w:val="bottom"/>
          </w:tcPr>
          <w:p>
            <w:pPr>
              <w:spacing w:after="0"/>
              <w:rPr>
                <w:sz w:val="17"/>
                <w:szCs w:val="17"/>
                <w:color w:val="auto"/>
              </w:rPr>
            </w:pP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December 28,</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29,</w:t>
            </w:r>
          </w:p>
        </w:tc>
        <w:tc>
          <w:tcPr>
            <w:tcW w:w="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4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w:t>
            </w:r>
          </w:p>
        </w:tc>
        <w:tc>
          <w:tcPr>
            <w:tcW w:w="4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120,125</w:t>
            </w: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8"/>
              </w:rPr>
              <w:t>Other comprehensive income (loss), net of tax:</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(56,396)</w:t>
            </w:r>
          </w:p>
        </w:tc>
        <w:tc>
          <w:tcPr>
            <w:tcW w:w="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Pension adjustments, net</w:t>
            </w: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4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7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Retained</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78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3"/>
              </w:rPr>
              <w:t>Earnings</w:t>
            </w:r>
          </w:p>
        </w:tc>
        <w:tc>
          <w:tcPr>
            <w:tcW w:w="13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0"/>
              </w:rPr>
              <w:t>(Loss) Income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89"/>
              </w:rPr>
              <w:t>(Thousands)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29, 2019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1,573,005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2,767,469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(304,039)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4,140,473</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41,752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41,752</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(102,146)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(102,146)</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3,813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3,813</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(21,451)</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(21,451)</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(2,631)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(109,504)</w:t>
            </w: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(112,135)</w:t>
            </w:r>
          </w:p>
        </w:tc>
      </w:tr>
      <w:tr>
        <w:trPr>
          <w:trHeight w:val="22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w:t>
            </w:r>
          </w:p>
        </w:tc>
      </w:tr>
      <w:tr>
        <w:trPr>
          <w:trHeight w:val="190"/>
        </w:trPr>
        <w:tc>
          <w:tcPr>
            <w:tcW w:w="27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September 28,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101,471</w:t>
            </w: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101,471</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1,580,706</w:t>
            </w: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2,678,266</w:t>
            </w: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(402,372)</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3,958,071</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93,186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93,186</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Cash dividends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(20,975)</w:t>
            </w: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(20,975)</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(85,423)</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(87,558)</w:t>
            </w: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7,773</w:t>
            </w:r>
          </w:p>
        </w:tc>
      </w:tr>
      <w:tr>
        <w:trPr>
          <w:trHeight w:val="203"/>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28,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1,588,466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2,575,536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(306,018)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3,957,333</w:t>
            </w:r>
          </w:p>
        </w:tc>
      </w:tr>
      <w:tr>
        <w:trPr>
          <w:trHeight w:val="20"/>
        </w:trPr>
        <w:tc>
          <w:tcPr>
            <w:tcW w:w="2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9"/>
        </w:trPr>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27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7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Paid-In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Retained</w:t>
            </w:r>
          </w:p>
        </w:tc>
        <w:tc>
          <w:tcPr>
            <w:tcW w:w="13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78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3"/>
              </w:rPr>
              <w:t>Earnings</w:t>
            </w:r>
          </w:p>
        </w:tc>
        <w:tc>
          <w:tcPr>
            <w:tcW w:w="13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90"/>
              </w:rPr>
              <w:t>(Loss) Income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89"/>
              </w:rPr>
              <w:t>(Thousands)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30, 2018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1,528,713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3,235,894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(195,351)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4,685,081</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83,724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83,724</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(22,932)</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(22,932)</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(3,315)</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(3,315)</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(153,582)</w:t>
            </w: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(156,897)</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Effects of new accounting principles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(3,832)</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26,372</w:t>
            </w:r>
          </w:p>
        </w:tc>
      </w:tr>
      <w:tr>
        <w:trPr>
          <w:trHeight w:val="203"/>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September 29,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113,031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113,031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1,554,564</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3,139,272</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(185,794)</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4,621,073</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36,401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36,401</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(65,197)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(65,197)</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4,207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4,207</w:t>
            </w: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(21,769)</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(21,769)</w:t>
            </w: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(4,116)</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(4,116)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(170,967)</w:t>
            </w:r>
          </w:p>
        </w:tc>
        <w:tc>
          <w:tcPr>
            <w:tcW w:w="2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(175,083)</w:t>
            </w:r>
          </w:p>
        </w:tc>
      </w:tr>
      <w:tr>
        <w:trPr>
          <w:trHeight w:val="22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9,105</w:t>
            </w:r>
          </w:p>
        </w:tc>
      </w:tr>
      <w:tr>
        <w:trPr>
          <w:trHeight w:val="190"/>
        </w:trPr>
        <w:tc>
          <w:tcPr>
            <w:tcW w:w="27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December 29, 2018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108,951</w:t>
            </w: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108,951</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1,563,633</w:t>
            </w: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2,982,937</w:t>
            </w: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(246,784)</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4,408,737</w:t>
            </w:r>
          </w:p>
        </w:tc>
      </w:tr>
      <w:tr>
        <w:trPr>
          <w:trHeight w:val="20"/>
        </w:trPr>
        <w:tc>
          <w:tcPr>
            <w:tcW w:w="2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28,</w:t>
            </w: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210"/>
        </w:trPr>
        <w:tc>
          <w:tcPr>
            <w:tcW w:w="6160" w:type="dxa"/>
            <w:vAlign w:val="bottom"/>
            <w:gridSpan w:val="2"/>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(Thousands)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1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86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45,420</w:t>
            </w: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1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Loss from discontinued operations, net of tax</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from continuing operations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46,968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and other reconciling items: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49,822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Amortization of operating lease asset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31,354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net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Changes in (net of effects from businesses acquired and divested):</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185,598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94,182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9"/>
              </w:rPr>
              <w:t>(209,582)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(205,254)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Accrued expenses and other, net</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(71,858)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(140,495)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(used) for operating activities - continuing operations</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344,206</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operating activities - discontinued operations</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(used) for operating activities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344,206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(35,400)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366,000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under bank credit facilities and other debt, net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Repayments under senior unsecured credit facility, net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Repurchases of common stock</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(198,630)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(335,404)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(42,426)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(4,887)</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financing activities - continuing operations</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(284,020)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financing activities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(284,020)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(44,252)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net</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(108,859)</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(131,737)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provided by investing activities - discontinued operations</w:t>
            </w: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used for investing activities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(108,859)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 decrease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(57,295)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9"/>
              </w:rPr>
              <w:t>(138,959)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beginning of period</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546,105</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621,125</w:t>
            </w:r>
          </w:p>
        </w:tc>
        <w:tc>
          <w:tcPr>
            <w:tcW w:w="0" w:type="dxa"/>
            <w:vAlign w:val="bottom"/>
          </w:tcPr>
          <w:p>
            <w:pPr>
              <w:spacing w:after="0"/>
              <w:rPr>
                <w:sz w:val="1"/>
                <w:szCs w:val="1"/>
                <w:color w:val="auto"/>
              </w:rPr>
            </w:pPr>
          </w:p>
        </w:tc>
      </w:tr>
      <w:tr>
        <w:trPr>
          <w:trHeight w:val="190"/>
        </w:trPr>
        <w:tc>
          <w:tcPr>
            <w:tcW w:w="6160" w:type="dxa"/>
            <w:vAlign w:val="bottom"/>
            <w:gridSpan w:val="2"/>
          </w:tcPr>
          <w:p>
            <w:pPr>
              <w:spacing w:after="0"/>
              <w:rPr>
                <w:sz w:val="20"/>
                <w:szCs w:val="20"/>
                <w:color w:val="auto"/>
              </w:rPr>
            </w:pPr>
            <w:r>
              <w:rPr>
                <w:rFonts w:ascii="Arial" w:cs="Arial" w:eastAsia="Arial" w:hAnsi="Arial"/>
                <w:sz w:val="16"/>
                <w:szCs w:val="16"/>
                <w:color w:val="auto"/>
              </w:rPr>
              <w:t>— at end of period</w:t>
            </w:r>
          </w:p>
        </w:tc>
        <w:tc>
          <w:tcPr>
            <w:tcW w:w="640" w:type="dxa"/>
            <w:vAlign w:val="bottom"/>
          </w:tcPr>
          <w:p>
            <w:pPr>
              <w:spacing w:after="0"/>
              <w:rPr>
                <w:sz w:val="16"/>
                <w:szCs w:val="16"/>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488,810</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14"/>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1440" w:right="2160"/>
        <w:spacing w:after="0" w:line="313" w:lineRule="auto"/>
        <w:rPr>
          <w:sz w:val="20"/>
          <w:szCs w:val="20"/>
          <w:color w:val="auto"/>
        </w:rPr>
      </w:pPr>
      <w:r>
        <w:rPr>
          <w:rFonts w:ascii="Arial" w:cs="Arial" w:eastAsia="Arial" w:hAnsi="Arial"/>
          <w:sz w:val="18"/>
          <w:szCs w:val="18"/>
          <w:b w:val="1"/>
          <w:bCs w:val="1"/>
          <w:color w:val="auto"/>
        </w:rPr>
        <w:t>AVNET, INC. AND SUBSIDIARIES NOTES TO CONSOLIDATED FINANCIAL STATEMENTS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29, 2019.</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reclassifications have been made in prior periods to conform to the current period presentation.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 xml:space="preserve">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its related amendments (collectively “ASC 842”) on June 30, 2019 (the first day of fiscal 2020) using the modified transition approach without restating the comparative period consolidated financial statements. The standard requires lessees to recognize a right-of-use asset and a short-term and long-term lease liability for all leases.</w:t>
      </w:r>
    </w:p>
    <w:p>
      <w:pPr>
        <w:spacing w:after="0" w:line="187"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The adoption of ASC 842 did not have a material impact on the Company’s consolidated statements of operations or retained earnings. The Company elected the package of practical expedients permitted under the transition guidance that allowed, among other things, the historical lease classification to be carried forward without reassessment and the hindsight practical expedient. The Company elected to not separate lease and non-lease components for its real estate leases. Refer to Note 5 for additional disclosures related to leases.</w:t>
      </w:r>
    </w:p>
    <w:p>
      <w:pPr>
        <w:spacing w:after="0" w:line="188"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 Targeted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Hedging Activities” </w:t>
      </w:r>
      <w:r>
        <w:rPr>
          <w:rFonts w:ascii="Arial" w:cs="Arial" w:eastAsia="Arial" w:hAnsi="Arial"/>
          <w:sz w:val="18"/>
          <w:szCs w:val="18"/>
          <w:color w:val="auto"/>
        </w:rPr>
        <w:t>and its related amendments (collectively “ASC 815”), which improves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of hedging relationships to better portray the economic results of an entity’s risk management activities in its financial statements and makes certain targeted improvements to simplify the qualification and application of hedge accounting compared to historical GAAP. This update is effective for fiscal years beginning after December 15, 2018, with early adoption permitted. The adoption of ASC 815 in the first quarter of fiscal 2020 did not have an impact on the Company’s consolidated financial statements.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427"/>
        <w:spacing w:after="0" w:line="297"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which removes certain exceptions to the general principles in Topic 740 and also clarifies and amends existing guidance to improve consistent application. The ASU will be effective for the Company in the first quarter of fiscal 2022, and early adoption is permitted. Depending on the amendment, adoption may be applied on the retrospective, modified retrospective or prospective basis. The Company is currently evaluating the potential effects of adopting the provisions of ASU No. 2019-12.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 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350-40): Customer’s Accounting for Implementation Costs Incurred in a Cloud Computing Arrangement That Is a Service Contract (a consensus of the FASB Emerging Issues Task Force) </w:t>
      </w:r>
      <w:r>
        <w:rPr>
          <w:rFonts w:ascii="Arial" w:cs="Arial" w:eastAsia="Arial" w:hAnsi="Arial"/>
          <w:sz w:val="16"/>
          <w:szCs w:val="16"/>
          <w:color w:val="auto"/>
        </w:rPr>
        <w:t>("ASU No. 2018-15"). ASU No. 2018-15 aligns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with early adoption permitted, and is to be applied either retrospectively or prospectively. The Company is currently evaluating the potential effects of adopting the provisions of ASU No. 2018-15.</w:t>
      </w:r>
    </w:p>
    <w:p>
      <w:pPr>
        <w:spacing w:after="0" w:line="167"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7"/>
          <w:szCs w:val="17"/>
          <w:color w:val="auto"/>
        </w:rPr>
        <w:t>(“ASU No. 2018-14”). The new guidance modifies the disclosure requirements for employers that sponsor defined benefit pension or other postretirement plans, including removing certain previous disclosure requirements, adding certain new disclosure requirements, and clarifying certain other disclosure requirements. The ASU will be effective for the Company in the first quarter of fiscal 2022, and early adoption is permitted. The Company’s planned adoption of ASU No. 2018-14 is not expected to have an impact on the Company’s consolidated financial statements.</w:t>
      </w:r>
    </w:p>
    <w:p>
      <w:pPr>
        <w:spacing w:after="0" w:line="178"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("ASU No. 2016-13") and also issued subsequent amendments to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ASU No. 2018-19, ASU No. 2019-04, ASU No. 2019-05, and ASU No. 2019-11 (collectively, Topic 326). Topic 326 revises the methodology for measuring credit losses on financial instruments and the timing of when such losses are recorded. Topic 326 is effective for the Company in the first quarter of fiscal 2021, with early adoption permitted, and is to be applied using a modified retrospective approach. The company is currently evaluating the potential effects of adopting the provisions of ASU No. 2016-13.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discontinued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7"/>
          <w:szCs w:val="17"/>
          <w:color w:val="auto"/>
        </w:rPr>
        <w:t>During the second quarter of fiscal 2020, the Company completed two acquisitions. The impact of these acquisitions was not material to the Company’s consolidated balance sheets or statements of operations and as a result, the Company has not disclosed the preliminary allocation of purchase price or the pro-forma impact of the acquisition.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7"/>
          <w:szCs w:val="17"/>
          <w:color w:val="auto"/>
        </w:rPr>
        <w:t>In February 2017, the Company completed the sale of its Technology Solutions business (“TS business”) to Tech Data Corporation (the “Buyer”). The TS business and the financial impacts of the divestiture are classified as discontinued operations in all periods presented. In August 2018, the Company executed a settlement agreement with the Buyer resulting in a final sales price increase of $120.0 million and a final geographic allocation of the TS business sales price for tax reporting purposes. This incremental consideration received from the sale of the TS business as well as cash settlements from the resolution of indemnification claims and other cash reimbursements have been classified as cash flows from discontinued operations investing activities. Income tax payments related to the gain on sale of the TS business have been classified as cash flows from discontinued operations operating activities.</w:t>
      </w:r>
    </w:p>
    <w:p>
      <w:pPr>
        <w:spacing w:after="0" w:line="179"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Under the contractual terms of the sale of the TS business, the Company has indemnified the Buyer for certain liabilities including tax related matters, which may result in future indemnification expenses and indemnification payments to the Buyer depending upon the outcome of those matters subject to indemnification.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440" w:right="6540" w:hanging="431"/>
        <w:spacing w:after="0" w:line="503"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 in goodwill by reportable segment for the six months ended December 28,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Farnell</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June 29, 2019 </w:t>
            </w:r>
            <w:r>
              <w:rPr>
                <w:rFonts w:ascii="Arial" w:cs="Arial" w:eastAsia="Arial" w:hAnsi="Arial"/>
                <w:sz w:val="25"/>
                <w:szCs w:val="25"/>
                <w:color w:val="auto"/>
                <w:vertAlign w:val="superscript"/>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r>
      <w:tr>
        <w:trPr>
          <w:trHeight w:val="216"/>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Additions from acquisitions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25,967</w:t>
            </w:r>
          </w:p>
        </w:tc>
      </w:tr>
      <w:tr>
        <w:trPr>
          <w:trHeight w:val="236"/>
        </w:trPr>
        <w:tc>
          <w:tcPr>
            <w:tcW w:w="20" w:type="dxa"/>
            <w:vAlign w:val="bottom"/>
          </w:tcPr>
          <w:p>
            <w:pPr>
              <w:spacing w:after="0"/>
              <w:rPr>
                <w:sz w:val="20"/>
                <w:szCs w:val="20"/>
                <w:color w:val="auto"/>
              </w:rPr>
            </w:pPr>
          </w:p>
        </w:tc>
        <w:tc>
          <w:tcPr>
            <w:tcW w:w="4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translation</w:t>
            </w: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r>
      <w:tr>
        <w:trPr>
          <w:trHeight w:val="203"/>
        </w:trPr>
        <w:tc>
          <w:tcPr>
            <w:tcW w:w="4040" w:type="dxa"/>
            <w:vAlign w:val="bottom"/>
            <w:gridSpan w:val="3"/>
          </w:tcPr>
          <w:p>
            <w:pPr>
              <w:spacing w:after="0" w:line="203" w:lineRule="exact"/>
              <w:rPr>
                <w:sz w:val="20"/>
                <w:szCs w:val="20"/>
                <w:color w:val="auto"/>
              </w:rPr>
            </w:pPr>
            <w:r>
              <w:rPr>
                <w:rFonts w:ascii="Arial" w:cs="Arial" w:eastAsia="Arial" w:hAnsi="Arial"/>
                <w:sz w:val="16"/>
                <w:szCs w:val="16"/>
                <w:color w:val="auto"/>
              </w:rPr>
              <w:t xml:space="preserve">Carrying value at December 28, 2019 </w:t>
            </w:r>
            <w:r>
              <w:rPr>
                <w:rFonts w:ascii="Arial" w:cs="Arial" w:eastAsia="Arial" w:hAnsi="Arial"/>
                <w:sz w:val="23"/>
                <w:szCs w:val="23"/>
                <w:color w:val="auto"/>
                <w:vertAlign w:val="superscript"/>
              </w:rPr>
              <w:t>(1)</w:t>
            </w:r>
          </w:p>
        </w:tc>
        <w:tc>
          <w:tcPr>
            <w:tcW w:w="11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417,224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498,834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916,058</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60" w:type="dxa"/>
            <w:vAlign w:val="bottom"/>
            <w:tcBorders>
              <w:bottom w:val="single" w:sz="8" w:color="0D0D0D"/>
            </w:tcBorders>
          </w:tcPr>
          <w:p>
            <w:pPr>
              <w:spacing w:after="0"/>
              <w:rPr>
                <w:sz w:val="7"/>
                <w:szCs w:val="7"/>
                <w:color w:val="auto"/>
              </w:rPr>
            </w:pPr>
          </w:p>
        </w:tc>
        <w:tc>
          <w:tcPr>
            <w:tcW w:w="1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660" w:hanging="651"/>
        <w:spacing w:after="0"/>
        <w:tabs>
          <w:tab w:leader="none" w:pos="660" w:val="left"/>
        </w:tabs>
        <w:numPr>
          <w:ilvl w:val="0"/>
          <w:numId w:val="4"/>
        </w:numPr>
        <w:rPr>
          <w:rFonts w:ascii="Arial" w:cs="Arial" w:eastAsia="Arial" w:hAnsi="Arial"/>
          <w:sz w:val="11"/>
          <w:szCs w:val="11"/>
          <w:color w:val="auto"/>
        </w:rPr>
      </w:pPr>
      <w:r>
        <w:rPr>
          <w:rFonts w:ascii="Arial" w:cs="Arial" w:eastAsia="Arial" w:hAnsi="Arial"/>
          <w:sz w:val="15"/>
          <w:szCs w:val="15"/>
          <w:color w:val="auto"/>
        </w:rPr>
        <w:t>Includes accumulated impairment of $1,045,110 from fiscal 2009, $181,440 from fiscal 2018 and $137,396 from fiscal 2019</w:t>
      </w:r>
    </w:p>
    <w:p>
      <w:pPr>
        <w:spacing w:after="0" w:line="215" w:lineRule="exact"/>
        <w:rPr>
          <w:sz w:val="20"/>
          <w:szCs w:val="20"/>
          <w:color w:val="auto"/>
        </w:rPr>
      </w:pPr>
    </w:p>
    <w:p>
      <w:pPr>
        <w:jc w:val="both"/>
        <w:ind w:firstLine="427"/>
        <w:spacing w:after="0" w:line="273" w:lineRule="auto"/>
        <w:rPr>
          <w:sz w:val="20"/>
          <w:szCs w:val="20"/>
          <w:color w:val="auto"/>
        </w:rPr>
      </w:pPr>
      <w:r>
        <w:rPr>
          <w:rFonts w:ascii="Arial" w:cs="Arial" w:eastAsia="Arial" w:hAnsi="Arial"/>
          <w:sz w:val="17"/>
          <w:szCs w:val="17"/>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60" w:firstLine="427"/>
        <w:spacing w:after="0" w:line="277" w:lineRule="auto"/>
        <w:rPr>
          <w:sz w:val="20"/>
          <w:szCs w:val="20"/>
          <w:color w:val="auto"/>
        </w:rPr>
      </w:pPr>
      <w:r>
        <w:rPr>
          <w:rFonts w:ascii="Arial" w:cs="Arial" w:eastAsia="Arial" w:hAnsi="Arial"/>
          <w:sz w:val="18"/>
          <w:szCs w:val="18"/>
          <w:color w:val="auto"/>
        </w:rPr>
        <w:t>The following table presents the Company’s acquired intangible assets at December 28, 2019, and June 29, 2019,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ind w:right="37"/>
              <w:spacing w:after="0"/>
              <w:rPr>
                <w:sz w:val="20"/>
                <w:szCs w:val="20"/>
                <w:color w:val="auto"/>
              </w:rPr>
            </w:pPr>
            <w:r>
              <w:rPr>
                <w:rFonts w:ascii="Arial" w:cs="Arial" w:eastAsia="Arial" w:hAnsi="Arial"/>
                <w:sz w:val="18"/>
                <w:szCs w:val="18"/>
                <w:b w:val="1"/>
                <w:bCs w:val="1"/>
                <w:color w:val="auto"/>
                <w:w w:val="90"/>
              </w:rPr>
              <w:t>December 28, 2019</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June 29, 2019</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3"/>
              </w:rPr>
              <w:t>Net Book</w:t>
            </w:r>
          </w:p>
        </w:tc>
        <w:tc>
          <w:tcPr>
            <w:tcW w:w="200" w:type="dxa"/>
            <w:vAlign w:val="bottom"/>
          </w:tcPr>
          <w:p>
            <w:pPr>
              <w:spacing w:after="0"/>
              <w:rPr>
                <w:sz w:val="17"/>
                <w:szCs w:val="17"/>
                <w:color w:val="auto"/>
              </w:rPr>
            </w:pPr>
          </w:p>
        </w:tc>
        <w:tc>
          <w:tcPr>
            <w:tcW w:w="8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Acquired</w:t>
            </w:r>
          </w:p>
        </w:tc>
        <w:tc>
          <w:tcPr>
            <w:tcW w:w="200" w:type="dxa"/>
            <w:vAlign w:val="bottom"/>
          </w:tcPr>
          <w:p>
            <w:pPr>
              <w:spacing w:after="0"/>
              <w:rPr>
                <w:sz w:val="17"/>
                <w:szCs w:val="17"/>
                <w:color w:val="auto"/>
              </w:rPr>
            </w:pPr>
          </w:p>
        </w:tc>
        <w:tc>
          <w:tcPr>
            <w:tcW w:w="112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17"/>
                <w:szCs w:val="17"/>
                <w:color w:val="auto"/>
              </w:rPr>
            </w:pPr>
          </w:p>
        </w:tc>
        <w:tc>
          <w:tcPr>
            <w:tcW w:w="8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Amortization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312,666</w:t>
            </w:r>
          </w:p>
        </w:tc>
        <w:tc>
          <w:tcPr>
            <w:tcW w:w="44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292,266</w:t>
            </w:r>
          </w:p>
        </w:tc>
        <w:tc>
          <w:tcPr>
            <w:tcW w:w="4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Trade name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54,157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52,760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28,008</w:t>
            </w:r>
          </w:p>
        </w:tc>
        <w:tc>
          <w:tcPr>
            <w:tcW w:w="4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64,462</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431,285</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3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(312,099)</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119,186</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408,779</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(265,259)</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143,520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44" w:right="1419" w:bottom="1440" w:gutter="0" w:footer="0" w:header="0"/>
        </w:sectPr>
      </w:pPr>
    </w:p>
    <w:bookmarkStart w:id="10" w:name="page11"/>
    <w:bookmarkEnd w:id="1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20" w:right="20" w:firstLine="427"/>
        <w:spacing w:after="0" w:line="257" w:lineRule="auto"/>
        <w:rPr>
          <w:sz w:val="20"/>
          <w:szCs w:val="20"/>
          <w:color w:val="auto"/>
        </w:rPr>
      </w:pPr>
      <w:r>
        <w:rPr>
          <w:rFonts w:ascii="Arial" w:cs="Arial" w:eastAsia="Arial" w:hAnsi="Arial"/>
          <w:sz w:val="18"/>
          <w:szCs w:val="18"/>
          <w:color w:val="auto"/>
        </w:rPr>
        <w:t>Intangible asset amortization expense from continuing operations was $21.3 million and $20.4 million for the second quarters of fiscal 2020 and 2019, respectively, and $41.3 million and $41.2 million for the first six months of fiscal 2020 and 2019, respectively. Intangible assets have a weighted average remaining useful life of approximately 3 years. The following table presents the estimated future amortization expense for the remainder of fiscal 2020 and the next five fiscal years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3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404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debt consists of the following (carrying balances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28,</w:t>
            </w:r>
          </w:p>
        </w:tc>
        <w:tc>
          <w:tcPr>
            <w:tcW w:w="98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29,</w:t>
            </w: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28,</w:t>
            </w:r>
          </w:p>
        </w:tc>
        <w:tc>
          <w:tcPr>
            <w:tcW w:w="1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44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91"/>
              </w:rPr>
              <w:t>Interest Rate</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Carrying Balance</w:t>
            </w:r>
          </w:p>
        </w:tc>
        <w:tc>
          <w:tcPr>
            <w:tcW w:w="60" w:type="dxa"/>
            <w:vAlign w:val="bottom"/>
            <w:tcBorders>
              <w:bottom w:val="single" w:sz="8" w:color="CCEEFF"/>
            </w:tcBorders>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191,900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notes due June 2020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420" w:type="dxa"/>
            <w:vAlign w:val="bottom"/>
          </w:tcPr>
          <w:p>
            <w:pPr>
              <w:ind w:left="100"/>
              <w:spacing w:after="0" w:line="203" w:lineRule="exact"/>
              <w:rPr>
                <w:sz w:val="20"/>
                <w:szCs w:val="20"/>
                <w:color w:val="auto"/>
              </w:rPr>
            </w:pPr>
            <w:r>
              <w:rPr>
                <w:rFonts w:ascii="Arial" w:cs="Arial" w:eastAsia="Arial" w:hAnsi="Arial"/>
                <w:sz w:val="18"/>
                <w:szCs w:val="18"/>
                <w:color w:val="auto"/>
              </w:rPr>
              <w:t>Short-term debt</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492,223</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300,538</w:t>
            </w:r>
          </w:p>
        </w:tc>
        <w:tc>
          <w:tcPr>
            <w:tcW w:w="6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40"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jc w:val="both"/>
        <w:ind w:left="20" w:right="20" w:firstLine="427"/>
        <w:spacing w:after="0" w:line="268" w:lineRule="auto"/>
        <w:rPr>
          <w:sz w:val="20"/>
          <w:szCs w:val="20"/>
          <w:color w:val="auto"/>
        </w:rPr>
      </w:pPr>
      <w:r>
        <w:rPr>
          <w:rFonts w:ascii="Arial" w:cs="Arial" w:eastAsia="Arial" w:hAnsi="Arial"/>
          <w:sz w:val="17"/>
          <w:szCs w:val="17"/>
          <w:color w:val="auto"/>
        </w:rPr>
        <w:t>The Company has a trade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$740.8 million and $857.3 million at December 28, 2019 and June 29, 2019,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December 28, 2019, and June 29, 2019. The Securitization Program expires in August 2020 and as a result the Company has classified outstanding balances as short-term debt as of December 28, 2019. Interest on borrowings is calculated using a one-month LIBOR rate plus a spread of 0.75%. The facility fee on the unused balance of the facility is up to 0.35%.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44" w:right="1399" w:bottom="1440" w:gutter="0" w:footer="0" w:header="0"/>
        </w:sectPr>
      </w:pPr>
    </w:p>
    <w:bookmarkStart w:id="11" w:name="page12"/>
    <w:bookmarkEnd w:id="11"/>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(carrying balances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7"/>
              </w:rPr>
              <w:t>December 28,</w:t>
            </w:r>
          </w:p>
        </w:tc>
        <w:tc>
          <w:tcPr>
            <w:tcW w:w="1060" w:type="dxa"/>
            <w:vAlign w:val="bottom"/>
            <w:gridSpan w:val="3"/>
          </w:tcPr>
          <w:p>
            <w:pPr>
              <w:ind w:left="200"/>
              <w:spacing w:after="0"/>
              <w:rPr>
                <w:sz w:val="20"/>
                <w:szCs w:val="20"/>
                <w:color w:val="auto"/>
              </w:rPr>
            </w:pPr>
            <w:r>
              <w:rPr>
                <w:rFonts w:ascii="Arial" w:cs="Arial" w:eastAsia="Arial" w:hAnsi="Arial"/>
                <w:sz w:val="18"/>
                <w:szCs w:val="18"/>
                <w:b w:val="1"/>
                <w:bCs w:val="1"/>
                <w:color w:val="auto"/>
              </w:rPr>
              <w:t>June 29,</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28,</w:t>
            </w: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4420" w:type="dxa"/>
            <w:vAlign w:val="bottom"/>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Carrying Balance</w:t>
            </w:r>
          </w:p>
        </w:tc>
        <w:tc>
          <w:tcPr>
            <w:tcW w:w="60" w:type="dxa"/>
            <w:vAlign w:val="bottom"/>
            <w:tcBorders>
              <w:bottom w:val="single" w:sz="8" w:color="CCEEFF"/>
            </w:tcBorders>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color w:val="auto"/>
              </w:rPr>
              <w:t>Accounts receivable securitization program</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227,300</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Public notes due:</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2021</w:t>
            </w: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3.75 %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color w:val="auto"/>
              </w:rPr>
              <w:t>December 2022</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4.88 %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2026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r>
      <w:tr>
        <w:trPr>
          <w:trHeight w:val="223"/>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w:t>
            </w:r>
          </w:p>
        </w:tc>
        <w:tc>
          <w:tcPr>
            <w:tcW w:w="3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60" w:type="dxa"/>
            <w:vAlign w:val="bottom"/>
            <w:tcBorders>
              <w:bottom w:val="single" w:sz="8" w:color="CCEEFF"/>
            </w:tcBorders>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8"/>
              </w:rPr>
              <w:t>Long-term debt before discount and debt issuance costs</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1,201,961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1,428,803</w:t>
            </w:r>
          </w:p>
        </w:tc>
        <w:tc>
          <w:tcPr>
            <w:tcW w:w="60" w:type="dxa"/>
            <w:vAlign w:val="bottom"/>
            <w:shd w:val="clear" w:color="auto" w:fill="CCEEFF"/>
          </w:tcPr>
          <w:p>
            <w:pPr>
              <w:spacing w:after="0"/>
              <w:rPr>
                <w:sz w:val="18"/>
                <w:szCs w:val="18"/>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Discount and debt issuance costs – unamortized</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(7,846)</w:t>
            </w: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(8,881)</w:t>
            </w:r>
          </w:p>
        </w:tc>
      </w:tr>
      <w:tr>
        <w:trPr>
          <w:trHeight w:val="216"/>
        </w:trPr>
        <w:tc>
          <w:tcPr>
            <w:tcW w:w="44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1,194,115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1,419,922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right="20" w:firstLine="432"/>
        <w:spacing w:after="0" w:line="289" w:lineRule="auto"/>
        <w:rPr>
          <w:sz w:val="20"/>
          <w:szCs w:val="20"/>
          <w:color w:val="auto"/>
        </w:rPr>
      </w:pPr>
      <w:r>
        <w:rPr>
          <w:rFonts w:ascii="Arial" w:cs="Arial" w:eastAsia="Arial" w:hAnsi="Arial"/>
          <w:sz w:val="16"/>
          <w:szCs w:val="16"/>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December 28, 2019 and June 29, 2019. As of December 28, 2019, and June 29, 2019, there were $3.9 million and $4.0 million, respectively, in letters of credit issued under the Credit Facility.</w:t>
      </w:r>
    </w:p>
    <w:p>
      <w:pPr>
        <w:spacing w:after="0" w:line="167" w:lineRule="exact"/>
        <w:rPr>
          <w:sz w:val="20"/>
          <w:szCs w:val="20"/>
          <w:color w:val="auto"/>
        </w:rPr>
      </w:pPr>
    </w:p>
    <w:p>
      <w:pPr>
        <w:jc w:val="both"/>
        <w:ind w:left="20" w:right="20" w:firstLine="427"/>
        <w:spacing w:after="0" w:line="257" w:lineRule="auto"/>
        <w:rPr>
          <w:sz w:val="20"/>
          <w:szCs w:val="20"/>
          <w:color w:val="auto"/>
        </w:rPr>
      </w:pPr>
      <w:r>
        <w:rPr>
          <w:rFonts w:ascii="Arial" w:cs="Arial" w:eastAsia="Arial" w:hAnsi="Arial"/>
          <w:sz w:val="18"/>
          <w:szCs w:val="18"/>
          <w:color w:val="auto"/>
        </w:rPr>
        <w:t>As of December 28, 2019, the carrying value and fair value of the Company’s total debt was $1.69 billion and $1.76 billion, respectively. At June 29, 2019, the carrying value and fair value of the Company’s total debt was $1.72 billion and $1.78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left="20" w:right="20" w:firstLine="427"/>
        <w:spacing w:after="0" w:line="312" w:lineRule="auto"/>
        <w:rPr>
          <w:sz w:val="20"/>
          <w:szCs w:val="20"/>
          <w:color w:val="auto"/>
        </w:rPr>
      </w:pPr>
      <w:r>
        <w:rPr>
          <w:rFonts w:ascii="Arial" w:cs="Arial" w:eastAsia="Arial" w:hAnsi="Arial"/>
          <w:sz w:val="16"/>
          <w:szCs w:val="16"/>
          <w:color w:val="auto"/>
        </w:rPr>
        <w:t>Substantially all the Company’s leases are classified as operating leases and are predominately related to real property for distribution centers, office space and integration facilities with a lease term of up to 18 years. The Company’s equipment leases are primarily for automobiles and equipment and are not material to the consolidated financial statements.</w:t>
      </w:r>
    </w:p>
    <w:p>
      <w:pPr>
        <w:spacing w:after="0" w:line="147" w:lineRule="exact"/>
        <w:rPr>
          <w:sz w:val="20"/>
          <w:szCs w:val="20"/>
          <w:color w:val="auto"/>
        </w:rPr>
      </w:pPr>
    </w:p>
    <w:p>
      <w:pPr>
        <w:jc w:val="both"/>
        <w:ind w:left="20" w:right="20" w:firstLine="427"/>
        <w:spacing w:after="0" w:line="255" w:lineRule="auto"/>
        <w:rPr>
          <w:sz w:val="20"/>
          <w:szCs w:val="20"/>
          <w:color w:val="auto"/>
        </w:rPr>
      </w:pPr>
      <w:r>
        <w:rPr>
          <w:rFonts w:ascii="Arial" w:cs="Arial" w:eastAsia="Arial" w:hAnsi="Arial"/>
          <w:sz w:val="18"/>
          <w:szCs w:val="18"/>
          <w:color w:val="auto"/>
        </w:rPr>
        <w:t>The Company determines if an arrangement contains a lease at inception based on whether it conveys the right to control the use of an identified asset in exchange for consideration.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44" w:right="1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The Company’s leases generally do not provide a readily determinable implicit borrowing rate, as such, the discount rate used to calculate present value is based upon an estimate of the Company’s secured borrowing rate. The estimated secured borrowing rates used at the date of adoption for each lease varies in accordance with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Second Quarter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Six Months</w:t>
            </w:r>
          </w:p>
        </w:tc>
      </w:tr>
      <w:tr>
        <w:trPr>
          <w:trHeight w:val="241"/>
        </w:trPr>
        <w:tc>
          <w:tcPr>
            <w:tcW w:w="8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Ended</w:t>
            </w:r>
          </w:p>
        </w:tc>
      </w:tr>
      <w:tr>
        <w:trPr>
          <w:trHeight w:val="223"/>
        </w:trPr>
        <w:tc>
          <w:tcPr>
            <w:tcW w:w="86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December 28, 2019</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19,574</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38,376</w:t>
            </w:r>
          </w:p>
        </w:tc>
      </w:tr>
      <w:tr>
        <w:trPr>
          <w:trHeight w:val="223"/>
        </w:trPr>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Variable lease cost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10,097</w:t>
            </w:r>
          </w:p>
        </w:tc>
      </w:tr>
      <w:tr>
        <w:trPr>
          <w:trHeight w:val="216"/>
        </w:trPr>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24,403</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48,473</w:t>
            </w:r>
          </w:p>
        </w:tc>
      </w:tr>
      <w:tr>
        <w:trPr>
          <w:trHeight w:val="20"/>
        </w:trPr>
        <w:tc>
          <w:tcPr>
            <w:tcW w:w="8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453"/>
        </w:trPr>
        <w:tc>
          <w:tcPr>
            <w:tcW w:w="7800" w:type="dxa"/>
            <w:vAlign w:val="bottom"/>
            <w:gridSpan w:val="5"/>
          </w:tcPr>
          <w:p>
            <w:pPr>
              <w:ind w:left="440"/>
              <w:spacing w:after="0"/>
              <w:rPr>
                <w:sz w:val="20"/>
                <w:szCs w:val="20"/>
                <w:color w:val="auto"/>
              </w:rPr>
            </w:pPr>
            <w:r>
              <w:rPr>
                <w:rFonts w:ascii="Arial" w:cs="Arial" w:eastAsia="Arial" w:hAnsi="Arial"/>
                <w:sz w:val="18"/>
                <w:szCs w:val="18"/>
                <w:color w:val="auto"/>
                <w:w w:val="93"/>
              </w:rPr>
              <w:t>Future minimum operating lease payments as of December 28, 2019 are as follows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54,147</w:t>
            </w:r>
          </w:p>
        </w:tc>
        <w:tc>
          <w:tcPr>
            <w:tcW w:w="1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44,733</w:t>
            </w:r>
          </w:p>
        </w:tc>
        <w:tc>
          <w:tcPr>
            <w:tcW w:w="1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38,763</w:t>
            </w:r>
          </w:p>
        </w:tc>
        <w:tc>
          <w:tcPr>
            <w:tcW w:w="1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18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164,179</w:t>
            </w:r>
          </w:p>
        </w:tc>
        <w:tc>
          <w:tcPr>
            <w:tcW w:w="180" w:type="dxa"/>
            <w:vAlign w:val="bottom"/>
            <w:tcBorders>
              <w:bottom w:val="single" w:sz="8" w:color="CCEEFF"/>
            </w:tcBorders>
          </w:tcPr>
          <w:p>
            <w:pPr>
              <w:spacing w:after="0"/>
              <w:rPr>
                <w:sz w:val="19"/>
                <w:szCs w:val="19"/>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operating lease payments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366,166</w:t>
            </w:r>
          </w:p>
        </w:tc>
        <w:tc>
          <w:tcPr>
            <w:tcW w:w="180" w:type="dxa"/>
            <w:vAlign w:val="bottom"/>
            <w:shd w:val="clear" w:color="auto" w:fill="CCEEFF"/>
          </w:tcPr>
          <w:p>
            <w:pPr>
              <w:spacing w:after="0"/>
              <w:rPr>
                <w:sz w:val="18"/>
                <w:szCs w:val="18"/>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imputed interest on operating lease liabilities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(69,487)</w:t>
            </w:r>
          </w:p>
        </w:tc>
      </w:tr>
      <w:tr>
        <w:trPr>
          <w:trHeight w:val="216"/>
        </w:trPr>
        <w:tc>
          <w:tcPr>
            <w:tcW w:w="63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427"/>
        <w:spacing w:after="0" w:line="277" w:lineRule="auto"/>
        <w:rPr>
          <w:sz w:val="20"/>
          <w:szCs w:val="20"/>
          <w:color w:val="auto"/>
        </w:rPr>
      </w:pPr>
      <w:r>
        <w:rPr>
          <w:rFonts w:ascii="Arial" w:cs="Arial" w:eastAsia="Arial" w:hAnsi="Arial"/>
          <w:sz w:val="18"/>
          <w:szCs w:val="18"/>
          <w:color w:val="auto"/>
        </w:rPr>
        <w:t>Prior to the Company’s adoption of ASC 842, future minimum operating lease payments as of June 29, 2019, were as follows (in thousands) on an undiscounted basis and excluding non-lease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2021</w:t>
            </w:r>
          </w:p>
        </w:tc>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2023</w:t>
            </w:r>
          </w:p>
        </w:tc>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85,196</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303,750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4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Term and Discount Rate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3.9 %</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44"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firstLine="427"/>
        <w:spacing w:after="0" w:line="277" w:lineRule="auto"/>
        <w:rPr>
          <w:sz w:val="20"/>
          <w:szCs w:val="20"/>
          <w:color w:val="auto"/>
        </w:rPr>
      </w:pPr>
      <w:r>
        <w:rPr>
          <w:rFonts w:ascii="Arial" w:cs="Arial" w:eastAsia="Arial" w:hAnsi="Arial"/>
          <w:sz w:val="18"/>
          <w:szCs w:val="18"/>
          <w:color w:val="auto"/>
        </w:rPr>
        <w:t>Supplemental cash flow information related to the Company’s operating leases for the six months ended December 28, 2019 was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33,044</w:t>
            </w: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(expense)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December 28, 2019 and June 29, 2019.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5"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1"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 foreign currencies.</w:t>
      </w:r>
    </w:p>
    <w:p>
      <w:pPr>
        <w:spacing w:after="0" w:line="188" w:lineRule="exact"/>
        <w:rPr>
          <w:sz w:val="20"/>
          <w:szCs w:val="20"/>
          <w:color w:val="auto"/>
        </w:rPr>
      </w:pPr>
    </w:p>
    <w:p>
      <w:pPr>
        <w:jc w:val="both"/>
        <w:ind w:firstLine="427"/>
        <w:spacing w:after="0" w:line="277"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28,</w:t>
            </w:r>
          </w:p>
        </w:tc>
        <w:tc>
          <w:tcPr>
            <w:tcW w:w="3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3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16"/>
        </w:trPr>
        <w:tc>
          <w:tcPr>
            <w:tcW w:w="33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3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6,276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6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3,442</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6,154</w:t>
            </w:r>
          </w:p>
        </w:tc>
        <w:tc>
          <w:tcPr>
            <w:tcW w:w="60" w:type="dxa"/>
            <w:vAlign w:val="bottom"/>
          </w:tcPr>
          <w:p>
            <w:pPr>
              <w:spacing w:after="0"/>
              <w:rPr>
                <w:sz w:val="20"/>
                <w:szCs w:val="20"/>
                <w:color w:val="auto"/>
              </w:rPr>
            </w:pPr>
          </w:p>
        </w:tc>
      </w:tr>
      <w:tr>
        <w:trPr>
          <w:trHeight w:val="850"/>
        </w:trPr>
        <w:tc>
          <w:tcPr>
            <w:tcW w:w="3380" w:type="dxa"/>
            <w:vAlign w:val="bottom"/>
          </w:tcPr>
          <w:p>
            <w:pPr>
              <w:spacing w:after="0"/>
              <w:rPr>
                <w:sz w:val="24"/>
                <w:szCs w:val="24"/>
                <w:color w:val="auto"/>
              </w:rPr>
            </w:pPr>
          </w:p>
        </w:tc>
        <w:tc>
          <w:tcPr>
            <w:tcW w:w="3020" w:type="dxa"/>
            <w:vAlign w:val="bottom"/>
          </w:tcPr>
          <w:p>
            <w:pPr>
              <w:jc w:val="right"/>
              <w:ind w:right="169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44"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right="40" w:firstLine="427"/>
        <w:spacing w:after="0" w:line="277" w:lineRule="auto"/>
        <w:rPr>
          <w:sz w:val="20"/>
          <w:szCs w:val="20"/>
          <w:color w:val="auto"/>
        </w:rPr>
      </w:pPr>
      <w:r>
        <w:rPr>
          <w:rFonts w:ascii="Arial" w:cs="Arial" w:eastAsia="Arial" w:hAnsi="Arial"/>
          <w:sz w:val="18"/>
          <w:szCs w:val="18"/>
          <w:color w:val="auto"/>
        </w:rPr>
        <w:t>The amounts recorded to other (expense) income, net, related to derivative financial instruments for economic hedges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w w:val="92"/>
              </w:rPr>
              <w:t>Second Quarters Ended</w:t>
            </w:r>
          </w:p>
        </w:tc>
        <w:tc>
          <w:tcPr>
            <w:tcW w:w="1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Pr>
          <w:p>
            <w:pPr>
              <w:spacing w:after="0"/>
              <w:rPr>
                <w:sz w:val="20"/>
                <w:szCs w:val="20"/>
                <w:color w:val="auto"/>
              </w:rPr>
            </w:pPr>
          </w:p>
        </w:tc>
      </w:tr>
      <w:tr>
        <w:trPr>
          <w:trHeight w:val="198"/>
        </w:trPr>
        <w:tc>
          <w:tcPr>
            <w:tcW w:w="4320" w:type="dxa"/>
            <w:vAlign w:val="bottom"/>
          </w:tcPr>
          <w:p>
            <w:pPr>
              <w:spacing w:after="0"/>
              <w:rPr>
                <w:sz w:val="17"/>
                <w:szCs w:val="17"/>
                <w:color w:val="auto"/>
              </w:rPr>
            </w:pPr>
          </w:p>
        </w:tc>
        <w:tc>
          <w:tcPr>
            <w:tcW w:w="11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7"/>
              </w:rPr>
              <w:t>December 28,</w:t>
            </w:r>
          </w:p>
        </w:tc>
        <w:tc>
          <w:tcPr>
            <w:tcW w:w="116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w w:val="87"/>
              </w:rPr>
              <w:t>December 29,</w:t>
            </w:r>
          </w:p>
        </w:tc>
        <w:tc>
          <w:tcPr>
            <w:tcW w:w="60" w:type="dxa"/>
            <w:vAlign w:val="bottom"/>
          </w:tcPr>
          <w:p>
            <w:pPr>
              <w:spacing w:after="0"/>
              <w:rPr>
                <w:sz w:val="17"/>
                <w:szCs w:val="17"/>
                <w:color w:val="auto"/>
              </w:rPr>
            </w:pPr>
          </w:p>
        </w:tc>
        <w:tc>
          <w:tcPr>
            <w:tcW w:w="11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28,</w:t>
            </w:r>
          </w:p>
        </w:tc>
        <w:tc>
          <w:tcPr>
            <w:tcW w:w="1220" w:type="dxa"/>
            <w:vAlign w:val="bottom"/>
            <w:tcBorders>
              <w:top w:val="single" w:sz="8" w:color="auto"/>
            </w:tcBorders>
            <w:gridSpan w:val="2"/>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December 29,</w:t>
            </w:r>
          </w:p>
        </w:tc>
      </w:tr>
      <w:tr>
        <w:trPr>
          <w:trHeight w:val="241"/>
        </w:trPr>
        <w:tc>
          <w:tcPr>
            <w:tcW w:w="4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(Thousands)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gain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1,602</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(2,417) $</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11,103</w:t>
            </w:r>
          </w:p>
        </w:tc>
        <w:tc>
          <w:tcPr>
            <w:tcW w:w="8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376</w:t>
            </w:r>
          </w:p>
        </w:tc>
      </w:tr>
    </w:tbl>
    <w:p>
      <w:pPr>
        <w:spacing w:after="0" w:line="202" w:lineRule="exact"/>
        <w:rPr>
          <w:sz w:val="20"/>
          <w:szCs w:val="20"/>
          <w:color w:val="auto"/>
        </w:rPr>
      </w:pPr>
    </w:p>
    <w:p>
      <w:pPr>
        <w:jc w:val="both"/>
        <w:ind w:right="40" w:firstLine="427"/>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right="40"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right="40" w:firstLine="427"/>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right="40" w:firstLine="427"/>
        <w:spacing w:after="0" w:line="264" w:lineRule="auto"/>
        <w:rPr>
          <w:sz w:val="20"/>
          <w:szCs w:val="20"/>
          <w:color w:val="auto"/>
        </w:rPr>
      </w:pPr>
      <w:r>
        <w:rPr>
          <w:rFonts w:ascii="Arial" w:cs="Arial" w:eastAsia="Arial" w:hAnsi="Arial"/>
          <w:sz w:val="18"/>
          <w:szCs w:val="18"/>
          <w:color w:val="auto"/>
        </w:rPr>
        <w:t>As of December 28, 2019, and June 29, 2019, the Company had aggregate estimated liabilities of $14.7 million classified within accrued expenses and other for such compliance-related matters that were reasonably estimable as of such 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right="40" w:firstLine="427"/>
        <w:spacing w:after="0" w:line="259" w:lineRule="auto"/>
        <w:rPr>
          <w:sz w:val="20"/>
          <w:szCs w:val="20"/>
          <w:color w:val="auto"/>
        </w:rPr>
      </w:pPr>
      <w:r>
        <w:rPr>
          <w:rFonts w:ascii="Arial" w:cs="Arial" w:eastAsia="Arial" w:hAnsi="Arial"/>
          <w:sz w:val="18"/>
          <w:szCs w:val="18"/>
          <w:color w:val="auto"/>
        </w:rPr>
        <w:t>The Company’s effective tax rate on its income from continuing operations before taxes was 56.8% in the second quarter of fiscal 2020. During the second quarter of fiscal 2020, the Company’s effective tax rate was unfavorably impacted primarily by (i) a valuation allowance against interest deduction deferred tax assets, partially offset by (ii) the mix of income in lower tax jurisdictions.</w:t>
      </w:r>
    </w:p>
    <w:p>
      <w:pPr>
        <w:spacing w:after="0" w:line="187" w:lineRule="exact"/>
        <w:rPr>
          <w:sz w:val="20"/>
          <w:szCs w:val="20"/>
          <w:color w:val="auto"/>
        </w:rPr>
      </w:pPr>
    </w:p>
    <w:p>
      <w:pPr>
        <w:jc w:val="both"/>
        <w:ind w:right="40" w:firstLine="427"/>
        <w:spacing w:after="0" w:line="276" w:lineRule="auto"/>
        <w:rPr>
          <w:sz w:val="20"/>
          <w:szCs w:val="20"/>
          <w:color w:val="auto"/>
        </w:rPr>
      </w:pPr>
      <w:r>
        <w:rPr>
          <w:rFonts w:ascii="Arial" w:cs="Arial" w:eastAsia="Arial" w:hAnsi="Arial"/>
          <w:sz w:val="17"/>
          <w:szCs w:val="17"/>
          <w:color w:val="auto"/>
        </w:rPr>
        <w:t>During the second quarter of fiscal 2019, the Company’s effective tax rate on its income before income taxes from continuing operations of 43.3% was unfavorably impacted primarily by (i) an adjustment to the one-time mandatory deemed repatriation tax liability recorded under the requirements of recent tax law and regulation changes in the United States (the “Act”) and (ii) increases in unrecognized tax benefits, partially offset by (iii) the mix of income in lower tax jurisdictions, and (iv) the release of valuation allowances against deferred tax assets that were deemed to be realizable.</w:t>
      </w:r>
    </w:p>
    <w:p>
      <w:pPr>
        <w:spacing w:after="0" w:line="173" w:lineRule="exact"/>
        <w:rPr>
          <w:sz w:val="20"/>
          <w:szCs w:val="20"/>
          <w:color w:val="auto"/>
        </w:rPr>
      </w:pPr>
    </w:p>
    <w:p>
      <w:pPr>
        <w:jc w:val="both"/>
        <w:ind w:right="40" w:firstLine="427"/>
        <w:spacing w:after="0" w:line="279" w:lineRule="auto"/>
        <w:rPr>
          <w:sz w:val="20"/>
          <w:szCs w:val="20"/>
          <w:color w:val="auto"/>
        </w:rPr>
      </w:pPr>
      <w:r>
        <w:rPr>
          <w:rFonts w:ascii="Arial" w:cs="Arial" w:eastAsia="Arial" w:hAnsi="Arial"/>
          <w:sz w:val="17"/>
          <w:szCs w:val="17"/>
          <w:color w:val="auto"/>
        </w:rPr>
        <w:t>For the first six months of fiscal 2020, the Company’s effective tax rate on its income before income taxes from continuing operations was a benefit of 1.8%. The effective tax rate for the first six months of fiscal 2020 was favorably impacted primarily by (i) the release of unrecognized tax benefit reserves net of settlements and (ii) the mix of income in lower tax jurisdictions, partially offset by (iii) a valuation allowance against interest deduction deferred tax assets.</w:t>
      </w:r>
    </w:p>
    <w:p>
      <w:pPr>
        <w:sectPr>
          <w:pgSz w:w="11900" w:h="16838" w:orient="portrait"/>
          <w:cols w:equalWidth="0" w:num="1">
            <w:col w:w="9100"/>
          </w:cols>
          <w:pgMar w:left="1420" w:top="54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20" w:top="544" w:right="1379" w:bottom="1440" w:gutter="0" w:footer="0" w:header="0"/>
          <w:type w:val="continuous"/>
        </w:sectPr>
      </w:pPr>
    </w:p>
    <w:bookmarkStart w:id="15" w:name="page16"/>
    <w:bookmarkEnd w:id="1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20" w:firstLine="427"/>
        <w:spacing w:after="0" w:line="297" w:lineRule="auto"/>
        <w:rPr>
          <w:sz w:val="20"/>
          <w:szCs w:val="20"/>
          <w:color w:val="auto"/>
        </w:rPr>
      </w:pPr>
      <w:r>
        <w:rPr>
          <w:rFonts w:ascii="Arial" w:cs="Arial" w:eastAsia="Arial" w:hAnsi="Arial"/>
          <w:sz w:val="16"/>
          <w:szCs w:val="16"/>
          <w:color w:val="auto"/>
        </w:rPr>
        <w:t>During the first six months of fiscal 2019, the Company’s effective tax rate on its income before income taxes from continuing operations of 33.1% was unfavorably impacted primarily by (i) an adjustment to the one-time mandatory deemed repatriation tax liability recorded under the requirements of the Act and (ii) increases in unrecognized tax benefits, partially offset by (iii) an adjustment to the provisional deferred tax impacts of the Act, (iv) the mix of income in lower tax jurisdictions, and (v) the release of valuation allowances against deferred tax assets that were deemed to be realizable.</w:t>
      </w:r>
    </w:p>
    <w:p>
      <w:pPr>
        <w:spacing w:after="0" w:line="158" w:lineRule="exact"/>
        <w:rPr>
          <w:sz w:val="20"/>
          <w:szCs w:val="20"/>
          <w:color w:val="auto"/>
        </w:rPr>
      </w:pPr>
    </w:p>
    <w:p>
      <w:pPr>
        <w:jc w:val="both"/>
        <w:ind w:left="20" w:firstLine="427"/>
        <w:spacing w:after="0" w:line="279" w:lineRule="auto"/>
        <w:rPr>
          <w:sz w:val="20"/>
          <w:szCs w:val="20"/>
          <w:color w:val="auto"/>
        </w:rPr>
      </w:pPr>
      <w:r>
        <w:rPr>
          <w:rFonts w:ascii="Arial" w:cs="Arial" w:eastAsia="Arial" w:hAnsi="Arial"/>
          <w:sz w:val="17"/>
          <w:szCs w:val="17"/>
          <w:color w:val="auto"/>
        </w:rPr>
        <w:t>The Company’s effective tax rates in fiscal years 2019 and 2020 are based on the Company’s interpretation of tax regulations under the Act. The Company has made a policy election to account for any impacts of the Global Intangible Low Taxed Income (“GILTI”) tax as a period expense. The Company’s effective tax rate may change in future periods due to changes in U.S. tax regulations and the issuance of additional guidance related to the Act.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(the “Plan”). Components of net periodic pension cost for the Plan were as follows:</w:t>
      </w:r>
    </w:p>
    <w:p>
      <w:pPr>
        <w:sectPr>
          <w:pgSz w:w="11900" w:h="16838" w:orient="portrait"/>
          <w:cols w:equalWidth="0" w:num="1">
            <w:col w:w="9080"/>
          </w:cols>
          <w:pgMar w:left="1400" w:top="54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auto"/>
        </w:rPr>
        <w:t>Total net periodic pension cost within selling, general and administrative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60" w:type="dxa"/>
            <w:vAlign w:val="bottom"/>
          </w:tcPr>
          <w:p>
            <w:pPr>
              <w:spacing w:after="0"/>
              <w:rPr>
                <w:sz w:val="20"/>
                <w:szCs w:val="20"/>
                <w:color w:val="auto"/>
              </w:rPr>
            </w:pPr>
          </w:p>
        </w:tc>
        <w:tc>
          <w:tcPr>
            <w:tcW w:w="2580" w:type="dxa"/>
            <w:vAlign w:val="bottom"/>
            <w:gridSpan w:val="5"/>
          </w:tcPr>
          <w:p>
            <w:pPr>
              <w:ind w:left="180"/>
              <w:spacing w:after="0"/>
              <w:rPr>
                <w:sz w:val="20"/>
                <w:szCs w:val="20"/>
                <w:color w:val="auto"/>
              </w:rPr>
            </w:pPr>
            <w:r>
              <w:rPr>
                <w:rFonts w:ascii="Arial" w:cs="Arial" w:eastAsia="Arial" w:hAnsi="Arial"/>
                <w:sz w:val="18"/>
                <w:szCs w:val="18"/>
                <w:b w:val="1"/>
                <w:bCs w:val="1"/>
                <w:color w:val="auto"/>
              </w:rPr>
              <w:t>Second Quarters Ended</w:t>
            </w:r>
          </w:p>
        </w:tc>
        <w:tc>
          <w:tcPr>
            <w:tcW w:w="36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1420" w:type="dxa"/>
            <w:vAlign w:val="bottom"/>
            <w:tcBorders>
              <w:top w:val="single" w:sz="8" w:color="auto"/>
            </w:tcBorders>
            <w:gridSpan w:val="3"/>
          </w:tcPr>
          <w:p>
            <w:pPr>
              <w:ind w:left="80"/>
              <w:spacing w:after="0" w:line="198" w:lineRule="exact"/>
              <w:rPr>
                <w:sz w:val="20"/>
                <w:szCs w:val="20"/>
                <w:color w:val="auto"/>
              </w:rPr>
            </w:pPr>
            <w:r>
              <w:rPr>
                <w:rFonts w:ascii="Arial" w:cs="Arial" w:eastAsia="Arial" w:hAnsi="Arial"/>
                <w:sz w:val="18"/>
                <w:szCs w:val="18"/>
                <w:b w:val="1"/>
                <w:bCs w:val="1"/>
                <w:color w:val="auto"/>
              </w:rPr>
              <w:t>December 28,</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December 29,</w:t>
            </w:r>
          </w:p>
        </w:tc>
        <w:tc>
          <w:tcPr>
            <w:tcW w:w="14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2"/>
              </w:rPr>
              <w:t>December 28,</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December 29,</w:t>
            </w:r>
          </w:p>
        </w:tc>
      </w:tr>
      <w:tr>
        <w:trPr>
          <w:trHeight w:val="241"/>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02"/>
        </w:trPr>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(Thousands)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40" w:type="dxa"/>
            <w:vAlign w:val="bottom"/>
          </w:tcPr>
          <w:p>
            <w:pPr>
              <w:spacing w:after="0"/>
              <w:rPr>
                <w:sz w:val="20"/>
                <w:szCs w:val="20"/>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w:t>
            </w:r>
          </w:p>
        </w:tc>
      </w:tr>
      <w:tr>
        <w:trPr>
          <w:trHeight w:val="419"/>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-2317750</wp:posOffset>
            </wp:positionH>
            <wp:positionV relativeFrom="paragraph">
              <wp:posOffset>-419735</wp:posOffset>
            </wp:positionV>
            <wp:extent cx="576326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3260" cy="14605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400" w:space="260"/>
            <w:col w:w="5420"/>
          </w:cols>
          <w:pgMar w:left="1400" w:top="544" w:right="14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11,276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(12,667)</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(13,301)</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(25,335)</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(26,602)</w:t>
            </w:r>
          </w:p>
        </w:tc>
        <w:tc>
          <w:tcPr>
            <w:tcW w:w="60" w:type="dxa"/>
            <w:vAlign w:val="bottom"/>
            <w:shd w:val="clear" w:color="auto" w:fill="CCEEFF"/>
          </w:tcPr>
          <w:p>
            <w:pPr>
              <w:spacing w:after="0"/>
              <w:rPr>
                <w:sz w:val="19"/>
                <w:szCs w:val="19"/>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9"/>
                <w:szCs w:val="19"/>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175"/>
        </w:trPr>
        <w:tc>
          <w:tcPr>
            <w:tcW w:w="3660" w:type="dxa"/>
            <w:vAlign w:val="bottom"/>
          </w:tcPr>
          <w:p>
            <w:pPr>
              <w:ind w:left="120"/>
              <w:spacing w:after="0" w:line="176" w:lineRule="exact"/>
              <w:rPr>
                <w:sz w:val="20"/>
                <w:szCs w:val="20"/>
                <w:color w:val="auto"/>
              </w:rPr>
            </w:pPr>
            <w:r>
              <w:rPr>
                <w:rFonts w:ascii="Arial" w:cs="Arial" w:eastAsia="Arial" w:hAnsi="Arial"/>
                <w:sz w:val="18"/>
                <w:szCs w:val="18"/>
                <w:color w:val="auto"/>
                <w:w w:val="97"/>
              </w:rPr>
              <w:t>Total net periodic pension benefit within other</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8"/>
                <w:szCs w:val="18"/>
                <w:color w:val="auto"/>
              </w:rPr>
              <w:t>(expense) income, net</w:t>
            </w:r>
          </w:p>
        </w:tc>
        <w:tc>
          <w:tcPr>
            <w:tcW w:w="3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(2,817)</w:t>
            </w:r>
          </w:p>
        </w:tc>
        <w:tc>
          <w:tcPr>
            <w:tcW w:w="3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(4,545)</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(5,676)</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(9,090)</w:t>
            </w:r>
          </w:p>
        </w:tc>
        <w:tc>
          <w:tcPr>
            <w:tcW w:w="60" w:type="dxa"/>
            <w:vAlign w:val="bottom"/>
          </w:tcPr>
          <w:p>
            <w:pPr>
              <w:spacing w:after="0"/>
              <w:rPr>
                <w:sz w:val="20"/>
                <w:szCs w:val="20"/>
                <w:color w:val="auto"/>
              </w:rPr>
            </w:pPr>
          </w:p>
        </w:tc>
      </w:tr>
      <w:tr>
        <w:trPr>
          <w:trHeight w:val="236"/>
        </w:trPr>
        <w:tc>
          <w:tcPr>
            <w:tcW w:w="3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660" w:type="dxa"/>
            <w:vAlign w:val="bottom"/>
          </w:tcPr>
          <w:p>
            <w:pPr>
              <w:ind w:left="120"/>
              <w:spacing w:after="0" w:line="203" w:lineRule="exact"/>
              <w:rPr>
                <w:sz w:val="20"/>
                <w:szCs w:val="20"/>
                <w:color w:val="auto"/>
              </w:rPr>
            </w:pPr>
            <w:r>
              <w:rPr>
                <w:rFonts w:ascii="Arial" w:cs="Arial" w:eastAsia="Arial" w:hAnsi="Arial"/>
                <w:sz w:val="18"/>
                <w:szCs w:val="18"/>
                <w:color w:val="auto"/>
              </w:rPr>
              <w:t>Net periodic pension cost (benefit)</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969</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(811)</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1,896</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ind w:left="20" w:firstLine="427"/>
        <w:spacing w:after="0" w:line="277" w:lineRule="auto"/>
        <w:rPr>
          <w:sz w:val="20"/>
          <w:szCs w:val="20"/>
          <w:color w:val="auto"/>
        </w:rPr>
      </w:pPr>
      <w:r>
        <w:rPr>
          <w:rFonts w:ascii="Arial" w:cs="Arial" w:eastAsia="Arial" w:hAnsi="Arial"/>
          <w:sz w:val="18"/>
          <w:szCs w:val="18"/>
          <w:color w:val="auto"/>
        </w:rPr>
        <w:t>The Company expects to make contributions to the Plan of $8.0 million during fiscal 2020. There were no contributions made during the first six months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00" w:top="544" w:right="1419" w:bottom="1440" w:gutter="0" w:footer="0" w:header="0"/>
          <w:type w:val="continuous"/>
        </w:sectPr>
      </w:pPr>
    </w:p>
    <w:bookmarkStart w:id="16" w:name="page17"/>
    <w:bookmarkEnd w:id="1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460" w:right="6740" w:hanging="431"/>
        <w:spacing w:after="0" w:line="566" w:lineRule="auto"/>
        <w:tabs>
          <w:tab w:leader="none" w:pos="30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left="20" w:right="40" w:firstLine="427"/>
        <w:spacing w:after="0" w:line="272" w:lineRule="auto"/>
        <w:rPr>
          <w:sz w:val="20"/>
          <w:szCs w:val="20"/>
          <w:color w:val="auto"/>
        </w:rPr>
      </w:pPr>
      <w:r>
        <w:rPr>
          <w:rFonts w:ascii="Arial" w:cs="Arial" w:eastAsia="Arial" w:hAnsi="Arial"/>
          <w:sz w:val="17"/>
          <w:szCs w:val="17"/>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corporate and regulatory requirements, and prevailing market conditions. During the second quarter and six months ended December 28, 2019, the Company repurchased 2.1 million and 4.8 million shares, respectively, under this program for a total cost of $87.6 million and $199.7 million, respectively. As of December 28, 2019, the Company had $505.7 million remaining under its share repurchase authorization.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left="20" w:right="40" w:firstLine="432"/>
        <w:spacing w:after="0" w:line="264" w:lineRule="auto"/>
        <w:rPr>
          <w:sz w:val="20"/>
          <w:szCs w:val="20"/>
          <w:color w:val="auto"/>
        </w:rPr>
      </w:pPr>
      <w:r>
        <w:rPr>
          <w:rFonts w:ascii="Arial" w:cs="Arial" w:eastAsia="Arial" w:hAnsi="Arial"/>
          <w:sz w:val="18"/>
          <w:szCs w:val="18"/>
          <w:color w:val="auto"/>
        </w:rPr>
        <w:t>In November 2019, the Company’s Board of Directors approved a dividend of $0.21 per common share and dividend payments of $21.0 million were made in December 2019. During the six months ended December 28, 2019, the Company paid dividends of $0.42 per common share and $42.4 million in total.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11. Earnings per share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Second Quarters Ended</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December 28,</w:t>
            </w:r>
          </w:p>
        </w:tc>
        <w:tc>
          <w:tcPr>
            <w:tcW w:w="140" w:type="dxa"/>
            <w:vAlign w:val="bottom"/>
          </w:tcPr>
          <w:p>
            <w:pPr>
              <w:spacing w:after="0"/>
              <w:rPr>
                <w:sz w:val="17"/>
                <w:szCs w:val="17"/>
                <w:color w:val="auto"/>
              </w:rPr>
            </w:pPr>
          </w:p>
        </w:tc>
        <w:tc>
          <w:tcPr>
            <w:tcW w:w="10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29,</w:t>
            </w:r>
          </w:p>
        </w:tc>
        <w:tc>
          <w:tcPr>
            <w:tcW w:w="120" w:type="dxa"/>
            <w:vAlign w:val="bottom"/>
          </w:tcPr>
          <w:p>
            <w:pPr>
              <w:spacing w:after="0"/>
              <w:rPr>
                <w:sz w:val="17"/>
                <w:szCs w:val="17"/>
                <w:color w:val="auto"/>
              </w:rPr>
            </w:pPr>
          </w:p>
        </w:tc>
        <w:tc>
          <w:tcPr>
            <w:tcW w:w="10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28,</w:t>
            </w:r>
          </w:p>
        </w:tc>
        <w:tc>
          <w:tcPr>
            <w:tcW w:w="10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December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rPr>
              <w:t>(Thousands, except per share data)</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5,216</w:t>
            </w:r>
          </w:p>
        </w:tc>
        <w:tc>
          <w:tcPr>
            <w:tcW w:w="3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36,775</w:t>
            </w:r>
          </w:p>
        </w:tc>
        <w:tc>
          <w:tcPr>
            <w:tcW w:w="32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46,968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120,304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line="203"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3,668</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36,401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45,420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120,125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common shares for basic earnings per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110,332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Net effect of dilutive stock based compensation awards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Weighted average common shares for diluted earnings per</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101,302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111,462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113,967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 continuing operations</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0.05</w:t>
            </w:r>
          </w:p>
        </w:tc>
        <w:tc>
          <w:tcPr>
            <w:tcW w:w="140" w:type="dxa"/>
            <w:vAlign w:val="bottom"/>
            <w:vMerge w:val="continue"/>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0.33</w:t>
            </w:r>
          </w:p>
        </w:tc>
        <w:tc>
          <w:tcPr>
            <w:tcW w:w="120" w:type="dxa"/>
            <w:vAlign w:val="bottom"/>
            <w:vMerge w:val="continue"/>
          </w:tcPr>
          <w:p>
            <w:pPr>
              <w:spacing w:after="0"/>
              <w:rPr>
                <w:sz w:val="17"/>
                <w:szCs w:val="17"/>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10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loss per share - discontinued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 share</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 - continuing operations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loss per share - discontinued operations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Stock options excluded from earnings per share calculation</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due to anti-dilutive effect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20"/>
          </w:cols>
          <w:pgMar w:left="1400" w:top="544" w:right="1379" w:bottom="1440" w:gutter="0" w:footer="0" w:header="0"/>
        </w:sectPr>
      </w:pPr>
    </w:p>
    <w:bookmarkStart w:id="17" w:name="page18"/>
    <w:bookmarkEnd w:id="17"/>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gridSpan w:val="4"/>
          </w:tcPr>
          <w:p>
            <w:pPr>
              <w:ind w:left="4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December 28,</w:t>
            </w: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December 29,</w:t>
            </w:r>
          </w:p>
        </w:tc>
        <w:tc>
          <w:tcPr>
            <w:tcW w:w="20" w:type="dxa"/>
            <w:vAlign w:val="bottom"/>
          </w:tcPr>
          <w:p>
            <w:pPr>
              <w:spacing w:after="0"/>
              <w:rPr>
                <w:sz w:val="20"/>
                <w:szCs w:val="20"/>
                <w:color w:val="auto"/>
              </w:rPr>
            </w:pPr>
          </w:p>
        </w:tc>
      </w:tr>
      <w:tr>
        <w:trPr>
          <w:trHeight w:val="259"/>
        </w:trPr>
        <w:tc>
          <w:tcPr>
            <w:tcW w:w="5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20" w:type="dxa"/>
            <w:vAlign w:val="bottom"/>
          </w:tcPr>
          <w:p>
            <w:pPr>
              <w:spacing w:after="0"/>
              <w:rPr>
                <w:sz w:val="22"/>
                <w:szCs w:val="22"/>
                <w:color w:val="auto"/>
              </w:rPr>
            </w:pPr>
          </w:p>
        </w:tc>
      </w:tr>
      <w:tr>
        <w:trPr>
          <w:trHeight w:val="234"/>
        </w:trPr>
        <w:tc>
          <w:tcPr>
            <w:tcW w:w="5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(Thousands)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0"/>
        </w:trPr>
        <w:tc>
          <w:tcPr>
            <w:tcW w:w="592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6,374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16,257</w:t>
            </w:r>
          </w:p>
        </w:tc>
        <w:tc>
          <w:tcPr>
            <w:tcW w:w="20" w:type="dxa"/>
            <w:vAlign w:val="bottom"/>
          </w:tcPr>
          <w:p>
            <w:pPr>
              <w:spacing w:after="0"/>
              <w:rPr>
                <w:sz w:val="20"/>
                <w:szCs w:val="20"/>
                <w:color w:val="auto"/>
              </w:rPr>
            </w:pPr>
          </w:p>
        </w:tc>
      </w:tr>
      <w:tr>
        <w:trPr>
          <w:trHeight w:val="25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0"/>
        </w:trPr>
        <w:tc>
          <w:tcPr>
            <w:tcW w:w="5920" w:type="dxa"/>
            <w:vAlign w:val="bottom"/>
          </w:tcPr>
          <w:p>
            <w:pPr>
              <w:ind w:left="120"/>
              <w:spacing w:after="0"/>
              <w:rPr>
                <w:sz w:val="20"/>
                <w:szCs w:val="20"/>
                <w:color w:val="auto"/>
              </w:rPr>
            </w:pPr>
            <w:r>
              <w:rPr>
                <w:rFonts w:ascii="Arial" w:cs="Arial" w:eastAsia="Arial" w:hAnsi="Arial"/>
                <w:sz w:val="18"/>
                <w:szCs w:val="18"/>
                <w:color w:val="auto"/>
              </w:rPr>
              <w:t>Unsettled share repurchases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2,468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7"/>
        </w:trPr>
        <w:tc>
          <w:tcPr>
            <w:tcW w:w="5920" w:type="dxa"/>
            <w:vAlign w:val="bottom"/>
          </w:tcPr>
          <w:p>
            <w:pPr>
              <w:ind w:left="120"/>
              <w:spacing w:after="0"/>
              <w:rPr>
                <w:sz w:val="20"/>
                <w:szCs w:val="20"/>
                <w:color w:val="auto"/>
              </w:rPr>
            </w:pPr>
            <w:r>
              <w:rPr>
                <w:rFonts w:ascii="Arial" w:cs="Arial" w:eastAsia="Arial" w:hAnsi="Arial"/>
                <w:sz w:val="18"/>
                <w:szCs w:val="18"/>
                <w:color w:val="auto"/>
              </w:rPr>
              <w:t>Interest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72,203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67,467</w:t>
            </w:r>
          </w:p>
        </w:tc>
        <w:tc>
          <w:tcPr>
            <w:tcW w:w="20" w:type="dxa"/>
            <w:vAlign w:val="bottom"/>
          </w:tcPr>
          <w:p>
            <w:pPr>
              <w:spacing w:after="0"/>
              <w:rPr>
                <w:sz w:val="20"/>
                <w:szCs w:val="20"/>
                <w:color w:val="auto"/>
              </w:rPr>
            </w:pPr>
          </w:p>
        </w:tc>
      </w:tr>
      <w:tr>
        <w:trPr>
          <w:trHeight w:val="249"/>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(refunds) payments - continuing and discontinued operations</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(5,810)</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125,797</w:t>
            </w:r>
          </w:p>
        </w:tc>
        <w:tc>
          <w:tcPr>
            <w:tcW w:w="2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both"/>
        <w:ind w:left="20" w:right="20" w:firstLine="432"/>
        <w:spacing w:after="0" w:line="264" w:lineRule="auto"/>
        <w:rPr>
          <w:sz w:val="20"/>
          <w:szCs w:val="20"/>
          <w:color w:val="auto"/>
        </w:rPr>
      </w:pPr>
      <w:r>
        <w:rPr>
          <w:rFonts w:ascii="Arial" w:cs="Arial" w:eastAsia="Arial" w:hAnsi="Arial"/>
          <w:sz w:val="18"/>
          <w:szCs w:val="18"/>
          <w:color w:val="auto"/>
        </w:rPr>
        <w:t>Included in cash and cash equivalents as of December 28, 2019 and June 29, 2019 was $22.8 million and $9.4 million, respectively, of cash equivalents, which was primarily comprised of investment grade money market funds and overnight time deposits.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left="20" w:right="20" w:firstLine="427"/>
        <w:spacing w:after="0" w:line="279" w:lineRule="auto"/>
        <w:rPr>
          <w:sz w:val="20"/>
          <w:szCs w:val="20"/>
          <w:color w:val="auto"/>
        </w:rPr>
      </w:pPr>
      <w:r>
        <w:rPr>
          <w:rFonts w:ascii="Arial" w:cs="Arial" w:eastAsia="Arial" w:hAnsi="Arial"/>
          <w:sz w:val="17"/>
          <w:szCs w:val="17"/>
          <w:color w:val="auto"/>
        </w:rPr>
        <w:t>Electronic Components (“EC”) and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44" w:right="13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200" w:type="dxa"/>
            <w:vAlign w:val="bottom"/>
            <w:gridSpan w:val="7"/>
          </w:tcPr>
          <w:p>
            <w:pPr>
              <w:jc w:val="center"/>
              <w:ind w:left="1210"/>
              <w:spacing w:after="0"/>
              <w:rPr>
                <w:sz w:val="20"/>
                <w:szCs w:val="20"/>
                <w:color w:val="auto"/>
              </w:rPr>
            </w:pPr>
            <w:r>
              <w:rPr>
                <w:rFonts w:ascii="Arial" w:cs="Arial" w:eastAsia="Arial" w:hAnsi="Arial"/>
                <w:sz w:val="18"/>
                <w:szCs w:val="18"/>
                <w:b w:val="1"/>
                <w:bCs w:val="1"/>
                <w:color w:val="auto"/>
                <w:w w:val="99"/>
              </w:rPr>
              <w:t>AVNET, INC. AND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60" w:type="dxa"/>
            <w:vAlign w:val="bottom"/>
            <w:gridSpan w:val="11"/>
          </w:tcPr>
          <w:p>
            <w:pPr>
              <w:jc w:val="center"/>
              <w:ind w:right="14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2"/>
              </w:rPr>
              <w:t>Second Quarters Ended</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28,</w:t>
            </w:r>
          </w:p>
        </w:tc>
        <w:tc>
          <w:tcPr>
            <w:tcW w:w="20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29,</w:t>
            </w:r>
          </w:p>
        </w:tc>
        <w:tc>
          <w:tcPr>
            <w:tcW w:w="180" w:type="dxa"/>
            <w:vAlign w:val="bottom"/>
          </w:tcPr>
          <w:p>
            <w:pPr>
              <w:spacing w:after="0"/>
              <w:rPr>
                <w:sz w:val="17"/>
                <w:szCs w:val="17"/>
                <w:color w:val="auto"/>
              </w:rPr>
            </w:pPr>
          </w:p>
        </w:tc>
        <w:tc>
          <w:tcPr>
            <w:tcW w:w="12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28,</w:t>
            </w:r>
          </w:p>
        </w:tc>
        <w:tc>
          <w:tcPr>
            <w:tcW w:w="20" w:type="dxa"/>
            <w:vAlign w:val="bottom"/>
          </w:tcPr>
          <w:p>
            <w:pPr>
              <w:spacing w:after="0"/>
              <w:rPr>
                <w:sz w:val="17"/>
                <w:szCs w:val="17"/>
                <w:color w:val="auto"/>
              </w:rPr>
            </w:pPr>
          </w:p>
        </w:tc>
        <w:tc>
          <w:tcPr>
            <w:tcW w:w="11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December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ind w:left="54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4,203,629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4,680,714</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8,497,815</w:t>
            </w:r>
          </w:p>
        </w:tc>
        <w:tc>
          <w:tcPr>
            <w:tcW w:w="180" w:type="dxa"/>
            <w:vAlign w:val="bottom"/>
          </w:tcPr>
          <w:p>
            <w:pPr>
              <w:spacing w:after="0"/>
              <w:rPr>
                <w:sz w:val="18"/>
                <w:szCs w:val="18"/>
                <w:color w:val="auto"/>
              </w:rPr>
            </w:pPr>
          </w:p>
        </w:tc>
        <w:tc>
          <w:tcPr>
            <w:tcW w:w="160" w:type="dxa"/>
            <w:vAlign w:val="bottom"/>
            <w:gridSpan w:val="2"/>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9,391,540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Farnell</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331,177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368,266</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666,999</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4,534,806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5,048,980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9,164,814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10,138,859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93,144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158,551</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205,430</w:t>
            </w:r>
          </w:p>
        </w:tc>
        <w:tc>
          <w:tcPr>
            <w:tcW w:w="180" w:type="dxa"/>
            <w:vAlign w:val="bottom"/>
          </w:tcPr>
          <w:p>
            <w:pPr>
              <w:spacing w:after="0"/>
              <w:rPr>
                <w:sz w:val="18"/>
                <w:szCs w:val="18"/>
                <w:color w:val="auto"/>
              </w:rPr>
            </w:pPr>
          </w:p>
        </w:tc>
        <w:tc>
          <w:tcPr>
            <w:tcW w:w="160" w:type="dxa"/>
            <w:vAlign w:val="bottom"/>
            <w:gridSpan w:val="2"/>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Farnell</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39,644</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41,759</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198,195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247,189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Corporate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Restructuring, integration and other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Amortization of acquired intangible assets and other</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(21,454)</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(41,440)</w:t>
            </w:r>
          </w:p>
        </w:tc>
        <w:tc>
          <w:tcPr>
            <w:tcW w:w="0" w:type="dxa"/>
            <w:vAlign w:val="bottom"/>
          </w:tcPr>
          <w:p>
            <w:pPr>
              <w:spacing w:after="0"/>
              <w:rPr>
                <w:sz w:val="1"/>
                <w:szCs w:val="1"/>
                <w:color w:val="auto"/>
              </w:rPr>
            </w:pPr>
          </w:p>
        </w:tc>
      </w:tr>
      <w:tr>
        <w:trPr>
          <w:trHeight w:val="243"/>
        </w:trPr>
        <w:tc>
          <w:tcPr>
            <w:tcW w:w="3960" w:type="dxa"/>
            <w:vAlign w:val="bottom"/>
            <w:gridSpan w:val="3"/>
          </w:tcPr>
          <w:p>
            <w:pPr>
              <w:spacing w:after="0" w:line="203" w:lineRule="exact"/>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46,475</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96,050</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109,212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242,866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Sales, by geographic area:</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1,186,582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1,300,423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2,402,339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1,425,859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1,668,575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2,896,782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3,383,492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Asia/Pacific </w:t>
            </w:r>
            <w:r>
              <w:rPr>
                <w:rFonts w:ascii="Arial" w:cs="Arial" w:eastAsia="Arial" w:hAnsi="Arial"/>
                <w:sz w:val="25"/>
                <w:szCs w:val="25"/>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1,922,365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2,079,982</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3,865,693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4,183,151</w:t>
            </w:r>
          </w:p>
        </w:tc>
        <w:tc>
          <w:tcPr>
            <w:tcW w:w="0" w:type="dxa"/>
            <w:vAlign w:val="bottom"/>
          </w:tcPr>
          <w:p>
            <w:pPr>
              <w:spacing w:after="0"/>
              <w:rPr>
                <w:sz w:val="1"/>
                <w:szCs w:val="1"/>
                <w:color w:val="auto"/>
              </w:rPr>
            </w:pPr>
          </w:p>
        </w:tc>
      </w:tr>
      <w:tr>
        <w:trPr>
          <w:trHeight w:val="203"/>
        </w:trPr>
        <w:tc>
          <w:tcPr>
            <w:tcW w:w="3960" w:type="dxa"/>
            <w:vAlign w:val="bottom"/>
            <w:gridSpan w:val="3"/>
          </w:tcPr>
          <w:p>
            <w:pPr>
              <w:spacing w:after="0" w:line="203" w:lineRule="exact"/>
              <w:rPr>
                <w:sz w:val="20"/>
                <w:szCs w:val="20"/>
                <w:color w:val="auto"/>
              </w:rPr>
            </w:pPr>
            <w:r>
              <w:rPr>
                <w:rFonts w:ascii="Arial" w:cs="Arial" w:eastAsia="Arial" w:hAnsi="Arial"/>
                <w:sz w:val="18"/>
                <w:szCs w:val="18"/>
                <w:color w:val="auto"/>
              </w:rPr>
              <w:t>Sales</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4,534,806</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5,048,980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9,164,814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10,138,859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408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71" w:lineRule="exact"/>
        <w:rPr>
          <w:sz w:val="20"/>
          <w:szCs w:val="20"/>
          <w:color w:val="auto"/>
        </w:rPr>
      </w:pPr>
    </w:p>
    <w:p>
      <w:pPr>
        <w:jc w:val="both"/>
        <w:ind w:left="340" w:hanging="331"/>
        <w:spacing w:after="0" w:line="226"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Corporate is not a reportable segment and represents certain centrally incurred overhead expenses and assets that are not included in the EC and Farnell measures of profitability or assets. Corporate amounts represent a reconciling item between segment measures of profitability or assets and total Avnet amounts reported in the consolidated financial statements.</w:t>
      </w:r>
    </w:p>
    <w:p>
      <w:pPr>
        <w:spacing w:after="0" w:line="203" w:lineRule="exact"/>
        <w:rPr>
          <w:rFonts w:ascii="Arial" w:cs="Arial" w:eastAsia="Arial" w:hAnsi="Arial"/>
          <w:sz w:val="27"/>
          <w:szCs w:val="27"/>
          <w:color w:val="auto"/>
          <w:vertAlign w:val="superscript"/>
        </w:rPr>
      </w:pPr>
    </w:p>
    <w:p>
      <w:pPr>
        <w:jc w:val="both"/>
        <w:ind w:left="340" w:hanging="331"/>
        <w:spacing w:after="0" w:line="219"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sales from the United States of $1.12 billion and $1.21 billion for the second quarters ended December 28, 2019 and December 29, 2018, respectively. Includes sales from the United States of $2.26 billion and $2.39 billion for the first six months of fiscal 2020 and 2019, respectively.</w:t>
      </w:r>
    </w:p>
    <w:p>
      <w:pPr>
        <w:spacing w:after="0" w:line="203" w:lineRule="exact"/>
        <w:rPr>
          <w:rFonts w:ascii="Arial" w:cs="Arial" w:eastAsia="Arial" w:hAnsi="Arial"/>
          <w:sz w:val="27"/>
          <w:szCs w:val="27"/>
          <w:color w:val="auto"/>
          <w:vertAlign w:val="superscript"/>
        </w:rPr>
      </w:pPr>
    </w:p>
    <w:p>
      <w:pPr>
        <w:jc w:val="both"/>
        <w:ind w:left="340" w:hanging="331"/>
        <w:spacing w:after="0" w:line="238" w:lineRule="auto"/>
        <w:tabs>
          <w:tab w:leader="none" w:pos="34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Includes sales from Germany and Belgium of $537.6 million and $281.6 million, respectively, for the second quarter ended December 28, 2019, and $1.12 billion and $559.4 million, respectively, for the first six months of fiscal 2020. Includes sales from Germany and Belgium of $648.5 million and $276.2 million, respectively, for the second quarter ended December 29, 2018, and $1.33 billion and $556.3 million, respectively, for the first six months of fiscal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27" w:right="1419" w:bottom="1440" w:gutter="0" w:footer="0" w:header="0"/>
        </w:sectPr>
      </w:pPr>
    </w:p>
    <w:bookmarkStart w:id="19" w:name="page20"/>
    <w:bookmarkEnd w:id="19"/>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440" w:right="100" w:hanging="331"/>
        <w:spacing w:after="0" w:line="233" w:lineRule="auto"/>
        <w:tabs>
          <w:tab w:leader="none" w:pos="44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Includes sales from China (including Hong Kong), Taiwan and Singapore of $611.8 million, $867.8 million and $243.8 million, respectively, for the second quarter ended December 28, 2019, and $1.24 billion, $1.74 billion and $483.4 million, respectively, for the first six months of fiscal 2020. Includes sales from China (including Hong Kong), Taiwan and Singapore of $668.4 million, $926.1 million and $261.9 million, respectively, for the second quarter ended December 29, 2018, and $1.36 billion, $1.81 billion and $542.3 million, respectively, for the first six months of fiscal 2019.</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28,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June 29,</w:t>
            </w:r>
          </w:p>
        </w:tc>
      </w:t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15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200,201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213,802</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200,379</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Asia/Pacific</w:t>
            </w:r>
          </w:p>
        </w:tc>
        <w:tc>
          <w:tcPr>
            <w:tcW w:w="1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35,526</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37,990</w:t>
            </w:r>
          </w:p>
        </w:tc>
        <w:tc>
          <w:tcPr>
            <w:tcW w:w="18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431,410</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452,171</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20" w:type="dxa"/>
            <w:vAlign w:val="bottom"/>
            <w:tcBorders>
              <w:bottom w:val="single" w:sz="8" w:color="0D0D0D"/>
            </w:tcBorders>
          </w:tcPr>
          <w:p>
            <w:pPr>
              <w:spacing w:after="0"/>
              <w:rPr>
                <w:sz w:val="17"/>
                <w:szCs w:val="17"/>
                <w:color w:val="auto"/>
              </w:rPr>
            </w:pPr>
          </w:p>
        </w:tc>
        <w:tc>
          <w:tcPr>
            <w:tcW w:w="2260" w:type="dxa"/>
            <w:vAlign w:val="bottom"/>
            <w:tcBorders>
              <w:bottom w:val="single" w:sz="8" w:color="0D0D0D"/>
            </w:tcBorders>
          </w:tcPr>
          <w:p>
            <w:pPr>
              <w:spacing w:after="0"/>
              <w:rPr>
                <w:sz w:val="17"/>
                <w:szCs w:val="17"/>
                <w:color w:val="auto"/>
              </w:rPr>
            </w:pPr>
          </w:p>
        </w:tc>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94" w:lineRule="exact"/>
        <w:rPr>
          <w:sz w:val="20"/>
          <w:szCs w:val="20"/>
          <w:color w:val="auto"/>
        </w:rPr>
      </w:pPr>
    </w:p>
    <w:p>
      <w:pPr>
        <w:ind w:left="440" w:right="100" w:hanging="331"/>
        <w:spacing w:after="0" w:line="207" w:lineRule="auto"/>
        <w:tabs>
          <w:tab w:leader="none" w:pos="4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$195.4 million and $209.9 million as of December 28, 2019, and June 29, 2019, respectively, in the United States.</w:t>
      </w:r>
    </w:p>
    <w:p>
      <w:pPr>
        <w:spacing w:after="0" w:line="201" w:lineRule="exact"/>
        <w:rPr>
          <w:rFonts w:ascii="Arial" w:cs="Arial" w:eastAsia="Arial" w:hAnsi="Arial"/>
          <w:sz w:val="27"/>
          <w:szCs w:val="27"/>
          <w:color w:val="auto"/>
          <w:vertAlign w:val="superscript"/>
        </w:rPr>
      </w:pPr>
    </w:p>
    <w:p>
      <w:pPr>
        <w:jc w:val="both"/>
        <w:ind w:left="440" w:right="100" w:hanging="331"/>
        <w:spacing w:after="0" w:line="219" w:lineRule="auto"/>
        <w:tabs>
          <w:tab w:leader="none" w:pos="44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$86.4 million, $75.4 million and $23.3 million in Germany, the United Kingdom and Belgium, respectively, as of December 28, 2019; and $95.2 million, $70.5 million and $25.2 million in Germany, the United Kingdom and Belgium, respectively, as of June 29, 2019.</w:t>
      </w:r>
    </w:p>
    <w:p>
      <w:pPr>
        <w:spacing w:after="0" w:line="199" w:lineRule="exact"/>
        <w:rPr>
          <w:sz w:val="20"/>
          <w:szCs w:val="20"/>
          <w:color w:val="auto"/>
        </w:rPr>
      </w:pPr>
    </w:p>
    <w:p>
      <w:pPr>
        <w:ind w:left="540" w:right="7080" w:hanging="431"/>
        <w:spacing w:after="0" w:line="566" w:lineRule="auto"/>
        <w:tabs>
          <w:tab w:leader="none" w:pos="38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expenses </w:t>
      </w:r>
      <w:r>
        <w:rPr>
          <w:rFonts w:ascii="Arial" w:cs="Arial" w:eastAsia="Arial" w:hAnsi="Arial"/>
          <w:sz w:val="16"/>
          <w:szCs w:val="16"/>
          <w:i w:val="1"/>
          <w:iCs w:val="1"/>
          <w:color w:val="auto"/>
        </w:rPr>
        <w:t>Fiscal 2020</w:t>
      </w:r>
    </w:p>
    <w:p>
      <w:pPr>
        <w:spacing w:after="0" w:line="1" w:lineRule="exact"/>
        <w:rPr>
          <w:sz w:val="20"/>
          <w:szCs w:val="20"/>
          <w:color w:val="auto"/>
        </w:rPr>
      </w:pPr>
    </w:p>
    <w:p>
      <w:pPr>
        <w:jc w:val="both"/>
        <w:ind w:left="100" w:right="100" w:firstLine="432"/>
        <w:spacing w:after="0" w:line="279" w:lineRule="auto"/>
        <w:rPr>
          <w:sz w:val="20"/>
          <w:szCs w:val="20"/>
          <w:color w:val="auto"/>
        </w:rPr>
      </w:pPr>
      <w:r>
        <w:rPr>
          <w:rFonts w:ascii="Arial" w:cs="Arial" w:eastAsia="Arial" w:hAnsi="Arial"/>
          <w:sz w:val="17"/>
          <w:szCs w:val="17"/>
          <w:color w:val="auto"/>
        </w:rPr>
        <w:t>During fiscal 2020, the Company undertook restructuring actions in order to improve operating efficiencies and further integrate the acquisition of Farnell. Restructuring expenses are included as a component of restructuring, integration and other expenses in the consolidated statements of operations. The activity related to the restructuring liabilities and asset impairments established during fiscal 2020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Facility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and Contract</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Asset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Severance</w:t>
            </w: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Exit Costs</w:t>
            </w:r>
          </w:p>
        </w:tc>
        <w:tc>
          <w:tcPr>
            <w:tcW w:w="1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Impairments</w:t>
            </w:r>
          </w:p>
        </w:tc>
        <w:tc>
          <w:tcPr>
            <w:tcW w:w="26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6"/>
        </w:trPr>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5"/>
          </w:tcPr>
          <w:p>
            <w:pPr>
              <w:jc w:val="right"/>
              <w:ind w:right="1060"/>
              <w:spacing w:after="0"/>
              <w:rPr>
                <w:sz w:val="20"/>
                <w:szCs w:val="20"/>
                <w:color w:val="auto"/>
              </w:rPr>
            </w:pPr>
            <w:r>
              <w:rPr>
                <w:rFonts w:ascii="Arial" w:cs="Arial" w:eastAsia="Arial" w:hAnsi="Arial"/>
                <w:sz w:val="18"/>
                <w:szCs w:val="18"/>
                <w:b w:val="1"/>
                <w:bCs w:val="1"/>
                <w:color w:val="auto"/>
              </w:rPr>
              <w:t>(Thousands)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2020 restructuring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27,826</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(12,176)</w:t>
            </w:r>
          </w:p>
        </w:tc>
        <w:tc>
          <w:tcPr>
            <w:tcW w:w="2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amounts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20" w:type="dxa"/>
            <w:vAlign w:val="bottom"/>
          </w:tcPr>
          <w:p>
            <w:pPr>
              <w:spacing w:after="0"/>
              <w:rPr>
                <w:sz w:val="18"/>
                <w:szCs w:val="18"/>
                <w:color w:val="auto"/>
              </w:rPr>
            </w:pPr>
          </w:p>
        </w:tc>
      </w:tr>
      <w:tr>
        <w:trPr>
          <w:trHeight w:val="223"/>
        </w:trPr>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Other, principally foreign currency translation</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16"/>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28,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8,600</w:t>
            </w:r>
          </w:p>
        </w:tc>
        <w:tc>
          <w:tcPr>
            <w:tcW w:w="2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0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260"/>
          </w:cols>
          <w:pgMar w:left="1320" w:top="544" w:right="1319" w:bottom="1440" w:gutter="0" w:footer="0" w:header="0"/>
        </w:sectPr>
      </w:pPr>
    </w:p>
    <w:bookmarkStart w:id="20" w:name="page21"/>
    <w:bookmarkEnd w:id="20"/>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100" w:right="100" w:firstLine="427"/>
        <w:spacing w:after="0" w:line="255" w:lineRule="auto"/>
        <w:rPr>
          <w:sz w:val="20"/>
          <w:szCs w:val="20"/>
          <w:color w:val="auto"/>
        </w:rPr>
      </w:pPr>
      <w:r>
        <w:rPr>
          <w:rFonts w:ascii="Arial" w:cs="Arial" w:eastAsia="Arial" w:hAnsi="Arial"/>
          <w:sz w:val="18"/>
          <w:szCs w:val="18"/>
          <w:color w:val="auto"/>
        </w:rPr>
        <w:t>Severance expense recorded in the first six months of fiscal 2020 related to the reduction, or planned reduction, of over 300 employees, primarily in executive management, operations, information technology, warehouse, sales and business support functions. Asset impairments relate primarily to software assets that were impaired as a result of the restructuring of information technology operations including the re-prioritization of information technology initiatives and resources. Of the $27.8 million in restructuring expenses recorded during the first six months of fiscal 2020, $23.8 million related to EC and $4.0 million related to Farnell. The Company expects the majority of the remaining severance amounts to be paid by the end of fiscal 2020.</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2019 and prior</w:t>
      </w:r>
    </w:p>
    <w:p>
      <w:pPr>
        <w:spacing w:after="0" w:line="225" w:lineRule="exact"/>
        <w:rPr>
          <w:sz w:val="20"/>
          <w:szCs w:val="20"/>
          <w:color w:val="auto"/>
        </w:rPr>
      </w:pPr>
    </w:p>
    <w:p>
      <w:pPr>
        <w:jc w:val="both"/>
        <w:ind w:left="100" w:right="100" w:firstLine="432"/>
        <w:spacing w:after="0" w:line="259" w:lineRule="auto"/>
        <w:rPr>
          <w:sz w:val="20"/>
          <w:szCs w:val="20"/>
          <w:color w:val="auto"/>
        </w:rPr>
      </w:pPr>
      <w:r>
        <w:rPr>
          <w:rFonts w:ascii="Arial" w:cs="Arial" w:eastAsia="Arial" w:hAnsi="Arial"/>
          <w:sz w:val="18"/>
          <w:szCs w:val="18"/>
          <w:color w:val="auto"/>
        </w:rPr>
        <w:t>During fiscal 2019 and prior, the Company incurred restructuring expenses related to various restructuring actions intended to achieve planned synergies from acquired businesses and to reduce future operating expenses. The following table presents the activity during the first six months of fiscal 2020 related to the remaining restructuring liabilities from continuing operations established during fiscal 2019 and prior: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Facility</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and Contract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Severance</w:t>
            </w:r>
          </w:p>
        </w:tc>
        <w:tc>
          <w:tcPr>
            <w:tcW w:w="14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Exit Costs</w:t>
            </w:r>
          </w:p>
        </w:tc>
        <w:tc>
          <w:tcPr>
            <w:tcW w:w="3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(Thousands)</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29, 2019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w:t>
            </w:r>
          </w:p>
        </w:tc>
        <w:tc>
          <w:tcPr>
            <w:tcW w:w="20" w:type="dxa"/>
            <w:vAlign w:val="bottom"/>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(10,619)</w:t>
            </w: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(2,497)</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(13,116)</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0" w:type="dxa"/>
            <w:vAlign w:val="bottom"/>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2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r>
      <w:tr>
        <w:trPr>
          <w:trHeight w:val="23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20"/>
                <w:szCs w:val="20"/>
                <w:color w:val="auto"/>
              </w:rPr>
            </w:pPr>
          </w:p>
        </w:tc>
      </w:tr>
      <w:tr>
        <w:trPr>
          <w:trHeight w:val="203"/>
        </w:trPr>
        <w:tc>
          <w:tcPr>
            <w:tcW w:w="44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Balance at December 28, 2019</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7,301</w:t>
            </w: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2,513</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9,814</w:t>
            </w:r>
          </w:p>
        </w:tc>
        <w:tc>
          <w:tcPr>
            <w:tcW w:w="2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expects the majority of the remaining amounts to be paid by the end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358140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260"/>
          </w:cols>
          <w:pgMar w:left="1320" w:top="544" w:right="1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December 28, 2019,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Quarterly Report on Form 10-Q, as well as the Company’s Annual Report on Form 10-K for the fiscal year ended June 29, 2019.</w:t>
      </w:r>
    </w:p>
    <w:p>
      <w:pPr>
        <w:spacing w:after="0" w:line="17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(“Asia”), are referred to as “constant currency.”</w:t>
      </w:r>
    </w:p>
    <w:p>
      <w:pPr>
        <w:spacing w:after="0" w:line="19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680" w:hanging="320"/>
        <w:spacing w:after="0" w:line="25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6" w:lineRule="exact"/>
        <w:rPr>
          <w:rFonts w:ascii="Arial" w:cs="Arial" w:eastAsia="Arial" w:hAnsi="Arial"/>
          <w:sz w:val="18"/>
          <w:szCs w:val="18"/>
          <w:color w:val="auto"/>
        </w:rPr>
      </w:pPr>
    </w:p>
    <w:p>
      <w:pPr>
        <w:jc w:val="both"/>
        <w:ind w:left="680" w:hanging="320"/>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 this MD&amp;A) and (ii) amortization of acquired intangible assets and other. 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such amounts is referred to as “adjusted operating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Second Quarters Ended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December 28,</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December 29,</w:t>
            </w:r>
          </w:p>
        </w:tc>
        <w:tc>
          <w:tcPr>
            <w:tcW w:w="200" w:type="dxa"/>
            <w:vAlign w:val="bottom"/>
          </w:tcPr>
          <w:p>
            <w:pPr>
              <w:spacing w:after="0"/>
              <w:rPr>
                <w:sz w:val="17"/>
                <w:szCs w:val="17"/>
                <w:color w:val="auto"/>
              </w:rPr>
            </w:pPr>
          </w:p>
        </w:tc>
        <w:tc>
          <w:tcPr>
            <w:tcW w:w="12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December 28,</w:t>
            </w: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0"/>
              </w:rPr>
              <w:t>December 29,</w:t>
            </w: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ind w:left="48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46,475</w:t>
            </w:r>
          </w:p>
        </w:tc>
        <w:tc>
          <w:tcPr>
            <w:tcW w:w="4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96,050</w:t>
            </w:r>
          </w:p>
        </w:tc>
        <w:tc>
          <w:tcPr>
            <w:tcW w:w="4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77,048</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3"/>
              </w:rPr>
              <w:t>Amortization of acquired intangible assets and other</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21,454</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000" w:type="dxa"/>
            <w:vAlign w:val="bottom"/>
            <w:gridSpan w:val="2"/>
          </w:tcPr>
          <w:p>
            <w:pPr>
              <w:spacing w:after="0" w:line="203" w:lineRule="exact"/>
              <w:rPr>
                <w:sz w:val="20"/>
                <w:szCs w:val="20"/>
                <w:color w:val="auto"/>
              </w:rPr>
            </w:pPr>
            <w:r>
              <w:rPr>
                <w:rFonts w:ascii="Arial" w:cs="Arial" w:eastAsia="Arial" w:hAnsi="Arial"/>
                <w:sz w:val="18"/>
                <w:szCs w:val="18"/>
                <w:color w:val="auto"/>
              </w:rPr>
              <w:t>Adjusted operating income</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82,194</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178,823</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189,607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361,354</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Avnet, Inc. and its consolidated subsidiaries’ (collectively,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of $4.53 billion were down 10.2% year over year and 9.4% in constant currency as compared to prior fiscal year second quarter sales of $5.05 billion. Both operating groups in all three regions contributed to the year-over-year decline in sales as the global industry-wide slowdown resulted in weaker year over year demand.</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11.6% decreased 89 basis points compared to 12.5% in the second quarter of fiscal 2019 primarily due to gross profit margin declines in both operating groups.</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Operating income of $46.5 million decreased $49.6 million or 51.6% as compared to the second quarter of fiscal 2019. Operating income margin was 1.0% in the second quarter of fiscal 2020 as compared with a 1.9% in the second quarter of fiscal 2019. Both periods included amortization and restructuring, integration and other expenses. Excluding these expenses from both periods, adjusted operating income margin was 1.8% in the second quarter of fiscal 2020 as compared to 3.5% in the second quarter of fiscal 2019, a decline of 173 basis points. The decrease in adjusted operating income and adjusted operating income margin is primarily due to the decrease in sales and gross profit margin, partially offset by reductions in operating expenses from the Company’s restructuring and integration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right="60" w:firstLine="427"/>
        <w:spacing w:after="0" w:line="246" w:lineRule="auto"/>
        <w:rPr>
          <w:sz w:val="20"/>
          <w:szCs w:val="20"/>
          <w:color w:val="auto"/>
        </w:rPr>
      </w:pPr>
      <w:r>
        <w:rPr>
          <w:rFonts w:ascii="Arial" w:cs="Arial" w:eastAsia="Arial" w:hAnsi="Arial"/>
          <w:sz w:val="18"/>
          <w:szCs w:val="18"/>
          <w:color w:val="auto"/>
        </w:rPr>
        <w:t>The following tables present reported and organic sales growth rates for the second quarter and first six months of fiscal 2020 as compared to fiscal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Second Quarters Ended</w:t>
            </w:r>
          </w:p>
        </w:tc>
        <w:tc>
          <w:tcPr>
            <w:tcW w:w="1440" w:type="dxa"/>
            <w:vAlign w:val="bottom"/>
            <w:tcBorders>
              <w:bottom w:val="single" w:sz="8" w:color="auto"/>
            </w:tcBorders>
          </w:tcPr>
          <w:p>
            <w:pPr>
              <w:spacing w:after="0"/>
              <w:rPr>
                <w:sz w:val="20"/>
                <w:szCs w:val="20"/>
                <w:color w:val="auto"/>
              </w:rPr>
            </w:pPr>
          </w:p>
        </w:tc>
      </w:tr>
      <w:tr>
        <w:trPr>
          <w:trHeight w:val="198"/>
        </w:trPr>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As Reported</w:t>
            </w: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Sales</w:t>
            </w:r>
          </w:p>
        </w:tc>
        <w:tc>
          <w:tcPr>
            <w:tcW w:w="3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0"/>
              </w:rPr>
              <w:t>Sales</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 Reported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and Organic</w:t>
            </w: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as Reported</w:t>
            </w:r>
          </w:p>
        </w:tc>
        <w:tc>
          <w:tcPr>
            <w:tcW w:w="3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as Reported</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and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Year-Year %</w:t>
            </w: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and Organic</w:t>
            </w:r>
          </w:p>
        </w:tc>
        <w:tc>
          <w:tcPr>
            <w:tcW w:w="3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and Organic</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Organic</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Fiscal</w:t>
            </w:r>
          </w:p>
        </w:tc>
        <w:tc>
          <w:tcPr>
            <w:tcW w:w="3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Fiscal</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Year-Year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line="235" w:lineRule="exact"/>
              <w:rPr>
                <w:sz w:val="20"/>
                <w:szCs w:val="20"/>
                <w:color w:val="auto"/>
              </w:rPr>
            </w:pPr>
            <w:r>
              <w:rPr>
                <w:rFonts w:ascii="Arial" w:cs="Arial" w:eastAsia="Arial" w:hAnsi="Arial"/>
                <w:sz w:val="18"/>
                <w:szCs w:val="18"/>
                <w:b w:val="1"/>
                <w:bCs w:val="1"/>
                <w:color w:val="auto"/>
                <w:w w:val="83"/>
              </w:rPr>
              <w:t xml:space="preserve">2020 </w:t>
            </w:r>
            <w:r>
              <w:rPr>
                <w:rFonts w:ascii="Arial" w:cs="Arial" w:eastAsia="Arial" w:hAnsi="Arial"/>
                <w:sz w:val="27"/>
                <w:szCs w:val="27"/>
                <w:b w:val="1"/>
                <w:bCs w:val="1"/>
                <w:color w:val="auto"/>
                <w:w w:val="83"/>
                <w:vertAlign w:val="superscript"/>
              </w:rPr>
              <w:t>(1)</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line="235" w:lineRule="exact"/>
              <w:rPr>
                <w:sz w:val="20"/>
                <w:szCs w:val="20"/>
                <w:color w:val="auto"/>
              </w:rPr>
            </w:pPr>
            <w:r>
              <w:rPr>
                <w:rFonts w:ascii="Arial" w:cs="Arial" w:eastAsia="Arial" w:hAnsi="Arial"/>
                <w:sz w:val="18"/>
                <w:szCs w:val="18"/>
                <w:b w:val="1"/>
                <w:bCs w:val="1"/>
                <w:color w:val="auto"/>
                <w:w w:val="83"/>
              </w:rPr>
              <w:t xml:space="preserve">2019 </w:t>
            </w:r>
            <w:r>
              <w:rPr>
                <w:rFonts w:ascii="Arial" w:cs="Arial" w:eastAsia="Arial" w:hAnsi="Arial"/>
                <w:sz w:val="27"/>
                <w:szCs w:val="27"/>
                <w:b w:val="1"/>
                <w:bCs w:val="1"/>
                <w:color w:val="auto"/>
                <w:w w:val="83"/>
                <w:vertAlign w:val="superscript"/>
              </w:rPr>
              <w:t>(2)</w:t>
            </w:r>
          </w:p>
        </w:tc>
        <w:tc>
          <w:tcPr>
            <w:tcW w:w="16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 Change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Currency</w:t>
            </w: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(Dollars in thousands)</w:t>
            </w:r>
          </w:p>
        </w:tc>
        <w:tc>
          <w:tcPr>
            <w:tcW w:w="144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4,534,806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5,048,980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Avnet by region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1,186,582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1,300,423</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2940" w:type="dxa"/>
            <w:vAlign w:val="bottom"/>
          </w:tcPr>
          <w:p>
            <w:pPr>
              <w:ind w:left="1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1,425,859</w:t>
            </w:r>
          </w:p>
        </w:tc>
        <w:tc>
          <w:tcPr>
            <w:tcW w:w="30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1,668,575</w:t>
            </w: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(14.6)</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(12.1)</w:t>
            </w: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1,922,365</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2,079,982</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Avnet by operating group</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4,203,629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4,680,714</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02"/>
        </w:trPr>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Farnell</w:t>
            </w:r>
          </w:p>
        </w:tc>
        <w:tc>
          <w:tcPr>
            <w:tcW w:w="140" w:type="dxa"/>
            <w:vAlign w:val="bottom"/>
          </w:tcPr>
          <w:p>
            <w:pPr>
              <w:spacing w:after="0"/>
              <w:rPr>
                <w:sz w:val="17"/>
                <w:szCs w:val="17"/>
                <w:color w:val="auto"/>
              </w:rPr>
            </w:pPr>
          </w:p>
        </w:tc>
        <w:tc>
          <w:tcPr>
            <w:tcW w:w="12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331,177</w:t>
            </w:r>
          </w:p>
        </w:tc>
        <w:tc>
          <w:tcPr>
            <w:tcW w:w="300" w:type="dxa"/>
            <w:vAlign w:val="bottom"/>
          </w:tcPr>
          <w:p>
            <w:pPr>
              <w:spacing w:after="0"/>
              <w:rPr>
                <w:sz w:val="17"/>
                <w:szCs w:val="17"/>
                <w:color w:val="auto"/>
              </w:rPr>
            </w:pPr>
          </w:p>
        </w:tc>
        <w:tc>
          <w:tcPr>
            <w:tcW w:w="13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368,266</w:t>
            </w:r>
          </w:p>
        </w:tc>
        <w:tc>
          <w:tcPr>
            <w:tcW w:w="16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(10.1)</w:t>
            </w:r>
          </w:p>
        </w:tc>
        <w:tc>
          <w:tcPr>
            <w:tcW w:w="144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(9.1)</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___________</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ind w:left="380" w:hanging="317"/>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Sales from acquisitions in the second quarter of fiscal 2020 were not material.</w:t>
      </w:r>
    </w:p>
    <w:p>
      <w:pPr>
        <w:spacing w:after="0" w:line="12" w:lineRule="exact"/>
        <w:rPr>
          <w:rFonts w:ascii="Arial" w:cs="Arial" w:eastAsia="Arial" w:hAnsi="Arial"/>
          <w:sz w:val="16"/>
          <w:szCs w:val="16"/>
          <w:color w:val="auto"/>
        </w:rPr>
      </w:pPr>
    </w:p>
    <w:p>
      <w:pPr>
        <w:ind w:left="380" w:hanging="317"/>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Sales from the acquisition in the second quarter of fiscal 2019 was not material.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1460" w:type="dxa"/>
            <w:vAlign w:val="bottom"/>
            <w:tcBorders>
              <w:bottom w:val="single" w:sz="8" w:color="auto"/>
            </w:tcBorders>
          </w:tcPr>
          <w:p>
            <w:pPr>
              <w:spacing w:after="0"/>
              <w:rPr>
                <w:sz w:val="20"/>
                <w:szCs w:val="20"/>
                <w:color w:val="auto"/>
              </w:rPr>
            </w:pPr>
          </w:p>
        </w:tc>
      </w:tr>
      <w:tr>
        <w:trPr>
          <w:trHeight w:val="198"/>
        </w:trPr>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Reported</w:t>
            </w: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Sales</w:t>
            </w:r>
          </w:p>
        </w:tc>
        <w:tc>
          <w:tcPr>
            <w:tcW w:w="26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4"/>
              </w:rPr>
              <w:t>Sales</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As Reported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and Organic</w:t>
            </w: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as Reported</w:t>
            </w:r>
          </w:p>
        </w:tc>
        <w:tc>
          <w:tcPr>
            <w:tcW w:w="26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as Reported</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and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and Organic</w:t>
            </w:r>
          </w:p>
        </w:tc>
        <w:tc>
          <w:tcPr>
            <w:tcW w:w="26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and Organic</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Organic</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Fiscal</w:t>
            </w:r>
          </w:p>
        </w:tc>
        <w:tc>
          <w:tcPr>
            <w:tcW w:w="26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Fiscal</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Year-Year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line="235" w:lineRule="exact"/>
              <w:rPr>
                <w:sz w:val="20"/>
                <w:szCs w:val="20"/>
                <w:color w:val="auto"/>
              </w:rPr>
            </w:pPr>
            <w:r>
              <w:rPr>
                <w:rFonts w:ascii="Arial" w:cs="Arial" w:eastAsia="Arial" w:hAnsi="Arial"/>
                <w:sz w:val="18"/>
                <w:szCs w:val="18"/>
                <w:b w:val="1"/>
                <w:bCs w:val="1"/>
                <w:color w:val="auto"/>
                <w:w w:val="83"/>
              </w:rPr>
              <w:t xml:space="preserve">2020 </w:t>
            </w:r>
            <w:r>
              <w:rPr>
                <w:rFonts w:ascii="Arial" w:cs="Arial" w:eastAsia="Arial" w:hAnsi="Arial"/>
                <w:sz w:val="27"/>
                <w:szCs w:val="27"/>
                <w:b w:val="1"/>
                <w:bCs w:val="1"/>
                <w:color w:val="auto"/>
                <w:w w:val="83"/>
                <w:vertAlign w:val="superscript"/>
              </w:rPr>
              <w:t>(1)</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30"/>
              <w:spacing w:after="0" w:line="235" w:lineRule="exact"/>
              <w:rPr>
                <w:sz w:val="20"/>
                <w:szCs w:val="20"/>
                <w:color w:val="auto"/>
              </w:rPr>
            </w:pPr>
            <w:r>
              <w:rPr>
                <w:rFonts w:ascii="Arial" w:cs="Arial" w:eastAsia="Arial" w:hAnsi="Arial"/>
                <w:sz w:val="18"/>
                <w:szCs w:val="18"/>
                <w:b w:val="1"/>
                <w:bCs w:val="1"/>
                <w:color w:val="auto"/>
                <w:w w:val="83"/>
              </w:rPr>
              <w:t xml:space="preserve">2019 </w:t>
            </w:r>
            <w:r>
              <w:rPr>
                <w:rFonts w:ascii="Arial" w:cs="Arial" w:eastAsia="Arial" w:hAnsi="Arial"/>
                <w:sz w:val="27"/>
                <w:szCs w:val="27"/>
                <w:b w:val="1"/>
                <w:bCs w:val="1"/>
                <w:color w:val="auto"/>
                <w:w w:val="83"/>
                <w:vertAlign w:val="superscript"/>
              </w:rPr>
              <w:t>(2)</w:t>
            </w:r>
          </w:p>
        </w:tc>
        <w:tc>
          <w:tcPr>
            <w:tcW w:w="16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 Change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Currency</w:t>
            </w: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(Dollars in thousands)</w:t>
            </w:r>
          </w:p>
        </w:tc>
        <w:tc>
          <w:tcPr>
            <w:tcW w:w="1460" w:type="dxa"/>
            <w:vAlign w:val="bottom"/>
          </w:tcPr>
          <w:p>
            <w:pPr>
              <w:spacing w:after="0"/>
              <w:rPr>
                <w:sz w:val="18"/>
                <w:szCs w:val="18"/>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9,164,814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10,138,859</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Avnet by region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2,402,339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2,572,216</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2,896,782</w:t>
            </w:r>
          </w:p>
        </w:tc>
        <w:tc>
          <w:tcPr>
            <w:tcW w:w="2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3,383,492</w:t>
            </w: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(14.4)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(11.3)</w:t>
            </w: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3,865,693</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4,183,151</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Avnet by operating group</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8,497,815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9,391,540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2"/>
        </w:trPr>
        <w:tc>
          <w:tcPr>
            <w:tcW w:w="2900" w:type="dxa"/>
            <w:vAlign w:val="bottom"/>
          </w:tcPr>
          <w:p>
            <w:pPr>
              <w:ind w:left="120"/>
              <w:spacing w:after="0" w:line="201" w:lineRule="exact"/>
              <w:rPr>
                <w:sz w:val="20"/>
                <w:szCs w:val="20"/>
                <w:color w:val="auto"/>
              </w:rPr>
            </w:pPr>
            <w:r>
              <w:rPr>
                <w:rFonts w:ascii="Arial" w:cs="Arial" w:eastAsia="Arial" w:hAnsi="Arial"/>
                <w:sz w:val="18"/>
                <w:szCs w:val="18"/>
                <w:color w:val="auto"/>
              </w:rPr>
              <w:t>Farnell</w:t>
            </w:r>
          </w:p>
        </w:tc>
        <w:tc>
          <w:tcPr>
            <w:tcW w:w="140" w:type="dxa"/>
            <w:vAlign w:val="bottom"/>
          </w:tcPr>
          <w:p>
            <w:pPr>
              <w:spacing w:after="0"/>
              <w:rPr>
                <w:sz w:val="17"/>
                <w:szCs w:val="17"/>
                <w:color w:val="auto"/>
              </w:rPr>
            </w:pPr>
          </w:p>
        </w:tc>
        <w:tc>
          <w:tcPr>
            <w:tcW w:w="12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666,999</w:t>
            </w:r>
          </w:p>
        </w:tc>
        <w:tc>
          <w:tcPr>
            <w:tcW w:w="260" w:type="dxa"/>
            <w:vAlign w:val="bottom"/>
          </w:tcPr>
          <w:p>
            <w:pPr>
              <w:spacing w:after="0"/>
              <w:rPr>
                <w:sz w:val="17"/>
                <w:szCs w:val="17"/>
                <w:color w:val="auto"/>
              </w:rPr>
            </w:pPr>
          </w:p>
        </w:tc>
        <w:tc>
          <w:tcPr>
            <w:tcW w:w="140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747,319</w:t>
            </w:r>
          </w:p>
        </w:tc>
        <w:tc>
          <w:tcPr>
            <w:tcW w:w="16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(10.8)</w:t>
            </w:r>
          </w:p>
        </w:tc>
        <w:tc>
          <w:tcPr>
            <w:tcW w:w="14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(9.0)</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___________</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ind w:left="380" w:hanging="330"/>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Sales from acquisitions in the second quarter of fiscal 2020 were not material.</w:t>
      </w:r>
    </w:p>
    <w:p>
      <w:pPr>
        <w:spacing w:after="0" w:line="12" w:lineRule="exact"/>
        <w:rPr>
          <w:rFonts w:ascii="Arial" w:cs="Arial" w:eastAsia="Arial" w:hAnsi="Arial"/>
          <w:sz w:val="16"/>
          <w:szCs w:val="16"/>
          <w:color w:val="auto"/>
        </w:rPr>
      </w:pPr>
    </w:p>
    <w:p>
      <w:pPr>
        <w:ind w:left="380" w:hanging="330"/>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Sales from the acquisition in the second quarter of fiscal 2019 was not material.</w:t>
      </w:r>
    </w:p>
    <w:p>
      <w:pPr>
        <w:spacing w:after="0" w:line="226"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Sales of $4.53 billion for the second quarter of fiscal 2020 were down $514.2 million, or 10.2%, from the prior year second quarter sales of $5.05 billion. Sales in constant currency decreased 9.4% over the prior year second quarter with all three regions of both operating groups contributing to the decline. These decreases are primarily due to the current industry-wide economic downturn, which began in the second half of fiscal 2019.</w:t>
      </w:r>
    </w:p>
    <w:p>
      <w:pPr>
        <w:spacing w:after="0" w:line="187"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EC sales of $4.20 billion in the second quarter of fiscal 2020 decreased $477.1 million or 10.2% from the prior year second quarter sales of $4.68 billion. EC sales in constant currency declined 9.5% year over year. Farnell sales for the second quarter of fiscal 2020 were $331.2 million, a decrease of $37.1 million or 10.1% from the prior year second quarter sales of $368.3 million. Farnell sales in constant currency declined 9.1% year over year.</w:t>
      </w:r>
    </w:p>
    <w:p>
      <w:pPr>
        <w:sectPr>
          <w:pgSz w:w="11900" w:h="16838" w:orient="portrait"/>
          <w:cols w:equalWidth="0" w:num="1">
            <w:col w:w="9100"/>
          </w:cols>
          <w:pgMar w:left="1420" w:top="544" w:right="1379" w:bottom="1440" w:gutter="0" w:footer="0" w:header="0"/>
        </w:sect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544" w:right="13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477"/>
        <w:spacing w:after="0" w:line="264" w:lineRule="auto"/>
        <w:rPr>
          <w:sz w:val="20"/>
          <w:szCs w:val="20"/>
          <w:color w:val="auto"/>
        </w:rPr>
      </w:pPr>
      <w:r>
        <w:rPr>
          <w:rFonts w:ascii="Arial" w:cs="Arial" w:eastAsia="Arial" w:hAnsi="Arial"/>
          <w:sz w:val="18"/>
          <w:szCs w:val="18"/>
          <w:color w:val="auto"/>
        </w:rPr>
        <w:t>On a regional basis, sales declined 8.8% in the Americas, 12.1% in EMEA in constant currency and 7.7% in Asia in constant currency. All the regional declines are primarily due to the industry-wide economic downturn impacting the demand for electronic components.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for the first six months of fiscal 2020 were $9.16 billion, a decline $974.0 million as compared to sales of $10.14 billion for the first six months of fiscal 2019. These decreases are primarily due to the current industry-wide economic downturn, which began in the second half of fiscal 2019.</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 result of the notification the Company received from Texas Instruments (“TI”) in the second quarter of fiscal 2020 related to the termination of the Company’s distribution agreement, the Company may experience lower sales and gross profit in the future if the impact of the termination is not offset by sales growth, gross margin improvements or operating cost reductions from strategic initiatives designed to mitigate such impacts. Sales from TI products represented approximately 10% of total sales in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Gross profit for the second quarter of fiscal 2020 was $525.6 million, a decrease of $104.4 million, or 16.6%, from the second quarter of fiscal 2019 gross profit of $630.0 million driven primarily by the decline in sales. Gross profit margin decreased to 11.6% or 89 basis points from the second quarter of fiscal 2019 gross profit margin of 12.5% driven by declines in gross profit margin in both operating groups. The declines in gross profit margin in both operating groups are primarily due to a combination of product and customer mix, geographical market mix and overall declines in gross profit margin due to current market conditions.</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and gross margins were $1.07 billion and 11.7%, respectively, for the first six months of fiscal 2020 as compared with $1.27 billion and 12.5%, respectively, for the first six months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expenses (“SG&amp;A expenses”) were $464.9 million in the second quarter of fiscal 2020, a decrease of $6.9 million, or 1.5%, from the second quarter of fiscal 2019. The year-over-year decrease in SG&amp;A expenses was primarily due to a reduction of expenses resulting from management’s restructuring programs, the impact of changes in foreign currency translation rates year over year and from the decline in sales, partially offset by increases in SG&amp;A expenses to fund strategic investments and initiatives.</w:t>
      </w:r>
    </w:p>
    <w:p>
      <w:pPr>
        <w:spacing w:after="0" w:line="188" w:lineRule="exact"/>
        <w:rPr>
          <w:sz w:val="20"/>
          <w:szCs w:val="20"/>
          <w:color w:val="auto"/>
        </w:rPr>
      </w:pPr>
    </w:p>
    <w:p>
      <w:pPr>
        <w:jc w:val="both"/>
        <w:ind w:firstLine="427"/>
        <w:spacing w:after="0" w:line="276" w:lineRule="auto"/>
        <w:rPr>
          <w:sz w:val="20"/>
          <w:szCs w:val="20"/>
          <w:color w:val="auto"/>
        </w:rPr>
      </w:pPr>
      <w:r>
        <w:rPr>
          <w:rFonts w:ascii="Arial" w:cs="Arial" w:eastAsia="Arial" w:hAnsi="Arial"/>
          <w:sz w:val="17"/>
          <w:szCs w:val="17"/>
          <w:color w:val="auto"/>
        </w:rPr>
        <w:t>Metrics that management monitors with respect to its operating expenses are SG&amp;A expenses as a percentage of sales and as a percentage of gross profit. In the second quarter of fiscal 2020, SG&amp;A expenses as a percentage of sales were 10.3% and as a percentage of gross profit were 88.4%, as compared with 9.3% and 74.9%, respectively, in the second quarter of fiscal 2019. The increase in SG&amp;A expenses as a percentage of both sales and gross profit is primarily the result of the decrease in sales and gross profit margin, partially offset by the decline in SG&amp;A expenses.</w:t>
      </w:r>
    </w:p>
    <w:p>
      <w:pPr>
        <w:spacing w:after="0" w:line="173"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SG&amp;A expenses for the first six months of fiscal 2020 were $921.4 million, or 10.1% of sales, as compared with $946.9 million, or 9.3% of sales, in the first six months of fiscal 2019. SG&amp;A expenses were 86.2% of gross profit in the first six months of 2020 as compared with 74.7% in the first six months of fiscal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As a result of management’s focus on improving operating efficiencies and further integrating the acquisition of Farnell, the Company has incurred certain restructuring costs. These costs also related to the continued transformation of the Company’s information technology, distribution center footprint and business operations. In addition, the Company incurred integration, accelerated depreciation and other costs. Integration costs are primarily related to the integration of acquired businesses including Farnell, the integration of certain regional and global businesses, and incremental costs incurred as part of the consolidation, relocation, sale and closure of distribution centers and office facilities. Accelerated depreciation relates to the incremental depreciation expense incurred related to the shortening of the estimated useful life</w:t>
      </w:r>
    </w:p>
    <w:p>
      <w:pPr>
        <w:sectPr>
          <w:pgSz w:w="11900" w:h="16838" w:orient="portrait"/>
          <w:cols w:equalWidth="0" w:num="1">
            <w:col w:w="9060"/>
          </w:cols>
          <w:pgMar w:left="1420" w:top="544"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certain information technology assets. Other costs consist primarily of any other miscellaneous costs that relate to restructuring, integration and other expenses including acquisition related costs.</w:t>
      </w:r>
    </w:p>
    <w:p>
      <w:pPr>
        <w:spacing w:after="0" w:line="170"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The Company recorded restructuring, integration and other expenses of $14.3 million during the second quarter of fiscal 2020. The Company recorded $9.5 million of restructuring costs in the second quarter of fiscal 2020, which are expected to provide approximately $15.0 million in annual operating expense savings once such restructuring actions are completed. During the second quarter of fiscal 2020, the Company also incurred integration costs of $2.8 million, accelerated depreciation expense of $2.7 million, other costs of $0.5 million and a reversal of $1.2 million for changes in estimates for costs associated with prior year restructuring actions. The after-tax impact of restructuring, integration and other expenses were $10.9 million and $0.11 per share on a diluted basis.</w:t>
      </w:r>
    </w:p>
    <w:p>
      <w:pPr>
        <w:spacing w:after="0" w:line="178" w:lineRule="exact"/>
        <w:rPr>
          <w:sz w:val="20"/>
          <w:szCs w:val="20"/>
          <w:color w:val="auto"/>
        </w:rPr>
      </w:pPr>
    </w:p>
    <w:p>
      <w:pPr>
        <w:jc w:val="both"/>
        <w:ind w:firstLine="427"/>
        <w:spacing w:after="0" w:line="302" w:lineRule="auto"/>
        <w:rPr>
          <w:sz w:val="20"/>
          <w:szCs w:val="20"/>
          <w:color w:val="auto"/>
        </w:rPr>
      </w:pPr>
      <w:r>
        <w:rPr>
          <w:rFonts w:ascii="Arial" w:cs="Arial" w:eastAsia="Arial" w:hAnsi="Arial"/>
          <w:sz w:val="16"/>
          <w:szCs w:val="16"/>
          <w:color w:val="auto"/>
        </w:rPr>
        <w:t>During the first six months of fiscal 2020, the Company incurred restructuring costs of $27.8 million, integration costs of $4.5 million, accelerated depreciation of $5.4 million, other costs of $2.6 million and reversals of $1.4 million for changes in estimates for costs associated with prior year restructuring actions. The after tax impact of restructuring, integration and other expenses for the first six months of fiscal 2020 was $29.2 million and $0.29 per share on a diluted basis.</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Comparatively, in the second quarter of fiscal 2019, restructuring, integration and other expenses were $62.3 million. The after-tax impact of restructuring, integration, and other expenses was $46.6 million and $0.42 per share on a diluted basis.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first six months of fiscal 2019, restructuring, integration and other expenses were $77.0 million. The after tax impact of restructuring, integration and other expenses for the first six months of fiscal 2019 was $58.1 million and $0.51 per share on a diluted basis.</w:t>
      </w:r>
    </w:p>
    <w:p>
      <w:pPr>
        <w:spacing w:after="0" w:line="181" w:lineRule="exact"/>
        <w:rPr>
          <w:sz w:val="20"/>
          <w:szCs w:val="20"/>
          <w:color w:val="auto"/>
        </w:rPr>
      </w:pPr>
    </w:p>
    <w:p>
      <w:pPr>
        <w:jc w:val="both"/>
        <w:ind w:firstLine="427"/>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Operating income for the second quarter of fiscal 2020 was $46.5 million, a decrease of $49.6 million, or 51.6%, from the second quarter of fiscal 2019 operating income of $96.1 million. The year over year decrease in operating income was primarily driven by the decline in sales and gross profit margin partially offset by the reduction in SG&amp;A expenses as compared to the second quarter of fiscal 2019. Adjusted operating income for the second quarter of fiscal 2020 was $82.2 million, a decrease of $96.6 million, or 54.0%, from the second quarter of fiscal 2019. The year over year decrease in adjusted operating income was primarily driven by the decline in sales and gross profit margin, partially offset by the reduction in SG&amp;A expenses.</w:t>
      </w:r>
    </w:p>
    <w:p>
      <w:pPr>
        <w:spacing w:after="0" w:line="189" w:lineRule="exact"/>
        <w:rPr>
          <w:sz w:val="20"/>
          <w:szCs w:val="20"/>
          <w:color w:val="auto"/>
        </w:rPr>
      </w:pPr>
    </w:p>
    <w:p>
      <w:pPr>
        <w:jc w:val="both"/>
        <w:ind w:right="20" w:firstLine="427"/>
        <w:spacing w:after="0" w:line="264" w:lineRule="auto"/>
        <w:rPr>
          <w:sz w:val="20"/>
          <w:szCs w:val="20"/>
          <w:color w:val="auto"/>
        </w:rPr>
      </w:pPr>
      <w:r>
        <w:rPr>
          <w:rFonts w:ascii="Arial" w:cs="Arial" w:eastAsia="Arial" w:hAnsi="Arial"/>
          <w:sz w:val="18"/>
          <w:szCs w:val="18"/>
          <w:color w:val="auto"/>
        </w:rPr>
        <w:t>EC operating income margin decreased 117 basis points year over year to 2.2% and Farnell operating income margin decreased 473 basis points year over year to 6.0%. These declines were primarily driven by the decline in sales and gross profit margin, partially offset by the reduction in SG&amp;A expenses.</w:t>
      </w:r>
    </w:p>
    <w:p>
      <w:pPr>
        <w:spacing w:after="0" w:line="181" w:lineRule="exact"/>
        <w:rPr>
          <w:sz w:val="20"/>
          <w:szCs w:val="20"/>
          <w:color w:val="auto"/>
        </w:rPr>
      </w:pPr>
    </w:p>
    <w:p>
      <w:pPr>
        <w:jc w:val="both"/>
        <w:ind w:firstLine="427"/>
        <w:spacing w:after="0" w:line="276" w:lineRule="auto"/>
        <w:rPr>
          <w:sz w:val="20"/>
          <w:szCs w:val="20"/>
          <w:color w:val="auto"/>
        </w:rPr>
      </w:pPr>
      <w:r>
        <w:rPr>
          <w:rFonts w:ascii="Arial" w:cs="Arial" w:eastAsia="Arial" w:hAnsi="Arial"/>
          <w:sz w:val="17"/>
          <w:szCs w:val="17"/>
          <w:color w:val="auto"/>
        </w:rPr>
        <w:t>Operating income for the first six months of fiscal 2020 was $109.2 million, or 1.2% of consolidated sales, as compared with operating income of $242.9 million, or 2.4% of consolidated sales in the first six months of fiscal 2019. Adjusted operating income for the first six months of fiscal 2020 was $189.6 million, a decrease of $171.7 million, or 47.5%, from the first six months of fiscal 2019. The year over year decrease in adjusted operating income was primarily driven by the decline in sales and gross profit margin, partially offset by the reduction in SG&amp;A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Financing Expenses, Net and Other (Expense) Income, Net</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Interest and other financing expenses in the second quarter of fiscal 2020 was $33.9 million, an increase of $0.2 million or 0.6%, as compared with interest and other financing expenses of $33.7 million in the second quarter of fiscal 2019. Interest and other financing expenses in the first six months of fiscal 2020 was $67.5 million, an increase of $3.7 million or 5.8%, as compared with interest and other financing expenses of $63.8 million in the first six months of fiscal</w:t>
      </w:r>
    </w:p>
    <w:p>
      <w:pPr>
        <w:sectPr>
          <w:pgSz w:w="11900" w:h="16838" w:orient="portrait"/>
          <w:cols w:equalWidth="0" w:num="1">
            <w:col w:w="9060"/>
          </w:cols>
          <w:pgMar w:left="1420" w:top="544"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2019. The increase in interest and other financing expenses in the first six months of fiscal 2020 compared to the first six months of fiscal 2019 was primarily related to increased expenses in foreign regions to finance working capital needs.</w:t>
      </w:r>
    </w:p>
    <w:p>
      <w:pPr>
        <w:spacing w:after="0" w:line="147"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During the second quarter of fiscal 2020, the Company had $0.5 million of other expense as compared with $2.6 million of other income in the second quarter of fiscal 2019. During the first six months of fiscal 2020, the Company had $4.4 million of other income as compared with $0.7 million of other income in the first six months of fiscal 2019. The year over year differences in other income was primarily due to differences in foreign currency exchange rates between fiscal 2020 and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effective tax rate on its income from continuing operations before taxes was 56.8% in the second quarter of fiscal 2020. During the second quarter of fiscal 2020, the Company’s effective tax rate was unfavorably impacted primarily by (i) a valuation allowance against interest deduction deferred tax assets, partially offset by (ii) the mix of income in lower tax jurisdictions.</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second quarter of fiscal 2019, the Company’s effective tax rate on its income before income taxes from continuing operations of 43.3% was unfavorably impacted primarily by (i) an adjustment to the one-time mandatory deemed repatriation tax liability recorded under the requirements of recent tax law and regulation changes in the United States (the “Act”) and (ii) increases in unrecognized tax benefits, partially offset by (iii) the mix of income in lower tax jurisdictions, and (iv) the release of valuation allowances against deferred tax assets that were deemed to be realizable.</w:t>
      </w:r>
    </w:p>
    <w:p>
      <w:pPr>
        <w:spacing w:after="0" w:line="1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first six months of fiscal 2020, the Company’s effective tax rate on its income before income taxes from continuing operations was a benefit of 1.8%. The effective tax rate for the first six months of fiscal 2020 was favorably impacted primarily by (i) the release of unrecognized tax benefit reserves net of settlements and (ii) the mix of income in lower tax jurisdictions, partially offset by (iii) a valuation allowance against interest deduction deferred tax assets.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first six months of fiscal 2019, the Company’s effective tax rate on its income before income taxes from continuing operations of 33.1% was unfavorably impacted primarily by (i) an adjustment to the one-time mandatory deemed repatriation tax liability recorded under the requirements of the Act and (ii) increases in unrecognized tax benefits, partially offset by (iii) an adjustment to the provisional deferred tax impacts of the Act, (iv) the mix of income in lower tax jurisdictions, and (v) the release of valuation allowances against deferred tax assets that were deemed to be realizable.</w:t>
      </w:r>
    </w:p>
    <w:p>
      <w:pPr>
        <w:spacing w:after="0" w:line="15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from discontinued operations was $1.5 million in the second quarter and first six months of fiscal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Loss from discontinued operations was $0.4 million and $0.2 million in the second quarter and first six months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427"/>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second quarter of fiscal 2020 was $3.7 million, or $0.04 per share on a diluted basis, as compared with $36.4 million, or $0.33 per share on a diluted basis, in the second quarter of fiscal 2019.</w:t>
      </w:r>
    </w:p>
    <w:p>
      <w:pPr>
        <w:spacing w:after="0" w:line="181" w:lineRule="exact"/>
        <w:rPr>
          <w:sz w:val="20"/>
          <w:szCs w:val="20"/>
          <w:color w:val="auto"/>
        </w:rPr>
      </w:pPr>
    </w:p>
    <w:p>
      <w:pPr>
        <w:jc w:val="both"/>
        <w:ind w:right="20" w:firstLine="427"/>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six months of fiscal 2020 was $45.4 million, or $0.44 per share on a diluted basis, as compared with $120.1 million, or $1.05 per share on a diluted basis, in the first six months of fiscal 2019.</w:t>
      </w:r>
    </w:p>
    <w:p>
      <w:pPr>
        <w:sectPr>
          <w:pgSz w:w="11900" w:h="16838" w:orient="portrait"/>
          <w:cols w:equalWidth="0" w:num="1">
            <w:col w:w="9060"/>
          </w:cols>
          <w:pgMar w:left="1420" w:top="54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During the first six months of fiscal 2020, the Company generated $344.2 million of cash flow from operations for continuing operations compared to $12.8 million of cash used in the first six months of fiscal 2019. These operating cash flows were comprised of: (i) cash flow generated from net income from continuing operations, adjusted for the impact of non-cash and other items, which includes depreciation and amortization expenses, deferred income taxes, stock-based compensation expense, amortization of operating lease assets and other non-cash items (including provisions for doubtful accounts and net periodic pension costs) and (ii) cash flows used for, or generated from, working capital and other, excluding cash and cash equivalents. Cash generated from working capital and other was $155.2 million during the first six months of fiscal 2020, including decreases in accounts receivable of $185.6 million and inventories of $94.2 million, offset by decreases in accounts payable of $52.7 million and accrued expenses and other of $71.9 million. Comparatively, cash used for working capital and other was $361.8 million during the first six months of fiscal 2019, including an increase in inventories of $209.6 million and decreases in accounts payable of $205.3 million and accrued expenses and other of $140.5 million, partially offset by a decrease in accounts receivable of $193.5 million.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six months of fiscal 2020, the Company made net repayments of $35.4 million under the Securitization Program. During the first six months of fiscal 2020, the Company paid dividends on common stock of $42.4 million and repurchased $198.6 million of common stock.</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six months of fiscal 2019, the Company received net proceeds of $366.0 million under the Securitization Program and repaid $59.4 million from borrowings of various bank credit facilities. During the first six months of fiscal 2019, the Company paid dividends on common stock of $44.7 million and repurchased $335.4 million of common stock. Additionally, included in other, net is approximately $18.2 million of cash received from the exercises of stock options.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six months of fiscal 2020, the Company used $44.3 million for capital expenditures primarily related to warehouse and facilities, and information technology hardware and software costs compared to $70.2 million for capital expenditures in the first six months of fiscal 2019. During the first six months of fiscal 2020, the Company used $51.5 million of cash for acquisitions, which is net of the cash acquired, compared to $62.5 million of cash for acquisitions, which is net of cash acquired in the first six months of fiscal 2019. In addition, the Company paid $13.1 million for other investing activities.</w:t>
      </w:r>
    </w:p>
    <w:p>
      <w:pPr>
        <w:spacing w:after="0" w:line="19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the first six months of fiscal 2019, the Company received $123.5 million of cash from investing activities – discontinued operations from the sale of the 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29, 2019.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December 28, 2019. The Company was in compliance with all covenants under the Credit Facility and the Securitization Program as of December 28, 2019 and June 29, 2019.</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second quarter of fiscal 2020 was $2.2 million.</w:t>
      </w:r>
    </w:p>
    <w:p>
      <w:pPr>
        <w:spacing w:after="0" w:line="187" w:lineRule="exact"/>
        <w:rPr>
          <w:sz w:val="20"/>
          <w:szCs w:val="20"/>
          <w:color w:val="auto"/>
        </w:rPr>
      </w:pPr>
    </w:p>
    <w:p>
      <w:pPr>
        <w:jc w:val="both"/>
        <w:ind w:firstLine="427"/>
        <w:spacing w:after="0" w:line="257" w:lineRule="auto"/>
        <w:rPr>
          <w:sz w:val="20"/>
          <w:szCs w:val="20"/>
          <w:color w:val="auto"/>
        </w:rPr>
      </w:pPr>
      <w:r>
        <w:rPr>
          <w:rFonts w:ascii="Arial" w:cs="Arial" w:eastAsia="Arial" w:hAnsi="Arial"/>
          <w:sz w:val="18"/>
          <w:szCs w:val="18"/>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$488.8 million as of December 28, 2019, of which $423.3 million was held outside the United States. As of June 29, 2019, the Company held cash and cash equivalents of $546.1 million, of which $476.6 million was held outside of the United States.</w:t>
      </w:r>
    </w:p>
    <w:p>
      <w:pPr>
        <w:spacing w:after="0" w:line="18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As of the end of the second quarter of fiscal 2020, the Company had a combined total borrowing capacity of $1.75 billion under the Credit Facility and the Securitization Program. There were no borrowings outstanding and $3.9 million in letters of credit issued under the Credit Facility and $191.9 million in borrowings outstanding under the Securitization Program, resulting in approximately $1.52 billion of total availability as of December 28, 2019. Availability under the Securitization Program is subject to the Company having sufficient eligible trade accounts receivable in the Americas to support desired borrowings. The Company expects to renew or replace the Securitization Program on similar terms, subject to market conditions, before its maturity in August 2020. The Company expects to redeem the $300.0 million of Notes due June 2020 either through cash on hand or from available borrowing capacity under the Credit Facility and Securitization Program. During the second quarter and first six months of fiscal 2020, the Company had an average daily balance outstanding of approximately $41.2 million and $45.9 million, respectively, under the Credit Facility and approximately $408.6 million and $448.5 million, respectively, under the Securitization Program. During the second quarter and first six months of fiscal 2019, the Company had an average daily balance outstanding of approximately $184.0 million and $91.5 million, respectively, under the Credit Facility and approximately $256.0 million and $161.0 million, respectively, under the Securitization Program.</w:t>
      </w:r>
    </w:p>
    <w:p>
      <w:pPr>
        <w:spacing w:after="0" w:line="185"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$948.1 million in cash flows from operating activities over the trailing four fiscal quarters ended December 28, 2019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including capacity for the non-recourse sale of trade accounts receivable and the Company’s expected ability to generate operating cash flows in the future will be sufficient to meet its future liquidity needs. The Company may also issue debt or equity securities in the future and management believes the Company will have adequate access to the capital markets, if needed.</w:t>
      </w:r>
    </w:p>
    <w:p>
      <w:pPr>
        <w:spacing w:after="0" w:line="17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Historically the Company has made, and expects to continue to make, strategic investments through acquisition activity to the extent the investments strengthen Avnet’s competitive position, further its business strategies and meet management’s financial return thresholds. As the Company implements operating cost savings restructuring plans, responds to current business environment challenges and pursues ways to become more efficient and cost effective, the Company also expects to use cash for restructuring, integration and other expenses.</w:t>
      </w:r>
    </w:p>
    <w:p>
      <w:pPr>
        <w:spacing w:after="0" w:line="173"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As of December 28, 2019, the Company may repurchase up to an aggregate of $505.7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second quarter of fiscal 2020, the Board of Directors approved a dividend of $0.21 per share, which resulted in $21.0 million of dividend payments during the quarter.</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27"/>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June 29, 2019, for further discussion of market risks associated with foreign currency exchange rates and interest rates. Avnet’s exposure to such risks has not changed materially since June 29, 2019,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78"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December 28, 2019, 89% of the Company’s debt bears interest at a fixed rate and 11% of the Company’s debt bears interest at variable rates. Therefore, a hypothetical 1.0% (100 basis points) increase in interest rates would result in a $0.5 million decrease in income from continuing operations before income taxes in the Company’s consolidated statement of operations for the second quarter of fiscal 2020.</w:t>
      </w:r>
    </w:p>
    <w:p>
      <w:pPr>
        <w:sectPr>
          <w:pgSz w:w="11900" w:h="16838" w:orient="portrait"/>
          <w:cols w:equalWidth="0" w:num="1">
            <w:col w:w="9060"/>
          </w:cols>
          <w:pgMar w:left="1420" w:top="54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second quarter of fiscal 2020,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June 29, 2019,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December 28, 2019, there have been no material changes to the risk factors set forth in the Company’s Annual Report on Form 10-K for the fiscal year ended June 29, 2019.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August 2019, the Company’s Board of Directors amended the Company’s existing share repurchase program, increasing the cumulative total of authorized share repurchases to $2.95 billion of the Company’s common stock. The following table includes the Company’s monthly purchases of the Company’s common stock during the second quarter of fiscal 2020 under the share repurchase program which is part of a publicly announced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Paid per</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Purchased under the</w:t>
            </w:r>
          </w:p>
        </w:tc>
      </w:tr>
      <w:tr>
        <w:trPr>
          <w:trHeight w:val="241"/>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29 – October 26</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562,369,000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October 27 – November 23</w:t>
            </w:r>
          </w:p>
        </w:tc>
        <w:tc>
          <w:tcPr>
            <w:tcW w:w="1000" w:type="dxa"/>
            <w:vAlign w:val="bottom"/>
          </w:tcPr>
          <w:p>
            <w:pPr>
              <w:jc w:val="right"/>
              <w:spacing w:after="0"/>
              <w:rPr>
                <w:sz w:val="20"/>
                <w:szCs w:val="20"/>
                <w:color w:val="auto"/>
              </w:rPr>
            </w:pPr>
            <w:r>
              <w:rPr>
                <w:rFonts w:ascii="Arial" w:cs="Arial" w:eastAsia="Arial" w:hAnsi="Arial"/>
                <w:sz w:val="18"/>
                <w:szCs w:val="18"/>
                <w:color w:val="auto"/>
              </w:rPr>
              <w:t>678,900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678,900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534,844,000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24 – December 28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505,736,000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99"/>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Chief Executive Officer pursuant to Section 302 of the Sarbanes-Oxley Act of 2002.</w:t>
              </w:r>
            </w:hyperlink>
          </w:p>
        </w:tc>
        <w:tc>
          <w:tcPr>
            <w:tcW w:w="440" w:type="dxa"/>
            <w:vAlign w:val="bottom"/>
          </w:tcPr>
          <w:p>
            <w:pPr>
              <w:spacing w:after="0"/>
              <w:rPr>
                <w:sz w:val="24"/>
                <w:szCs w:val="24"/>
                <w:color w:val="auto"/>
              </w:rPr>
            </w:pP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80" w:type="dxa"/>
            <w:vAlign w:val="bottom"/>
            <w:gridSpan w:val="3"/>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Certification of Chief Financial Officer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 Section 906 of the Sarbanes-Oxley Act of 2002.</w:t>
              </w:r>
            </w:hyperlink>
          </w:p>
        </w:tc>
        <w:tc>
          <w:tcPr>
            <w:tcW w:w="440" w:type="dxa"/>
            <w:vAlign w:val="bottom"/>
          </w:tcPr>
          <w:p>
            <w:pPr>
              <w:spacing w:after="0"/>
              <w:rPr>
                <w:sz w:val="24"/>
                <w:szCs w:val="24"/>
                <w:color w:val="auto"/>
              </w:rPr>
            </w:pP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80" w:type="dxa"/>
            <w:vAlign w:val="bottom"/>
            <w:gridSpan w:val="3"/>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Certification of Chief Financial Officer pursuant to Section 906 of the Sarbanes-Oxley Act of 2002.</w:t>
              </w:r>
            </w:hyperlink>
          </w:p>
        </w:tc>
      </w:tr>
      <w:tr>
        <w:trPr>
          <w:trHeight w:val="20"/>
        </w:trPr>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52"/>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w w:val="94"/>
              </w:rPr>
              <w:t>XBRL - the instance document does not appear in the Interactive Data File because its XBRL tags are</w:t>
            </w:r>
          </w:p>
        </w:tc>
      </w:tr>
      <w:tr>
        <w:trPr>
          <w:trHeight w:val="230"/>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6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14408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00" w:hanging="536"/>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00" w:right="60" w:hanging="536"/>
        <w:spacing w:after="0" w:line="25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2020</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8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-130175</wp:posOffset>
            </wp:positionV>
            <wp:extent cx="26244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44" w:right="1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40" w:hanging="32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2020</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661225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17" w:lineRule="exact"/>
        <w:rPr>
          <w:sz w:val="20"/>
          <w:szCs w:val="20"/>
          <w:color w:val="auto"/>
        </w:rPr>
      </w:pPr>
    </w:p>
    <w:p>
      <w:pPr>
        <w:ind w:left="640" w:hanging="32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2020</w:t>
      </w: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THOMAS LIGUORI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661225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December 28, 2019 (the “Report”), I, William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660" w:right="2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2020</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December 28, 2019 (the “Report”), I, Thomas Liguori, Chief Financial Officer of Avnet, Inc. (the “Company”) hereby certify that:</w:t>
      </w:r>
    </w:p>
    <w:p>
      <w:pPr>
        <w:spacing w:after="0" w:line="62" w:lineRule="exact"/>
        <w:rPr>
          <w:sz w:val="20"/>
          <w:szCs w:val="20"/>
          <w:color w:val="auto"/>
        </w:rPr>
      </w:pPr>
    </w:p>
    <w:p>
      <w:pPr>
        <w:ind w:left="660" w:right="2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2020</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786765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2020-01-24T05:27:59Z</dcterms:created>
  <dcterms:modified xsi:type="dcterms:W3CDTF">2020-01-24T05:27:59Z</dcterms:modified>
</cp:coreProperties>
</file>