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Use these links to rapidly review the document</w:t>
      </w:r>
    </w:p>
    <w:p>
      <w:pPr>
        <w:spacing w:after="0" w:line="22" w:lineRule="exact"/>
        <w:rPr>
          <w:sz w:val="24"/>
          <w:szCs w:val="24"/>
          <w:color w:val="auto"/>
        </w:rPr>
      </w:pPr>
    </w:p>
    <w:p>
      <w:pPr>
        <w:spacing w:after="0"/>
        <w:rPr>
          <w:rFonts w:ascii="Times New Roman" w:cs="Times New Roman" w:eastAsia="Times New Roman" w:hAnsi="Times New Roman"/>
          <w:sz w:val="19"/>
          <w:szCs w:val="19"/>
          <w:u w:val="single" w:color="auto"/>
          <w:color w:val="0000EE"/>
        </w:rPr>
      </w:pPr>
      <w:hyperlink w:anchor="page4">
        <w:r>
          <w:rPr>
            <w:rFonts w:ascii="Times New Roman" w:cs="Times New Roman" w:eastAsia="Times New Roman" w:hAnsi="Times New Roman"/>
            <w:sz w:val="19"/>
            <w:szCs w:val="19"/>
            <w:u w:val="single" w:color="auto"/>
            <w:color w:val="0000EE"/>
          </w:rPr>
          <w:t>TABLE OF CONTENTS</w:t>
        </w:r>
      </w:hyperlink>
    </w:p>
    <w:p>
      <w:pPr>
        <w:spacing w:after="0"/>
        <w:rPr>
          <w:rFonts w:ascii="Times New Roman" w:cs="Times New Roman" w:eastAsia="Times New Roman" w:hAnsi="Times New Roman"/>
          <w:sz w:val="19"/>
          <w:szCs w:val="19"/>
          <w:u w:val="single" w:color="auto"/>
          <w:color w:val="0000EE"/>
        </w:rPr>
      </w:pPr>
      <w:hyperlink w:anchor="page41">
        <w:r>
          <w:rPr>
            <w:rFonts w:ascii="Times New Roman" w:cs="Times New Roman" w:eastAsia="Times New Roman" w:hAnsi="Times New Roman"/>
            <w:sz w:val="19"/>
            <w:szCs w:val="19"/>
            <w:u w:val="single" w:color="auto"/>
            <w:color w:val="0000EE"/>
          </w:rPr>
          <w:t>COMPENSATION DISCUSSION AND ANALYSIS</w:t>
        </w:r>
      </w:hyperlink>
    </w:p>
    <w:p>
      <w:pPr>
        <w:spacing w:after="0" w:line="180" w:lineRule="exact"/>
        <w:rPr>
          <w:sz w:val="24"/>
          <w:szCs w:val="24"/>
          <w:color w:val="auto"/>
        </w:rPr>
      </w:pPr>
    </w:p>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0" w:lineRule="exact"/>
        <w:rPr>
          <w:sz w:val="24"/>
          <w:szCs w:val="24"/>
          <w:color w:val="auto"/>
        </w:rPr>
      </w:pPr>
    </w:p>
    <w:p>
      <w:pPr>
        <w:jc w:val="center"/>
        <w:ind w:right="-1120"/>
        <w:spacing w:after="0"/>
        <w:rPr>
          <w:sz w:val="20"/>
          <w:szCs w:val="20"/>
          <w:color w:val="auto"/>
        </w:rPr>
      </w:pPr>
      <w:r>
        <w:rPr>
          <w:rFonts w:ascii="Arial" w:cs="Arial" w:eastAsia="Arial" w:hAnsi="Arial"/>
          <w:sz w:val="16"/>
          <w:szCs w:val="16"/>
          <w:b w:val="1"/>
          <w:bCs w:val="1"/>
          <w:color w:val="auto"/>
        </w:rPr>
        <w:t>UNITED STATES</w:t>
      </w:r>
    </w:p>
    <w:p>
      <w:pPr>
        <w:spacing w:after="0" w:line="18" w:lineRule="exact"/>
        <w:rPr>
          <w:sz w:val="24"/>
          <w:szCs w:val="24"/>
          <w:color w:val="auto"/>
        </w:rPr>
      </w:pPr>
    </w:p>
    <w:p>
      <w:pPr>
        <w:jc w:val="center"/>
        <w:ind w:right="-1120"/>
        <w:spacing w:after="0"/>
        <w:rPr>
          <w:sz w:val="20"/>
          <w:szCs w:val="20"/>
          <w:color w:val="auto"/>
        </w:rPr>
      </w:pPr>
      <w:r>
        <w:rPr>
          <w:rFonts w:ascii="Arial" w:cs="Arial" w:eastAsia="Arial" w:hAnsi="Arial"/>
          <w:sz w:val="16"/>
          <w:szCs w:val="16"/>
          <w:b w:val="1"/>
          <w:bCs w:val="1"/>
          <w:color w:val="auto"/>
        </w:rPr>
        <w:t>SECURITIES AND EXCHANGE COMMISSION</w:t>
      </w:r>
    </w:p>
    <w:p>
      <w:pPr>
        <w:jc w:val="center"/>
        <w:ind w:right="-1120"/>
        <w:spacing w:after="0"/>
        <w:rPr>
          <w:sz w:val="20"/>
          <w:szCs w:val="20"/>
          <w:color w:val="auto"/>
        </w:rPr>
      </w:pPr>
      <w:r>
        <w:rPr>
          <w:rFonts w:ascii="Arial" w:cs="Arial" w:eastAsia="Arial" w:hAnsi="Arial"/>
          <w:sz w:val="16"/>
          <w:szCs w:val="16"/>
          <w:b w:val="1"/>
          <w:bCs w:val="1"/>
          <w:color w:val="auto"/>
        </w:rPr>
        <w:t>Washington, D.C. 20549</w:t>
      </w:r>
    </w:p>
    <w:p>
      <w:pPr>
        <w:spacing w:after="0" w:line="156" w:lineRule="exact"/>
        <w:rPr>
          <w:sz w:val="24"/>
          <w:szCs w:val="24"/>
          <w:color w:val="auto"/>
        </w:rPr>
      </w:pPr>
    </w:p>
    <w:p>
      <w:pPr>
        <w:ind w:left="4800"/>
        <w:spacing w:after="0"/>
        <w:rPr>
          <w:sz w:val="20"/>
          <w:szCs w:val="20"/>
          <w:color w:val="auto"/>
        </w:rPr>
      </w:pPr>
      <w:r>
        <w:rPr>
          <w:rFonts w:ascii="Arial" w:cs="Arial" w:eastAsia="Arial" w:hAnsi="Arial"/>
          <w:sz w:val="22"/>
          <w:szCs w:val="22"/>
          <w:b w:val="1"/>
          <w:bCs w:val="1"/>
          <w:color w:val="auto"/>
        </w:rPr>
        <w:t>SCHEDULE 14A</w:t>
      </w:r>
    </w:p>
    <w:p>
      <w:pPr>
        <w:spacing w:after="0" w:line="211" w:lineRule="exact"/>
        <w:rPr>
          <w:sz w:val="24"/>
          <w:szCs w:val="24"/>
          <w:color w:val="auto"/>
        </w:rPr>
      </w:pPr>
    </w:p>
    <w:tbl>
      <w:tblPr>
        <w:tblLayout w:type="fixed"/>
        <w:tblInd w:w="1120" w:type="dxa"/>
        <w:tblCellMar>
          <w:top w:w="0" w:type="dxa"/>
          <w:left w:w="0" w:type="dxa"/>
          <w:bottom w:w="0" w:type="dxa"/>
          <w:right w:w="0" w:type="dxa"/>
        </w:tblCellMar>
      </w:tblPr>
      <w:tr>
        <w:trPr>
          <w:trHeight w:val="184"/>
        </w:trPr>
        <w:tc>
          <w:tcPr>
            <w:tcW w:w="260" w:type="dxa"/>
            <w:vAlign w:val="bottom"/>
          </w:tcPr>
          <w:p>
            <w:pPr>
              <w:spacing w:after="0"/>
              <w:rPr>
                <w:sz w:val="16"/>
                <w:szCs w:val="16"/>
                <w:color w:val="auto"/>
              </w:rPr>
            </w:pPr>
          </w:p>
        </w:tc>
        <w:tc>
          <w:tcPr>
            <w:tcW w:w="6180" w:type="dxa"/>
            <w:vAlign w:val="bottom"/>
          </w:tcPr>
          <w:p>
            <w:pPr>
              <w:ind w:left="2660"/>
              <w:spacing w:after="0"/>
              <w:rPr>
                <w:sz w:val="20"/>
                <w:szCs w:val="20"/>
                <w:color w:val="auto"/>
              </w:rPr>
            </w:pPr>
            <w:r>
              <w:rPr>
                <w:rFonts w:ascii="Arial" w:cs="Arial" w:eastAsia="Arial" w:hAnsi="Arial"/>
                <w:sz w:val="16"/>
                <w:szCs w:val="16"/>
                <w:color w:val="auto"/>
              </w:rPr>
              <w:t>Proxy Statement Pursuant to Section 14(a) of</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6180" w:type="dxa"/>
            <w:vAlign w:val="bottom"/>
          </w:tcPr>
          <w:p>
            <w:pPr>
              <w:ind w:left="2100"/>
              <w:spacing w:after="0"/>
              <w:rPr>
                <w:sz w:val="20"/>
                <w:szCs w:val="20"/>
                <w:color w:val="auto"/>
              </w:rPr>
            </w:pPr>
            <w:r>
              <w:rPr>
                <w:rFonts w:ascii="Arial" w:cs="Arial" w:eastAsia="Arial" w:hAnsi="Arial"/>
                <w:sz w:val="16"/>
                <w:szCs w:val="16"/>
                <w:color w:val="auto"/>
              </w:rPr>
              <w:t>the Securities Exchange Act of 1934 (Amendment No.</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90"/>
        </w:trPr>
        <w:tc>
          <w:tcPr>
            <w:tcW w:w="6440" w:type="dxa"/>
            <w:vAlign w:val="bottom"/>
            <w:gridSpan w:val="2"/>
          </w:tcPr>
          <w:p>
            <w:pPr>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6440" w:type="dxa"/>
            <w:vAlign w:val="bottom"/>
            <w:gridSpan w:val="2"/>
          </w:tcPr>
          <w:p>
            <w:pPr>
              <w:spacing w:after="0"/>
              <w:rPr>
                <w:sz w:val="20"/>
                <w:szCs w:val="20"/>
                <w:color w:val="auto"/>
              </w:rPr>
            </w:pPr>
            <w:r>
              <w:rPr>
                <w:rFonts w:ascii="Arial" w:cs="Arial" w:eastAsia="Arial" w:hAnsi="Arial"/>
                <w:sz w:val="16"/>
                <w:szCs w:val="16"/>
                <w:color w:val="auto"/>
              </w:rPr>
              <w:t>Filed by a Party other than the Registrant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440" w:type="dxa"/>
            <w:vAlign w:val="bottom"/>
            <w:gridSpan w:val="2"/>
          </w:tcPr>
          <w:p>
            <w:pPr>
              <w:spacing w:after="0"/>
              <w:rPr>
                <w:sz w:val="20"/>
                <w:szCs w:val="20"/>
                <w:color w:val="auto"/>
              </w:rPr>
            </w:pPr>
            <w:r>
              <w:rPr>
                <w:rFonts w:ascii="Arial" w:cs="Arial" w:eastAsia="Arial" w:hAnsi="Arial"/>
                <w:sz w:val="16"/>
                <w:szCs w:val="16"/>
                <w:color w:val="auto"/>
              </w:rPr>
              <w:t>Check the appropriate box:</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260" w:type="dxa"/>
            <w:vAlign w:val="bottom"/>
          </w:tcPr>
          <w:p>
            <w:pPr>
              <w:spacing w:after="0"/>
              <w:rPr>
                <w:sz w:val="24"/>
                <w:szCs w:val="24"/>
                <w:color w:val="auto"/>
              </w:rPr>
            </w:pPr>
          </w:p>
        </w:tc>
        <w:tc>
          <w:tcPr>
            <w:tcW w:w="6180" w:type="dxa"/>
            <w:vAlign w:val="bottom"/>
          </w:tcPr>
          <w:p>
            <w:pPr>
              <w:ind w:left="100"/>
              <w:spacing w:after="0"/>
              <w:rPr>
                <w:sz w:val="20"/>
                <w:szCs w:val="20"/>
                <w:color w:val="auto"/>
              </w:rPr>
            </w:pPr>
            <w:r>
              <w:rPr>
                <w:rFonts w:ascii="Arial" w:cs="Arial" w:eastAsia="Arial" w:hAnsi="Arial"/>
                <w:sz w:val="16"/>
                <w:szCs w:val="16"/>
                <w:color w:val="auto"/>
              </w:rPr>
              <w:t>Preliminary Proxy Statement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60" w:type="dxa"/>
            <w:vAlign w:val="bottom"/>
          </w:tcPr>
          <w:p>
            <w:pPr>
              <w:spacing w:after="0"/>
              <w:rPr>
                <w:sz w:val="24"/>
                <w:szCs w:val="24"/>
                <w:color w:val="auto"/>
              </w:rPr>
            </w:pPr>
          </w:p>
        </w:tc>
        <w:tc>
          <w:tcPr>
            <w:tcW w:w="618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Confidential, for Use of the Commission Only (as permitted by Rule 14a-6(e)(2))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60" w:type="dxa"/>
            <w:vAlign w:val="bottom"/>
          </w:tcPr>
          <w:p>
            <w:pPr>
              <w:spacing w:after="0"/>
              <w:rPr>
                <w:sz w:val="6"/>
                <w:szCs w:val="6"/>
                <w:color w:val="auto"/>
              </w:rPr>
            </w:pPr>
          </w:p>
        </w:tc>
        <w:tc>
          <w:tcPr>
            <w:tcW w:w="61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7"/>
        </w:trPr>
        <w:tc>
          <w:tcPr>
            <w:tcW w:w="26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6180" w:type="dxa"/>
            <w:vAlign w:val="bottom"/>
          </w:tcPr>
          <w:p>
            <w:pPr>
              <w:ind w:left="100"/>
              <w:spacing w:after="0"/>
              <w:rPr>
                <w:sz w:val="20"/>
                <w:szCs w:val="20"/>
                <w:color w:val="auto"/>
              </w:rPr>
            </w:pPr>
            <w:r>
              <w:rPr>
                <w:rFonts w:ascii="Arial" w:cs="Arial" w:eastAsia="Arial" w:hAnsi="Arial"/>
                <w:sz w:val="16"/>
                <w:szCs w:val="16"/>
                <w:color w:val="auto"/>
              </w:rPr>
              <w:t>Definitive Proxy Statement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60" w:type="dxa"/>
            <w:vAlign w:val="bottom"/>
          </w:tcPr>
          <w:p>
            <w:pPr>
              <w:spacing w:after="0"/>
              <w:rPr>
                <w:sz w:val="24"/>
                <w:szCs w:val="24"/>
                <w:color w:val="auto"/>
              </w:rPr>
            </w:pPr>
          </w:p>
        </w:tc>
        <w:tc>
          <w:tcPr>
            <w:tcW w:w="6180" w:type="dxa"/>
            <w:vAlign w:val="bottom"/>
          </w:tcPr>
          <w:p>
            <w:pPr>
              <w:ind w:left="100"/>
              <w:spacing w:after="0"/>
              <w:rPr>
                <w:sz w:val="20"/>
                <w:szCs w:val="20"/>
                <w:color w:val="auto"/>
              </w:rPr>
            </w:pPr>
            <w:r>
              <w:rPr>
                <w:rFonts w:ascii="Arial" w:cs="Arial" w:eastAsia="Arial" w:hAnsi="Arial"/>
                <w:sz w:val="16"/>
                <w:szCs w:val="16"/>
                <w:color w:val="auto"/>
              </w:rPr>
              <w:t>Definitive Additional Materials</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260" w:type="dxa"/>
            <w:vAlign w:val="bottom"/>
          </w:tcPr>
          <w:p>
            <w:pPr>
              <w:spacing w:after="0"/>
              <w:rPr>
                <w:sz w:val="24"/>
                <w:szCs w:val="24"/>
                <w:color w:val="auto"/>
              </w:rPr>
            </w:pPr>
          </w:p>
        </w:tc>
        <w:tc>
          <w:tcPr>
            <w:tcW w:w="6180" w:type="dxa"/>
            <w:vAlign w:val="bottom"/>
          </w:tcPr>
          <w:p>
            <w:pPr>
              <w:ind w:left="100"/>
              <w:spacing w:after="0"/>
              <w:rPr>
                <w:sz w:val="20"/>
                <w:szCs w:val="20"/>
                <w:color w:val="auto"/>
              </w:rPr>
            </w:pPr>
            <w:r>
              <w:rPr>
                <w:rFonts w:ascii="Arial" w:cs="Arial" w:eastAsia="Arial" w:hAnsi="Arial"/>
                <w:sz w:val="16"/>
                <w:szCs w:val="16"/>
                <w:color w:val="auto"/>
              </w:rPr>
              <w:t>Soliciting Material under §240.14a-12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38" w:lineRule="exact"/>
        <w:rPr>
          <w:sz w:val="24"/>
          <w:szCs w:val="24"/>
          <w:color w:val="auto"/>
        </w:rPr>
      </w:pPr>
    </w:p>
    <w:p>
      <w:pPr>
        <w:jc w:val="center"/>
        <w:ind w:right="-1120"/>
        <w:spacing w:after="0"/>
        <w:rPr>
          <w:sz w:val="20"/>
          <w:szCs w:val="20"/>
          <w:color w:val="auto"/>
        </w:rPr>
      </w:pPr>
      <w:r>
        <w:rPr>
          <w:rFonts w:ascii="Arial" w:cs="Arial" w:eastAsia="Arial" w:hAnsi="Arial"/>
          <w:sz w:val="16"/>
          <w:szCs w:val="16"/>
          <w:b w:val="1"/>
          <w:bCs w:val="1"/>
          <w:color w:val="auto"/>
        </w:rPr>
        <w:t>AVNET,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715010</wp:posOffset>
            </wp:positionH>
            <wp:positionV relativeFrom="paragraph">
              <wp:posOffset>64770</wp:posOffset>
            </wp:positionV>
            <wp:extent cx="57277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27700" cy="7620"/>
                    </a:xfrm>
                    <a:prstGeom prst="rect">
                      <a:avLst/>
                    </a:prstGeom>
                    <a:noFill/>
                  </pic:spPr>
                </pic:pic>
              </a:graphicData>
            </a:graphic>
          </wp:anchor>
        </w:drawing>
      </w:r>
    </w:p>
    <w:p>
      <w:pPr>
        <w:spacing w:after="0" w:line="150" w:lineRule="exact"/>
        <w:rPr>
          <w:sz w:val="24"/>
          <w:szCs w:val="24"/>
          <w:color w:val="auto"/>
        </w:rPr>
      </w:pPr>
    </w:p>
    <w:p>
      <w:pPr>
        <w:jc w:val="center"/>
        <w:ind w:right="-1120"/>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715010</wp:posOffset>
            </wp:positionH>
            <wp:positionV relativeFrom="paragraph">
              <wp:posOffset>318135</wp:posOffset>
            </wp:positionV>
            <wp:extent cx="57277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27700" cy="762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ind w:left="312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180" w:lineRule="exact"/>
        <w:rPr>
          <w:sz w:val="24"/>
          <w:szCs w:val="24"/>
          <w:color w:val="auto"/>
        </w:rPr>
      </w:pPr>
    </w:p>
    <w:p>
      <w:pPr>
        <w:ind w:left="1120"/>
        <w:spacing w:after="0"/>
        <w:rPr>
          <w:sz w:val="20"/>
          <w:szCs w:val="20"/>
          <w:color w:val="auto"/>
        </w:rPr>
      </w:pPr>
      <w:r>
        <w:rPr>
          <w:rFonts w:ascii="Arial" w:cs="Arial" w:eastAsia="Arial" w:hAnsi="Arial"/>
          <w:sz w:val="16"/>
          <w:szCs w:val="16"/>
          <w:color w:val="auto"/>
        </w:rPr>
        <w:t>Payment of Filing Fee (Check the appropriate box):</w:t>
      </w:r>
    </w:p>
    <w:p>
      <w:pPr>
        <w:spacing w:after="0" w:line="217" w:lineRule="exact"/>
        <w:rPr>
          <w:sz w:val="24"/>
          <w:szCs w:val="24"/>
          <w:color w:val="auto"/>
        </w:rPr>
      </w:pPr>
    </w:p>
    <w:p>
      <w:pPr>
        <w:ind w:left="1480" w:hanging="354"/>
        <w:spacing w:after="0"/>
        <w:tabs>
          <w:tab w:leader="none" w:pos="1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17" w:lineRule="exact"/>
        <w:rPr>
          <w:sz w:val="24"/>
          <w:szCs w:val="24"/>
          <w:color w:val="auto"/>
        </w:rPr>
      </w:pPr>
    </w:p>
    <w:p>
      <w:pPr>
        <w:ind w:left="1120"/>
        <w:spacing w:after="0"/>
        <w:rPr>
          <w:sz w:val="24"/>
          <w:szCs w:val="24"/>
          <w:color w:val="auto"/>
        </w:rPr>
      </w:pPr>
      <w:r>
        <w:rPr>
          <w:rFonts w:ascii="Arial" w:cs="Arial" w:eastAsia="Arial" w:hAnsi="Arial"/>
          <w:sz w:val="16"/>
          <w:szCs w:val="16"/>
          <w:color w:val="auto"/>
        </w:rPr>
        <w:t>Fee computed on table below per Exchange Act Rules 14a-6(i)(1) and 0-11.</w:t>
      </w:r>
    </w:p>
    <w:p>
      <w:pPr>
        <w:spacing w:after="0" w:line="18" w:lineRule="exact"/>
        <w:rPr>
          <w:sz w:val="24"/>
          <w:szCs w:val="24"/>
          <w:color w:val="auto"/>
        </w:rPr>
      </w:pPr>
    </w:p>
    <w:p>
      <w:pPr>
        <w:ind w:left="1860" w:hanging="382"/>
        <w:spacing w:after="0"/>
        <w:tabs>
          <w:tab w:leader="none" w:pos="1860" w:val="left"/>
        </w:tabs>
        <w:numPr>
          <w:ilvl w:val="1"/>
          <w:numId w:val="2"/>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08" w:lineRule="exact"/>
        <w:rPr>
          <w:rFonts w:ascii="Arial" w:cs="Arial" w:eastAsia="Arial" w:hAnsi="Arial"/>
          <w:sz w:val="16"/>
          <w:szCs w:val="16"/>
          <w:color w:val="auto"/>
        </w:rPr>
      </w:pPr>
    </w:p>
    <w:p>
      <w:pPr>
        <w:ind w:left="1860" w:hanging="382"/>
        <w:spacing w:after="0"/>
        <w:tabs>
          <w:tab w:leader="none" w:pos="1860" w:val="left"/>
        </w:tabs>
        <w:numPr>
          <w:ilvl w:val="1"/>
          <w:numId w:val="2"/>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28" w:lineRule="exact"/>
        <w:rPr>
          <w:rFonts w:ascii="Arial" w:cs="Arial" w:eastAsia="Arial" w:hAnsi="Arial"/>
          <w:sz w:val="16"/>
          <w:szCs w:val="16"/>
          <w:color w:val="auto"/>
        </w:rPr>
      </w:pPr>
    </w:p>
    <w:p>
      <w:pPr>
        <w:ind w:left="1860" w:right="339" w:hanging="382"/>
        <w:spacing w:after="0" w:line="275" w:lineRule="auto"/>
        <w:tabs>
          <w:tab w:leader="none" w:pos="1860" w:val="left"/>
        </w:tabs>
        <w:numPr>
          <w:ilvl w:val="1"/>
          <w:numId w:val="2"/>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73" w:lineRule="exact"/>
        <w:rPr>
          <w:rFonts w:ascii="Arial" w:cs="Arial" w:eastAsia="Arial" w:hAnsi="Arial"/>
          <w:sz w:val="16"/>
          <w:szCs w:val="16"/>
          <w:color w:val="auto"/>
        </w:rPr>
      </w:pPr>
    </w:p>
    <w:p>
      <w:pPr>
        <w:ind w:left="1860" w:hanging="382"/>
        <w:spacing w:after="0"/>
        <w:tabs>
          <w:tab w:leader="none" w:pos="1860" w:val="left"/>
        </w:tabs>
        <w:numPr>
          <w:ilvl w:val="1"/>
          <w:numId w:val="2"/>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28" w:lineRule="exact"/>
        <w:rPr>
          <w:rFonts w:ascii="Arial" w:cs="Arial" w:eastAsia="Arial" w:hAnsi="Arial"/>
          <w:sz w:val="16"/>
          <w:szCs w:val="16"/>
          <w:color w:val="auto"/>
        </w:rPr>
      </w:pPr>
    </w:p>
    <w:p>
      <w:pPr>
        <w:ind w:left="1860" w:hanging="382"/>
        <w:spacing w:after="0"/>
        <w:tabs>
          <w:tab w:leader="none" w:pos="1860" w:val="left"/>
        </w:tabs>
        <w:numPr>
          <w:ilvl w:val="1"/>
          <w:numId w:val="2"/>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47" w:lineRule="exact"/>
        <w:rPr>
          <w:rFonts w:ascii="Arial" w:cs="Arial" w:eastAsia="Arial" w:hAnsi="Arial"/>
          <w:sz w:val="16"/>
          <w:szCs w:val="16"/>
          <w:color w:val="auto"/>
        </w:rPr>
      </w:pPr>
    </w:p>
    <w:p>
      <w:pPr>
        <w:ind w:left="1120"/>
        <w:spacing w:after="0"/>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216" w:lineRule="exact"/>
        <w:rPr>
          <w:rFonts w:ascii="Arial" w:cs="Arial" w:eastAsia="Arial" w:hAnsi="Arial"/>
          <w:sz w:val="16"/>
          <w:szCs w:val="16"/>
          <w:color w:val="auto"/>
        </w:rPr>
      </w:pPr>
    </w:p>
    <w:p>
      <w:pPr>
        <w:ind w:left="1480" w:right="39"/>
        <w:spacing w:after="0" w:line="256" w:lineRule="auto"/>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6" w:lineRule="exact"/>
        <w:rPr>
          <w:rFonts w:ascii="Arial" w:cs="Arial" w:eastAsia="Arial" w:hAnsi="Arial"/>
          <w:sz w:val="16"/>
          <w:szCs w:val="16"/>
          <w:color w:val="auto"/>
        </w:rPr>
      </w:pPr>
    </w:p>
    <w:p>
      <w:pPr>
        <w:ind w:left="1860" w:hanging="382"/>
        <w:spacing w:after="0"/>
        <w:tabs>
          <w:tab w:leader="none" w:pos="1860" w:val="left"/>
        </w:tabs>
        <w:numPr>
          <w:ilvl w:val="1"/>
          <w:numId w:val="3"/>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28" w:lineRule="exact"/>
        <w:rPr>
          <w:rFonts w:ascii="Arial" w:cs="Arial" w:eastAsia="Arial" w:hAnsi="Arial"/>
          <w:sz w:val="16"/>
          <w:szCs w:val="16"/>
          <w:color w:val="auto"/>
        </w:rPr>
      </w:pPr>
    </w:p>
    <w:p>
      <w:pPr>
        <w:ind w:left="1860" w:hanging="382"/>
        <w:spacing w:after="0"/>
        <w:tabs>
          <w:tab w:leader="none" w:pos="1860" w:val="left"/>
        </w:tabs>
        <w:numPr>
          <w:ilvl w:val="1"/>
          <w:numId w:val="3"/>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28" w:lineRule="exact"/>
        <w:rPr>
          <w:rFonts w:ascii="Arial" w:cs="Arial" w:eastAsia="Arial" w:hAnsi="Arial"/>
          <w:sz w:val="16"/>
          <w:szCs w:val="16"/>
          <w:color w:val="auto"/>
        </w:rPr>
      </w:pPr>
    </w:p>
    <w:p>
      <w:pPr>
        <w:ind w:left="1860" w:hanging="382"/>
        <w:spacing w:after="0"/>
        <w:tabs>
          <w:tab w:leader="none" w:pos="1860" w:val="left"/>
        </w:tabs>
        <w:numPr>
          <w:ilvl w:val="1"/>
          <w:numId w:val="3"/>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28" w:lineRule="exact"/>
        <w:rPr>
          <w:rFonts w:ascii="Arial" w:cs="Arial" w:eastAsia="Arial" w:hAnsi="Arial"/>
          <w:sz w:val="16"/>
          <w:szCs w:val="16"/>
          <w:color w:val="auto"/>
        </w:rPr>
      </w:pPr>
    </w:p>
    <w:p>
      <w:pPr>
        <w:ind w:left="1860" w:hanging="382"/>
        <w:spacing w:after="0"/>
        <w:tabs>
          <w:tab w:leader="none" w:pos="1860" w:val="left"/>
        </w:tabs>
        <w:numPr>
          <w:ilvl w:val="1"/>
          <w:numId w:val="3"/>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215265</wp:posOffset>
            </wp:positionV>
            <wp:extent cx="715137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1185545</wp:posOffset>
            </wp:positionH>
            <wp:positionV relativeFrom="paragraph">
              <wp:posOffset>-2941955</wp:posOffset>
            </wp:positionV>
            <wp:extent cx="524192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41925" cy="7620"/>
                    </a:xfrm>
                    <a:prstGeom prst="rect">
                      <a:avLst/>
                    </a:prstGeom>
                    <a:noFill/>
                  </pic:spPr>
                </pic:pic>
              </a:graphicData>
            </a:graphic>
          </wp:anchor>
        </w:drawing>
        <w:drawing>
          <wp:anchor simplePos="0" relativeHeight="251657728" behindDoc="1" locked="0" layoutInCell="0" allowOverlap="1">
            <wp:simplePos x="0" y="0"/>
            <wp:positionH relativeFrom="column">
              <wp:posOffset>1185545</wp:posOffset>
            </wp:positionH>
            <wp:positionV relativeFrom="paragraph">
              <wp:posOffset>-2680335</wp:posOffset>
            </wp:positionV>
            <wp:extent cx="524192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41925" cy="7620"/>
                    </a:xfrm>
                    <a:prstGeom prst="rect">
                      <a:avLst/>
                    </a:prstGeom>
                    <a:noFill/>
                  </pic:spPr>
                </pic:pic>
              </a:graphicData>
            </a:graphic>
          </wp:anchor>
        </w:drawing>
        <w:drawing>
          <wp:anchor simplePos="0" relativeHeight="251657728" behindDoc="1" locked="0" layoutInCell="0" allowOverlap="1">
            <wp:simplePos x="0" y="0"/>
            <wp:positionH relativeFrom="column">
              <wp:posOffset>1185545</wp:posOffset>
            </wp:positionH>
            <wp:positionV relativeFrom="paragraph">
              <wp:posOffset>-2302510</wp:posOffset>
            </wp:positionV>
            <wp:extent cx="524192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41925" cy="7620"/>
                    </a:xfrm>
                    <a:prstGeom prst="rect">
                      <a:avLst/>
                    </a:prstGeom>
                    <a:noFill/>
                  </pic:spPr>
                </pic:pic>
              </a:graphicData>
            </a:graphic>
          </wp:anchor>
        </w:drawing>
        <w:drawing>
          <wp:anchor simplePos="0" relativeHeight="251657728" behindDoc="1" locked="0" layoutInCell="0" allowOverlap="1">
            <wp:simplePos x="0" y="0"/>
            <wp:positionH relativeFrom="column">
              <wp:posOffset>1185545</wp:posOffset>
            </wp:positionH>
            <wp:positionV relativeFrom="paragraph">
              <wp:posOffset>-2040255</wp:posOffset>
            </wp:positionV>
            <wp:extent cx="52419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41925" cy="7620"/>
                    </a:xfrm>
                    <a:prstGeom prst="rect">
                      <a:avLst/>
                    </a:prstGeom>
                    <a:noFill/>
                  </pic:spPr>
                </pic:pic>
              </a:graphicData>
            </a:graphic>
          </wp:anchor>
        </w:drawing>
        <w:drawing>
          <wp:anchor simplePos="0" relativeHeight="251657728" behindDoc="1" locked="0" layoutInCell="0" allowOverlap="1">
            <wp:simplePos x="0" y="0"/>
            <wp:positionH relativeFrom="column">
              <wp:posOffset>1185545</wp:posOffset>
            </wp:positionH>
            <wp:positionV relativeFrom="paragraph">
              <wp:posOffset>-1778000</wp:posOffset>
            </wp:positionV>
            <wp:extent cx="52419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41925" cy="7620"/>
                    </a:xfrm>
                    <a:prstGeom prst="rect">
                      <a:avLst/>
                    </a:prstGeom>
                    <a:noFill/>
                  </pic:spPr>
                </pic:pic>
              </a:graphicData>
            </a:graphic>
          </wp:anchor>
        </w:drawing>
        <w:drawing>
          <wp:anchor simplePos="0" relativeHeight="251657728" behindDoc="1" locked="0" layoutInCell="0" allowOverlap="1">
            <wp:simplePos x="0" y="0"/>
            <wp:positionH relativeFrom="column">
              <wp:posOffset>1185545</wp:posOffset>
            </wp:positionH>
            <wp:positionV relativeFrom="paragraph">
              <wp:posOffset>-636905</wp:posOffset>
            </wp:positionV>
            <wp:extent cx="52419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41925" cy="7620"/>
                    </a:xfrm>
                    <a:prstGeom prst="rect">
                      <a:avLst/>
                    </a:prstGeom>
                    <a:noFill/>
                  </pic:spPr>
                </pic:pic>
              </a:graphicData>
            </a:graphic>
          </wp:anchor>
        </w:drawing>
        <w:drawing>
          <wp:anchor simplePos="0" relativeHeight="251657728" behindDoc="1" locked="0" layoutInCell="0" allowOverlap="1">
            <wp:simplePos x="0" y="0"/>
            <wp:positionH relativeFrom="column">
              <wp:posOffset>1185545</wp:posOffset>
            </wp:positionH>
            <wp:positionV relativeFrom="paragraph">
              <wp:posOffset>-375285</wp:posOffset>
            </wp:positionV>
            <wp:extent cx="524192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41925" cy="7620"/>
                    </a:xfrm>
                    <a:prstGeom prst="rect">
                      <a:avLst/>
                    </a:prstGeom>
                    <a:noFill/>
                  </pic:spPr>
                </pic:pic>
              </a:graphicData>
            </a:graphic>
          </wp:anchor>
        </w:drawing>
        <w:drawing>
          <wp:anchor simplePos="0" relativeHeight="251657728" behindDoc="1" locked="0" layoutInCell="0" allowOverlap="1">
            <wp:simplePos x="0" y="0"/>
            <wp:positionH relativeFrom="column">
              <wp:posOffset>1185545</wp:posOffset>
            </wp:positionH>
            <wp:positionV relativeFrom="paragraph">
              <wp:posOffset>-113030</wp:posOffset>
            </wp:positionV>
            <wp:extent cx="524192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41925" cy="7620"/>
                    </a:xfrm>
                    <a:prstGeom prst="rect">
                      <a:avLst/>
                    </a:prstGeom>
                    <a:noFill/>
                  </pic:spPr>
                </pic:pic>
              </a:graphicData>
            </a:graphic>
          </wp:anchor>
        </w:drawing>
        <w:drawing>
          <wp:anchor simplePos="0" relativeHeight="251657728" behindDoc="1" locked="0" layoutInCell="0" allowOverlap="1">
            <wp:simplePos x="0" y="0"/>
            <wp:positionH relativeFrom="column">
              <wp:posOffset>1185545</wp:posOffset>
            </wp:positionH>
            <wp:positionV relativeFrom="paragraph">
              <wp:posOffset>148590</wp:posOffset>
            </wp:positionV>
            <wp:extent cx="524192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41925" cy="7620"/>
                    </a:xfrm>
                    <a:prstGeom prst="rect">
                      <a:avLst/>
                    </a:prstGeom>
                    <a:noFill/>
                  </pic:spPr>
                </pic:pic>
              </a:graphicData>
            </a:graphic>
          </wp:anchor>
        </w:drawing>
      </w:r>
    </w:p>
    <w:p>
      <w:pPr>
        <w:sectPr>
          <w:pgSz w:w="11900" w:h="16838" w:orient="portrait"/>
          <w:cols w:equalWidth="0" w:num="1">
            <w:col w:w="10139"/>
          </w:cols>
          <w:pgMar w:left="320" w:top="624" w:right="1440" w:bottom="1440" w:gutter="0" w:footer="0" w:header="0"/>
        </w:sectPr>
      </w:pPr>
    </w:p>
    <w:bookmarkStart w:id="1" w:name="page2"/>
    <w:bookmarkEnd w:id="1"/>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140335</wp:posOffset>
            </wp:positionV>
            <wp:extent cx="7151370" cy="90912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1370" cy="909129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5872480</wp:posOffset>
            </wp:positionH>
            <wp:positionV relativeFrom="paragraph">
              <wp:posOffset>133350</wp:posOffset>
            </wp:positionV>
            <wp:extent cx="1271905" cy="262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1905" cy="262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518795</wp:posOffset>
            </wp:positionV>
            <wp:extent cx="7146290" cy="4705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6290" cy="470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FFFE"/>
        </w:rPr>
        <w:t>NOTICE OF 2020 ANNUAL MEETING OF</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FFFE"/>
        </w:rPr>
        <w:t>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125095</wp:posOffset>
            </wp:positionV>
            <wp:extent cx="3114675" cy="2459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14675" cy="24593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FFFFFE"/>
        </w:rPr>
        <w:t>DATE</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6"/>
          <w:szCs w:val="16"/>
          <w:color w:val="FFFFFE"/>
        </w:rPr>
        <w:t>Tuesday, November 17, 2020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FFFFFE"/>
        </w:rPr>
        <w:t>TIME</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6"/>
          <w:szCs w:val="16"/>
          <w:color w:val="FFFFFE"/>
        </w:rPr>
        <w:t>8:00 am local time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FFFFFE"/>
        </w:rPr>
        <w:t>PLACE</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6"/>
          <w:szCs w:val="16"/>
          <w:color w:val="FFFFFE"/>
        </w:rPr>
        <w:t>Avnet's Corporate Headquarters</w:t>
      </w:r>
    </w:p>
    <w:p>
      <w:pPr>
        <w:ind w:left="120"/>
        <w:spacing w:after="0" w:line="237" w:lineRule="auto"/>
        <w:rPr>
          <w:sz w:val="20"/>
          <w:szCs w:val="20"/>
          <w:color w:val="auto"/>
        </w:rPr>
      </w:pPr>
      <w:r>
        <w:rPr>
          <w:rFonts w:ascii="Arial" w:cs="Arial" w:eastAsia="Arial" w:hAnsi="Arial"/>
          <w:sz w:val="16"/>
          <w:szCs w:val="16"/>
          <w:color w:val="FFFFFE"/>
        </w:rPr>
        <w:t>2211 South 47th Street</w:t>
      </w:r>
    </w:p>
    <w:p>
      <w:pPr>
        <w:ind w:left="120"/>
        <w:spacing w:after="0"/>
        <w:rPr>
          <w:sz w:val="20"/>
          <w:szCs w:val="20"/>
          <w:color w:val="auto"/>
        </w:rPr>
      </w:pPr>
      <w:r>
        <w:rPr>
          <w:rFonts w:ascii="Arial" w:cs="Arial" w:eastAsia="Arial" w:hAnsi="Arial"/>
          <w:sz w:val="16"/>
          <w:szCs w:val="16"/>
          <w:color w:val="FFFFFE"/>
        </w:rPr>
        <w:t>Phoenix, Arizona 85034</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6"/>
          <w:szCs w:val="16"/>
          <w:color w:val="FFFFFE"/>
        </w:rPr>
        <w:t>AND</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FFFFFE"/>
        </w:rPr>
        <w:t>Via Webcast at</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6"/>
          <w:szCs w:val="16"/>
          <w:color w:val="FFFFFE"/>
        </w:rPr>
        <w:t>www.virtualshareholdermeeting.com/AVT2020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FFFFFE"/>
        </w:rPr>
        <w:t>RECORD DATE</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6"/>
          <w:szCs w:val="16"/>
          <w:color w:val="FFFFFE"/>
        </w:rPr>
        <w:t>September 18, 2020</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YOUR VOTE IS IMPORTANT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838385"/>
        </w:rPr>
        <w:t>YOU CAN VOTE IN ONE OF FOUR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3353435" cy="577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53435" cy="577850"/>
                    </a:xfrm>
                    <a:prstGeom prst="rect">
                      <a:avLst/>
                    </a:prstGeom>
                    <a:noFill/>
                  </pic:spPr>
                </pic:pic>
              </a:graphicData>
            </a:graphic>
          </wp:anchor>
        </w:drawing>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53C072"/>
        </w:rPr>
        <w:t>INTERNET</w:t>
      </w:r>
    </w:p>
    <w:p>
      <w:pPr>
        <w:spacing w:after="0" w:line="134" w:lineRule="exact"/>
        <w:rPr>
          <w:sz w:val="20"/>
          <w:szCs w:val="20"/>
          <w:color w:val="auto"/>
        </w:rPr>
      </w:pPr>
    </w:p>
    <w:p>
      <w:pPr>
        <w:ind w:left="300" w:right="1540"/>
        <w:spacing w:after="0" w:line="275" w:lineRule="auto"/>
        <w:rPr>
          <w:sz w:val="20"/>
          <w:szCs w:val="20"/>
          <w:color w:val="auto"/>
        </w:rPr>
      </w:pPr>
      <w:r>
        <w:rPr>
          <w:rFonts w:ascii="Arial" w:cs="Arial" w:eastAsia="Arial" w:hAnsi="Arial"/>
          <w:sz w:val="16"/>
          <w:szCs w:val="16"/>
          <w:color w:val="auto"/>
        </w:rPr>
        <w:t>Visit the website noted on your proxycard to vote 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3353435" cy="5861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53435" cy="586105"/>
                    </a:xfrm>
                    <a:prstGeom prst="rect">
                      <a:avLst/>
                    </a:prstGeom>
                    <a:noFill/>
                  </pic:spPr>
                </pic:pic>
              </a:graphicData>
            </a:graphic>
          </wp:anchor>
        </w:drawing>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53C072"/>
        </w:rPr>
        <w:t>TELEPHONE</w:t>
      </w:r>
    </w:p>
    <w:p>
      <w:pPr>
        <w:spacing w:after="0" w:line="134" w:lineRule="exact"/>
        <w:rPr>
          <w:sz w:val="20"/>
          <w:szCs w:val="20"/>
          <w:color w:val="auto"/>
        </w:rPr>
      </w:pPr>
    </w:p>
    <w:p>
      <w:pPr>
        <w:ind w:left="300" w:right="1160"/>
        <w:spacing w:after="0" w:line="275" w:lineRule="auto"/>
        <w:rPr>
          <w:sz w:val="20"/>
          <w:szCs w:val="20"/>
          <w:color w:val="auto"/>
        </w:rPr>
      </w:pPr>
      <w:r>
        <w:rPr>
          <w:rFonts w:ascii="Arial" w:cs="Arial" w:eastAsia="Arial" w:hAnsi="Arial"/>
          <w:sz w:val="16"/>
          <w:szCs w:val="16"/>
          <w:color w:val="auto"/>
        </w:rPr>
        <w:t>Use the toll-free telephone number on your proxy card to vote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3353435" cy="577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53435" cy="577850"/>
                    </a:xfrm>
                    <a:prstGeom prst="rect">
                      <a:avLst/>
                    </a:prstGeom>
                    <a:noFill/>
                  </pic:spPr>
                </pic:pic>
              </a:graphicData>
            </a:graphic>
          </wp:anchor>
        </w:drawing>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53C072"/>
        </w:rPr>
        <w:t>MAIL</w:t>
      </w:r>
    </w:p>
    <w:p>
      <w:pPr>
        <w:spacing w:after="0" w:line="134" w:lineRule="exact"/>
        <w:rPr>
          <w:sz w:val="20"/>
          <w:szCs w:val="20"/>
          <w:color w:val="auto"/>
        </w:rPr>
      </w:pPr>
    </w:p>
    <w:p>
      <w:pPr>
        <w:ind w:left="300" w:right="1200"/>
        <w:spacing w:after="0" w:line="275" w:lineRule="auto"/>
        <w:rPr>
          <w:sz w:val="20"/>
          <w:szCs w:val="20"/>
          <w:color w:val="auto"/>
        </w:rPr>
      </w:pPr>
      <w:r>
        <w:rPr>
          <w:rFonts w:ascii="Arial" w:cs="Arial" w:eastAsia="Arial" w:hAnsi="Arial"/>
          <w:sz w:val="16"/>
          <w:szCs w:val="16"/>
          <w:color w:val="auto"/>
        </w:rPr>
        <w:t>Sign, date, and return your proxy card in the enclosed envelope to vote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3353435" cy="577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53435" cy="577850"/>
                    </a:xfrm>
                    <a:prstGeom prst="rect">
                      <a:avLst/>
                    </a:prstGeom>
                    <a:noFill/>
                  </pic:spPr>
                </pic:pic>
              </a:graphicData>
            </a:graphic>
          </wp:anchor>
        </w:drawing>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53C072"/>
        </w:rPr>
        <w:t>IN PERSON</w:t>
      </w:r>
    </w:p>
    <w:p>
      <w:pPr>
        <w:spacing w:after="0" w:line="134" w:lineRule="exact"/>
        <w:rPr>
          <w:sz w:val="20"/>
          <w:szCs w:val="20"/>
          <w:color w:val="auto"/>
        </w:rPr>
      </w:pPr>
    </w:p>
    <w:p>
      <w:pPr>
        <w:ind w:left="300" w:right="1440"/>
        <w:spacing w:after="0" w:line="275" w:lineRule="auto"/>
        <w:rPr>
          <w:sz w:val="20"/>
          <w:szCs w:val="20"/>
          <w:color w:val="auto"/>
        </w:rPr>
      </w:pPr>
      <w:r>
        <w:rPr>
          <w:rFonts w:ascii="Arial" w:cs="Arial" w:eastAsia="Arial" w:hAnsi="Arial"/>
          <w:sz w:val="16"/>
          <w:szCs w:val="16"/>
          <w:color w:val="auto"/>
        </w:rPr>
        <w:t>Cast your vote in person, including virtually via the webcast, at the annual meeting.</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ITEMS OF BUSINESS</w:t>
      </w:r>
    </w:p>
    <w:p>
      <w:pPr>
        <w:spacing w:after="0" w:line="209" w:lineRule="exact"/>
        <w:rPr>
          <w:sz w:val="20"/>
          <w:szCs w:val="20"/>
          <w:color w:val="auto"/>
        </w:rPr>
      </w:pPr>
    </w:p>
    <w:p>
      <w:pPr>
        <w:ind w:left="480" w:right="360" w:hanging="478"/>
        <w:spacing w:after="0" w:line="256" w:lineRule="auto"/>
        <w:tabs>
          <w:tab w:leader="none" w:pos="480" w:val="left"/>
        </w:tabs>
        <w:numPr>
          <w:ilvl w:val="0"/>
          <w:numId w:val="4"/>
        </w:numPr>
        <w:rPr>
          <w:rFonts w:ascii="Arial" w:cs="Arial" w:eastAsia="Arial" w:hAnsi="Arial"/>
          <w:sz w:val="16"/>
          <w:szCs w:val="16"/>
          <w:b w:val="1"/>
          <w:bCs w:val="1"/>
          <w:color w:val="53C072"/>
        </w:rPr>
      </w:pPr>
      <w:r>
        <w:rPr>
          <w:rFonts w:ascii="Arial" w:cs="Arial" w:eastAsia="Arial" w:hAnsi="Arial"/>
          <w:sz w:val="16"/>
          <w:szCs w:val="16"/>
          <w:color w:val="auto"/>
        </w:rPr>
        <w:t>To elect the ten Director nominees named in the attached proxy statement to serve until the next annual meeting and until their successors have been elected and qualified.</w:t>
      </w:r>
    </w:p>
    <w:p>
      <w:pPr>
        <w:spacing w:after="0" w:line="163" w:lineRule="exact"/>
        <w:rPr>
          <w:rFonts w:ascii="Arial" w:cs="Arial" w:eastAsia="Arial" w:hAnsi="Arial"/>
          <w:sz w:val="16"/>
          <w:szCs w:val="16"/>
          <w:b w:val="1"/>
          <w:bCs w:val="1"/>
          <w:color w:val="53C072"/>
        </w:rPr>
      </w:pPr>
    </w:p>
    <w:p>
      <w:pPr>
        <w:ind w:left="480" w:hanging="478"/>
        <w:spacing w:after="0"/>
        <w:tabs>
          <w:tab w:leader="none" w:pos="480" w:val="left"/>
        </w:tabs>
        <w:numPr>
          <w:ilvl w:val="0"/>
          <w:numId w:val="4"/>
        </w:numPr>
        <w:rPr>
          <w:rFonts w:ascii="Arial" w:cs="Arial" w:eastAsia="Arial" w:hAnsi="Arial"/>
          <w:sz w:val="16"/>
          <w:szCs w:val="16"/>
          <w:b w:val="1"/>
          <w:bCs w:val="1"/>
          <w:color w:val="53C072"/>
        </w:rPr>
      </w:pPr>
      <w:r>
        <w:rPr>
          <w:rFonts w:ascii="Arial" w:cs="Arial" w:eastAsia="Arial" w:hAnsi="Arial"/>
          <w:sz w:val="16"/>
          <w:szCs w:val="16"/>
          <w:color w:val="auto"/>
        </w:rPr>
        <w:t>To conduct an advisory vote on executive compensation.</w:t>
      </w:r>
    </w:p>
    <w:p>
      <w:pPr>
        <w:spacing w:after="0" w:line="192" w:lineRule="exact"/>
        <w:rPr>
          <w:rFonts w:ascii="Arial" w:cs="Arial" w:eastAsia="Arial" w:hAnsi="Arial"/>
          <w:sz w:val="16"/>
          <w:szCs w:val="16"/>
          <w:b w:val="1"/>
          <w:bCs w:val="1"/>
          <w:color w:val="53C072"/>
        </w:rPr>
      </w:pPr>
    </w:p>
    <w:p>
      <w:pPr>
        <w:ind w:left="480" w:right="140" w:hanging="478"/>
        <w:spacing w:after="0" w:line="281" w:lineRule="auto"/>
        <w:tabs>
          <w:tab w:leader="none" w:pos="480" w:val="left"/>
        </w:tabs>
        <w:numPr>
          <w:ilvl w:val="0"/>
          <w:numId w:val="4"/>
        </w:numPr>
        <w:rPr>
          <w:rFonts w:ascii="Arial" w:cs="Arial" w:eastAsia="Arial" w:hAnsi="Arial"/>
          <w:sz w:val="15"/>
          <w:szCs w:val="15"/>
          <w:b w:val="1"/>
          <w:bCs w:val="1"/>
          <w:color w:val="53C072"/>
        </w:rPr>
      </w:pPr>
      <w:r>
        <w:rPr>
          <w:rFonts w:ascii="Arial" w:cs="Arial" w:eastAsia="Arial" w:hAnsi="Arial"/>
          <w:sz w:val="15"/>
          <w:szCs w:val="15"/>
          <w:color w:val="auto"/>
        </w:rPr>
        <w:t>To ratify the appointment of KPMG LLP as the independent registered public accounting firm to audit the consolidated financial statements of Avnet for the fiscal year ending July 3, 2021.</w:t>
      </w:r>
    </w:p>
    <w:p>
      <w:pPr>
        <w:spacing w:after="0" w:line="134" w:lineRule="exact"/>
        <w:rPr>
          <w:rFonts w:ascii="Arial" w:cs="Arial" w:eastAsia="Arial" w:hAnsi="Arial"/>
          <w:sz w:val="15"/>
          <w:szCs w:val="15"/>
          <w:b w:val="1"/>
          <w:bCs w:val="1"/>
          <w:color w:val="53C072"/>
        </w:rPr>
      </w:pPr>
    </w:p>
    <w:p>
      <w:pPr>
        <w:ind w:left="480" w:right="240" w:hanging="478"/>
        <w:spacing w:after="0" w:line="256" w:lineRule="auto"/>
        <w:tabs>
          <w:tab w:leader="none" w:pos="480" w:val="left"/>
        </w:tabs>
        <w:numPr>
          <w:ilvl w:val="0"/>
          <w:numId w:val="4"/>
        </w:numPr>
        <w:rPr>
          <w:rFonts w:ascii="Arial" w:cs="Arial" w:eastAsia="Arial" w:hAnsi="Arial"/>
          <w:sz w:val="16"/>
          <w:szCs w:val="16"/>
          <w:b w:val="1"/>
          <w:bCs w:val="1"/>
          <w:color w:val="53C072"/>
        </w:rPr>
      </w:pPr>
      <w:r>
        <w:rPr>
          <w:rFonts w:ascii="Arial" w:cs="Arial" w:eastAsia="Arial" w:hAnsi="Arial"/>
          <w:sz w:val="16"/>
          <w:szCs w:val="16"/>
          <w:color w:val="auto"/>
        </w:rPr>
        <w:t>To take action with respect to such other matters as may properly come before the Annual Meeting (including postponements and adjournments).</w:t>
      </w:r>
    </w:p>
    <w:p>
      <w:pPr>
        <w:spacing w:after="0" w:line="152"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The Board of Directors has fixed the close of business on September 18, 2020, as the record date for the Annual Meeting. Only holders of record of shares of Avnet's common stock at the close of business on such date shall be entitled to notice of and to vote at the Annual Meeting or any adjournment thereof</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132715</wp:posOffset>
            </wp:positionV>
            <wp:extent cx="1826895" cy="6242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26895" cy="62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53C072"/>
        </w:rPr>
        <w:t>Darrel S. Jackson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Corporate Secretary</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October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1494790</wp:posOffset>
            </wp:positionV>
            <wp:extent cx="7151370"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2">
            <w:col w:w="5240" w:space="720"/>
            <w:col w:w="5280"/>
          </w:cols>
          <w:pgMar w:left="320" w:top="122" w:right="339" w:bottom="1440" w:gutter="0" w:footer="0" w:header="0"/>
          <w:type w:val="continuous"/>
        </w:sectPr>
      </w:pPr>
    </w:p>
    <w:bookmarkStart w:id="3" w:name="page4"/>
    <w:bookmarkEnd w:id="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401"/>
        </w:trPr>
        <w:tc>
          <w:tcPr>
            <w:tcW w:w="1120" w:type="dxa"/>
            <w:vAlign w:val="bottom"/>
            <w:shd w:val="clear" w:color="auto" w:fill="53C072"/>
          </w:tcPr>
          <w:p>
            <w:pPr>
              <w:spacing w:after="0"/>
              <w:rPr>
                <w:sz w:val="24"/>
                <w:szCs w:val="24"/>
                <w:color w:val="auto"/>
              </w:rPr>
            </w:pPr>
          </w:p>
        </w:tc>
        <w:tc>
          <w:tcPr>
            <w:tcW w:w="7660" w:type="dxa"/>
            <w:vAlign w:val="bottom"/>
            <w:shd w:val="clear" w:color="auto" w:fill="53C072"/>
          </w:tcPr>
          <w:p>
            <w:pPr>
              <w:ind w:left="2940"/>
              <w:spacing w:after="0"/>
              <w:rPr>
                <w:sz w:val="20"/>
                <w:szCs w:val="20"/>
                <w:color w:val="auto"/>
              </w:rPr>
            </w:pPr>
            <w:r>
              <w:rPr>
                <w:rFonts w:ascii="Arial" w:cs="Arial" w:eastAsia="Arial" w:hAnsi="Arial"/>
                <w:sz w:val="29"/>
                <w:szCs w:val="29"/>
                <w:b w:val="1"/>
                <w:bCs w:val="1"/>
                <w:color w:val="FFFFFE"/>
              </w:rPr>
              <w:t>TABLE OF CONTENTS</w:t>
            </w:r>
          </w:p>
        </w:tc>
        <w:tc>
          <w:tcPr>
            <w:tcW w:w="1340" w:type="dxa"/>
            <w:vAlign w:val="bottom"/>
            <w:shd w:val="clear" w:color="auto" w:fill="53C072"/>
          </w:tcPr>
          <w:p>
            <w:pPr>
              <w:spacing w:after="0"/>
              <w:rPr>
                <w:sz w:val="24"/>
                <w:szCs w:val="24"/>
                <w:color w:val="auto"/>
              </w:rPr>
            </w:pPr>
          </w:p>
        </w:tc>
        <w:tc>
          <w:tcPr>
            <w:tcW w:w="1140" w:type="dxa"/>
            <w:vAlign w:val="bottom"/>
            <w:shd w:val="clear" w:color="auto" w:fill="53C072"/>
          </w:tcPr>
          <w:p>
            <w:pPr>
              <w:spacing w:after="0"/>
              <w:rPr>
                <w:sz w:val="24"/>
                <w:szCs w:val="24"/>
                <w:color w:val="auto"/>
              </w:rPr>
            </w:pPr>
          </w:p>
        </w:tc>
      </w:tr>
      <w:tr>
        <w:trPr>
          <w:trHeight w:val="413"/>
        </w:trPr>
        <w:tc>
          <w:tcPr>
            <w:tcW w:w="1120" w:type="dxa"/>
            <w:vAlign w:val="bottom"/>
          </w:tcPr>
          <w:p>
            <w:pPr>
              <w:spacing w:after="0"/>
              <w:rPr>
                <w:sz w:val="24"/>
                <w:szCs w:val="24"/>
                <w:color w:val="auto"/>
              </w:rPr>
            </w:pPr>
          </w:p>
        </w:tc>
        <w:tc>
          <w:tcPr>
            <w:tcW w:w="7660" w:type="dxa"/>
            <w:vAlign w:val="bottom"/>
            <w:tcBorders>
              <w:bottom w:val="single" w:sz="8" w:color="53C072"/>
            </w:tcBorders>
          </w:tcPr>
          <w:p>
            <w:pPr>
              <w:spacing w:after="0"/>
              <w:rPr>
                <w:rFonts w:ascii="Arial" w:cs="Arial" w:eastAsia="Arial" w:hAnsi="Arial"/>
                <w:sz w:val="19"/>
                <w:szCs w:val="19"/>
                <w:b w:val="1"/>
                <w:bCs w:val="1"/>
                <w:u w:val="single" w:color="auto"/>
                <w:color w:val="53C072"/>
              </w:rPr>
            </w:pPr>
            <w:hyperlink w:anchor="page6">
              <w:r>
                <w:rPr>
                  <w:rFonts w:ascii="Arial" w:cs="Arial" w:eastAsia="Arial" w:hAnsi="Arial"/>
                  <w:sz w:val="19"/>
                  <w:szCs w:val="19"/>
                  <w:b w:val="1"/>
                  <w:bCs w:val="1"/>
                  <w:u w:val="single" w:color="auto"/>
                  <w:color w:val="53C072"/>
                </w:rPr>
                <w:t>Proxy Statement Summary</w:t>
              </w:r>
            </w:hyperlink>
          </w:p>
        </w:tc>
        <w:tc>
          <w:tcPr>
            <w:tcW w:w="1340" w:type="dxa"/>
            <w:vAlign w:val="bottom"/>
            <w:tcBorders>
              <w:bottom w:val="single" w:sz="8" w:color="53C072"/>
            </w:tcBorders>
          </w:tcPr>
          <w:p>
            <w:pPr>
              <w:jc w:val="right"/>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1</w:t>
              </w:r>
            </w:hyperlink>
          </w:p>
        </w:tc>
        <w:tc>
          <w:tcPr>
            <w:tcW w:w="1140" w:type="dxa"/>
            <w:vAlign w:val="bottom"/>
          </w:tcPr>
          <w:p>
            <w:pPr>
              <w:spacing w:after="0"/>
              <w:rPr>
                <w:sz w:val="24"/>
                <w:szCs w:val="24"/>
                <w:color w:val="auto"/>
              </w:rPr>
            </w:pPr>
          </w:p>
        </w:tc>
      </w:tr>
      <w:tr>
        <w:trPr>
          <w:trHeight w:val="356"/>
        </w:trPr>
        <w:tc>
          <w:tcPr>
            <w:tcW w:w="1120" w:type="dxa"/>
            <w:vAlign w:val="bottom"/>
          </w:tcPr>
          <w:p>
            <w:pPr>
              <w:spacing w:after="0"/>
              <w:rPr>
                <w:sz w:val="24"/>
                <w:szCs w:val="24"/>
                <w:color w:val="auto"/>
              </w:rPr>
            </w:pPr>
          </w:p>
        </w:tc>
        <w:tc>
          <w:tcPr>
            <w:tcW w:w="7660" w:type="dxa"/>
            <w:vAlign w:val="bottom"/>
            <w:tcBorders>
              <w:bottom w:val="single" w:sz="8" w:color="53C072"/>
            </w:tcBorders>
          </w:tcPr>
          <w:p>
            <w:pPr>
              <w:spacing w:after="0"/>
              <w:rPr>
                <w:rFonts w:ascii="Arial" w:cs="Arial" w:eastAsia="Arial" w:hAnsi="Arial"/>
                <w:sz w:val="19"/>
                <w:szCs w:val="19"/>
                <w:b w:val="1"/>
                <w:bCs w:val="1"/>
                <w:u w:val="single" w:color="auto"/>
                <w:color w:val="53C072"/>
              </w:rPr>
            </w:pPr>
            <w:hyperlink w:anchor="page9">
              <w:r>
                <w:rPr>
                  <w:rFonts w:ascii="Arial" w:cs="Arial" w:eastAsia="Arial" w:hAnsi="Arial"/>
                  <w:sz w:val="19"/>
                  <w:szCs w:val="19"/>
                  <w:b w:val="1"/>
                  <w:bCs w:val="1"/>
                  <w:u w:val="single" w:color="auto"/>
                  <w:color w:val="53C072"/>
                </w:rPr>
                <w:t>Proxy Statement</w:t>
              </w:r>
            </w:hyperlink>
          </w:p>
        </w:tc>
        <w:tc>
          <w:tcPr>
            <w:tcW w:w="1340" w:type="dxa"/>
            <w:vAlign w:val="bottom"/>
            <w:tcBorders>
              <w:bottom w:val="single" w:sz="8" w:color="53C072"/>
            </w:tcBorders>
          </w:tcPr>
          <w:p>
            <w:pPr>
              <w:jc w:val="right"/>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4</w:t>
              </w:r>
            </w:hyperlink>
          </w:p>
        </w:tc>
        <w:tc>
          <w:tcPr>
            <w:tcW w:w="1140" w:type="dxa"/>
            <w:vAlign w:val="bottom"/>
          </w:tcPr>
          <w:p>
            <w:pPr>
              <w:spacing w:after="0"/>
              <w:rPr>
                <w:sz w:val="24"/>
                <w:szCs w:val="24"/>
                <w:color w:val="auto"/>
              </w:rPr>
            </w:pPr>
          </w:p>
        </w:tc>
      </w:tr>
      <w:tr>
        <w:trPr>
          <w:trHeight w:val="157"/>
        </w:trPr>
        <w:tc>
          <w:tcPr>
            <w:tcW w:w="1120" w:type="dxa"/>
            <w:vAlign w:val="bottom"/>
          </w:tcPr>
          <w:p>
            <w:pPr>
              <w:spacing w:after="0"/>
              <w:rPr>
                <w:sz w:val="13"/>
                <w:szCs w:val="13"/>
                <w:color w:val="auto"/>
              </w:rPr>
            </w:pPr>
          </w:p>
        </w:tc>
        <w:tc>
          <w:tcPr>
            <w:tcW w:w="7660" w:type="dxa"/>
            <w:vAlign w:val="bottom"/>
          </w:tcPr>
          <w:p>
            <w:pPr>
              <w:ind w:left="240"/>
              <w:spacing w:after="0" w:line="157" w:lineRule="exact"/>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Proxy and Revocation of Proxy</w:t>
              </w:r>
            </w:hyperlink>
          </w:p>
        </w:tc>
        <w:tc>
          <w:tcPr>
            <w:tcW w:w="1340" w:type="dxa"/>
            <w:vAlign w:val="bottom"/>
          </w:tcPr>
          <w:p>
            <w:pPr>
              <w:jc w:val="right"/>
              <w:spacing w:after="0" w:line="157" w:lineRule="exact"/>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5</w:t>
              </w:r>
            </w:hyperlink>
          </w:p>
        </w:tc>
        <w:tc>
          <w:tcPr>
            <w:tcW w:w="1140" w:type="dxa"/>
            <w:vAlign w:val="bottom"/>
          </w:tcPr>
          <w:p>
            <w:pPr>
              <w:spacing w:after="0"/>
              <w:rPr>
                <w:sz w:val="13"/>
                <w:szCs w:val="13"/>
                <w:color w:val="auto"/>
              </w:rPr>
            </w:pPr>
          </w:p>
        </w:tc>
      </w:tr>
      <w:tr>
        <w:trPr>
          <w:trHeight w:val="182"/>
        </w:trPr>
        <w:tc>
          <w:tcPr>
            <w:tcW w:w="1120" w:type="dxa"/>
            <w:vAlign w:val="bottom"/>
          </w:tcPr>
          <w:p>
            <w:pPr>
              <w:spacing w:after="0"/>
              <w:rPr>
                <w:sz w:val="15"/>
                <w:szCs w:val="15"/>
                <w:color w:val="auto"/>
              </w:rPr>
            </w:pPr>
          </w:p>
        </w:tc>
        <w:tc>
          <w:tcPr>
            <w:tcW w:w="7660" w:type="dxa"/>
            <w:vAlign w:val="bottom"/>
          </w:tcPr>
          <w:p>
            <w:pPr>
              <w:ind w:left="240"/>
              <w:spacing w:after="0" w:line="182" w:lineRule="exact"/>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Broker Voting</w:t>
              </w:r>
            </w:hyperlink>
          </w:p>
        </w:tc>
        <w:tc>
          <w:tcPr>
            <w:tcW w:w="1340" w:type="dxa"/>
            <w:vAlign w:val="bottom"/>
          </w:tcPr>
          <w:p>
            <w:pPr>
              <w:jc w:val="right"/>
              <w:spacing w:after="0" w:line="182" w:lineRule="exact"/>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5</w:t>
              </w:r>
            </w:hyperlink>
          </w:p>
        </w:tc>
        <w:tc>
          <w:tcPr>
            <w:tcW w:w="1140" w:type="dxa"/>
            <w:vAlign w:val="bottom"/>
          </w:tcPr>
          <w:p>
            <w:pPr>
              <w:spacing w:after="0"/>
              <w:rPr>
                <w:sz w:val="15"/>
                <w:szCs w:val="15"/>
                <w:color w:val="auto"/>
              </w:rPr>
            </w:pPr>
          </w:p>
        </w:tc>
      </w:tr>
      <w:tr>
        <w:trPr>
          <w:trHeight w:val="182"/>
        </w:trPr>
        <w:tc>
          <w:tcPr>
            <w:tcW w:w="1120" w:type="dxa"/>
            <w:vAlign w:val="bottom"/>
          </w:tcPr>
          <w:p>
            <w:pPr>
              <w:spacing w:after="0"/>
              <w:rPr>
                <w:sz w:val="15"/>
                <w:szCs w:val="15"/>
                <w:color w:val="auto"/>
              </w:rPr>
            </w:pPr>
          </w:p>
        </w:tc>
        <w:tc>
          <w:tcPr>
            <w:tcW w:w="7660" w:type="dxa"/>
            <w:vAlign w:val="bottom"/>
          </w:tcPr>
          <w:p>
            <w:pPr>
              <w:ind w:left="240"/>
              <w:spacing w:after="0" w:line="182" w:lineRule="exact"/>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Meeting Attendance</w:t>
              </w:r>
            </w:hyperlink>
          </w:p>
        </w:tc>
        <w:tc>
          <w:tcPr>
            <w:tcW w:w="1340" w:type="dxa"/>
            <w:vAlign w:val="bottom"/>
          </w:tcPr>
          <w:p>
            <w:pPr>
              <w:jc w:val="right"/>
              <w:spacing w:after="0" w:line="182" w:lineRule="exact"/>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6</w:t>
              </w:r>
            </w:hyperlink>
          </w:p>
        </w:tc>
        <w:tc>
          <w:tcPr>
            <w:tcW w:w="1140" w:type="dxa"/>
            <w:vAlign w:val="bottom"/>
          </w:tcPr>
          <w:p>
            <w:pPr>
              <w:spacing w:after="0"/>
              <w:rPr>
                <w:sz w:val="15"/>
                <w:szCs w:val="15"/>
                <w:color w:val="auto"/>
              </w:rPr>
            </w:pPr>
          </w:p>
        </w:tc>
      </w:tr>
      <w:tr>
        <w:trPr>
          <w:trHeight w:val="182"/>
        </w:trPr>
        <w:tc>
          <w:tcPr>
            <w:tcW w:w="1120" w:type="dxa"/>
            <w:vAlign w:val="bottom"/>
          </w:tcPr>
          <w:p>
            <w:pPr>
              <w:spacing w:after="0"/>
              <w:rPr>
                <w:sz w:val="15"/>
                <w:szCs w:val="15"/>
                <w:color w:val="auto"/>
              </w:rPr>
            </w:pPr>
          </w:p>
        </w:tc>
        <w:tc>
          <w:tcPr>
            <w:tcW w:w="7660" w:type="dxa"/>
            <w:vAlign w:val="bottom"/>
          </w:tcPr>
          <w:p>
            <w:pPr>
              <w:ind w:left="240"/>
              <w:spacing w:after="0" w:line="182" w:lineRule="exact"/>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Quorum</w:t>
              </w:r>
            </w:hyperlink>
          </w:p>
        </w:tc>
        <w:tc>
          <w:tcPr>
            <w:tcW w:w="1340" w:type="dxa"/>
            <w:vAlign w:val="bottom"/>
          </w:tcPr>
          <w:p>
            <w:pPr>
              <w:jc w:val="right"/>
              <w:spacing w:after="0" w:line="182" w:lineRule="exact"/>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6</w:t>
              </w:r>
            </w:hyperlink>
          </w:p>
        </w:tc>
        <w:tc>
          <w:tcPr>
            <w:tcW w:w="1140" w:type="dxa"/>
            <w:vAlign w:val="bottom"/>
          </w:tcPr>
          <w:p>
            <w:pPr>
              <w:spacing w:after="0"/>
              <w:rPr>
                <w:sz w:val="15"/>
                <w:szCs w:val="15"/>
                <w:color w:val="auto"/>
              </w:rPr>
            </w:pPr>
          </w:p>
        </w:tc>
      </w:tr>
      <w:tr>
        <w:trPr>
          <w:trHeight w:val="213"/>
        </w:trPr>
        <w:tc>
          <w:tcPr>
            <w:tcW w:w="1120" w:type="dxa"/>
            <w:vAlign w:val="bottom"/>
          </w:tcPr>
          <w:p>
            <w:pPr>
              <w:spacing w:after="0"/>
              <w:rPr>
                <w:sz w:val="18"/>
                <w:szCs w:val="18"/>
                <w:color w:val="auto"/>
              </w:rPr>
            </w:pPr>
          </w:p>
        </w:tc>
        <w:tc>
          <w:tcPr>
            <w:tcW w:w="7660" w:type="dxa"/>
            <w:vAlign w:val="bottom"/>
          </w:tcPr>
          <w:p>
            <w:pPr>
              <w:ind w:left="240"/>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Required Vote and Board Recommendations</w:t>
              </w:r>
            </w:hyperlink>
          </w:p>
        </w:tc>
        <w:tc>
          <w:tcPr>
            <w:tcW w:w="1340" w:type="dxa"/>
            <w:vAlign w:val="bottom"/>
          </w:tcPr>
          <w:p>
            <w:pPr>
              <w:jc w:val="right"/>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6</w:t>
              </w:r>
            </w:hyperlink>
          </w:p>
        </w:tc>
        <w:tc>
          <w:tcPr>
            <w:tcW w:w="1140" w:type="dxa"/>
            <w:vAlign w:val="bottom"/>
          </w:tcPr>
          <w:p>
            <w:pPr>
              <w:spacing w:after="0"/>
              <w:rPr>
                <w:sz w:val="18"/>
                <w:szCs w:val="18"/>
                <w:color w:val="auto"/>
              </w:rPr>
            </w:pPr>
          </w:p>
        </w:tc>
      </w:tr>
      <w:tr>
        <w:trPr>
          <w:trHeight w:val="351"/>
        </w:trPr>
        <w:tc>
          <w:tcPr>
            <w:tcW w:w="1120" w:type="dxa"/>
            <w:vAlign w:val="bottom"/>
          </w:tcPr>
          <w:p>
            <w:pPr>
              <w:spacing w:after="0"/>
              <w:rPr>
                <w:sz w:val="24"/>
                <w:szCs w:val="24"/>
                <w:color w:val="auto"/>
              </w:rPr>
            </w:pPr>
          </w:p>
        </w:tc>
        <w:tc>
          <w:tcPr>
            <w:tcW w:w="7660" w:type="dxa"/>
            <w:vAlign w:val="bottom"/>
            <w:tcBorders>
              <w:bottom w:val="single" w:sz="8" w:color="53C072"/>
            </w:tcBorders>
          </w:tcPr>
          <w:p>
            <w:pPr>
              <w:spacing w:after="0"/>
              <w:rPr>
                <w:rFonts w:ascii="Arial" w:cs="Arial" w:eastAsia="Arial" w:hAnsi="Arial"/>
                <w:sz w:val="19"/>
                <w:szCs w:val="19"/>
                <w:b w:val="1"/>
                <w:bCs w:val="1"/>
                <w:u w:val="single" w:color="auto"/>
                <w:color w:val="53C072"/>
              </w:rPr>
            </w:pPr>
            <w:hyperlink w:anchor="page12">
              <w:r>
                <w:rPr>
                  <w:rFonts w:ascii="Arial" w:cs="Arial" w:eastAsia="Arial" w:hAnsi="Arial"/>
                  <w:sz w:val="19"/>
                  <w:szCs w:val="19"/>
                  <w:b w:val="1"/>
                  <w:bCs w:val="1"/>
                  <w:u w:val="single" w:color="auto"/>
                  <w:color w:val="53C072"/>
                </w:rPr>
                <w:t>Proposal 1 — Election of Directors</w:t>
              </w:r>
            </w:hyperlink>
          </w:p>
        </w:tc>
        <w:tc>
          <w:tcPr>
            <w:tcW w:w="1340" w:type="dxa"/>
            <w:vAlign w:val="bottom"/>
            <w:tcBorders>
              <w:bottom w:val="single" w:sz="8" w:color="53C072"/>
            </w:tcBorders>
          </w:tcPr>
          <w:p>
            <w:pPr>
              <w:jc w:val="right"/>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7</w:t>
              </w:r>
            </w:hyperlink>
          </w:p>
        </w:tc>
        <w:tc>
          <w:tcPr>
            <w:tcW w:w="1140" w:type="dxa"/>
            <w:vAlign w:val="bottom"/>
          </w:tcPr>
          <w:p>
            <w:pPr>
              <w:spacing w:after="0"/>
              <w:rPr>
                <w:sz w:val="24"/>
                <w:szCs w:val="24"/>
                <w:color w:val="auto"/>
              </w:rPr>
            </w:pPr>
          </w:p>
        </w:tc>
      </w:tr>
      <w:tr>
        <w:trPr>
          <w:trHeight w:val="205"/>
        </w:trPr>
        <w:tc>
          <w:tcPr>
            <w:tcW w:w="1120" w:type="dxa"/>
            <w:vAlign w:val="bottom"/>
          </w:tcPr>
          <w:p>
            <w:pPr>
              <w:spacing w:after="0"/>
              <w:rPr>
                <w:sz w:val="17"/>
                <w:szCs w:val="17"/>
                <w:color w:val="auto"/>
              </w:rPr>
            </w:pPr>
          </w:p>
        </w:tc>
        <w:tc>
          <w:tcPr>
            <w:tcW w:w="7660" w:type="dxa"/>
            <w:vAlign w:val="bottom"/>
          </w:tcPr>
          <w:p>
            <w:pPr>
              <w:ind w:left="240"/>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Nominees</w:t>
              </w:r>
            </w:hyperlink>
          </w:p>
        </w:tc>
        <w:tc>
          <w:tcPr>
            <w:tcW w:w="1340" w:type="dxa"/>
            <w:vAlign w:val="bottom"/>
          </w:tcPr>
          <w:p>
            <w:pPr>
              <w:jc w:val="right"/>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8</w:t>
              </w:r>
            </w:hyperlink>
          </w:p>
        </w:tc>
        <w:tc>
          <w:tcPr>
            <w:tcW w:w="1140" w:type="dxa"/>
            <w:vAlign w:val="bottom"/>
          </w:tcPr>
          <w:p>
            <w:pPr>
              <w:spacing w:after="0"/>
              <w:rPr>
                <w:sz w:val="17"/>
                <w:szCs w:val="17"/>
                <w:color w:val="auto"/>
              </w:rPr>
            </w:pPr>
          </w:p>
        </w:tc>
      </w:tr>
      <w:tr>
        <w:trPr>
          <w:trHeight w:val="333"/>
        </w:trPr>
        <w:tc>
          <w:tcPr>
            <w:tcW w:w="1120" w:type="dxa"/>
            <w:vAlign w:val="bottom"/>
          </w:tcPr>
          <w:p>
            <w:pPr>
              <w:spacing w:after="0"/>
              <w:rPr>
                <w:sz w:val="24"/>
                <w:szCs w:val="24"/>
                <w:color w:val="auto"/>
              </w:rPr>
            </w:pPr>
          </w:p>
        </w:tc>
        <w:tc>
          <w:tcPr>
            <w:tcW w:w="7660" w:type="dxa"/>
            <w:vAlign w:val="bottom"/>
            <w:tcBorders>
              <w:bottom w:val="single" w:sz="8" w:color="53C072"/>
            </w:tcBorders>
          </w:tcPr>
          <w:p>
            <w:pPr>
              <w:spacing w:after="0"/>
              <w:rPr>
                <w:rFonts w:ascii="Arial" w:cs="Arial" w:eastAsia="Arial" w:hAnsi="Arial"/>
                <w:sz w:val="19"/>
                <w:szCs w:val="19"/>
                <w:b w:val="1"/>
                <w:bCs w:val="1"/>
                <w:u w:val="single" w:color="auto"/>
                <w:color w:val="53C072"/>
              </w:rPr>
            </w:pPr>
            <w:hyperlink w:anchor="page20">
              <w:r>
                <w:rPr>
                  <w:rFonts w:ascii="Arial" w:cs="Arial" w:eastAsia="Arial" w:hAnsi="Arial"/>
                  <w:sz w:val="19"/>
                  <w:szCs w:val="19"/>
                  <w:b w:val="1"/>
                  <w:bCs w:val="1"/>
                  <w:u w:val="single" w:color="auto"/>
                  <w:color w:val="53C072"/>
                </w:rPr>
                <w:t>Corporate Governance</w:t>
              </w:r>
            </w:hyperlink>
          </w:p>
        </w:tc>
        <w:tc>
          <w:tcPr>
            <w:tcW w:w="1340" w:type="dxa"/>
            <w:vAlign w:val="bottom"/>
            <w:tcBorders>
              <w:bottom w:val="single" w:sz="8" w:color="53C072"/>
            </w:tcBorders>
          </w:tcPr>
          <w:p>
            <w:pPr>
              <w:jc w:val="right"/>
              <w:spacing w:after="0"/>
              <w:rPr>
                <w:rFonts w:ascii="Arial" w:cs="Arial" w:eastAsia="Arial" w:hAnsi="Arial"/>
                <w:sz w:val="16"/>
                <w:szCs w:val="16"/>
                <w:u w:val="single" w:color="auto"/>
                <w:color w:val="0000EE"/>
              </w:rPr>
            </w:pPr>
            <w:hyperlink w:anchor="page20">
              <w:r>
                <w:rPr>
                  <w:rFonts w:ascii="Arial" w:cs="Arial" w:eastAsia="Arial" w:hAnsi="Arial"/>
                  <w:sz w:val="16"/>
                  <w:szCs w:val="16"/>
                  <w:u w:val="single" w:color="auto"/>
                  <w:color w:val="0000EE"/>
                </w:rPr>
                <w:t>15</w:t>
              </w:r>
            </w:hyperlink>
          </w:p>
        </w:tc>
        <w:tc>
          <w:tcPr>
            <w:tcW w:w="1140" w:type="dxa"/>
            <w:vAlign w:val="bottom"/>
          </w:tcPr>
          <w:p>
            <w:pPr>
              <w:spacing w:after="0"/>
              <w:rPr>
                <w:sz w:val="24"/>
                <w:szCs w:val="24"/>
                <w:color w:val="auto"/>
              </w:rPr>
            </w:pPr>
          </w:p>
        </w:tc>
      </w:tr>
      <w:tr>
        <w:trPr>
          <w:trHeight w:val="157"/>
        </w:trPr>
        <w:tc>
          <w:tcPr>
            <w:tcW w:w="1120" w:type="dxa"/>
            <w:vAlign w:val="bottom"/>
          </w:tcPr>
          <w:p>
            <w:pPr>
              <w:spacing w:after="0"/>
              <w:rPr>
                <w:sz w:val="13"/>
                <w:szCs w:val="13"/>
                <w:color w:val="auto"/>
              </w:rPr>
            </w:pPr>
          </w:p>
        </w:tc>
        <w:tc>
          <w:tcPr>
            <w:tcW w:w="7660" w:type="dxa"/>
            <w:vAlign w:val="bottom"/>
          </w:tcPr>
          <w:p>
            <w:pPr>
              <w:ind w:left="240"/>
              <w:spacing w:after="0" w:line="157" w:lineRule="exact"/>
              <w:rPr>
                <w:rFonts w:ascii="Arial" w:cs="Arial" w:eastAsia="Arial" w:hAnsi="Arial"/>
                <w:sz w:val="16"/>
                <w:szCs w:val="16"/>
                <w:u w:val="single" w:color="auto"/>
                <w:color w:val="0000EE"/>
              </w:rPr>
            </w:pPr>
            <w:hyperlink w:anchor="page20">
              <w:r>
                <w:rPr>
                  <w:rFonts w:ascii="Arial" w:cs="Arial" w:eastAsia="Arial" w:hAnsi="Arial"/>
                  <w:sz w:val="16"/>
                  <w:szCs w:val="16"/>
                  <w:u w:val="single" w:color="auto"/>
                  <w:color w:val="0000EE"/>
                </w:rPr>
                <w:t>Corporate Governance Guidelines</w:t>
              </w:r>
            </w:hyperlink>
          </w:p>
        </w:tc>
        <w:tc>
          <w:tcPr>
            <w:tcW w:w="1340" w:type="dxa"/>
            <w:vAlign w:val="bottom"/>
          </w:tcPr>
          <w:p>
            <w:pPr>
              <w:jc w:val="right"/>
              <w:spacing w:after="0" w:line="157" w:lineRule="exact"/>
              <w:rPr>
                <w:rFonts w:ascii="Arial" w:cs="Arial" w:eastAsia="Arial" w:hAnsi="Arial"/>
                <w:sz w:val="16"/>
                <w:szCs w:val="16"/>
                <w:u w:val="single" w:color="auto"/>
                <w:color w:val="0000EE"/>
              </w:rPr>
            </w:pPr>
            <w:hyperlink w:anchor="page20">
              <w:r>
                <w:rPr>
                  <w:rFonts w:ascii="Arial" w:cs="Arial" w:eastAsia="Arial" w:hAnsi="Arial"/>
                  <w:sz w:val="16"/>
                  <w:szCs w:val="16"/>
                  <w:u w:val="single" w:color="auto"/>
                  <w:color w:val="0000EE"/>
                </w:rPr>
                <w:t>15</w:t>
              </w:r>
            </w:hyperlink>
          </w:p>
        </w:tc>
        <w:tc>
          <w:tcPr>
            <w:tcW w:w="1140" w:type="dxa"/>
            <w:vAlign w:val="bottom"/>
          </w:tcPr>
          <w:p>
            <w:pPr>
              <w:spacing w:after="0"/>
              <w:rPr>
                <w:sz w:val="13"/>
                <w:szCs w:val="13"/>
                <w:color w:val="auto"/>
              </w:rPr>
            </w:pPr>
          </w:p>
        </w:tc>
      </w:tr>
      <w:tr>
        <w:trPr>
          <w:trHeight w:val="182"/>
        </w:trPr>
        <w:tc>
          <w:tcPr>
            <w:tcW w:w="1120" w:type="dxa"/>
            <w:vAlign w:val="bottom"/>
          </w:tcPr>
          <w:p>
            <w:pPr>
              <w:spacing w:after="0"/>
              <w:rPr>
                <w:sz w:val="15"/>
                <w:szCs w:val="15"/>
                <w:color w:val="auto"/>
              </w:rPr>
            </w:pPr>
          </w:p>
        </w:tc>
        <w:tc>
          <w:tcPr>
            <w:tcW w:w="7660" w:type="dxa"/>
            <w:vAlign w:val="bottom"/>
          </w:tcPr>
          <w:p>
            <w:pPr>
              <w:ind w:left="240"/>
              <w:spacing w:after="0" w:line="182" w:lineRule="exact"/>
              <w:rPr>
                <w:rFonts w:ascii="Arial" w:cs="Arial" w:eastAsia="Arial" w:hAnsi="Arial"/>
                <w:sz w:val="16"/>
                <w:szCs w:val="16"/>
                <w:u w:val="single" w:color="auto"/>
                <w:color w:val="0000EE"/>
              </w:rPr>
            </w:pPr>
            <w:hyperlink w:anchor="page20">
              <w:r>
                <w:rPr>
                  <w:rFonts w:ascii="Arial" w:cs="Arial" w:eastAsia="Arial" w:hAnsi="Arial"/>
                  <w:sz w:val="16"/>
                  <w:szCs w:val="16"/>
                  <w:u w:val="single" w:color="auto"/>
                  <w:color w:val="0000EE"/>
                </w:rPr>
                <w:t>Director Independence</w:t>
              </w:r>
            </w:hyperlink>
          </w:p>
        </w:tc>
        <w:tc>
          <w:tcPr>
            <w:tcW w:w="1340" w:type="dxa"/>
            <w:vAlign w:val="bottom"/>
          </w:tcPr>
          <w:p>
            <w:pPr>
              <w:jc w:val="right"/>
              <w:spacing w:after="0" w:line="182" w:lineRule="exact"/>
              <w:rPr>
                <w:rFonts w:ascii="Arial" w:cs="Arial" w:eastAsia="Arial" w:hAnsi="Arial"/>
                <w:sz w:val="16"/>
                <w:szCs w:val="16"/>
                <w:u w:val="single" w:color="auto"/>
                <w:color w:val="0000EE"/>
              </w:rPr>
            </w:pPr>
            <w:hyperlink w:anchor="page20">
              <w:r>
                <w:rPr>
                  <w:rFonts w:ascii="Arial" w:cs="Arial" w:eastAsia="Arial" w:hAnsi="Arial"/>
                  <w:sz w:val="16"/>
                  <w:szCs w:val="16"/>
                  <w:u w:val="single" w:color="auto"/>
                  <w:color w:val="0000EE"/>
                </w:rPr>
                <w:t>15</w:t>
              </w:r>
            </w:hyperlink>
          </w:p>
        </w:tc>
        <w:tc>
          <w:tcPr>
            <w:tcW w:w="1140" w:type="dxa"/>
            <w:vAlign w:val="bottom"/>
          </w:tcPr>
          <w:p>
            <w:pPr>
              <w:spacing w:after="0"/>
              <w:rPr>
                <w:sz w:val="15"/>
                <w:szCs w:val="15"/>
                <w:color w:val="auto"/>
              </w:rPr>
            </w:pPr>
          </w:p>
        </w:tc>
      </w:tr>
      <w:tr>
        <w:trPr>
          <w:trHeight w:val="182"/>
        </w:trPr>
        <w:tc>
          <w:tcPr>
            <w:tcW w:w="1120" w:type="dxa"/>
            <w:vAlign w:val="bottom"/>
          </w:tcPr>
          <w:p>
            <w:pPr>
              <w:spacing w:after="0"/>
              <w:rPr>
                <w:sz w:val="15"/>
                <w:szCs w:val="15"/>
                <w:color w:val="auto"/>
              </w:rPr>
            </w:pPr>
          </w:p>
        </w:tc>
        <w:tc>
          <w:tcPr>
            <w:tcW w:w="7660" w:type="dxa"/>
            <w:vAlign w:val="bottom"/>
          </w:tcPr>
          <w:p>
            <w:pPr>
              <w:ind w:left="240"/>
              <w:spacing w:after="0" w:line="182" w:lineRule="exact"/>
              <w:rPr>
                <w:rFonts w:ascii="Arial" w:cs="Arial" w:eastAsia="Arial" w:hAnsi="Arial"/>
                <w:sz w:val="16"/>
                <w:szCs w:val="16"/>
                <w:u w:val="single" w:color="auto"/>
                <w:color w:val="0000EE"/>
              </w:rPr>
            </w:pPr>
            <w:hyperlink w:anchor="page21">
              <w:r>
                <w:rPr>
                  <w:rFonts w:ascii="Arial" w:cs="Arial" w:eastAsia="Arial" w:hAnsi="Arial"/>
                  <w:sz w:val="16"/>
                  <w:szCs w:val="16"/>
                  <w:u w:val="single" w:color="auto"/>
                  <w:color w:val="0000EE"/>
                </w:rPr>
                <w:t>Board Leadership Structure</w:t>
              </w:r>
            </w:hyperlink>
          </w:p>
        </w:tc>
        <w:tc>
          <w:tcPr>
            <w:tcW w:w="1340" w:type="dxa"/>
            <w:vAlign w:val="bottom"/>
          </w:tcPr>
          <w:p>
            <w:pPr>
              <w:jc w:val="right"/>
              <w:spacing w:after="0" w:line="182" w:lineRule="exact"/>
              <w:rPr>
                <w:rFonts w:ascii="Arial" w:cs="Arial" w:eastAsia="Arial" w:hAnsi="Arial"/>
                <w:sz w:val="16"/>
                <w:szCs w:val="16"/>
                <w:u w:val="single" w:color="auto"/>
                <w:color w:val="0000EE"/>
              </w:rPr>
            </w:pPr>
            <w:hyperlink w:anchor="page21">
              <w:r>
                <w:rPr>
                  <w:rFonts w:ascii="Arial" w:cs="Arial" w:eastAsia="Arial" w:hAnsi="Arial"/>
                  <w:sz w:val="16"/>
                  <w:szCs w:val="16"/>
                  <w:u w:val="single" w:color="auto"/>
                  <w:color w:val="0000EE"/>
                </w:rPr>
                <w:t>16</w:t>
              </w:r>
            </w:hyperlink>
          </w:p>
        </w:tc>
        <w:tc>
          <w:tcPr>
            <w:tcW w:w="1140" w:type="dxa"/>
            <w:vAlign w:val="bottom"/>
          </w:tcPr>
          <w:p>
            <w:pPr>
              <w:spacing w:after="0"/>
              <w:rPr>
                <w:sz w:val="15"/>
                <w:szCs w:val="15"/>
                <w:color w:val="auto"/>
              </w:rPr>
            </w:pPr>
          </w:p>
        </w:tc>
      </w:tr>
      <w:tr>
        <w:trPr>
          <w:trHeight w:val="182"/>
        </w:trPr>
        <w:tc>
          <w:tcPr>
            <w:tcW w:w="1120" w:type="dxa"/>
            <w:vAlign w:val="bottom"/>
          </w:tcPr>
          <w:p>
            <w:pPr>
              <w:spacing w:after="0"/>
              <w:rPr>
                <w:sz w:val="15"/>
                <w:szCs w:val="15"/>
                <w:color w:val="auto"/>
              </w:rPr>
            </w:pPr>
          </w:p>
        </w:tc>
        <w:tc>
          <w:tcPr>
            <w:tcW w:w="7660" w:type="dxa"/>
            <w:vAlign w:val="bottom"/>
          </w:tcPr>
          <w:p>
            <w:pPr>
              <w:ind w:left="240"/>
              <w:spacing w:after="0" w:line="182" w:lineRule="exact"/>
              <w:rPr>
                <w:rFonts w:ascii="Arial" w:cs="Arial" w:eastAsia="Arial" w:hAnsi="Arial"/>
                <w:sz w:val="16"/>
                <w:szCs w:val="16"/>
                <w:u w:val="single" w:color="auto"/>
                <w:color w:val="0000EE"/>
              </w:rPr>
            </w:pPr>
            <w:hyperlink w:anchor="page21">
              <w:r>
                <w:rPr>
                  <w:rFonts w:ascii="Arial" w:cs="Arial" w:eastAsia="Arial" w:hAnsi="Arial"/>
                  <w:sz w:val="16"/>
                  <w:szCs w:val="16"/>
                  <w:u w:val="single" w:color="auto"/>
                  <w:color w:val="0000EE"/>
                </w:rPr>
                <w:t>Executive Sessions</w:t>
              </w:r>
            </w:hyperlink>
          </w:p>
        </w:tc>
        <w:tc>
          <w:tcPr>
            <w:tcW w:w="1340" w:type="dxa"/>
            <w:vAlign w:val="bottom"/>
          </w:tcPr>
          <w:p>
            <w:pPr>
              <w:jc w:val="right"/>
              <w:spacing w:after="0" w:line="182" w:lineRule="exact"/>
              <w:rPr>
                <w:rFonts w:ascii="Arial" w:cs="Arial" w:eastAsia="Arial" w:hAnsi="Arial"/>
                <w:sz w:val="16"/>
                <w:szCs w:val="16"/>
                <w:u w:val="single" w:color="auto"/>
                <w:color w:val="0000EE"/>
              </w:rPr>
            </w:pPr>
            <w:hyperlink w:anchor="page21">
              <w:r>
                <w:rPr>
                  <w:rFonts w:ascii="Arial" w:cs="Arial" w:eastAsia="Arial" w:hAnsi="Arial"/>
                  <w:sz w:val="16"/>
                  <w:szCs w:val="16"/>
                  <w:u w:val="single" w:color="auto"/>
                  <w:color w:val="0000EE"/>
                </w:rPr>
                <w:t>16</w:t>
              </w:r>
            </w:hyperlink>
          </w:p>
        </w:tc>
        <w:tc>
          <w:tcPr>
            <w:tcW w:w="1140" w:type="dxa"/>
            <w:vAlign w:val="bottom"/>
          </w:tcPr>
          <w:p>
            <w:pPr>
              <w:spacing w:after="0"/>
              <w:rPr>
                <w:sz w:val="15"/>
                <w:szCs w:val="15"/>
                <w:color w:val="auto"/>
              </w:rPr>
            </w:pPr>
          </w:p>
        </w:tc>
      </w:tr>
      <w:tr>
        <w:trPr>
          <w:trHeight w:val="182"/>
        </w:trPr>
        <w:tc>
          <w:tcPr>
            <w:tcW w:w="1120" w:type="dxa"/>
            <w:vAlign w:val="bottom"/>
          </w:tcPr>
          <w:p>
            <w:pPr>
              <w:spacing w:after="0"/>
              <w:rPr>
                <w:sz w:val="15"/>
                <w:szCs w:val="15"/>
                <w:color w:val="auto"/>
              </w:rPr>
            </w:pPr>
          </w:p>
        </w:tc>
        <w:tc>
          <w:tcPr>
            <w:tcW w:w="7660" w:type="dxa"/>
            <w:vAlign w:val="bottom"/>
          </w:tcPr>
          <w:p>
            <w:pPr>
              <w:ind w:left="240"/>
              <w:spacing w:after="0" w:line="182" w:lineRule="exact"/>
              <w:rPr>
                <w:rFonts w:ascii="Arial" w:cs="Arial" w:eastAsia="Arial" w:hAnsi="Arial"/>
                <w:sz w:val="16"/>
                <w:szCs w:val="16"/>
                <w:u w:val="single" w:color="auto"/>
                <w:color w:val="0000EE"/>
              </w:rPr>
            </w:pPr>
            <w:hyperlink w:anchor="page21">
              <w:r>
                <w:rPr>
                  <w:rFonts w:ascii="Arial" w:cs="Arial" w:eastAsia="Arial" w:hAnsi="Arial"/>
                  <w:sz w:val="16"/>
                  <w:szCs w:val="16"/>
                  <w:u w:val="single" w:color="auto"/>
                  <w:color w:val="0000EE"/>
                </w:rPr>
                <w:t>Director Nominations</w:t>
              </w:r>
            </w:hyperlink>
          </w:p>
        </w:tc>
        <w:tc>
          <w:tcPr>
            <w:tcW w:w="1340" w:type="dxa"/>
            <w:vAlign w:val="bottom"/>
          </w:tcPr>
          <w:p>
            <w:pPr>
              <w:jc w:val="right"/>
              <w:spacing w:after="0" w:line="182" w:lineRule="exact"/>
              <w:rPr>
                <w:rFonts w:ascii="Arial" w:cs="Arial" w:eastAsia="Arial" w:hAnsi="Arial"/>
                <w:sz w:val="16"/>
                <w:szCs w:val="16"/>
                <w:u w:val="single" w:color="auto"/>
                <w:color w:val="0000EE"/>
              </w:rPr>
            </w:pPr>
            <w:hyperlink w:anchor="page21">
              <w:r>
                <w:rPr>
                  <w:rFonts w:ascii="Arial" w:cs="Arial" w:eastAsia="Arial" w:hAnsi="Arial"/>
                  <w:sz w:val="16"/>
                  <w:szCs w:val="16"/>
                  <w:u w:val="single" w:color="auto"/>
                  <w:color w:val="0000EE"/>
                </w:rPr>
                <w:t>16</w:t>
              </w:r>
            </w:hyperlink>
          </w:p>
        </w:tc>
        <w:tc>
          <w:tcPr>
            <w:tcW w:w="1140" w:type="dxa"/>
            <w:vAlign w:val="bottom"/>
          </w:tcPr>
          <w:p>
            <w:pPr>
              <w:spacing w:after="0"/>
              <w:rPr>
                <w:sz w:val="15"/>
                <w:szCs w:val="15"/>
                <w:color w:val="auto"/>
              </w:rPr>
            </w:pPr>
          </w:p>
        </w:tc>
      </w:tr>
      <w:tr>
        <w:trPr>
          <w:trHeight w:val="182"/>
        </w:trPr>
        <w:tc>
          <w:tcPr>
            <w:tcW w:w="1120" w:type="dxa"/>
            <w:vAlign w:val="bottom"/>
          </w:tcPr>
          <w:p>
            <w:pPr>
              <w:spacing w:after="0"/>
              <w:rPr>
                <w:sz w:val="15"/>
                <w:szCs w:val="15"/>
                <w:color w:val="auto"/>
              </w:rPr>
            </w:pPr>
          </w:p>
        </w:tc>
        <w:tc>
          <w:tcPr>
            <w:tcW w:w="7660" w:type="dxa"/>
            <w:vAlign w:val="bottom"/>
          </w:tcPr>
          <w:p>
            <w:pPr>
              <w:ind w:left="240"/>
              <w:spacing w:after="0" w:line="182" w:lineRule="exact"/>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Management Succession</w:t>
              </w:r>
            </w:hyperlink>
          </w:p>
        </w:tc>
        <w:tc>
          <w:tcPr>
            <w:tcW w:w="1340" w:type="dxa"/>
            <w:vAlign w:val="bottom"/>
          </w:tcPr>
          <w:p>
            <w:pPr>
              <w:jc w:val="right"/>
              <w:spacing w:after="0" w:line="182" w:lineRule="exact"/>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17</w:t>
              </w:r>
            </w:hyperlink>
          </w:p>
        </w:tc>
        <w:tc>
          <w:tcPr>
            <w:tcW w:w="1140" w:type="dxa"/>
            <w:vAlign w:val="bottom"/>
          </w:tcPr>
          <w:p>
            <w:pPr>
              <w:spacing w:after="0"/>
              <w:rPr>
                <w:sz w:val="15"/>
                <w:szCs w:val="15"/>
                <w:color w:val="auto"/>
              </w:rPr>
            </w:pPr>
          </w:p>
        </w:tc>
      </w:tr>
      <w:tr>
        <w:trPr>
          <w:trHeight w:val="182"/>
        </w:trPr>
        <w:tc>
          <w:tcPr>
            <w:tcW w:w="1120" w:type="dxa"/>
            <w:vAlign w:val="bottom"/>
          </w:tcPr>
          <w:p>
            <w:pPr>
              <w:spacing w:after="0"/>
              <w:rPr>
                <w:sz w:val="15"/>
                <w:szCs w:val="15"/>
                <w:color w:val="auto"/>
              </w:rPr>
            </w:pPr>
          </w:p>
        </w:tc>
        <w:tc>
          <w:tcPr>
            <w:tcW w:w="7660" w:type="dxa"/>
            <w:vAlign w:val="bottom"/>
          </w:tcPr>
          <w:p>
            <w:pPr>
              <w:ind w:left="240"/>
              <w:spacing w:after="0" w:line="182" w:lineRule="exact"/>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The Board's Role in Risk Oversight</w:t>
              </w:r>
            </w:hyperlink>
          </w:p>
        </w:tc>
        <w:tc>
          <w:tcPr>
            <w:tcW w:w="1340" w:type="dxa"/>
            <w:vAlign w:val="bottom"/>
          </w:tcPr>
          <w:p>
            <w:pPr>
              <w:jc w:val="right"/>
              <w:spacing w:after="0" w:line="182" w:lineRule="exact"/>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17</w:t>
              </w:r>
            </w:hyperlink>
          </w:p>
        </w:tc>
        <w:tc>
          <w:tcPr>
            <w:tcW w:w="1140" w:type="dxa"/>
            <w:vAlign w:val="bottom"/>
          </w:tcPr>
          <w:p>
            <w:pPr>
              <w:spacing w:after="0"/>
              <w:rPr>
                <w:sz w:val="15"/>
                <w:szCs w:val="15"/>
                <w:color w:val="auto"/>
              </w:rPr>
            </w:pPr>
          </w:p>
        </w:tc>
      </w:tr>
      <w:tr>
        <w:trPr>
          <w:trHeight w:val="182"/>
        </w:trPr>
        <w:tc>
          <w:tcPr>
            <w:tcW w:w="1120" w:type="dxa"/>
            <w:vAlign w:val="bottom"/>
          </w:tcPr>
          <w:p>
            <w:pPr>
              <w:spacing w:after="0"/>
              <w:rPr>
                <w:sz w:val="15"/>
                <w:szCs w:val="15"/>
                <w:color w:val="auto"/>
              </w:rPr>
            </w:pPr>
          </w:p>
        </w:tc>
        <w:tc>
          <w:tcPr>
            <w:tcW w:w="7660" w:type="dxa"/>
            <w:vAlign w:val="bottom"/>
          </w:tcPr>
          <w:p>
            <w:pPr>
              <w:ind w:left="240"/>
              <w:spacing w:after="0" w:line="182" w:lineRule="exact"/>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Compensation Committee Interlocks and Insider Participation</w:t>
              </w:r>
            </w:hyperlink>
          </w:p>
        </w:tc>
        <w:tc>
          <w:tcPr>
            <w:tcW w:w="1340" w:type="dxa"/>
            <w:vAlign w:val="bottom"/>
          </w:tcPr>
          <w:p>
            <w:pPr>
              <w:jc w:val="right"/>
              <w:spacing w:after="0" w:line="182" w:lineRule="exact"/>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18</w:t>
              </w:r>
            </w:hyperlink>
          </w:p>
        </w:tc>
        <w:tc>
          <w:tcPr>
            <w:tcW w:w="1140" w:type="dxa"/>
            <w:vAlign w:val="bottom"/>
          </w:tcPr>
          <w:p>
            <w:pPr>
              <w:spacing w:after="0"/>
              <w:rPr>
                <w:sz w:val="15"/>
                <w:szCs w:val="15"/>
                <w:color w:val="auto"/>
              </w:rPr>
            </w:pPr>
          </w:p>
        </w:tc>
      </w:tr>
      <w:tr>
        <w:trPr>
          <w:trHeight w:val="182"/>
        </w:trPr>
        <w:tc>
          <w:tcPr>
            <w:tcW w:w="1120" w:type="dxa"/>
            <w:vAlign w:val="bottom"/>
          </w:tcPr>
          <w:p>
            <w:pPr>
              <w:spacing w:after="0"/>
              <w:rPr>
                <w:sz w:val="15"/>
                <w:szCs w:val="15"/>
                <w:color w:val="auto"/>
              </w:rPr>
            </w:pPr>
          </w:p>
        </w:tc>
        <w:tc>
          <w:tcPr>
            <w:tcW w:w="7660" w:type="dxa"/>
            <w:vAlign w:val="bottom"/>
          </w:tcPr>
          <w:p>
            <w:pPr>
              <w:ind w:left="240"/>
              <w:spacing w:after="0" w:line="182" w:lineRule="exact"/>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Code of Conduct</w:t>
              </w:r>
            </w:hyperlink>
          </w:p>
        </w:tc>
        <w:tc>
          <w:tcPr>
            <w:tcW w:w="1340" w:type="dxa"/>
            <w:vAlign w:val="bottom"/>
          </w:tcPr>
          <w:p>
            <w:pPr>
              <w:jc w:val="right"/>
              <w:spacing w:after="0" w:line="182" w:lineRule="exact"/>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18</w:t>
              </w:r>
            </w:hyperlink>
          </w:p>
        </w:tc>
        <w:tc>
          <w:tcPr>
            <w:tcW w:w="1140" w:type="dxa"/>
            <w:vAlign w:val="bottom"/>
          </w:tcPr>
          <w:p>
            <w:pPr>
              <w:spacing w:after="0"/>
              <w:rPr>
                <w:sz w:val="15"/>
                <w:szCs w:val="15"/>
                <w:color w:val="auto"/>
              </w:rPr>
            </w:pPr>
          </w:p>
        </w:tc>
      </w:tr>
      <w:tr>
        <w:trPr>
          <w:trHeight w:val="182"/>
        </w:trPr>
        <w:tc>
          <w:tcPr>
            <w:tcW w:w="1120" w:type="dxa"/>
            <w:vAlign w:val="bottom"/>
          </w:tcPr>
          <w:p>
            <w:pPr>
              <w:spacing w:after="0"/>
              <w:rPr>
                <w:sz w:val="15"/>
                <w:szCs w:val="15"/>
                <w:color w:val="auto"/>
              </w:rPr>
            </w:pPr>
          </w:p>
        </w:tc>
        <w:tc>
          <w:tcPr>
            <w:tcW w:w="7660" w:type="dxa"/>
            <w:vAlign w:val="bottom"/>
          </w:tcPr>
          <w:p>
            <w:pPr>
              <w:ind w:left="240"/>
              <w:spacing w:after="0" w:line="182" w:lineRule="exact"/>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Policy Against Pledging and Hedging Economic Risk of Owning the Company's Securities</w:t>
              </w:r>
            </w:hyperlink>
          </w:p>
        </w:tc>
        <w:tc>
          <w:tcPr>
            <w:tcW w:w="1340" w:type="dxa"/>
            <w:vAlign w:val="bottom"/>
          </w:tcPr>
          <w:p>
            <w:pPr>
              <w:jc w:val="right"/>
              <w:spacing w:after="0" w:line="182" w:lineRule="exact"/>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18</w:t>
              </w:r>
            </w:hyperlink>
          </w:p>
        </w:tc>
        <w:tc>
          <w:tcPr>
            <w:tcW w:w="1140" w:type="dxa"/>
            <w:vAlign w:val="bottom"/>
          </w:tcPr>
          <w:p>
            <w:pPr>
              <w:spacing w:after="0"/>
              <w:rPr>
                <w:sz w:val="15"/>
                <w:szCs w:val="15"/>
                <w:color w:val="auto"/>
              </w:rPr>
            </w:pPr>
          </w:p>
        </w:tc>
      </w:tr>
      <w:tr>
        <w:trPr>
          <w:trHeight w:val="182"/>
        </w:trPr>
        <w:tc>
          <w:tcPr>
            <w:tcW w:w="1120" w:type="dxa"/>
            <w:vAlign w:val="bottom"/>
          </w:tcPr>
          <w:p>
            <w:pPr>
              <w:spacing w:after="0"/>
              <w:rPr>
                <w:sz w:val="15"/>
                <w:szCs w:val="15"/>
                <w:color w:val="auto"/>
              </w:rPr>
            </w:pPr>
          </w:p>
        </w:tc>
        <w:tc>
          <w:tcPr>
            <w:tcW w:w="7660" w:type="dxa"/>
            <w:vAlign w:val="bottom"/>
          </w:tcPr>
          <w:p>
            <w:pPr>
              <w:ind w:left="240"/>
              <w:spacing w:after="0" w:line="182" w:lineRule="exact"/>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Reporting of Ethical Concerns</w:t>
              </w:r>
            </w:hyperlink>
          </w:p>
        </w:tc>
        <w:tc>
          <w:tcPr>
            <w:tcW w:w="1340" w:type="dxa"/>
            <w:vAlign w:val="bottom"/>
          </w:tcPr>
          <w:p>
            <w:pPr>
              <w:jc w:val="right"/>
              <w:spacing w:after="0" w:line="182" w:lineRule="exact"/>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18</w:t>
              </w:r>
            </w:hyperlink>
          </w:p>
        </w:tc>
        <w:tc>
          <w:tcPr>
            <w:tcW w:w="1140" w:type="dxa"/>
            <w:vAlign w:val="bottom"/>
          </w:tcPr>
          <w:p>
            <w:pPr>
              <w:spacing w:after="0"/>
              <w:rPr>
                <w:sz w:val="15"/>
                <w:szCs w:val="15"/>
                <w:color w:val="auto"/>
              </w:rPr>
            </w:pPr>
          </w:p>
        </w:tc>
      </w:tr>
      <w:tr>
        <w:trPr>
          <w:trHeight w:val="182"/>
        </w:trPr>
        <w:tc>
          <w:tcPr>
            <w:tcW w:w="1120" w:type="dxa"/>
            <w:vAlign w:val="bottom"/>
          </w:tcPr>
          <w:p>
            <w:pPr>
              <w:spacing w:after="0"/>
              <w:rPr>
                <w:sz w:val="15"/>
                <w:szCs w:val="15"/>
                <w:color w:val="auto"/>
              </w:rPr>
            </w:pPr>
          </w:p>
        </w:tc>
        <w:tc>
          <w:tcPr>
            <w:tcW w:w="7660" w:type="dxa"/>
            <w:vAlign w:val="bottom"/>
          </w:tcPr>
          <w:p>
            <w:pPr>
              <w:ind w:left="240"/>
              <w:spacing w:after="0" w:line="182" w:lineRule="exact"/>
              <w:rPr>
                <w:rFonts w:ascii="Arial" w:cs="Arial" w:eastAsia="Arial" w:hAnsi="Arial"/>
                <w:sz w:val="16"/>
                <w:szCs w:val="16"/>
                <w:u w:val="single" w:color="auto"/>
                <w:color w:val="0000EE"/>
              </w:rPr>
            </w:pPr>
            <w:hyperlink w:anchor="page24">
              <w:r>
                <w:rPr>
                  <w:rFonts w:ascii="Arial" w:cs="Arial" w:eastAsia="Arial" w:hAnsi="Arial"/>
                  <w:sz w:val="16"/>
                  <w:szCs w:val="16"/>
                  <w:u w:val="single" w:color="auto"/>
                  <w:color w:val="0000EE"/>
                </w:rPr>
                <w:t>Stock Ownership Guidelines</w:t>
              </w:r>
            </w:hyperlink>
          </w:p>
        </w:tc>
        <w:tc>
          <w:tcPr>
            <w:tcW w:w="1340" w:type="dxa"/>
            <w:vAlign w:val="bottom"/>
          </w:tcPr>
          <w:p>
            <w:pPr>
              <w:jc w:val="right"/>
              <w:spacing w:after="0" w:line="182" w:lineRule="exact"/>
              <w:rPr>
                <w:rFonts w:ascii="Arial" w:cs="Arial" w:eastAsia="Arial" w:hAnsi="Arial"/>
                <w:sz w:val="16"/>
                <w:szCs w:val="16"/>
                <w:u w:val="single" w:color="auto"/>
                <w:color w:val="0000EE"/>
              </w:rPr>
            </w:pPr>
            <w:hyperlink w:anchor="page24">
              <w:r>
                <w:rPr>
                  <w:rFonts w:ascii="Arial" w:cs="Arial" w:eastAsia="Arial" w:hAnsi="Arial"/>
                  <w:sz w:val="16"/>
                  <w:szCs w:val="16"/>
                  <w:u w:val="single" w:color="auto"/>
                  <w:color w:val="0000EE"/>
                </w:rPr>
                <w:t>19</w:t>
              </w:r>
            </w:hyperlink>
          </w:p>
        </w:tc>
        <w:tc>
          <w:tcPr>
            <w:tcW w:w="1140" w:type="dxa"/>
            <w:vAlign w:val="bottom"/>
          </w:tcPr>
          <w:p>
            <w:pPr>
              <w:spacing w:after="0"/>
              <w:rPr>
                <w:sz w:val="15"/>
                <w:szCs w:val="15"/>
                <w:color w:val="auto"/>
              </w:rPr>
            </w:pPr>
          </w:p>
        </w:tc>
      </w:tr>
      <w:tr>
        <w:trPr>
          <w:trHeight w:val="182"/>
        </w:trPr>
        <w:tc>
          <w:tcPr>
            <w:tcW w:w="1120" w:type="dxa"/>
            <w:vAlign w:val="bottom"/>
          </w:tcPr>
          <w:p>
            <w:pPr>
              <w:spacing w:after="0"/>
              <w:rPr>
                <w:sz w:val="15"/>
                <w:szCs w:val="15"/>
                <w:color w:val="auto"/>
              </w:rPr>
            </w:pPr>
          </w:p>
        </w:tc>
        <w:tc>
          <w:tcPr>
            <w:tcW w:w="7660" w:type="dxa"/>
            <w:vAlign w:val="bottom"/>
          </w:tcPr>
          <w:p>
            <w:pPr>
              <w:ind w:left="240"/>
              <w:spacing w:after="0" w:line="182" w:lineRule="exact"/>
              <w:rPr>
                <w:rFonts w:ascii="Arial" w:cs="Arial" w:eastAsia="Arial" w:hAnsi="Arial"/>
                <w:sz w:val="16"/>
                <w:szCs w:val="16"/>
                <w:u w:val="single" w:color="auto"/>
                <w:color w:val="0000EE"/>
              </w:rPr>
            </w:pPr>
            <w:hyperlink w:anchor="page24">
              <w:r>
                <w:rPr>
                  <w:rFonts w:ascii="Arial" w:cs="Arial" w:eastAsia="Arial" w:hAnsi="Arial"/>
                  <w:sz w:val="16"/>
                  <w:szCs w:val="16"/>
                  <w:u w:val="single" w:color="auto"/>
                  <w:color w:val="0000EE"/>
                </w:rPr>
                <w:t>The Company's Website</w:t>
              </w:r>
            </w:hyperlink>
          </w:p>
        </w:tc>
        <w:tc>
          <w:tcPr>
            <w:tcW w:w="1340" w:type="dxa"/>
            <w:vAlign w:val="bottom"/>
          </w:tcPr>
          <w:p>
            <w:pPr>
              <w:jc w:val="right"/>
              <w:spacing w:after="0" w:line="182" w:lineRule="exact"/>
              <w:rPr>
                <w:rFonts w:ascii="Arial" w:cs="Arial" w:eastAsia="Arial" w:hAnsi="Arial"/>
                <w:sz w:val="16"/>
                <w:szCs w:val="16"/>
                <w:u w:val="single" w:color="auto"/>
                <w:color w:val="0000EE"/>
              </w:rPr>
            </w:pPr>
            <w:hyperlink w:anchor="page24">
              <w:r>
                <w:rPr>
                  <w:rFonts w:ascii="Arial" w:cs="Arial" w:eastAsia="Arial" w:hAnsi="Arial"/>
                  <w:sz w:val="16"/>
                  <w:szCs w:val="16"/>
                  <w:u w:val="single" w:color="auto"/>
                  <w:color w:val="0000EE"/>
                </w:rPr>
                <w:t>19</w:t>
              </w:r>
            </w:hyperlink>
          </w:p>
        </w:tc>
        <w:tc>
          <w:tcPr>
            <w:tcW w:w="1140" w:type="dxa"/>
            <w:vAlign w:val="bottom"/>
          </w:tcPr>
          <w:p>
            <w:pPr>
              <w:spacing w:after="0"/>
              <w:rPr>
                <w:sz w:val="15"/>
                <w:szCs w:val="15"/>
                <w:color w:val="auto"/>
              </w:rPr>
            </w:pPr>
          </w:p>
        </w:tc>
      </w:tr>
      <w:tr>
        <w:trPr>
          <w:trHeight w:val="182"/>
        </w:trPr>
        <w:tc>
          <w:tcPr>
            <w:tcW w:w="1120" w:type="dxa"/>
            <w:vAlign w:val="bottom"/>
          </w:tcPr>
          <w:p>
            <w:pPr>
              <w:spacing w:after="0"/>
              <w:rPr>
                <w:sz w:val="15"/>
                <w:szCs w:val="15"/>
                <w:color w:val="auto"/>
              </w:rPr>
            </w:pPr>
          </w:p>
        </w:tc>
        <w:tc>
          <w:tcPr>
            <w:tcW w:w="7660" w:type="dxa"/>
            <w:vAlign w:val="bottom"/>
          </w:tcPr>
          <w:p>
            <w:pPr>
              <w:ind w:left="240"/>
              <w:spacing w:after="0" w:line="182" w:lineRule="exact"/>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Director Communications</w:t>
              </w:r>
            </w:hyperlink>
          </w:p>
        </w:tc>
        <w:tc>
          <w:tcPr>
            <w:tcW w:w="1340" w:type="dxa"/>
            <w:vAlign w:val="bottom"/>
          </w:tcPr>
          <w:p>
            <w:pPr>
              <w:jc w:val="right"/>
              <w:spacing w:after="0" w:line="182" w:lineRule="exact"/>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20</w:t>
              </w:r>
            </w:hyperlink>
          </w:p>
        </w:tc>
        <w:tc>
          <w:tcPr>
            <w:tcW w:w="1140" w:type="dxa"/>
            <w:vAlign w:val="bottom"/>
          </w:tcPr>
          <w:p>
            <w:pPr>
              <w:spacing w:after="0"/>
              <w:rPr>
                <w:sz w:val="15"/>
                <w:szCs w:val="15"/>
                <w:color w:val="auto"/>
              </w:rPr>
            </w:pPr>
          </w:p>
        </w:tc>
      </w:tr>
      <w:tr>
        <w:trPr>
          <w:trHeight w:val="213"/>
        </w:trPr>
        <w:tc>
          <w:tcPr>
            <w:tcW w:w="1120" w:type="dxa"/>
            <w:vAlign w:val="bottom"/>
          </w:tcPr>
          <w:p>
            <w:pPr>
              <w:spacing w:after="0"/>
              <w:rPr>
                <w:sz w:val="18"/>
                <w:szCs w:val="18"/>
                <w:color w:val="auto"/>
              </w:rPr>
            </w:pPr>
          </w:p>
        </w:tc>
        <w:tc>
          <w:tcPr>
            <w:tcW w:w="7660" w:type="dxa"/>
            <w:vAlign w:val="bottom"/>
          </w:tcPr>
          <w:p>
            <w:pPr>
              <w:ind w:left="240"/>
              <w:spacing w:after="0"/>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Corporate Social Responsibility</w:t>
              </w:r>
            </w:hyperlink>
          </w:p>
        </w:tc>
        <w:tc>
          <w:tcPr>
            <w:tcW w:w="1340" w:type="dxa"/>
            <w:vAlign w:val="bottom"/>
          </w:tcPr>
          <w:p>
            <w:pPr>
              <w:jc w:val="right"/>
              <w:spacing w:after="0"/>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20</w:t>
              </w:r>
            </w:hyperlink>
          </w:p>
        </w:tc>
        <w:tc>
          <w:tcPr>
            <w:tcW w:w="1140" w:type="dxa"/>
            <w:vAlign w:val="bottom"/>
          </w:tcPr>
          <w:p>
            <w:pPr>
              <w:spacing w:after="0"/>
              <w:rPr>
                <w:sz w:val="18"/>
                <w:szCs w:val="18"/>
                <w:color w:val="auto"/>
              </w:rPr>
            </w:pPr>
          </w:p>
        </w:tc>
      </w:tr>
      <w:tr>
        <w:trPr>
          <w:trHeight w:val="351"/>
        </w:trPr>
        <w:tc>
          <w:tcPr>
            <w:tcW w:w="1120" w:type="dxa"/>
            <w:vAlign w:val="bottom"/>
          </w:tcPr>
          <w:p>
            <w:pPr>
              <w:spacing w:after="0"/>
              <w:rPr>
                <w:sz w:val="24"/>
                <w:szCs w:val="24"/>
                <w:color w:val="auto"/>
              </w:rPr>
            </w:pPr>
          </w:p>
        </w:tc>
        <w:tc>
          <w:tcPr>
            <w:tcW w:w="7660" w:type="dxa"/>
            <w:vAlign w:val="bottom"/>
            <w:tcBorders>
              <w:bottom w:val="single" w:sz="8" w:color="53C072"/>
            </w:tcBorders>
          </w:tcPr>
          <w:p>
            <w:pPr>
              <w:spacing w:after="0"/>
              <w:rPr>
                <w:rFonts w:ascii="Arial" w:cs="Arial" w:eastAsia="Arial" w:hAnsi="Arial"/>
                <w:sz w:val="19"/>
                <w:szCs w:val="19"/>
                <w:b w:val="1"/>
                <w:bCs w:val="1"/>
                <w:u w:val="single" w:color="auto"/>
                <w:color w:val="53C072"/>
              </w:rPr>
            </w:pPr>
            <w:hyperlink w:anchor="page28">
              <w:r>
                <w:rPr>
                  <w:rFonts w:ascii="Arial" w:cs="Arial" w:eastAsia="Arial" w:hAnsi="Arial"/>
                  <w:sz w:val="19"/>
                  <w:szCs w:val="19"/>
                  <w:b w:val="1"/>
                  <w:bCs w:val="1"/>
                  <w:u w:val="single" w:color="auto"/>
                  <w:color w:val="53C072"/>
                </w:rPr>
                <w:t>The Board of Directors and its Committees</w:t>
              </w:r>
            </w:hyperlink>
          </w:p>
        </w:tc>
        <w:tc>
          <w:tcPr>
            <w:tcW w:w="1340" w:type="dxa"/>
            <w:vAlign w:val="bottom"/>
            <w:tcBorders>
              <w:bottom w:val="single" w:sz="8" w:color="53C072"/>
            </w:tcBorders>
          </w:tcPr>
          <w:p>
            <w:pPr>
              <w:jc w:val="right"/>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23</w:t>
              </w:r>
            </w:hyperlink>
          </w:p>
        </w:tc>
        <w:tc>
          <w:tcPr>
            <w:tcW w:w="1140" w:type="dxa"/>
            <w:vAlign w:val="bottom"/>
          </w:tcPr>
          <w:p>
            <w:pPr>
              <w:spacing w:after="0"/>
              <w:rPr>
                <w:sz w:val="24"/>
                <w:szCs w:val="24"/>
                <w:color w:val="auto"/>
              </w:rPr>
            </w:pPr>
          </w:p>
        </w:tc>
      </w:tr>
      <w:tr>
        <w:trPr>
          <w:trHeight w:val="157"/>
        </w:trPr>
        <w:tc>
          <w:tcPr>
            <w:tcW w:w="1120" w:type="dxa"/>
            <w:vAlign w:val="bottom"/>
          </w:tcPr>
          <w:p>
            <w:pPr>
              <w:spacing w:after="0"/>
              <w:rPr>
                <w:sz w:val="13"/>
                <w:szCs w:val="13"/>
                <w:color w:val="auto"/>
              </w:rPr>
            </w:pPr>
          </w:p>
        </w:tc>
        <w:tc>
          <w:tcPr>
            <w:tcW w:w="7660" w:type="dxa"/>
            <w:vAlign w:val="bottom"/>
          </w:tcPr>
          <w:p>
            <w:pPr>
              <w:ind w:left="240"/>
              <w:spacing w:after="0" w:line="157" w:lineRule="exact"/>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Audit Committee</w:t>
              </w:r>
            </w:hyperlink>
          </w:p>
        </w:tc>
        <w:tc>
          <w:tcPr>
            <w:tcW w:w="1340" w:type="dxa"/>
            <w:vAlign w:val="bottom"/>
          </w:tcPr>
          <w:p>
            <w:pPr>
              <w:jc w:val="right"/>
              <w:spacing w:after="0" w:line="157" w:lineRule="exact"/>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24</w:t>
              </w:r>
            </w:hyperlink>
          </w:p>
        </w:tc>
        <w:tc>
          <w:tcPr>
            <w:tcW w:w="1140" w:type="dxa"/>
            <w:vAlign w:val="bottom"/>
          </w:tcPr>
          <w:p>
            <w:pPr>
              <w:spacing w:after="0"/>
              <w:rPr>
                <w:sz w:val="13"/>
                <w:szCs w:val="13"/>
                <w:color w:val="auto"/>
              </w:rPr>
            </w:pPr>
          </w:p>
        </w:tc>
      </w:tr>
      <w:tr>
        <w:trPr>
          <w:trHeight w:val="182"/>
        </w:trPr>
        <w:tc>
          <w:tcPr>
            <w:tcW w:w="1120" w:type="dxa"/>
            <w:vAlign w:val="bottom"/>
          </w:tcPr>
          <w:p>
            <w:pPr>
              <w:spacing w:after="0"/>
              <w:rPr>
                <w:sz w:val="15"/>
                <w:szCs w:val="15"/>
                <w:color w:val="auto"/>
              </w:rPr>
            </w:pPr>
          </w:p>
        </w:tc>
        <w:tc>
          <w:tcPr>
            <w:tcW w:w="7660" w:type="dxa"/>
            <w:vAlign w:val="bottom"/>
          </w:tcPr>
          <w:p>
            <w:pPr>
              <w:ind w:left="240"/>
              <w:spacing w:after="0" w:line="182" w:lineRule="exact"/>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Compensation Committee</w:t>
              </w:r>
            </w:hyperlink>
          </w:p>
        </w:tc>
        <w:tc>
          <w:tcPr>
            <w:tcW w:w="1340" w:type="dxa"/>
            <w:vAlign w:val="bottom"/>
          </w:tcPr>
          <w:p>
            <w:pPr>
              <w:jc w:val="right"/>
              <w:spacing w:after="0" w:line="182" w:lineRule="exact"/>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24</w:t>
              </w:r>
            </w:hyperlink>
          </w:p>
        </w:tc>
        <w:tc>
          <w:tcPr>
            <w:tcW w:w="1140" w:type="dxa"/>
            <w:vAlign w:val="bottom"/>
          </w:tcPr>
          <w:p>
            <w:pPr>
              <w:spacing w:after="0"/>
              <w:rPr>
                <w:sz w:val="15"/>
                <w:szCs w:val="15"/>
                <w:color w:val="auto"/>
              </w:rPr>
            </w:pPr>
          </w:p>
        </w:tc>
      </w:tr>
      <w:tr>
        <w:trPr>
          <w:trHeight w:val="182"/>
        </w:trPr>
        <w:tc>
          <w:tcPr>
            <w:tcW w:w="1120" w:type="dxa"/>
            <w:vAlign w:val="bottom"/>
          </w:tcPr>
          <w:p>
            <w:pPr>
              <w:spacing w:after="0"/>
              <w:rPr>
                <w:sz w:val="15"/>
                <w:szCs w:val="15"/>
                <w:color w:val="auto"/>
              </w:rPr>
            </w:pPr>
          </w:p>
        </w:tc>
        <w:tc>
          <w:tcPr>
            <w:tcW w:w="7660" w:type="dxa"/>
            <w:vAlign w:val="bottom"/>
          </w:tcPr>
          <w:p>
            <w:pPr>
              <w:ind w:left="240"/>
              <w:spacing w:after="0" w:line="182" w:lineRule="exact"/>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Corporate Governance Committee</w:t>
              </w:r>
            </w:hyperlink>
          </w:p>
        </w:tc>
        <w:tc>
          <w:tcPr>
            <w:tcW w:w="1340" w:type="dxa"/>
            <w:vAlign w:val="bottom"/>
          </w:tcPr>
          <w:p>
            <w:pPr>
              <w:jc w:val="right"/>
              <w:spacing w:after="0" w:line="182" w:lineRule="exact"/>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25</w:t>
              </w:r>
            </w:hyperlink>
          </w:p>
        </w:tc>
        <w:tc>
          <w:tcPr>
            <w:tcW w:w="1140" w:type="dxa"/>
            <w:vAlign w:val="bottom"/>
          </w:tcPr>
          <w:p>
            <w:pPr>
              <w:spacing w:after="0"/>
              <w:rPr>
                <w:sz w:val="15"/>
                <w:szCs w:val="15"/>
                <w:color w:val="auto"/>
              </w:rPr>
            </w:pPr>
          </w:p>
        </w:tc>
      </w:tr>
      <w:tr>
        <w:trPr>
          <w:trHeight w:val="182"/>
        </w:trPr>
        <w:tc>
          <w:tcPr>
            <w:tcW w:w="1120" w:type="dxa"/>
            <w:vAlign w:val="bottom"/>
          </w:tcPr>
          <w:p>
            <w:pPr>
              <w:spacing w:after="0"/>
              <w:rPr>
                <w:sz w:val="15"/>
                <w:szCs w:val="15"/>
                <w:color w:val="auto"/>
              </w:rPr>
            </w:pPr>
          </w:p>
        </w:tc>
        <w:tc>
          <w:tcPr>
            <w:tcW w:w="7660" w:type="dxa"/>
            <w:vAlign w:val="bottom"/>
          </w:tcPr>
          <w:p>
            <w:pPr>
              <w:ind w:left="240"/>
              <w:spacing w:after="0" w:line="182" w:lineRule="exact"/>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Finance Committee</w:t>
              </w:r>
            </w:hyperlink>
          </w:p>
        </w:tc>
        <w:tc>
          <w:tcPr>
            <w:tcW w:w="1340" w:type="dxa"/>
            <w:vAlign w:val="bottom"/>
          </w:tcPr>
          <w:p>
            <w:pPr>
              <w:jc w:val="right"/>
              <w:spacing w:after="0" w:line="182" w:lineRule="exact"/>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26</w:t>
              </w:r>
            </w:hyperlink>
          </w:p>
        </w:tc>
        <w:tc>
          <w:tcPr>
            <w:tcW w:w="1140" w:type="dxa"/>
            <w:vAlign w:val="bottom"/>
          </w:tcPr>
          <w:p>
            <w:pPr>
              <w:spacing w:after="0"/>
              <w:rPr>
                <w:sz w:val="15"/>
                <w:szCs w:val="15"/>
                <w:color w:val="auto"/>
              </w:rPr>
            </w:pPr>
          </w:p>
        </w:tc>
      </w:tr>
      <w:tr>
        <w:trPr>
          <w:trHeight w:val="213"/>
        </w:trPr>
        <w:tc>
          <w:tcPr>
            <w:tcW w:w="1120" w:type="dxa"/>
            <w:vAlign w:val="bottom"/>
          </w:tcPr>
          <w:p>
            <w:pPr>
              <w:spacing w:after="0"/>
              <w:rPr>
                <w:sz w:val="18"/>
                <w:szCs w:val="18"/>
                <w:color w:val="auto"/>
              </w:rPr>
            </w:pPr>
          </w:p>
        </w:tc>
        <w:tc>
          <w:tcPr>
            <w:tcW w:w="7660" w:type="dxa"/>
            <w:vAlign w:val="bottom"/>
          </w:tcPr>
          <w:p>
            <w:pPr>
              <w:ind w:left="240"/>
              <w:spacing w:after="0"/>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Executive Committee</w:t>
              </w:r>
            </w:hyperlink>
          </w:p>
        </w:tc>
        <w:tc>
          <w:tcPr>
            <w:tcW w:w="1340" w:type="dxa"/>
            <w:vAlign w:val="bottom"/>
          </w:tcPr>
          <w:p>
            <w:pPr>
              <w:jc w:val="right"/>
              <w:spacing w:after="0"/>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26</w:t>
              </w:r>
            </w:hyperlink>
          </w:p>
        </w:tc>
        <w:tc>
          <w:tcPr>
            <w:tcW w:w="1140" w:type="dxa"/>
            <w:vAlign w:val="bottom"/>
          </w:tcPr>
          <w:p>
            <w:pPr>
              <w:spacing w:after="0"/>
              <w:rPr>
                <w:sz w:val="18"/>
                <w:szCs w:val="18"/>
                <w:color w:val="auto"/>
              </w:rPr>
            </w:pPr>
          </w:p>
        </w:tc>
      </w:tr>
      <w:tr>
        <w:trPr>
          <w:trHeight w:val="351"/>
        </w:trPr>
        <w:tc>
          <w:tcPr>
            <w:tcW w:w="1120" w:type="dxa"/>
            <w:vAlign w:val="bottom"/>
          </w:tcPr>
          <w:p>
            <w:pPr>
              <w:spacing w:after="0"/>
              <w:rPr>
                <w:sz w:val="24"/>
                <w:szCs w:val="24"/>
                <w:color w:val="auto"/>
              </w:rPr>
            </w:pPr>
          </w:p>
        </w:tc>
        <w:tc>
          <w:tcPr>
            <w:tcW w:w="7660" w:type="dxa"/>
            <w:vAlign w:val="bottom"/>
            <w:tcBorders>
              <w:bottom w:val="single" w:sz="8" w:color="53C072"/>
            </w:tcBorders>
          </w:tcPr>
          <w:p>
            <w:pPr>
              <w:spacing w:after="0"/>
              <w:rPr>
                <w:rFonts w:ascii="Arial" w:cs="Arial" w:eastAsia="Arial" w:hAnsi="Arial"/>
                <w:sz w:val="19"/>
                <w:szCs w:val="19"/>
                <w:b w:val="1"/>
                <w:bCs w:val="1"/>
                <w:u w:val="single" w:color="auto"/>
                <w:color w:val="53C072"/>
              </w:rPr>
            </w:pPr>
            <w:hyperlink w:anchor="page32">
              <w:r>
                <w:rPr>
                  <w:rFonts w:ascii="Arial" w:cs="Arial" w:eastAsia="Arial" w:hAnsi="Arial"/>
                  <w:sz w:val="19"/>
                  <w:szCs w:val="19"/>
                  <w:b w:val="1"/>
                  <w:bCs w:val="1"/>
                  <w:u w:val="single" w:color="auto"/>
                  <w:color w:val="53C072"/>
                </w:rPr>
                <w:t>Director Compensation</w:t>
              </w:r>
            </w:hyperlink>
          </w:p>
        </w:tc>
        <w:tc>
          <w:tcPr>
            <w:tcW w:w="1340" w:type="dxa"/>
            <w:vAlign w:val="bottom"/>
            <w:tcBorders>
              <w:bottom w:val="single" w:sz="8" w:color="53C072"/>
            </w:tcBorders>
          </w:tcPr>
          <w:p>
            <w:pPr>
              <w:jc w:val="right"/>
              <w:spacing w:after="0"/>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27</w:t>
              </w:r>
            </w:hyperlink>
          </w:p>
        </w:tc>
        <w:tc>
          <w:tcPr>
            <w:tcW w:w="1140" w:type="dxa"/>
            <w:vAlign w:val="bottom"/>
          </w:tcPr>
          <w:p>
            <w:pPr>
              <w:spacing w:after="0"/>
              <w:rPr>
                <w:sz w:val="24"/>
                <w:szCs w:val="24"/>
                <w:color w:val="auto"/>
              </w:rPr>
            </w:pPr>
          </w:p>
        </w:tc>
      </w:tr>
      <w:tr>
        <w:trPr>
          <w:trHeight w:val="157"/>
        </w:trPr>
        <w:tc>
          <w:tcPr>
            <w:tcW w:w="1120" w:type="dxa"/>
            <w:vAlign w:val="bottom"/>
          </w:tcPr>
          <w:p>
            <w:pPr>
              <w:spacing w:after="0"/>
              <w:rPr>
                <w:sz w:val="13"/>
                <w:szCs w:val="13"/>
                <w:color w:val="auto"/>
              </w:rPr>
            </w:pPr>
          </w:p>
        </w:tc>
        <w:tc>
          <w:tcPr>
            <w:tcW w:w="7660" w:type="dxa"/>
            <w:vAlign w:val="bottom"/>
          </w:tcPr>
          <w:p>
            <w:pPr>
              <w:ind w:left="240"/>
              <w:spacing w:after="0" w:line="157" w:lineRule="exact"/>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Process for Reviewing Non-Employee Director Compensation</w:t>
              </w:r>
            </w:hyperlink>
          </w:p>
        </w:tc>
        <w:tc>
          <w:tcPr>
            <w:tcW w:w="1340" w:type="dxa"/>
            <w:vAlign w:val="bottom"/>
          </w:tcPr>
          <w:p>
            <w:pPr>
              <w:jc w:val="right"/>
              <w:spacing w:after="0" w:line="157" w:lineRule="exact"/>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28</w:t>
              </w:r>
            </w:hyperlink>
          </w:p>
        </w:tc>
        <w:tc>
          <w:tcPr>
            <w:tcW w:w="1140" w:type="dxa"/>
            <w:vAlign w:val="bottom"/>
          </w:tcPr>
          <w:p>
            <w:pPr>
              <w:spacing w:after="0"/>
              <w:rPr>
                <w:sz w:val="13"/>
                <w:szCs w:val="13"/>
                <w:color w:val="auto"/>
              </w:rPr>
            </w:pPr>
          </w:p>
        </w:tc>
      </w:tr>
      <w:tr>
        <w:trPr>
          <w:trHeight w:val="182"/>
        </w:trPr>
        <w:tc>
          <w:tcPr>
            <w:tcW w:w="1120" w:type="dxa"/>
            <w:vAlign w:val="bottom"/>
          </w:tcPr>
          <w:p>
            <w:pPr>
              <w:spacing w:after="0"/>
              <w:rPr>
                <w:sz w:val="15"/>
                <w:szCs w:val="15"/>
                <w:color w:val="auto"/>
              </w:rPr>
            </w:pPr>
          </w:p>
        </w:tc>
        <w:tc>
          <w:tcPr>
            <w:tcW w:w="7660" w:type="dxa"/>
            <w:vAlign w:val="bottom"/>
          </w:tcPr>
          <w:p>
            <w:pPr>
              <w:ind w:left="240"/>
              <w:spacing w:after="0" w:line="182" w:lineRule="exact"/>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Deferred Compensation Plan</w:t>
              </w:r>
            </w:hyperlink>
          </w:p>
        </w:tc>
        <w:tc>
          <w:tcPr>
            <w:tcW w:w="1340" w:type="dxa"/>
            <w:vAlign w:val="bottom"/>
          </w:tcPr>
          <w:p>
            <w:pPr>
              <w:jc w:val="right"/>
              <w:spacing w:after="0" w:line="182" w:lineRule="exact"/>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28</w:t>
              </w:r>
            </w:hyperlink>
          </w:p>
        </w:tc>
        <w:tc>
          <w:tcPr>
            <w:tcW w:w="1140" w:type="dxa"/>
            <w:vAlign w:val="bottom"/>
          </w:tcPr>
          <w:p>
            <w:pPr>
              <w:spacing w:after="0"/>
              <w:rPr>
                <w:sz w:val="15"/>
                <w:szCs w:val="15"/>
                <w:color w:val="auto"/>
              </w:rPr>
            </w:pPr>
          </w:p>
        </w:tc>
      </w:tr>
      <w:tr>
        <w:trPr>
          <w:trHeight w:val="213"/>
        </w:trPr>
        <w:tc>
          <w:tcPr>
            <w:tcW w:w="1120" w:type="dxa"/>
            <w:vAlign w:val="bottom"/>
          </w:tcPr>
          <w:p>
            <w:pPr>
              <w:spacing w:after="0"/>
              <w:rPr>
                <w:sz w:val="18"/>
                <w:szCs w:val="18"/>
                <w:color w:val="auto"/>
              </w:rPr>
            </w:pPr>
          </w:p>
        </w:tc>
        <w:tc>
          <w:tcPr>
            <w:tcW w:w="7660" w:type="dxa"/>
            <w:vAlign w:val="bottom"/>
          </w:tcPr>
          <w:p>
            <w:pPr>
              <w:ind w:left="240"/>
              <w:spacing w:after="0"/>
              <w:rPr>
                <w:rFonts w:ascii="Arial" w:cs="Arial" w:eastAsia="Arial" w:hAnsi="Arial"/>
                <w:sz w:val="16"/>
                <w:szCs w:val="16"/>
                <w:u w:val="single" w:color="auto"/>
                <w:color w:val="0000EE"/>
              </w:rPr>
            </w:pPr>
            <w:hyperlink w:anchor="page34">
              <w:r>
                <w:rPr>
                  <w:rFonts w:ascii="Arial" w:cs="Arial" w:eastAsia="Arial" w:hAnsi="Arial"/>
                  <w:sz w:val="16"/>
                  <w:szCs w:val="16"/>
                  <w:u w:val="single" w:color="auto"/>
                  <w:color w:val="0000EE"/>
                </w:rPr>
                <w:t>D&amp;O Insurance</w:t>
              </w:r>
            </w:hyperlink>
          </w:p>
        </w:tc>
        <w:tc>
          <w:tcPr>
            <w:tcW w:w="1340" w:type="dxa"/>
            <w:vAlign w:val="bottom"/>
          </w:tcPr>
          <w:p>
            <w:pPr>
              <w:jc w:val="right"/>
              <w:spacing w:after="0"/>
              <w:rPr>
                <w:rFonts w:ascii="Arial" w:cs="Arial" w:eastAsia="Arial" w:hAnsi="Arial"/>
                <w:sz w:val="16"/>
                <w:szCs w:val="16"/>
                <w:u w:val="single" w:color="auto"/>
                <w:color w:val="0000EE"/>
              </w:rPr>
            </w:pPr>
            <w:hyperlink w:anchor="page34">
              <w:r>
                <w:rPr>
                  <w:rFonts w:ascii="Arial" w:cs="Arial" w:eastAsia="Arial" w:hAnsi="Arial"/>
                  <w:sz w:val="16"/>
                  <w:szCs w:val="16"/>
                  <w:u w:val="single" w:color="auto"/>
                  <w:color w:val="0000EE"/>
                </w:rPr>
                <w:t>29</w:t>
              </w:r>
            </w:hyperlink>
          </w:p>
        </w:tc>
        <w:tc>
          <w:tcPr>
            <w:tcW w:w="1140" w:type="dxa"/>
            <w:vAlign w:val="bottom"/>
          </w:tcPr>
          <w:p>
            <w:pPr>
              <w:spacing w:after="0"/>
              <w:rPr>
                <w:sz w:val="18"/>
                <w:szCs w:val="18"/>
                <w:color w:val="auto"/>
              </w:rPr>
            </w:pPr>
          </w:p>
        </w:tc>
      </w:tr>
      <w:tr>
        <w:trPr>
          <w:trHeight w:val="351"/>
        </w:trPr>
        <w:tc>
          <w:tcPr>
            <w:tcW w:w="1120" w:type="dxa"/>
            <w:vAlign w:val="bottom"/>
          </w:tcPr>
          <w:p>
            <w:pPr>
              <w:spacing w:after="0"/>
              <w:rPr>
                <w:sz w:val="24"/>
                <w:szCs w:val="24"/>
                <w:color w:val="auto"/>
              </w:rPr>
            </w:pPr>
          </w:p>
        </w:tc>
        <w:tc>
          <w:tcPr>
            <w:tcW w:w="7660" w:type="dxa"/>
            <w:vAlign w:val="bottom"/>
            <w:tcBorders>
              <w:bottom w:val="single" w:sz="8" w:color="53C072"/>
            </w:tcBorders>
          </w:tcPr>
          <w:p>
            <w:pPr>
              <w:spacing w:after="0"/>
              <w:rPr>
                <w:rFonts w:ascii="Arial" w:cs="Arial" w:eastAsia="Arial" w:hAnsi="Arial"/>
                <w:sz w:val="19"/>
                <w:szCs w:val="19"/>
                <w:b w:val="1"/>
                <w:bCs w:val="1"/>
                <w:u w:val="single" w:color="auto"/>
                <w:color w:val="53C072"/>
              </w:rPr>
            </w:pPr>
            <w:hyperlink w:anchor="page35">
              <w:r>
                <w:rPr>
                  <w:rFonts w:ascii="Arial" w:cs="Arial" w:eastAsia="Arial" w:hAnsi="Arial"/>
                  <w:sz w:val="19"/>
                  <w:szCs w:val="19"/>
                  <w:b w:val="1"/>
                  <w:bCs w:val="1"/>
                  <w:u w:val="single" w:color="auto"/>
                  <w:color w:val="53C072"/>
                </w:rPr>
                <w:t>Executive Officers of the Company</w:t>
              </w:r>
            </w:hyperlink>
          </w:p>
        </w:tc>
        <w:tc>
          <w:tcPr>
            <w:tcW w:w="1340" w:type="dxa"/>
            <w:vAlign w:val="bottom"/>
            <w:tcBorders>
              <w:bottom w:val="single" w:sz="8" w:color="53C072"/>
            </w:tcBorders>
          </w:tcPr>
          <w:p>
            <w:pPr>
              <w:jc w:val="right"/>
              <w:spacing w:after="0"/>
              <w:rPr>
                <w:rFonts w:ascii="Arial" w:cs="Arial" w:eastAsia="Arial" w:hAnsi="Arial"/>
                <w:sz w:val="16"/>
                <w:szCs w:val="16"/>
                <w:u w:val="single" w:color="auto"/>
                <w:color w:val="0000EE"/>
              </w:rPr>
            </w:pPr>
            <w:hyperlink w:anchor="page35">
              <w:r>
                <w:rPr>
                  <w:rFonts w:ascii="Arial" w:cs="Arial" w:eastAsia="Arial" w:hAnsi="Arial"/>
                  <w:sz w:val="16"/>
                  <w:szCs w:val="16"/>
                  <w:u w:val="single" w:color="auto"/>
                  <w:color w:val="0000EE"/>
                </w:rPr>
                <w:t>30</w:t>
              </w:r>
            </w:hyperlink>
          </w:p>
        </w:tc>
        <w:tc>
          <w:tcPr>
            <w:tcW w:w="1140" w:type="dxa"/>
            <w:vAlign w:val="bottom"/>
          </w:tcPr>
          <w:p>
            <w:pPr>
              <w:spacing w:after="0"/>
              <w:rPr>
                <w:sz w:val="24"/>
                <w:szCs w:val="24"/>
                <w:color w:val="auto"/>
              </w:rPr>
            </w:pPr>
          </w:p>
        </w:tc>
      </w:tr>
      <w:tr>
        <w:trPr>
          <w:trHeight w:val="356"/>
        </w:trPr>
        <w:tc>
          <w:tcPr>
            <w:tcW w:w="1120" w:type="dxa"/>
            <w:vAlign w:val="bottom"/>
          </w:tcPr>
          <w:p>
            <w:pPr>
              <w:spacing w:after="0"/>
              <w:rPr>
                <w:sz w:val="24"/>
                <w:szCs w:val="24"/>
                <w:color w:val="auto"/>
              </w:rPr>
            </w:pPr>
          </w:p>
        </w:tc>
        <w:tc>
          <w:tcPr>
            <w:tcW w:w="7660" w:type="dxa"/>
            <w:vAlign w:val="bottom"/>
            <w:tcBorders>
              <w:bottom w:val="single" w:sz="8" w:color="53C072"/>
            </w:tcBorders>
          </w:tcPr>
          <w:p>
            <w:pPr>
              <w:spacing w:after="0"/>
              <w:rPr>
                <w:rFonts w:ascii="Arial" w:cs="Arial" w:eastAsia="Arial" w:hAnsi="Arial"/>
                <w:sz w:val="19"/>
                <w:szCs w:val="19"/>
                <w:b w:val="1"/>
                <w:bCs w:val="1"/>
                <w:u w:val="single" w:color="auto"/>
                <w:color w:val="53C072"/>
              </w:rPr>
            </w:pPr>
            <w:hyperlink w:anchor="page37">
              <w:r>
                <w:rPr>
                  <w:rFonts w:ascii="Arial" w:cs="Arial" w:eastAsia="Arial" w:hAnsi="Arial"/>
                  <w:sz w:val="19"/>
                  <w:szCs w:val="19"/>
                  <w:b w:val="1"/>
                  <w:bCs w:val="1"/>
                  <w:u w:val="single" w:color="auto"/>
                  <w:color w:val="53C072"/>
                </w:rPr>
                <w:t>Security Ownership of Certain Beneficial Owners and Management</w:t>
              </w:r>
            </w:hyperlink>
          </w:p>
        </w:tc>
        <w:tc>
          <w:tcPr>
            <w:tcW w:w="1340" w:type="dxa"/>
            <w:vAlign w:val="bottom"/>
            <w:tcBorders>
              <w:bottom w:val="single" w:sz="8" w:color="53C072"/>
            </w:tcBorders>
          </w:tcPr>
          <w:p>
            <w:pPr>
              <w:jc w:val="right"/>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32</w:t>
              </w:r>
            </w:hyperlink>
          </w:p>
        </w:tc>
        <w:tc>
          <w:tcPr>
            <w:tcW w:w="1140" w:type="dxa"/>
            <w:vAlign w:val="bottom"/>
          </w:tcPr>
          <w:p>
            <w:pPr>
              <w:spacing w:after="0"/>
              <w:rPr>
                <w:sz w:val="24"/>
                <w:szCs w:val="24"/>
                <w:color w:val="auto"/>
              </w:rPr>
            </w:pPr>
          </w:p>
        </w:tc>
      </w:tr>
      <w:tr>
        <w:trPr>
          <w:trHeight w:val="97"/>
        </w:trPr>
        <w:tc>
          <w:tcPr>
            <w:tcW w:w="1120" w:type="dxa"/>
            <w:vAlign w:val="bottom"/>
            <w:tcBorders>
              <w:bottom w:val="single" w:sz="8" w:color="808080"/>
            </w:tcBorders>
          </w:tcPr>
          <w:p>
            <w:pPr>
              <w:spacing w:after="0"/>
              <w:rPr>
                <w:sz w:val="8"/>
                <w:szCs w:val="8"/>
                <w:color w:val="auto"/>
              </w:rPr>
            </w:pPr>
          </w:p>
        </w:tc>
        <w:tc>
          <w:tcPr>
            <w:tcW w:w="766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-13335</wp:posOffset>
            </wp:positionV>
            <wp:extent cx="1270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120" w:type="dxa"/>
            <w:vAlign w:val="bottom"/>
          </w:tcPr>
          <w:p>
            <w:pPr>
              <w:spacing w:after="0"/>
              <w:rPr>
                <w:sz w:val="21"/>
                <w:szCs w:val="21"/>
                <w:color w:val="auto"/>
              </w:rPr>
            </w:pPr>
          </w:p>
        </w:tc>
        <w:tc>
          <w:tcPr>
            <w:tcW w:w="8460" w:type="dxa"/>
            <w:vAlign w:val="bottom"/>
            <w:tcBorders>
              <w:bottom w:val="single" w:sz="8" w:color="53C072"/>
            </w:tcBorders>
            <w:gridSpan w:val="4"/>
          </w:tcPr>
          <w:p>
            <w:pPr>
              <w:spacing w:after="0"/>
              <w:rPr>
                <w:rFonts w:ascii="Arial" w:cs="Arial" w:eastAsia="Arial" w:hAnsi="Arial"/>
                <w:sz w:val="19"/>
                <w:szCs w:val="19"/>
                <w:b w:val="1"/>
                <w:bCs w:val="1"/>
                <w:u w:val="single" w:color="auto"/>
                <w:color w:val="53C072"/>
              </w:rPr>
            </w:pPr>
            <w:hyperlink w:anchor="page39">
              <w:r>
                <w:rPr>
                  <w:rFonts w:ascii="Arial" w:cs="Arial" w:eastAsia="Arial" w:hAnsi="Arial"/>
                  <w:sz w:val="19"/>
                  <w:szCs w:val="19"/>
                  <w:b w:val="1"/>
                  <w:bCs w:val="1"/>
                  <w:u w:val="single" w:color="auto"/>
                  <w:color w:val="53C072"/>
                </w:rPr>
                <w:t>Section 16(a) Reports</w:t>
              </w:r>
            </w:hyperlink>
          </w:p>
        </w:tc>
        <w:tc>
          <w:tcPr>
            <w:tcW w:w="540" w:type="dxa"/>
            <w:vAlign w:val="bottom"/>
            <w:tcBorders>
              <w:bottom w:val="single" w:sz="8" w:color="53C072"/>
            </w:tcBorders>
          </w:tcPr>
          <w:p>
            <w:pPr>
              <w:jc w:val="right"/>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34</w:t>
              </w:r>
            </w:hyperlink>
          </w:p>
        </w:tc>
        <w:tc>
          <w:tcPr>
            <w:tcW w:w="1140" w:type="dxa"/>
            <w:vAlign w:val="bottom"/>
          </w:tcPr>
          <w:p>
            <w:pPr>
              <w:spacing w:after="0"/>
              <w:rPr>
                <w:sz w:val="21"/>
                <w:szCs w:val="21"/>
                <w:color w:val="auto"/>
              </w:rPr>
            </w:pPr>
          </w:p>
        </w:tc>
      </w:tr>
      <w:tr>
        <w:trPr>
          <w:trHeight w:val="356"/>
        </w:trPr>
        <w:tc>
          <w:tcPr>
            <w:tcW w:w="1120" w:type="dxa"/>
            <w:vAlign w:val="bottom"/>
          </w:tcPr>
          <w:p>
            <w:pPr>
              <w:spacing w:after="0"/>
              <w:rPr>
                <w:sz w:val="24"/>
                <w:szCs w:val="24"/>
                <w:color w:val="auto"/>
              </w:rPr>
            </w:pPr>
          </w:p>
        </w:tc>
        <w:tc>
          <w:tcPr>
            <w:tcW w:w="8460" w:type="dxa"/>
            <w:vAlign w:val="bottom"/>
            <w:tcBorders>
              <w:bottom w:val="single" w:sz="8" w:color="53C072"/>
            </w:tcBorders>
            <w:gridSpan w:val="4"/>
          </w:tcPr>
          <w:p>
            <w:pPr>
              <w:spacing w:after="0"/>
              <w:rPr>
                <w:rFonts w:ascii="Arial" w:cs="Arial" w:eastAsia="Arial" w:hAnsi="Arial"/>
                <w:sz w:val="19"/>
                <w:szCs w:val="19"/>
                <w:b w:val="1"/>
                <w:bCs w:val="1"/>
                <w:u w:val="single" w:color="auto"/>
                <w:color w:val="53C072"/>
              </w:rPr>
            </w:pPr>
            <w:hyperlink w:anchor="page39">
              <w:r>
                <w:rPr>
                  <w:rFonts w:ascii="Arial" w:cs="Arial" w:eastAsia="Arial" w:hAnsi="Arial"/>
                  <w:sz w:val="19"/>
                  <w:szCs w:val="19"/>
                  <w:b w:val="1"/>
                  <w:bCs w:val="1"/>
                  <w:u w:val="single" w:color="auto"/>
                  <w:color w:val="53C072"/>
                </w:rPr>
                <w:t>Related Person Transactions</w:t>
              </w:r>
            </w:hyperlink>
          </w:p>
        </w:tc>
        <w:tc>
          <w:tcPr>
            <w:tcW w:w="540" w:type="dxa"/>
            <w:vAlign w:val="bottom"/>
            <w:tcBorders>
              <w:bottom w:val="single" w:sz="8" w:color="53C072"/>
            </w:tcBorders>
          </w:tcPr>
          <w:p>
            <w:pPr>
              <w:jc w:val="right"/>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34</w:t>
              </w:r>
            </w:hyperlink>
          </w:p>
        </w:tc>
        <w:tc>
          <w:tcPr>
            <w:tcW w:w="1140" w:type="dxa"/>
            <w:vAlign w:val="bottom"/>
          </w:tcPr>
          <w:p>
            <w:pPr>
              <w:spacing w:after="0"/>
              <w:rPr>
                <w:sz w:val="24"/>
                <w:szCs w:val="24"/>
                <w:color w:val="auto"/>
              </w:rPr>
            </w:pPr>
          </w:p>
        </w:tc>
      </w:tr>
      <w:tr>
        <w:trPr>
          <w:trHeight w:val="356"/>
        </w:trPr>
        <w:tc>
          <w:tcPr>
            <w:tcW w:w="1120" w:type="dxa"/>
            <w:vAlign w:val="bottom"/>
          </w:tcPr>
          <w:p>
            <w:pPr>
              <w:spacing w:after="0"/>
              <w:rPr>
                <w:sz w:val="24"/>
                <w:szCs w:val="24"/>
                <w:color w:val="auto"/>
              </w:rPr>
            </w:pPr>
          </w:p>
        </w:tc>
        <w:tc>
          <w:tcPr>
            <w:tcW w:w="8460" w:type="dxa"/>
            <w:vAlign w:val="bottom"/>
            <w:tcBorders>
              <w:bottom w:val="single" w:sz="8" w:color="53C072"/>
            </w:tcBorders>
            <w:gridSpan w:val="4"/>
          </w:tcPr>
          <w:p>
            <w:pPr>
              <w:spacing w:after="0"/>
              <w:rPr>
                <w:rFonts w:ascii="Arial" w:cs="Arial" w:eastAsia="Arial" w:hAnsi="Arial"/>
                <w:sz w:val="19"/>
                <w:szCs w:val="19"/>
                <w:b w:val="1"/>
                <w:bCs w:val="1"/>
                <w:u w:val="single" w:color="auto"/>
                <w:color w:val="53C072"/>
              </w:rPr>
            </w:pPr>
            <w:hyperlink w:anchor="page40">
              <w:r>
                <w:rPr>
                  <w:rFonts w:ascii="Arial" w:cs="Arial" w:eastAsia="Arial" w:hAnsi="Arial"/>
                  <w:sz w:val="19"/>
                  <w:szCs w:val="19"/>
                  <w:b w:val="1"/>
                  <w:bCs w:val="1"/>
                  <w:u w:val="single" w:color="auto"/>
                  <w:color w:val="53C072"/>
                </w:rPr>
                <w:t>Proposal 2 — Advisory Vote on Named Executive Officer Compensation</w:t>
              </w:r>
            </w:hyperlink>
          </w:p>
        </w:tc>
        <w:tc>
          <w:tcPr>
            <w:tcW w:w="540" w:type="dxa"/>
            <w:vAlign w:val="bottom"/>
            <w:tcBorders>
              <w:bottom w:val="single" w:sz="8" w:color="53C072"/>
            </w:tcBorders>
          </w:tcPr>
          <w:p>
            <w:pPr>
              <w:jc w:val="right"/>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35</w:t>
              </w:r>
            </w:hyperlink>
          </w:p>
        </w:tc>
        <w:tc>
          <w:tcPr>
            <w:tcW w:w="1140" w:type="dxa"/>
            <w:vAlign w:val="bottom"/>
          </w:tcPr>
          <w:p>
            <w:pPr>
              <w:spacing w:after="0"/>
              <w:rPr>
                <w:sz w:val="24"/>
                <w:szCs w:val="24"/>
                <w:color w:val="auto"/>
              </w:rPr>
            </w:pPr>
          </w:p>
        </w:tc>
      </w:tr>
      <w:tr>
        <w:trPr>
          <w:trHeight w:val="356"/>
        </w:trPr>
        <w:tc>
          <w:tcPr>
            <w:tcW w:w="1120" w:type="dxa"/>
            <w:vAlign w:val="bottom"/>
          </w:tcPr>
          <w:p>
            <w:pPr>
              <w:spacing w:after="0"/>
              <w:rPr>
                <w:sz w:val="24"/>
                <w:szCs w:val="24"/>
                <w:color w:val="auto"/>
              </w:rPr>
            </w:pPr>
          </w:p>
        </w:tc>
        <w:tc>
          <w:tcPr>
            <w:tcW w:w="8460" w:type="dxa"/>
            <w:vAlign w:val="bottom"/>
            <w:tcBorders>
              <w:bottom w:val="single" w:sz="8" w:color="53C072"/>
            </w:tcBorders>
            <w:gridSpan w:val="4"/>
          </w:tcPr>
          <w:p>
            <w:pPr>
              <w:spacing w:after="0"/>
              <w:rPr>
                <w:rFonts w:ascii="Arial" w:cs="Arial" w:eastAsia="Arial" w:hAnsi="Arial"/>
                <w:sz w:val="19"/>
                <w:szCs w:val="19"/>
                <w:b w:val="1"/>
                <w:bCs w:val="1"/>
                <w:u w:val="single" w:color="auto"/>
                <w:color w:val="53C072"/>
              </w:rPr>
            </w:pPr>
            <w:hyperlink w:anchor="page41">
              <w:r>
                <w:rPr>
                  <w:rFonts w:ascii="Arial" w:cs="Arial" w:eastAsia="Arial" w:hAnsi="Arial"/>
                  <w:sz w:val="19"/>
                  <w:szCs w:val="19"/>
                  <w:b w:val="1"/>
                  <w:bCs w:val="1"/>
                  <w:u w:val="single" w:color="auto"/>
                  <w:color w:val="53C072"/>
                </w:rPr>
                <w:t>Compensation Discussion and Analysis</w:t>
              </w:r>
            </w:hyperlink>
          </w:p>
        </w:tc>
        <w:tc>
          <w:tcPr>
            <w:tcW w:w="540" w:type="dxa"/>
            <w:vAlign w:val="bottom"/>
            <w:tcBorders>
              <w:bottom w:val="single" w:sz="8" w:color="53C072"/>
            </w:tcBorders>
          </w:tcPr>
          <w:p>
            <w:pPr>
              <w:jc w:val="right"/>
              <w:spacing w:after="0"/>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36</w:t>
              </w:r>
            </w:hyperlink>
          </w:p>
        </w:tc>
        <w:tc>
          <w:tcPr>
            <w:tcW w:w="1140" w:type="dxa"/>
            <w:vAlign w:val="bottom"/>
          </w:tcPr>
          <w:p>
            <w:pPr>
              <w:spacing w:after="0"/>
              <w:rPr>
                <w:sz w:val="24"/>
                <w:szCs w:val="24"/>
                <w:color w:val="auto"/>
              </w:rPr>
            </w:pPr>
          </w:p>
        </w:tc>
      </w:tr>
      <w:tr>
        <w:trPr>
          <w:trHeight w:val="157"/>
        </w:trPr>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20" w:type="dxa"/>
            <w:vAlign w:val="bottom"/>
            <w:gridSpan w:val="3"/>
          </w:tcPr>
          <w:p>
            <w:pPr>
              <w:spacing w:after="0" w:line="157" w:lineRule="exact"/>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Executive Summary</w:t>
              </w:r>
            </w:hyperlink>
          </w:p>
        </w:tc>
        <w:tc>
          <w:tcPr>
            <w:tcW w:w="540" w:type="dxa"/>
            <w:vAlign w:val="bottom"/>
          </w:tcPr>
          <w:p>
            <w:pPr>
              <w:jc w:val="right"/>
              <w:spacing w:after="0" w:line="157" w:lineRule="exact"/>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36</w:t>
              </w:r>
            </w:hyperlink>
          </w:p>
        </w:tc>
        <w:tc>
          <w:tcPr>
            <w:tcW w:w="1140" w:type="dxa"/>
            <w:vAlign w:val="bottom"/>
          </w:tcPr>
          <w:p>
            <w:pPr>
              <w:spacing w:after="0"/>
              <w:rPr>
                <w:sz w:val="13"/>
                <w:szCs w:val="13"/>
                <w:color w:val="auto"/>
              </w:rPr>
            </w:pPr>
          </w:p>
        </w:tc>
      </w:t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20" w:type="dxa"/>
            <w:vAlign w:val="bottom"/>
            <w:gridSpan w:val="3"/>
          </w:tcPr>
          <w:p>
            <w:pPr>
              <w:spacing w:after="0" w:line="182" w:lineRule="exact"/>
              <w:rPr>
                <w:rFonts w:ascii="Arial" w:cs="Arial" w:eastAsia="Arial" w:hAnsi="Arial"/>
                <w:sz w:val="16"/>
                <w:szCs w:val="16"/>
                <w:u w:val="single" w:color="auto"/>
                <w:color w:val="0000EE"/>
              </w:rPr>
            </w:pPr>
            <w:hyperlink w:anchor="page44">
              <w:r>
                <w:rPr>
                  <w:rFonts w:ascii="Arial" w:cs="Arial" w:eastAsia="Arial" w:hAnsi="Arial"/>
                  <w:sz w:val="16"/>
                  <w:szCs w:val="16"/>
                  <w:u w:val="single" w:color="auto"/>
                  <w:color w:val="0000EE"/>
                </w:rPr>
                <w:t>Compensation Governance and Process</w:t>
              </w:r>
            </w:hyperlink>
          </w:p>
        </w:tc>
        <w:tc>
          <w:tcPr>
            <w:tcW w:w="540" w:type="dxa"/>
            <w:vAlign w:val="bottom"/>
          </w:tcPr>
          <w:p>
            <w:pPr>
              <w:jc w:val="right"/>
              <w:spacing w:after="0" w:line="182" w:lineRule="exact"/>
              <w:rPr>
                <w:rFonts w:ascii="Arial" w:cs="Arial" w:eastAsia="Arial" w:hAnsi="Arial"/>
                <w:sz w:val="16"/>
                <w:szCs w:val="16"/>
                <w:u w:val="single" w:color="auto"/>
                <w:color w:val="0000EE"/>
              </w:rPr>
            </w:pPr>
            <w:hyperlink w:anchor="page44">
              <w:r>
                <w:rPr>
                  <w:rFonts w:ascii="Arial" w:cs="Arial" w:eastAsia="Arial" w:hAnsi="Arial"/>
                  <w:sz w:val="16"/>
                  <w:szCs w:val="16"/>
                  <w:u w:val="single" w:color="auto"/>
                  <w:color w:val="0000EE"/>
                </w:rPr>
                <w:t>39</w:t>
              </w:r>
            </w:hyperlink>
          </w:p>
        </w:tc>
        <w:tc>
          <w:tcPr>
            <w:tcW w:w="1140" w:type="dxa"/>
            <w:vAlign w:val="bottom"/>
          </w:tcPr>
          <w:p>
            <w:pPr>
              <w:spacing w:after="0"/>
              <w:rPr>
                <w:sz w:val="15"/>
                <w:szCs w:val="15"/>
                <w:color w:val="auto"/>
              </w:rPr>
            </w:pPr>
          </w:p>
        </w:tc>
      </w:t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20" w:type="dxa"/>
            <w:vAlign w:val="bottom"/>
            <w:gridSpan w:val="3"/>
          </w:tcPr>
          <w:p>
            <w:pPr>
              <w:spacing w:after="0" w:line="182" w:lineRule="exact"/>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Overview of Pay Programs</w:t>
              </w:r>
            </w:hyperlink>
          </w:p>
        </w:tc>
        <w:tc>
          <w:tcPr>
            <w:tcW w:w="540" w:type="dxa"/>
            <w:vAlign w:val="bottom"/>
          </w:tcPr>
          <w:p>
            <w:pPr>
              <w:jc w:val="right"/>
              <w:spacing w:after="0" w:line="182" w:lineRule="exact"/>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42</w:t>
              </w:r>
            </w:hyperlink>
          </w:p>
        </w:tc>
        <w:tc>
          <w:tcPr>
            <w:tcW w:w="1140" w:type="dxa"/>
            <w:vAlign w:val="bottom"/>
          </w:tcPr>
          <w:p>
            <w:pPr>
              <w:spacing w:after="0"/>
              <w:rPr>
                <w:sz w:val="15"/>
                <w:szCs w:val="15"/>
                <w:color w:val="auto"/>
              </w:rPr>
            </w:pPr>
          </w:p>
        </w:tc>
      </w:t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20" w:type="dxa"/>
            <w:vAlign w:val="bottom"/>
            <w:gridSpan w:val="3"/>
          </w:tcPr>
          <w:p>
            <w:pPr>
              <w:spacing w:after="0" w:line="182" w:lineRule="exact"/>
              <w:rPr>
                <w:rFonts w:ascii="Arial" w:cs="Arial" w:eastAsia="Arial" w:hAnsi="Arial"/>
                <w:sz w:val="16"/>
                <w:szCs w:val="16"/>
                <w:u w:val="single" w:color="auto"/>
                <w:color w:val="0000EE"/>
              </w:rPr>
            </w:pPr>
            <w:hyperlink w:anchor="page50">
              <w:r>
                <w:rPr>
                  <w:rFonts w:ascii="Arial" w:cs="Arial" w:eastAsia="Arial" w:hAnsi="Arial"/>
                  <w:sz w:val="16"/>
                  <w:szCs w:val="16"/>
                  <w:u w:val="single" w:color="auto"/>
                  <w:color w:val="0000EE"/>
                </w:rPr>
                <w:t>Elements of Executive Compensation</w:t>
              </w:r>
            </w:hyperlink>
          </w:p>
        </w:tc>
        <w:tc>
          <w:tcPr>
            <w:tcW w:w="540" w:type="dxa"/>
            <w:vAlign w:val="bottom"/>
          </w:tcPr>
          <w:p>
            <w:pPr>
              <w:jc w:val="right"/>
              <w:spacing w:after="0" w:line="182" w:lineRule="exact"/>
              <w:rPr>
                <w:rFonts w:ascii="Arial" w:cs="Arial" w:eastAsia="Arial" w:hAnsi="Arial"/>
                <w:sz w:val="16"/>
                <w:szCs w:val="16"/>
                <w:u w:val="single" w:color="auto"/>
                <w:color w:val="0000EE"/>
              </w:rPr>
            </w:pPr>
            <w:hyperlink w:anchor="page50">
              <w:r>
                <w:rPr>
                  <w:rFonts w:ascii="Arial" w:cs="Arial" w:eastAsia="Arial" w:hAnsi="Arial"/>
                  <w:sz w:val="16"/>
                  <w:szCs w:val="16"/>
                  <w:u w:val="single" w:color="auto"/>
                  <w:color w:val="0000EE"/>
                </w:rPr>
                <w:t>45</w:t>
              </w:r>
            </w:hyperlink>
          </w:p>
        </w:tc>
        <w:tc>
          <w:tcPr>
            <w:tcW w:w="1140" w:type="dxa"/>
            <w:vAlign w:val="bottom"/>
          </w:tcPr>
          <w:p>
            <w:pPr>
              <w:spacing w:after="0"/>
              <w:rPr>
                <w:sz w:val="15"/>
                <w:szCs w:val="15"/>
                <w:color w:val="auto"/>
              </w:rPr>
            </w:pPr>
          </w:p>
        </w:tc>
      </w:tr>
      <w:tr>
        <w:trPr>
          <w:trHeight w:val="199"/>
        </w:trPr>
        <w:tc>
          <w:tcPr>
            <w:tcW w:w="1120" w:type="dxa"/>
            <w:vAlign w:val="bottom"/>
          </w:tcPr>
          <w:p>
            <w:pPr>
              <w:spacing w:after="0"/>
              <w:rPr>
                <w:sz w:val="17"/>
                <w:szCs w:val="17"/>
                <w:color w:val="auto"/>
              </w:rPr>
            </w:pPr>
          </w:p>
        </w:tc>
        <w:tc>
          <w:tcPr>
            <w:tcW w:w="240" w:type="dxa"/>
            <w:vAlign w:val="bottom"/>
            <w:tcBorders>
              <w:bottom w:val="single" w:sz="8" w:color="53C072"/>
            </w:tcBorders>
          </w:tcPr>
          <w:p>
            <w:pPr>
              <w:spacing w:after="0"/>
              <w:rPr>
                <w:sz w:val="17"/>
                <w:szCs w:val="17"/>
                <w:color w:val="auto"/>
              </w:rPr>
            </w:pPr>
          </w:p>
        </w:tc>
        <w:tc>
          <w:tcPr>
            <w:tcW w:w="8220" w:type="dxa"/>
            <w:vAlign w:val="bottom"/>
            <w:tcBorders>
              <w:bottom w:val="single" w:sz="8" w:color="53C072"/>
            </w:tcBorders>
            <w:gridSpan w:val="3"/>
          </w:tcPr>
          <w:p>
            <w:pPr>
              <w:spacing w:after="0"/>
              <w:rPr>
                <w:rFonts w:ascii="Arial" w:cs="Arial" w:eastAsia="Arial" w:hAnsi="Arial"/>
                <w:sz w:val="16"/>
                <w:szCs w:val="16"/>
                <w:u w:val="single" w:color="auto"/>
                <w:color w:val="0000EE"/>
              </w:rPr>
            </w:pPr>
            <w:hyperlink w:anchor="page58">
              <w:r>
                <w:rPr>
                  <w:rFonts w:ascii="Arial" w:cs="Arial" w:eastAsia="Arial" w:hAnsi="Arial"/>
                  <w:sz w:val="16"/>
                  <w:szCs w:val="16"/>
                  <w:u w:val="single" w:color="auto"/>
                  <w:color w:val="0000EE"/>
                </w:rPr>
                <w:t>Additional Practices, Policies and Guidelines</w:t>
              </w:r>
            </w:hyperlink>
          </w:p>
        </w:tc>
        <w:tc>
          <w:tcPr>
            <w:tcW w:w="540" w:type="dxa"/>
            <w:vAlign w:val="bottom"/>
            <w:tcBorders>
              <w:bottom w:val="single" w:sz="8" w:color="53C072"/>
            </w:tcBorders>
          </w:tcPr>
          <w:p>
            <w:pPr>
              <w:jc w:val="right"/>
              <w:spacing w:after="0"/>
              <w:rPr>
                <w:rFonts w:ascii="Arial" w:cs="Arial" w:eastAsia="Arial" w:hAnsi="Arial"/>
                <w:sz w:val="16"/>
                <w:szCs w:val="16"/>
                <w:u w:val="single" w:color="auto"/>
                <w:color w:val="0000EE"/>
              </w:rPr>
            </w:pPr>
            <w:hyperlink w:anchor="page58">
              <w:r>
                <w:rPr>
                  <w:rFonts w:ascii="Arial" w:cs="Arial" w:eastAsia="Arial" w:hAnsi="Arial"/>
                  <w:sz w:val="16"/>
                  <w:szCs w:val="16"/>
                  <w:u w:val="single" w:color="auto"/>
                  <w:color w:val="0000EE"/>
                </w:rPr>
                <w:t>53</w:t>
              </w:r>
            </w:hyperlink>
          </w:p>
        </w:tc>
        <w:tc>
          <w:tcPr>
            <w:tcW w:w="1140" w:type="dxa"/>
            <w:vAlign w:val="bottom"/>
          </w:tcPr>
          <w:p>
            <w:pPr>
              <w:spacing w:after="0"/>
              <w:rPr>
                <w:sz w:val="17"/>
                <w:szCs w:val="17"/>
                <w:color w:val="auto"/>
              </w:rPr>
            </w:pPr>
          </w:p>
        </w:tc>
      </w:tr>
      <w:tr>
        <w:trPr>
          <w:trHeight w:val="356"/>
        </w:trPr>
        <w:tc>
          <w:tcPr>
            <w:tcW w:w="1120" w:type="dxa"/>
            <w:vAlign w:val="bottom"/>
          </w:tcPr>
          <w:p>
            <w:pPr>
              <w:spacing w:after="0"/>
              <w:rPr>
                <w:sz w:val="24"/>
                <w:szCs w:val="24"/>
                <w:color w:val="auto"/>
              </w:rPr>
            </w:pPr>
          </w:p>
        </w:tc>
        <w:tc>
          <w:tcPr>
            <w:tcW w:w="8460" w:type="dxa"/>
            <w:vAlign w:val="bottom"/>
            <w:tcBorders>
              <w:bottom w:val="single" w:sz="8" w:color="53C072"/>
            </w:tcBorders>
            <w:gridSpan w:val="4"/>
          </w:tcPr>
          <w:p>
            <w:pPr>
              <w:spacing w:after="0"/>
              <w:rPr>
                <w:rFonts w:ascii="Arial" w:cs="Arial" w:eastAsia="Arial" w:hAnsi="Arial"/>
                <w:sz w:val="19"/>
                <w:szCs w:val="19"/>
                <w:b w:val="1"/>
                <w:bCs w:val="1"/>
                <w:u w:val="single" w:color="auto"/>
                <w:color w:val="53C072"/>
              </w:rPr>
            </w:pPr>
            <w:hyperlink w:anchor="page60">
              <w:r>
                <w:rPr>
                  <w:rFonts w:ascii="Arial" w:cs="Arial" w:eastAsia="Arial" w:hAnsi="Arial"/>
                  <w:sz w:val="19"/>
                  <w:szCs w:val="19"/>
                  <w:b w:val="1"/>
                  <w:bCs w:val="1"/>
                  <w:u w:val="single" w:color="auto"/>
                  <w:color w:val="53C072"/>
                </w:rPr>
                <w:t>Compensation Committee Report</w:t>
              </w:r>
            </w:hyperlink>
          </w:p>
        </w:tc>
        <w:tc>
          <w:tcPr>
            <w:tcW w:w="540" w:type="dxa"/>
            <w:vAlign w:val="bottom"/>
            <w:tcBorders>
              <w:bottom w:val="single" w:sz="8" w:color="53C072"/>
            </w:tcBorders>
          </w:tcPr>
          <w:p>
            <w:pPr>
              <w:jc w:val="right"/>
              <w:spacing w:after="0"/>
              <w:rPr>
                <w:rFonts w:ascii="Arial" w:cs="Arial" w:eastAsia="Arial" w:hAnsi="Arial"/>
                <w:sz w:val="16"/>
                <w:szCs w:val="16"/>
                <w:u w:val="single" w:color="auto"/>
                <w:color w:val="0000EE"/>
              </w:rPr>
            </w:pPr>
            <w:hyperlink w:anchor="page60">
              <w:r>
                <w:rPr>
                  <w:rFonts w:ascii="Arial" w:cs="Arial" w:eastAsia="Arial" w:hAnsi="Arial"/>
                  <w:sz w:val="16"/>
                  <w:szCs w:val="16"/>
                  <w:u w:val="single" w:color="auto"/>
                  <w:color w:val="0000EE"/>
                </w:rPr>
                <w:t>55</w:t>
              </w:r>
            </w:hyperlink>
          </w:p>
        </w:tc>
        <w:tc>
          <w:tcPr>
            <w:tcW w:w="1140" w:type="dxa"/>
            <w:vAlign w:val="bottom"/>
          </w:tcPr>
          <w:p>
            <w:pPr>
              <w:spacing w:after="0"/>
              <w:rPr>
                <w:sz w:val="24"/>
                <w:szCs w:val="24"/>
                <w:color w:val="auto"/>
              </w:rPr>
            </w:pPr>
          </w:p>
        </w:tc>
      </w:tr>
      <w:tr>
        <w:trPr>
          <w:trHeight w:val="356"/>
        </w:trPr>
        <w:tc>
          <w:tcPr>
            <w:tcW w:w="1120" w:type="dxa"/>
            <w:vAlign w:val="bottom"/>
          </w:tcPr>
          <w:p>
            <w:pPr>
              <w:spacing w:after="0"/>
              <w:rPr>
                <w:sz w:val="24"/>
                <w:szCs w:val="24"/>
                <w:color w:val="auto"/>
              </w:rPr>
            </w:pPr>
          </w:p>
        </w:tc>
        <w:tc>
          <w:tcPr>
            <w:tcW w:w="8460" w:type="dxa"/>
            <w:vAlign w:val="bottom"/>
            <w:tcBorders>
              <w:bottom w:val="single" w:sz="8" w:color="53C072"/>
            </w:tcBorders>
            <w:gridSpan w:val="4"/>
          </w:tcPr>
          <w:p>
            <w:pPr>
              <w:spacing w:after="0"/>
              <w:rPr>
                <w:rFonts w:ascii="Arial" w:cs="Arial" w:eastAsia="Arial" w:hAnsi="Arial"/>
                <w:sz w:val="19"/>
                <w:szCs w:val="19"/>
                <w:b w:val="1"/>
                <w:bCs w:val="1"/>
                <w:u w:val="single" w:color="auto"/>
                <w:color w:val="53C072"/>
              </w:rPr>
            </w:pPr>
            <w:hyperlink w:anchor="page61">
              <w:r>
                <w:rPr>
                  <w:rFonts w:ascii="Arial" w:cs="Arial" w:eastAsia="Arial" w:hAnsi="Arial"/>
                  <w:sz w:val="19"/>
                  <w:szCs w:val="19"/>
                  <w:b w:val="1"/>
                  <w:bCs w:val="1"/>
                  <w:u w:val="single" w:color="auto"/>
                  <w:color w:val="53C072"/>
                </w:rPr>
                <w:t>Compensation of Executive Officers</w:t>
              </w:r>
            </w:hyperlink>
          </w:p>
        </w:tc>
        <w:tc>
          <w:tcPr>
            <w:tcW w:w="540" w:type="dxa"/>
            <w:vAlign w:val="bottom"/>
            <w:tcBorders>
              <w:bottom w:val="single" w:sz="8" w:color="53C072"/>
            </w:tcBorders>
          </w:tcPr>
          <w:p>
            <w:pPr>
              <w:jc w:val="right"/>
              <w:spacing w:after="0"/>
              <w:rPr>
                <w:rFonts w:ascii="Arial" w:cs="Arial" w:eastAsia="Arial" w:hAnsi="Arial"/>
                <w:sz w:val="16"/>
                <w:szCs w:val="16"/>
                <w:u w:val="single" w:color="auto"/>
                <w:color w:val="0000EE"/>
              </w:rPr>
            </w:pPr>
            <w:hyperlink w:anchor="page61">
              <w:r>
                <w:rPr>
                  <w:rFonts w:ascii="Arial" w:cs="Arial" w:eastAsia="Arial" w:hAnsi="Arial"/>
                  <w:sz w:val="16"/>
                  <w:szCs w:val="16"/>
                  <w:u w:val="single" w:color="auto"/>
                  <w:color w:val="0000EE"/>
                </w:rPr>
                <w:t>56</w:t>
              </w:r>
            </w:hyperlink>
          </w:p>
        </w:tc>
        <w:tc>
          <w:tcPr>
            <w:tcW w:w="1140" w:type="dxa"/>
            <w:vAlign w:val="bottom"/>
          </w:tcPr>
          <w:p>
            <w:pPr>
              <w:spacing w:after="0"/>
              <w:rPr>
                <w:sz w:val="24"/>
                <w:szCs w:val="24"/>
                <w:color w:val="auto"/>
              </w:rPr>
            </w:pPr>
          </w:p>
        </w:tc>
      </w:tr>
      <w:tr>
        <w:trPr>
          <w:trHeight w:val="157"/>
        </w:trPr>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20" w:type="dxa"/>
            <w:vAlign w:val="bottom"/>
            <w:gridSpan w:val="3"/>
          </w:tcPr>
          <w:p>
            <w:pPr>
              <w:spacing w:after="0" w:line="157" w:lineRule="exact"/>
              <w:rPr>
                <w:rFonts w:ascii="Arial" w:cs="Arial" w:eastAsia="Arial" w:hAnsi="Arial"/>
                <w:sz w:val="16"/>
                <w:szCs w:val="16"/>
                <w:u w:val="single" w:color="auto"/>
                <w:color w:val="0000EE"/>
              </w:rPr>
            </w:pPr>
            <w:hyperlink w:anchor="page61">
              <w:r>
                <w:rPr>
                  <w:rFonts w:ascii="Arial" w:cs="Arial" w:eastAsia="Arial" w:hAnsi="Arial"/>
                  <w:sz w:val="16"/>
                  <w:szCs w:val="16"/>
                  <w:u w:val="single" w:color="auto"/>
                  <w:color w:val="0000EE"/>
                </w:rPr>
                <w:t>Summary Compensation Table</w:t>
              </w:r>
            </w:hyperlink>
          </w:p>
        </w:tc>
        <w:tc>
          <w:tcPr>
            <w:tcW w:w="540" w:type="dxa"/>
            <w:vAlign w:val="bottom"/>
          </w:tcPr>
          <w:p>
            <w:pPr>
              <w:jc w:val="right"/>
              <w:spacing w:after="0" w:line="157" w:lineRule="exact"/>
              <w:rPr>
                <w:rFonts w:ascii="Arial" w:cs="Arial" w:eastAsia="Arial" w:hAnsi="Arial"/>
                <w:sz w:val="16"/>
                <w:szCs w:val="16"/>
                <w:u w:val="single" w:color="auto"/>
                <w:color w:val="0000EE"/>
              </w:rPr>
            </w:pPr>
            <w:hyperlink w:anchor="page61">
              <w:r>
                <w:rPr>
                  <w:rFonts w:ascii="Arial" w:cs="Arial" w:eastAsia="Arial" w:hAnsi="Arial"/>
                  <w:sz w:val="16"/>
                  <w:szCs w:val="16"/>
                  <w:u w:val="single" w:color="auto"/>
                  <w:color w:val="0000EE"/>
                </w:rPr>
                <w:t>56</w:t>
              </w:r>
            </w:hyperlink>
          </w:p>
        </w:tc>
        <w:tc>
          <w:tcPr>
            <w:tcW w:w="1140" w:type="dxa"/>
            <w:vAlign w:val="bottom"/>
          </w:tcPr>
          <w:p>
            <w:pPr>
              <w:spacing w:after="0"/>
              <w:rPr>
                <w:sz w:val="13"/>
                <w:szCs w:val="13"/>
                <w:color w:val="auto"/>
              </w:rPr>
            </w:pPr>
          </w:p>
        </w:tc>
      </w:t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20" w:type="dxa"/>
            <w:vAlign w:val="bottom"/>
            <w:gridSpan w:val="3"/>
          </w:tcPr>
          <w:p>
            <w:pPr>
              <w:spacing w:after="0" w:line="182" w:lineRule="exact"/>
              <w:rPr>
                <w:rFonts w:ascii="Arial" w:cs="Arial" w:eastAsia="Arial" w:hAnsi="Arial"/>
                <w:sz w:val="16"/>
                <w:szCs w:val="16"/>
                <w:u w:val="single" w:color="auto"/>
                <w:color w:val="0000EE"/>
              </w:rPr>
            </w:pPr>
            <w:hyperlink w:anchor="page62">
              <w:r>
                <w:rPr>
                  <w:rFonts w:ascii="Arial" w:cs="Arial" w:eastAsia="Arial" w:hAnsi="Arial"/>
                  <w:sz w:val="16"/>
                  <w:szCs w:val="16"/>
                  <w:u w:val="single" w:color="auto"/>
                  <w:color w:val="0000EE"/>
                </w:rPr>
                <w:t>Equity Compensation Plan Information</w:t>
              </w:r>
            </w:hyperlink>
          </w:p>
        </w:tc>
        <w:tc>
          <w:tcPr>
            <w:tcW w:w="540" w:type="dxa"/>
            <w:vAlign w:val="bottom"/>
          </w:tcPr>
          <w:p>
            <w:pPr>
              <w:jc w:val="right"/>
              <w:spacing w:after="0" w:line="182" w:lineRule="exact"/>
              <w:rPr>
                <w:rFonts w:ascii="Arial" w:cs="Arial" w:eastAsia="Arial" w:hAnsi="Arial"/>
                <w:sz w:val="16"/>
                <w:szCs w:val="16"/>
                <w:u w:val="single" w:color="auto"/>
                <w:color w:val="0000EE"/>
              </w:rPr>
            </w:pPr>
            <w:hyperlink w:anchor="page62">
              <w:r>
                <w:rPr>
                  <w:rFonts w:ascii="Arial" w:cs="Arial" w:eastAsia="Arial" w:hAnsi="Arial"/>
                  <w:sz w:val="16"/>
                  <w:szCs w:val="16"/>
                  <w:u w:val="single" w:color="auto"/>
                  <w:color w:val="0000EE"/>
                </w:rPr>
                <w:t>57</w:t>
              </w:r>
            </w:hyperlink>
          </w:p>
        </w:tc>
        <w:tc>
          <w:tcPr>
            <w:tcW w:w="1140" w:type="dxa"/>
            <w:vAlign w:val="bottom"/>
          </w:tcPr>
          <w:p>
            <w:pPr>
              <w:spacing w:after="0"/>
              <w:rPr>
                <w:sz w:val="15"/>
                <w:szCs w:val="15"/>
                <w:color w:val="auto"/>
              </w:rPr>
            </w:pPr>
          </w:p>
        </w:tc>
      </w:t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20" w:type="dxa"/>
            <w:vAlign w:val="bottom"/>
            <w:gridSpan w:val="3"/>
          </w:tcPr>
          <w:p>
            <w:pPr>
              <w:spacing w:after="0" w:line="182" w:lineRule="exact"/>
              <w:rPr>
                <w:rFonts w:ascii="Arial" w:cs="Arial" w:eastAsia="Arial" w:hAnsi="Arial"/>
                <w:sz w:val="16"/>
                <w:szCs w:val="16"/>
                <w:u w:val="single" w:color="auto"/>
                <w:color w:val="0000EE"/>
              </w:rPr>
            </w:pPr>
            <w:hyperlink w:anchor="page63">
              <w:r>
                <w:rPr>
                  <w:rFonts w:ascii="Arial" w:cs="Arial" w:eastAsia="Arial" w:hAnsi="Arial"/>
                  <w:sz w:val="16"/>
                  <w:szCs w:val="16"/>
                  <w:u w:val="single" w:color="auto"/>
                  <w:color w:val="0000EE"/>
                </w:rPr>
                <w:t>Grants of Plan-Based Awards</w:t>
              </w:r>
            </w:hyperlink>
          </w:p>
        </w:tc>
        <w:tc>
          <w:tcPr>
            <w:tcW w:w="540" w:type="dxa"/>
            <w:vAlign w:val="bottom"/>
          </w:tcPr>
          <w:p>
            <w:pPr>
              <w:jc w:val="right"/>
              <w:spacing w:after="0" w:line="182" w:lineRule="exact"/>
              <w:rPr>
                <w:rFonts w:ascii="Arial" w:cs="Arial" w:eastAsia="Arial" w:hAnsi="Arial"/>
                <w:sz w:val="16"/>
                <w:szCs w:val="16"/>
                <w:u w:val="single" w:color="auto"/>
                <w:color w:val="0000EE"/>
              </w:rPr>
            </w:pPr>
            <w:hyperlink w:anchor="page63">
              <w:r>
                <w:rPr>
                  <w:rFonts w:ascii="Arial" w:cs="Arial" w:eastAsia="Arial" w:hAnsi="Arial"/>
                  <w:sz w:val="16"/>
                  <w:szCs w:val="16"/>
                  <w:u w:val="single" w:color="auto"/>
                  <w:color w:val="0000EE"/>
                </w:rPr>
                <w:t>58</w:t>
              </w:r>
            </w:hyperlink>
          </w:p>
        </w:tc>
        <w:tc>
          <w:tcPr>
            <w:tcW w:w="1140" w:type="dxa"/>
            <w:vAlign w:val="bottom"/>
          </w:tcPr>
          <w:p>
            <w:pPr>
              <w:spacing w:after="0"/>
              <w:rPr>
                <w:sz w:val="15"/>
                <w:szCs w:val="15"/>
                <w:color w:val="auto"/>
              </w:rPr>
            </w:pPr>
          </w:p>
        </w:tc>
      </w:t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20" w:type="dxa"/>
            <w:vAlign w:val="bottom"/>
            <w:gridSpan w:val="3"/>
          </w:tcPr>
          <w:p>
            <w:pPr>
              <w:spacing w:after="0" w:line="182" w:lineRule="exact"/>
              <w:rPr>
                <w:rFonts w:ascii="Arial" w:cs="Arial" w:eastAsia="Arial" w:hAnsi="Arial"/>
                <w:sz w:val="16"/>
                <w:szCs w:val="16"/>
                <w:u w:val="single" w:color="auto"/>
                <w:color w:val="0000EE"/>
              </w:rPr>
            </w:pPr>
            <w:hyperlink w:anchor="page64">
              <w:r>
                <w:rPr>
                  <w:rFonts w:ascii="Arial" w:cs="Arial" w:eastAsia="Arial" w:hAnsi="Arial"/>
                  <w:sz w:val="16"/>
                  <w:szCs w:val="16"/>
                  <w:u w:val="single" w:color="auto"/>
                  <w:color w:val="0000EE"/>
                </w:rPr>
                <w:t>Outstanding Equity Awards at Fiscal Year-End</w:t>
              </w:r>
            </w:hyperlink>
          </w:p>
        </w:tc>
        <w:tc>
          <w:tcPr>
            <w:tcW w:w="540" w:type="dxa"/>
            <w:vAlign w:val="bottom"/>
          </w:tcPr>
          <w:p>
            <w:pPr>
              <w:jc w:val="right"/>
              <w:spacing w:after="0" w:line="182" w:lineRule="exact"/>
              <w:rPr>
                <w:rFonts w:ascii="Arial" w:cs="Arial" w:eastAsia="Arial" w:hAnsi="Arial"/>
                <w:sz w:val="16"/>
                <w:szCs w:val="16"/>
                <w:u w:val="single" w:color="auto"/>
                <w:color w:val="0000EE"/>
              </w:rPr>
            </w:pPr>
            <w:hyperlink w:anchor="page64">
              <w:r>
                <w:rPr>
                  <w:rFonts w:ascii="Arial" w:cs="Arial" w:eastAsia="Arial" w:hAnsi="Arial"/>
                  <w:sz w:val="16"/>
                  <w:szCs w:val="16"/>
                  <w:u w:val="single" w:color="auto"/>
                  <w:color w:val="0000EE"/>
                </w:rPr>
                <w:t>59</w:t>
              </w:r>
            </w:hyperlink>
          </w:p>
        </w:tc>
        <w:tc>
          <w:tcPr>
            <w:tcW w:w="1140" w:type="dxa"/>
            <w:vAlign w:val="bottom"/>
          </w:tcPr>
          <w:p>
            <w:pPr>
              <w:spacing w:after="0"/>
              <w:rPr>
                <w:sz w:val="15"/>
                <w:szCs w:val="15"/>
                <w:color w:val="auto"/>
              </w:rPr>
            </w:pPr>
          </w:p>
        </w:tc>
      </w:t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20" w:type="dxa"/>
            <w:vAlign w:val="bottom"/>
            <w:gridSpan w:val="3"/>
          </w:tcPr>
          <w:p>
            <w:pPr>
              <w:spacing w:after="0" w:line="182" w:lineRule="exact"/>
              <w:rPr>
                <w:rFonts w:ascii="Arial" w:cs="Arial" w:eastAsia="Arial" w:hAnsi="Arial"/>
                <w:sz w:val="16"/>
                <w:szCs w:val="16"/>
                <w:u w:val="single" w:color="auto"/>
                <w:color w:val="0000EE"/>
              </w:rPr>
            </w:pPr>
            <w:hyperlink w:anchor="page65">
              <w:r>
                <w:rPr>
                  <w:rFonts w:ascii="Arial" w:cs="Arial" w:eastAsia="Arial" w:hAnsi="Arial"/>
                  <w:sz w:val="16"/>
                  <w:szCs w:val="16"/>
                  <w:u w:val="single" w:color="auto"/>
                  <w:color w:val="0000EE"/>
                </w:rPr>
                <w:t>Option Exercises and Stock Vested</w:t>
              </w:r>
            </w:hyperlink>
          </w:p>
        </w:tc>
        <w:tc>
          <w:tcPr>
            <w:tcW w:w="540" w:type="dxa"/>
            <w:vAlign w:val="bottom"/>
          </w:tcPr>
          <w:p>
            <w:pPr>
              <w:jc w:val="right"/>
              <w:spacing w:after="0" w:line="182" w:lineRule="exact"/>
              <w:rPr>
                <w:rFonts w:ascii="Arial" w:cs="Arial" w:eastAsia="Arial" w:hAnsi="Arial"/>
                <w:sz w:val="16"/>
                <w:szCs w:val="16"/>
                <w:u w:val="single" w:color="auto"/>
                <w:color w:val="0000EE"/>
              </w:rPr>
            </w:pPr>
            <w:hyperlink w:anchor="page65">
              <w:r>
                <w:rPr>
                  <w:rFonts w:ascii="Arial" w:cs="Arial" w:eastAsia="Arial" w:hAnsi="Arial"/>
                  <w:sz w:val="16"/>
                  <w:szCs w:val="16"/>
                  <w:u w:val="single" w:color="auto"/>
                  <w:color w:val="0000EE"/>
                </w:rPr>
                <w:t>60</w:t>
              </w:r>
            </w:hyperlink>
          </w:p>
        </w:tc>
        <w:tc>
          <w:tcPr>
            <w:tcW w:w="1140" w:type="dxa"/>
            <w:vAlign w:val="bottom"/>
          </w:tcPr>
          <w:p>
            <w:pPr>
              <w:spacing w:after="0"/>
              <w:rPr>
                <w:sz w:val="15"/>
                <w:szCs w:val="15"/>
                <w:color w:val="auto"/>
              </w:rPr>
            </w:pPr>
          </w:p>
        </w:tc>
      </w:t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20" w:type="dxa"/>
            <w:vAlign w:val="bottom"/>
            <w:gridSpan w:val="3"/>
          </w:tcPr>
          <w:p>
            <w:pPr>
              <w:spacing w:after="0" w:line="182" w:lineRule="exact"/>
              <w:rPr>
                <w:rFonts w:ascii="Arial" w:cs="Arial" w:eastAsia="Arial" w:hAnsi="Arial"/>
                <w:sz w:val="16"/>
                <w:szCs w:val="16"/>
                <w:u w:val="single" w:color="auto"/>
                <w:color w:val="0000EE"/>
              </w:rPr>
            </w:pPr>
            <w:hyperlink w:anchor="page66">
              <w:r>
                <w:rPr>
                  <w:rFonts w:ascii="Arial" w:cs="Arial" w:eastAsia="Arial" w:hAnsi="Arial"/>
                  <w:sz w:val="16"/>
                  <w:szCs w:val="16"/>
                  <w:u w:val="single" w:color="auto"/>
                  <w:color w:val="0000EE"/>
                </w:rPr>
                <w:t>Pension Benefits</w:t>
              </w:r>
            </w:hyperlink>
          </w:p>
        </w:tc>
        <w:tc>
          <w:tcPr>
            <w:tcW w:w="540" w:type="dxa"/>
            <w:vAlign w:val="bottom"/>
          </w:tcPr>
          <w:p>
            <w:pPr>
              <w:jc w:val="right"/>
              <w:spacing w:after="0" w:line="182" w:lineRule="exact"/>
              <w:rPr>
                <w:rFonts w:ascii="Arial" w:cs="Arial" w:eastAsia="Arial" w:hAnsi="Arial"/>
                <w:sz w:val="16"/>
                <w:szCs w:val="16"/>
                <w:u w:val="single" w:color="auto"/>
                <w:color w:val="0000EE"/>
              </w:rPr>
            </w:pPr>
            <w:hyperlink w:anchor="page66">
              <w:r>
                <w:rPr>
                  <w:rFonts w:ascii="Arial" w:cs="Arial" w:eastAsia="Arial" w:hAnsi="Arial"/>
                  <w:sz w:val="16"/>
                  <w:szCs w:val="16"/>
                  <w:u w:val="single" w:color="auto"/>
                  <w:color w:val="0000EE"/>
                </w:rPr>
                <w:t>61</w:t>
              </w:r>
            </w:hyperlink>
          </w:p>
        </w:tc>
        <w:tc>
          <w:tcPr>
            <w:tcW w:w="1140" w:type="dxa"/>
            <w:vAlign w:val="bottom"/>
          </w:tcPr>
          <w:p>
            <w:pPr>
              <w:spacing w:after="0"/>
              <w:rPr>
                <w:sz w:val="15"/>
                <w:szCs w:val="15"/>
                <w:color w:val="auto"/>
              </w:rPr>
            </w:pPr>
          </w:p>
        </w:tc>
      </w:tr>
      <w:tr>
        <w:trPr>
          <w:trHeight w:val="182"/>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20" w:type="dxa"/>
            <w:vAlign w:val="bottom"/>
            <w:gridSpan w:val="3"/>
          </w:tcPr>
          <w:p>
            <w:pPr>
              <w:spacing w:after="0" w:line="182" w:lineRule="exact"/>
              <w:rPr>
                <w:rFonts w:ascii="Arial" w:cs="Arial" w:eastAsia="Arial" w:hAnsi="Arial"/>
                <w:sz w:val="16"/>
                <w:szCs w:val="16"/>
                <w:u w:val="single" w:color="auto"/>
                <w:color w:val="0000EE"/>
              </w:rPr>
            </w:pPr>
            <w:hyperlink w:anchor="page67">
              <w:r>
                <w:rPr>
                  <w:rFonts w:ascii="Arial" w:cs="Arial" w:eastAsia="Arial" w:hAnsi="Arial"/>
                  <w:sz w:val="16"/>
                  <w:szCs w:val="16"/>
                  <w:u w:val="single" w:color="auto"/>
                  <w:color w:val="0000EE"/>
                </w:rPr>
                <w:t>Nonqualified Deferred Compensation</w:t>
              </w:r>
            </w:hyperlink>
          </w:p>
        </w:tc>
        <w:tc>
          <w:tcPr>
            <w:tcW w:w="540" w:type="dxa"/>
            <w:vAlign w:val="bottom"/>
          </w:tcPr>
          <w:p>
            <w:pPr>
              <w:jc w:val="right"/>
              <w:spacing w:after="0" w:line="182" w:lineRule="exact"/>
              <w:rPr>
                <w:rFonts w:ascii="Arial" w:cs="Arial" w:eastAsia="Arial" w:hAnsi="Arial"/>
                <w:sz w:val="16"/>
                <w:szCs w:val="16"/>
                <w:u w:val="single" w:color="auto"/>
                <w:color w:val="0000EE"/>
              </w:rPr>
            </w:pPr>
            <w:hyperlink w:anchor="page67">
              <w:r>
                <w:rPr>
                  <w:rFonts w:ascii="Arial" w:cs="Arial" w:eastAsia="Arial" w:hAnsi="Arial"/>
                  <w:sz w:val="16"/>
                  <w:szCs w:val="16"/>
                  <w:u w:val="single" w:color="auto"/>
                  <w:color w:val="0000EE"/>
                </w:rPr>
                <w:t>62</w:t>
              </w:r>
            </w:hyperlink>
          </w:p>
        </w:tc>
        <w:tc>
          <w:tcPr>
            <w:tcW w:w="1140" w:type="dxa"/>
            <w:vAlign w:val="bottom"/>
          </w:tcPr>
          <w:p>
            <w:pPr>
              <w:spacing w:after="0"/>
              <w:rPr>
                <w:sz w:val="15"/>
                <w:szCs w:val="15"/>
                <w:color w:val="auto"/>
              </w:rPr>
            </w:pPr>
          </w:p>
        </w:tc>
      </w:tr>
      <w:tr>
        <w:trPr>
          <w:trHeight w:val="199"/>
        </w:trPr>
        <w:tc>
          <w:tcPr>
            <w:tcW w:w="1120" w:type="dxa"/>
            <w:vAlign w:val="bottom"/>
          </w:tcPr>
          <w:p>
            <w:pPr>
              <w:spacing w:after="0"/>
              <w:rPr>
                <w:sz w:val="17"/>
                <w:szCs w:val="17"/>
                <w:color w:val="auto"/>
              </w:rPr>
            </w:pPr>
          </w:p>
        </w:tc>
        <w:tc>
          <w:tcPr>
            <w:tcW w:w="240" w:type="dxa"/>
            <w:vAlign w:val="bottom"/>
            <w:tcBorders>
              <w:bottom w:val="single" w:sz="8" w:color="53C072"/>
            </w:tcBorders>
          </w:tcPr>
          <w:p>
            <w:pPr>
              <w:spacing w:after="0"/>
              <w:rPr>
                <w:sz w:val="17"/>
                <w:szCs w:val="17"/>
                <w:color w:val="auto"/>
              </w:rPr>
            </w:pPr>
          </w:p>
        </w:tc>
        <w:tc>
          <w:tcPr>
            <w:tcW w:w="8220" w:type="dxa"/>
            <w:vAlign w:val="bottom"/>
            <w:tcBorders>
              <w:bottom w:val="single" w:sz="8" w:color="53C072"/>
            </w:tcBorders>
            <w:gridSpan w:val="3"/>
          </w:tcPr>
          <w:p>
            <w:pPr>
              <w:spacing w:after="0"/>
              <w:rPr>
                <w:rFonts w:ascii="Arial" w:cs="Arial" w:eastAsia="Arial" w:hAnsi="Arial"/>
                <w:sz w:val="16"/>
                <w:szCs w:val="16"/>
                <w:u w:val="single" w:color="auto"/>
                <w:color w:val="0000EE"/>
              </w:rPr>
            </w:pPr>
            <w:hyperlink w:anchor="page68">
              <w:r>
                <w:rPr>
                  <w:rFonts w:ascii="Arial" w:cs="Arial" w:eastAsia="Arial" w:hAnsi="Arial"/>
                  <w:sz w:val="16"/>
                  <w:szCs w:val="16"/>
                  <w:u w:val="single" w:color="auto"/>
                  <w:color w:val="0000EE"/>
                </w:rPr>
                <w:t>Potential Payouts Upon Termination and Change of Control</w:t>
              </w:r>
            </w:hyperlink>
          </w:p>
        </w:tc>
        <w:tc>
          <w:tcPr>
            <w:tcW w:w="540" w:type="dxa"/>
            <w:vAlign w:val="bottom"/>
            <w:tcBorders>
              <w:bottom w:val="single" w:sz="8" w:color="53C072"/>
            </w:tcBorders>
          </w:tcPr>
          <w:p>
            <w:pPr>
              <w:jc w:val="right"/>
              <w:spacing w:after="0"/>
              <w:rPr>
                <w:rFonts w:ascii="Arial" w:cs="Arial" w:eastAsia="Arial" w:hAnsi="Arial"/>
                <w:sz w:val="16"/>
                <w:szCs w:val="16"/>
                <w:u w:val="single" w:color="auto"/>
                <w:color w:val="0000EE"/>
              </w:rPr>
            </w:pPr>
            <w:hyperlink w:anchor="page68">
              <w:r>
                <w:rPr>
                  <w:rFonts w:ascii="Arial" w:cs="Arial" w:eastAsia="Arial" w:hAnsi="Arial"/>
                  <w:sz w:val="16"/>
                  <w:szCs w:val="16"/>
                  <w:u w:val="single" w:color="auto"/>
                  <w:color w:val="0000EE"/>
                </w:rPr>
                <w:t>63</w:t>
              </w:r>
            </w:hyperlink>
          </w:p>
        </w:tc>
        <w:tc>
          <w:tcPr>
            <w:tcW w:w="1140" w:type="dxa"/>
            <w:vAlign w:val="bottom"/>
          </w:tcPr>
          <w:p>
            <w:pPr>
              <w:spacing w:after="0"/>
              <w:rPr>
                <w:sz w:val="17"/>
                <w:szCs w:val="17"/>
                <w:color w:val="auto"/>
              </w:rPr>
            </w:pPr>
          </w:p>
        </w:tc>
      </w:tr>
      <w:tr>
        <w:trPr>
          <w:trHeight w:val="356"/>
        </w:trPr>
        <w:tc>
          <w:tcPr>
            <w:tcW w:w="1120" w:type="dxa"/>
            <w:vAlign w:val="bottom"/>
          </w:tcPr>
          <w:p>
            <w:pPr>
              <w:spacing w:after="0"/>
              <w:rPr>
                <w:sz w:val="24"/>
                <w:szCs w:val="24"/>
                <w:color w:val="auto"/>
              </w:rPr>
            </w:pPr>
          </w:p>
        </w:tc>
        <w:tc>
          <w:tcPr>
            <w:tcW w:w="8460" w:type="dxa"/>
            <w:vAlign w:val="bottom"/>
            <w:tcBorders>
              <w:bottom w:val="single" w:sz="8" w:color="53C072"/>
            </w:tcBorders>
            <w:gridSpan w:val="4"/>
          </w:tcPr>
          <w:p>
            <w:pPr>
              <w:spacing w:after="0"/>
              <w:rPr>
                <w:rFonts w:ascii="Arial" w:cs="Arial" w:eastAsia="Arial" w:hAnsi="Arial"/>
                <w:sz w:val="19"/>
                <w:szCs w:val="19"/>
                <w:b w:val="1"/>
                <w:bCs w:val="1"/>
                <w:u w:val="single" w:color="auto"/>
                <w:color w:val="53C072"/>
              </w:rPr>
            </w:pPr>
            <w:hyperlink w:anchor="page72">
              <w:r>
                <w:rPr>
                  <w:rFonts w:ascii="Arial" w:cs="Arial" w:eastAsia="Arial" w:hAnsi="Arial"/>
                  <w:sz w:val="19"/>
                  <w:szCs w:val="19"/>
                  <w:b w:val="1"/>
                  <w:bCs w:val="1"/>
                  <w:u w:val="single" w:color="auto"/>
                  <w:color w:val="53C072"/>
                </w:rPr>
                <w:t>CEO Pay Ratio</w:t>
              </w:r>
            </w:hyperlink>
          </w:p>
        </w:tc>
        <w:tc>
          <w:tcPr>
            <w:tcW w:w="540" w:type="dxa"/>
            <w:vAlign w:val="bottom"/>
            <w:tcBorders>
              <w:bottom w:val="single" w:sz="8" w:color="53C072"/>
            </w:tcBorders>
          </w:tcPr>
          <w:p>
            <w:pPr>
              <w:jc w:val="right"/>
              <w:spacing w:after="0"/>
              <w:rPr>
                <w:rFonts w:ascii="Arial" w:cs="Arial" w:eastAsia="Arial" w:hAnsi="Arial"/>
                <w:sz w:val="16"/>
                <w:szCs w:val="16"/>
                <w:u w:val="single" w:color="auto"/>
                <w:color w:val="0000EE"/>
              </w:rPr>
            </w:pPr>
            <w:hyperlink w:anchor="page72">
              <w:r>
                <w:rPr>
                  <w:rFonts w:ascii="Arial" w:cs="Arial" w:eastAsia="Arial" w:hAnsi="Arial"/>
                  <w:sz w:val="16"/>
                  <w:szCs w:val="16"/>
                  <w:u w:val="single" w:color="auto"/>
                  <w:color w:val="0000EE"/>
                </w:rPr>
                <w:t>67</w:t>
              </w:r>
            </w:hyperlink>
          </w:p>
        </w:tc>
        <w:tc>
          <w:tcPr>
            <w:tcW w:w="1140" w:type="dxa"/>
            <w:vAlign w:val="bottom"/>
          </w:tcPr>
          <w:p>
            <w:pPr>
              <w:spacing w:after="0"/>
              <w:rPr>
                <w:sz w:val="24"/>
                <w:szCs w:val="24"/>
                <w:color w:val="auto"/>
              </w:rPr>
            </w:pPr>
          </w:p>
        </w:tc>
      </w:tr>
      <w:tr>
        <w:trPr>
          <w:trHeight w:val="320"/>
        </w:trPr>
        <w:tc>
          <w:tcPr>
            <w:tcW w:w="1120" w:type="dxa"/>
            <w:vAlign w:val="bottom"/>
          </w:tcPr>
          <w:p>
            <w:pPr>
              <w:spacing w:after="0"/>
              <w:rPr>
                <w:sz w:val="24"/>
                <w:szCs w:val="24"/>
                <w:color w:val="auto"/>
              </w:rPr>
            </w:pPr>
          </w:p>
        </w:tc>
        <w:tc>
          <w:tcPr>
            <w:tcW w:w="8460" w:type="dxa"/>
            <w:vAlign w:val="bottom"/>
            <w:gridSpan w:val="4"/>
          </w:tcPr>
          <w:p>
            <w:pPr>
              <w:spacing w:after="0"/>
              <w:rPr>
                <w:rFonts w:ascii="Arial" w:cs="Arial" w:eastAsia="Arial" w:hAnsi="Arial"/>
                <w:sz w:val="19"/>
                <w:szCs w:val="19"/>
                <w:b w:val="1"/>
                <w:bCs w:val="1"/>
                <w:color w:val="53C072"/>
              </w:rPr>
            </w:pPr>
            <w:hyperlink w:anchor="page73">
              <w:r>
                <w:rPr>
                  <w:rFonts w:ascii="Arial" w:cs="Arial" w:eastAsia="Arial" w:hAnsi="Arial"/>
                  <w:sz w:val="19"/>
                  <w:szCs w:val="19"/>
                  <w:b w:val="1"/>
                  <w:bCs w:val="1"/>
                  <w:color w:val="53C072"/>
                </w:rPr>
                <w:t>Proposal 3 — Ratification of Appointment of Independent Registered Public Accounting</w:t>
              </w:r>
            </w:hyperlink>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9"/>
        </w:trPr>
        <w:tc>
          <w:tcPr>
            <w:tcW w:w="1120" w:type="dxa"/>
            <w:vAlign w:val="bottom"/>
          </w:tcPr>
          <w:p>
            <w:pPr>
              <w:spacing w:after="0"/>
              <w:rPr>
                <w:sz w:val="17"/>
                <w:szCs w:val="17"/>
                <w:color w:val="auto"/>
              </w:rPr>
            </w:pPr>
          </w:p>
        </w:tc>
        <w:tc>
          <w:tcPr>
            <w:tcW w:w="240" w:type="dxa"/>
            <w:vAlign w:val="bottom"/>
            <w:tcBorders>
              <w:top w:val="single" w:sz="8" w:color="53C072"/>
            </w:tcBorders>
          </w:tcPr>
          <w:p>
            <w:pPr>
              <w:spacing w:after="0"/>
              <w:rPr>
                <w:sz w:val="17"/>
                <w:szCs w:val="17"/>
                <w:color w:val="auto"/>
              </w:rPr>
            </w:pPr>
          </w:p>
        </w:tc>
        <w:tc>
          <w:tcPr>
            <w:tcW w:w="7860" w:type="dxa"/>
            <w:vAlign w:val="bottom"/>
            <w:tcBorders>
              <w:top w:val="single" w:sz="8" w:color="53C072"/>
            </w:tcBorders>
            <w:gridSpan w:val="2"/>
          </w:tcPr>
          <w:p>
            <w:pPr>
              <w:spacing w:after="0" w:line="186" w:lineRule="exact"/>
              <w:rPr>
                <w:rFonts w:ascii="Arial" w:cs="Arial" w:eastAsia="Arial" w:hAnsi="Arial"/>
                <w:sz w:val="19"/>
                <w:szCs w:val="19"/>
                <w:b w:val="1"/>
                <w:bCs w:val="1"/>
                <w:color w:val="53C072"/>
              </w:rPr>
            </w:pPr>
            <w:hyperlink w:anchor="page73">
              <w:r>
                <w:rPr>
                  <w:rFonts w:ascii="Arial" w:cs="Arial" w:eastAsia="Arial" w:hAnsi="Arial"/>
                  <w:sz w:val="19"/>
                  <w:szCs w:val="19"/>
                  <w:b w:val="1"/>
                  <w:bCs w:val="1"/>
                  <w:color w:val="53C072"/>
                </w:rPr>
                <w:t>Firm</w:t>
              </w:r>
            </w:hyperlink>
          </w:p>
        </w:tc>
        <w:tc>
          <w:tcPr>
            <w:tcW w:w="360" w:type="dxa"/>
            <w:vAlign w:val="bottom"/>
          </w:tcPr>
          <w:p>
            <w:pPr>
              <w:spacing w:after="0"/>
              <w:rPr>
                <w:sz w:val="17"/>
                <w:szCs w:val="17"/>
                <w:color w:val="auto"/>
              </w:rPr>
            </w:pPr>
          </w:p>
        </w:tc>
        <w:tc>
          <w:tcPr>
            <w:tcW w:w="540" w:type="dxa"/>
            <w:vAlign w:val="bottom"/>
          </w:tcPr>
          <w:p>
            <w:pPr>
              <w:jc w:val="right"/>
              <w:spacing w:after="0"/>
              <w:rPr>
                <w:rFonts w:ascii="Arial" w:cs="Arial" w:eastAsia="Arial" w:hAnsi="Arial"/>
                <w:sz w:val="16"/>
                <w:szCs w:val="16"/>
                <w:u w:val="single" w:color="auto"/>
                <w:color w:val="0000EE"/>
              </w:rPr>
            </w:pPr>
            <w:hyperlink w:anchor="page73">
              <w:r>
                <w:rPr>
                  <w:rFonts w:ascii="Arial" w:cs="Arial" w:eastAsia="Arial" w:hAnsi="Arial"/>
                  <w:sz w:val="16"/>
                  <w:szCs w:val="16"/>
                  <w:u w:val="single" w:color="auto"/>
                  <w:color w:val="0000EE"/>
                </w:rPr>
                <w:t>68</w:t>
              </w:r>
            </w:hyperlink>
          </w:p>
        </w:tc>
        <w:tc>
          <w:tcPr>
            <w:tcW w:w="114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240" w:type="dxa"/>
            <w:vAlign w:val="bottom"/>
            <w:tcBorders>
              <w:bottom w:val="single" w:sz="8" w:color="53C072"/>
            </w:tcBorders>
          </w:tcPr>
          <w:p>
            <w:pPr>
              <w:spacing w:after="0" w:line="20" w:lineRule="exact"/>
              <w:rPr>
                <w:sz w:val="1"/>
                <w:szCs w:val="1"/>
                <w:color w:val="auto"/>
              </w:rPr>
            </w:pPr>
          </w:p>
        </w:tc>
        <w:tc>
          <w:tcPr>
            <w:tcW w:w="420" w:type="dxa"/>
            <w:vAlign w:val="bottom"/>
            <w:tcBorders>
              <w:top w:val="single" w:sz="8" w:color="53C072"/>
              <w:bottom w:val="single" w:sz="8" w:color="53C072"/>
            </w:tcBorders>
          </w:tcPr>
          <w:p>
            <w:pPr>
              <w:spacing w:after="0" w:line="20" w:lineRule="exact"/>
              <w:rPr>
                <w:sz w:val="1"/>
                <w:szCs w:val="1"/>
                <w:color w:val="auto"/>
              </w:rPr>
            </w:pPr>
          </w:p>
        </w:tc>
        <w:tc>
          <w:tcPr>
            <w:tcW w:w="7440" w:type="dxa"/>
            <w:vAlign w:val="bottom"/>
            <w:tcBorders>
              <w:bottom w:val="single" w:sz="8" w:color="53C072"/>
            </w:tcBorders>
          </w:tcPr>
          <w:p>
            <w:pPr>
              <w:spacing w:after="0" w:line="20" w:lineRule="exact"/>
              <w:rPr>
                <w:sz w:val="1"/>
                <w:szCs w:val="1"/>
                <w:color w:val="auto"/>
              </w:rPr>
            </w:pPr>
          </w:p>
        </w:tc>
        <w:tc>
          <w:tcPr>
            <w:tcW w:w="360" w:type="dxa"/>
            <w:vAlign w:val="bottom"/>
            <w:tcBorders>
              <w:bottom w:val="single" w:sz="8" w:color="53C072"/>
            </w:tcBorders>
          </w:tcPr>
          <w:p>
            <w:pPr>
              <w:spacing w:after="0" w:line="20" w:lineRule="exact"/>
              <w:rPr>
                <w:sz w:val="1"/>
                <w:szCs w:val="1"/>
                <w:color w:val="auto"/>
              </w:rPr>
            </w:pPr>
          </w:p>
        </w:tc>
        <w:tc>
          <w:tcPr>
            <w:tcW w:w="540" w:type="dxa"/>
            <w:vAlign w:val="bottom"/>
            <w:tcBorders>
              <w:bottom w:val="single" w:sz="8" w:color="53C072"/>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53"/>
        </w:trPr>
        <w:tc>
          <w:tcPr>
            <w:tcW w:w="1120" w:type="dxa"/>
            <w:vAlign w:val="bottom"/>
          </w:tcPr>
          <w:p>
            <w:pPr>
              <w:spacing w:after="0"/>
              <w:rPr>
                <w:sz w:val="24"/>
                <w:szCs w:val="24"/>
                <w:color w:val="auto"/>
              </w:rPr>
            </w:pPr>
          </w:p>
        </w:tc>
        <w:tc>
          <w:tcPr>
            <w:tcW w:w="8460" w:type="dxa"/>
            <w:vAlign w:val="bottom"/>
            <w:tcBorders>
              <w:bottom w:val="single" w:sz="8" w:color="53C072"/>
            </w:tcBorders>
            <w:gridSpan w:val="4"/>
          </w:tcPr>
          <w:p>
            <w:pPr>
              <w:spacing w:after="0"/>
              <w:rPr>
                <w:rFonts w:ascii="Arial" w:cs="Arial" w:eastAsia="Arial" w:hAnsi="Arial"/>
                <w:sz w:val="19"/>
                <w:szCs w:val="19"/>
                <w:b w:val="1"/>
                <w:bCs w:val="1"/>
                <w:u w:val="single" w:color="auto"/>
                <w:color w:val="53C072"/>
              </w:rPr>
            </w:pPr>
            <w:hyperlink w:anchor="page74">
              <w:r>
                <w:rPr>
                  <w:rFonts w:ascii="Arial" w:cs="Arial" w:eastAsia="Arial" w:hAnsi="Arial"/>
                  <w:sz w:val="19"/>
                  <w:szCs w:val="19"/>
                  <w:b w:val="1"/>
                  <w:bCs w:val="1"/>
                  <w:u w:val="single" w:color="auto"/>
                  <w:color w:val="53C072"/>
                </w:rPr>
                <w:t>Principal Accounting Firm Fees</w:t>
              </w:r>
            </w:hyperlink>
          </w:p>
        </w:tc>
        <w:tc>
          <w:tcPr>
            <w:tcW w:w="540" w:type="dxa"/>
            <w:vAlign w:val="bottom"/>
            <w:tcBorders>
              <w:bottom w:val="single" w:sz="8" w:color="53C072"/>
            </w:tcBorders>
          </w:tcPr>
          <w:p>
            <w:pPr>
              <w:jc w:val="right"/>
              <w:spacing w:after="0"/>
              <w:rPr>
                <w:rFonts w:ascii="Arial" w:cs="Arial" w:eastAsia="Arial" w:hAnsi="Arial"/>
                <w:sz w:val="16"/>
                <w:szCs w:val="16"/>
                <w:u w:val="single" w:color="auto"/>
                <w:color w:val="0000EE"/>
              </w:rPr>
            </w:pPr>
            <w:hyperlink w:anchor="page74">
              <w:r>
                <w:rPr>
                  <w:rFonts w:ascii="Arial" w:cs="Arial" w:eastAsia="Arial" w:hAnsi="Arial"/>
                  <w:sz w:val="16"/>
                  <w:szCs w:val="16"/>
                  <w:u w:val="single" w:color="auto"/>
                  <w:color w:val="0000EE"/>
                </w:rPr>
                <w:t>69</w:t>
              </w:r>
            </w:hyperlink>
          </w:p>
        </w:tc>
        <w:tc>
          <w:tcPr>
            <w:tcW w:w="1140" w:type="dxa"/>
            <w:vAlign w:val="bottom"/>
          </w:tcPr>
          <w:p>
            <w:pPr>
              <w:spacing w:after="0"/>
              <w:rPr>
                <w:sz w:val="24"/>
                <w:szCs w:val="24"/>
                <w:color w:val="auto"/>
              </w:rPr>
            </w:pPr>
          </w:p>
        </w:tc>
      </w:tr>
      <w:tr>
        <w:trPr>
          <w:trHeight w:val="356"/>
        </w:trPr>
        <w:tc>
          <w:tcPr>
            <w:tcW w:w="1120" w:type="dxa"/>
            <w:vAlign w:val="bottom"/>
          </w:tcPr>
          <w:p>
            <w:pPr>
              <w:spacing w:after="0"/>
              <w:rPr>
                <w:sz w:val="24"/>
                <w:szCs w:val="24"/>
                <w:color w:val="auto"/>
              </w:rPr>
            </w:pPr>
          </w:p>
        </w:tc>
        <w:tc>
          <w:tcPr>
            <w:tcW w:w="8460" w:type="dxa"/>
            <w:vAlign w:val="bottom"/>
            <w:tcBorders>
              <w:bottom w:val="single" w:sz="8" w:color="53C072"/>
            </w:tcBorders>
            <w:gridSpan w:val="4"/>
          </w:tcPr>
          <w:p>
            <w:pPr>
              <w:spacing w:after="0"/>
              <w:rPr>
                <w:rFonts w:ascii="Arial" w:cs="Arial" w:eastAsia="Arial" w:hAnsi="Arial"/>
                <w:sz w:val="19"/>
                <w:szCs w:val="19"/>
                <w:b w:val="1"/>
                <w:bCs w:val="1"/>
                <w:u w:val="single" w:color="auto"/>
                <w:color w:val="53C072"/>
              </w:rPr>
            </w:pPr>
            <w:hyperlink w:anchor="page75">
              <w:r>
                <w:rPr>
                  <w:rFonts w:ascii="Arial" w:cs="Arial" w:eastAsia="Arial" w:hAnsi="Arial"/>
                  <w:sz w:val="19"/>
                  <w:szCs w:val="19"/>
                  <w:b w:val="1"/>
                  <w:bCs w:val="1"/>
                  <w:u w:val="single" w:color="auto"/>
                  <w:color w:val="53C072"/>
                </w:rPr>
                <w:t>Audit Committee Report</w:t>
              </w:r>
            </w:hyperlink>
          </w:p>
        </w:tc>
        <w:tc>
          <w:tcPr>
            <w:tcW w:w="540" w:type="dxa"/>
            <w:vAlign w:val="bottom"/>
            <w:tcBorders>
              <w:bottom w:val="single" w:sz="8" w:color="53C072"/>
            </w:tcBorders>
          </w:tcPr>
          <w:p>
            <w:pPr>
              <w:jc w:val="right"/>
              <w:spacing w:after="0"/>
              <w:rPr>
                <w:rFonts w:ascii="Arial" w:cs="Arial" w:eastAsia="Arial" w:hAnsi="Arial"/>
                <w:sz w:val="16"/>
                <w:szCs w:val="16"/>
                <w:u w:val="single" w:color="auto"/>
                <w:color w:val="0000EE"/>
              </w:rPr>
            </w:pPr>
            <w:hyperlink w:anchor="page75">
              <w:r>
                <w:rPr>
                  <w:rFonts w:ascii="Arial" w:cs="Arial" w:eastAsia="Arial" w:hAnsi="Arial"/>
                  <w:sz w:val="16"/>
                  <w:szCs w:val="16"/>
                  <w:u w:val="single" w:color="auto"/>
                  <w:color w:val="0000EE"/>
                </w:rPr>
                <w:t>70</w:t>
              </w:r>
            </w:hyperlink>
          </w:p>
        </w:tc>
        <w:tc>
          <w:tcPr>
            <w:tcW w:w="1140" w:type="dxa"/>
            <w:vAlign w:val="bottom"/>
          </w:tcPr>
          <w:p>
            <w:pPr>
              <w:spacing w:after="0"/>
              <w:rPr>
                <w:sz w:val="24"/>
                <w:szCs w:val="24"/>
                <w:color w:val="auto"/>
              </w:rPr>
            </w:pPr>
          </w:p>
        </w:tc>
      </w:tr>
      <w:tr>
        <w:trPr>
          <w:trHeight w:val="356"/>
        </w:trPr>
        <w:tc>
          <w:tcPr>
            <w:tcW w:w="1120" w:type="dxa"/>
            <w:vAlign w:val="bottom"/>
          </w:tcPr>
          <w:p>
            <w:pPr>
              <w:spacing w:after="0"/>
              <w:rPr>
                <w:sz w:val="24"/>
                <w:szCs w:val="24"/>
                <w:color w:val="auto"/>
              </w:rPr>
            </w:pPr>
          </w:p>
        </w:tc>
        <w:tc>
          <w:tcPr>
            <w:tcW w:w="8460" w:type="dxa"/>
            <w:vAlign w:val="bottom"/>
            <w:tcBorders>
              <w:bottom w:val="single" w:sz="8" w:color="53C072"/>
            </w:tcBorders>
            <w:gridSpan w:val="4"/>
          </w:tcPr>
          <w:p>
            <w:pPr>
              <w:spacing w:after="0"/>
              <w:rPr>
                <w:rFonts w:ascii="Arial" w:cs="Arial" w:eastAsia="Arial" w:hAnsi="Arial"/>
                <w:sz w:val="19"/>
                <w:szCs w:val="19"/>
                <w:b w:val="1"/>
                <w:bCs w:val="1"/>
                <w:u w:val="single" w:color="auto"/>
                <w:color w:val="53C072"/>
              </w:rPr>
            </w:pPr>
            <w:hyperlink w:anchor="page76">
              <w:r>
                <w:rPr>
                  <w:rFonts w:ascii="Arial" w:cs="Arial" w:eastAsia="Arial" w:hAnsi="Arial"/>
                  <w:sz w:val="19"/>
                  <w:szCs w:val="19"/>
                  <w:b w:val="1"/>
                  <w:bCs w:val="1"/>
                  <w:u w:val="single" w:color="auto"/>
                  <w:color w:val="53C072"/>
                </w:rPr>
                <w:t>Shareholder Proposals and Nominations</w:t>
              </w:r>
            </w:hyperlink>
          </w:p>
        </w:tc>
        <w:tc>
          <w:tcPr>
            <w:tcW w:w="540" w:type="dxa"/>
            <w:vAlign w:val="bottom"/>
            <w:tcBorders>
              <w:bottom w:val="single" w:sz="8" w:color="53C072"/>
            </w:tcBorders>
          </w:tcPr>
          <w:p>
            <w:pPr>
              <w:jc w:val="right"/>
              <w:spacing w:after="0"/>
              <w:rPr>
                <w:rFonts w:ascii="Arial" w:cs="Arial" w:eastAsia="Arial" w:hAnsi="Arial"/>
                <w:sz w:val="16"/>
                <w:szCs w:val="16"/>
                <w:u w:val="single" w:color="auto"/>
                <w:color w:val="0000EE"/>
              </w:rPr>
            </w:pPr>
            <w:hyperlink w:anchor="page76">
              <w:r>
                <w:rPr>
                  <w:rFonts w:ascii="Arial" w:cs="Arial" w:eastAsia="Arial" w:hAnsi="Arial"/>
                  <w:sz w:val="16"/>
                  <w:szCs w:val="16"/>
                  <w:u w:val="single" w:color="auto"/>
                  <w:color w:val="0000EE"/>
                </w:rPr>
                <w:t>71</w:t>
              </w:r>
            </w:hyperlink>
          </w:p>
        </w:tc>
        <w:tc>
          <w:tcPr>
            <w:tcW w:w="1140" w:type="dxa"/>
            <w:vAlign w:val="bottom"/>
          </w:tcPr>
          <w:p>
            <w:pPr>
              <w:spacing w:after="0"/>
              <w:rPr>
                <w:sz w:val="24"/>
                <w:szCs w:val="24"/>
                <w:color w:val="auto"/>
              </w:rPr>
            </w:pPr>
          </w:p>
        </w:tc>
      </w:tr>
      <w:tr>
        <w:trPr>
          <w:trHeight w:val="356"/>
        </w:trPr>
        <w:tc>
          <w:tcPr>
            <w:tcW w:w="1120" w:type="dxa"/>
            <w:vAlign w:val="bottom"/>
          </w:tcPr>
          <w:p>
            <w:pPr>
              <w:spacing w:after="0"/>
              <w:rPr>
                <w:sz w:val="24"/>
                <w:szCs w:val="24"/>
                <w:color w:val="auto"/>
              </w:rPr>
            </w:pPr>
          </w:p>
        </w:tc>
        <w:tc>
          <w:tcPr>
            <w:tcW w:w="8460" w:type="dxa"/>
            <w:vAlign w:val="bottom"/>
            <w:tcBorders>
              <w:bottom w:val="single" w:sz="8" w:color="53C072"/>
            </w:tcBorders>
            <w:gridSpan w:val="4"/>
          </w:tcPr>
          <w:p>
            <w:pPr>
              <w:spacing w:after="0"/>
              <w:rPr>
                <w:rFonts w:ascii="Arial" w:cs="Arial" w:eastAsia="Arial" w:hAnsi="Arial"/>
                <w:sz w:val="19"/>
                <w:szCs w:val="19"/>
                <w:b w:val="1"/>
                <w:bCs w:val="1"/>
                <w:u w:val="single" w:color="auto"/>
                <w:color w:val="53C072"/>
              </w:rPr>
            </w:pPr>
            <w:hyperlink w:anchor="page77">
              <w:r>
                <w:rPr>
                  <w:rFonts w:ascii="Arial" w:cs="Arial" w:eastAsia="Arial" w:hAnsi="Arial"/>
                  <w:sz w:val="19"/>
                  <w:szCs w:val="19"/>
                  <w:b w:val="1"/>
                  <w:bCs w:val="1"/>
                  <w:u w:val="single" w:color="auto"/>
                  <w:color w:val="53C072"/>
                </w:rPr>
                <w:t>Delivery of Documents to Shareholders with Same Last Name and Address</w:t>
              </w:r>
            </w:hyperlink>
          </w:p>
        </w:tc>
        <w:tc>
          <w:tcPr>
            <w:tcW w:w="540" w:type="dxa"/>
            <w:vAlign w:val="bottom"/>
            <w:tcBorders>
              <w:bottom w:val="single" w:sz="8" w:color="53C072"/>
            </w:tcBorders>
          </w:tcPr>
          <w:p>
            <w:pPr>
              <w:jc w:val="right"/>
              <w:spacing w:after="0"/>
              <w:rPr>
                <w:rFonts w:ascii="Arial" w:cs="Arial" w:eastAsia="Arial" w:hAnsi="Arial"/>
                <w:sz w:val="16"/>
                <w:szCs w:val="16"/>
                <w:u w:val="single" w:color="auto"/>
                <w:color w:val="0000EE"/>
              </w:rPr>
            </w:pPr>
            <w:hyperlink w:anchor="page77">
              <w:r>
                <w:rPr>
                  <w:rFonts w:ascii="Arial" w:cs="Arial" w:eastAsia="Arial" w:hAnsi="Arial"/>
                  <w:sz w:val="16"/>
                  <w:szCs w:val="16"/>
                  <w:u w:val="single" w:color="auto"/>
                  <w:color w:val="0000EE"/>
                </w:rPr>
                <w:t>72</w:t>
              </w:r>
            </w:hyperlink>
          </w:p>
        </w:tc>
        <w:tc>
          <w:tcPr>
            <w:tcW w:w="1140" w:type="dxa"/>
            <w:vAlign w:val="bottom"/>
          </w:tcPr>
          <w:p>
            <w:pPr>
              <w:spacing w:after="0"/>
              <w:rPr>
                <w:sz w:val="24"/>
                <w:szCs w:val="24"/>
                <w:color w:val="auto"/>
              </w:rPr>
            </w:pPr>
          </w:p>
        </w:tc>
      </w:tr>
      <w:tr>
        <w:trPr>
          <w:trHeight w:val="356"/>
        </w:trPr>
        <w:tc>
          <w:tcPr>
            <w:tcW w:w="1120" w:type="dxa"/>
            <w:vAlign w:val="bottom"/>
          </w:tcPr>
          <w:p>
            <w:pPr>
              <w:spacing w:after="0"/>
              <w:rPr>
                <w:sz w:val="24"/>
                <w:szCs w:val="24"/>
                <w:color w:val="auto"/>
              </w:rPr>
            </w:pPr>
          </w:p>
        </w:tc>
        <w:tc>
          <w:tcPr>
            <w:tcW w:w="8460" w:type="dxa"/>
            <w:vAlign w:val="bottom"/>
            <w:tcBorders>
              <w:bottom w:val="single" w:sz="8" w:color="53C072"/>
            </w:tcBorders>
            <w:gridSpan w:val="4"/>
          </w:tcPr>
          <w:p>
            <w:pPr>
              <w:spacing w:after="0"/>
              <w:rPr>
                <w:rFonts w:ascii="Arial" w:cs="Arial" w:eastAsia="Arial" w:hAnsi="Arial"/>
                <w:sz w:val="19"/>
                <w:szCs w:val="19"/>
                <w:b w:val="1"/>
                <w:bCs w:val="1"/>
                <w:u w:val="single" w:color="auto"/>
                <w:color w:val="53C072"/>
              </w:rPr>
            </w:pPr>
            <w:hyperlink w:anchor="page77">
              <w:r>
                <w:rPr>
                  <w:rFonts w:ascii="Arial" w:cs="Arial" w:eastAsia="Arial" w:hAnsi="Arial"/>
                  <w:sz w:val="19"/>
                  <w:szCs w:val="19"/>
                  <w:b w:val="1"/>
                  <w:bCs w:val="1"/>
                  <w:u w:val="single" w:color="auto"/>
                  <w:color w:val="53C072"/>
                </w:rPr>
                <w:t>General</w:t>
              </w:r>
            </w:hyperlink>
          </w:p>
        </w:tc>
        <w:tc>
          <w:tcPr>
            <w:tcW w:w="540" w:type="dxa"/>
            <w:vAlign w:val="bottom"/>
            <w:tcBorders>
              <w:bottom w:val="single" w:sz="8" w:color="53C072"/>
            </w:tcBorders>
          </w:tcPr>
          <w:p>
            <w:pPr>
              <w:jc w:val="right"/>
              <w:spacing w:after="0"/>
              <w:rPr>
                <w:rFonts w:ascii="Arial" w:cs="Arial" w:eastAsia="Arial" w:hAnsi="Arial"/>
                <w:sz w:val="16"/>
                <w:szCs w:val="16"/>
                <w:u w:val="single" w:color="auto"/>
                <w:color w:val="0000EE"/>
              </w:rPr>
            </w:pPr>
            <w:hyperlink w:anchor="page77">
              <w:r>
                <w:rPr>
                  <w:rFonts w:ascii="Arial" w:cs="Arial" w:eastAsia="Arial" w:hAnsi="Arial"/>
                  <w:sz w:val="16"/>
                  <w:szCs w:val="16"/>
                  <w:u w:val="single" w:color="auto"/>
                  <w:color w:val="0000EE"/>
                </w:rPr>
                <w:t>72</w:t>
              </w:r>
            </w:hyperlink>
          </w:p>
        </w:tc>
        <w:tc>
          <w:tcPr>
            <w:tcW w:w="1140" w:type="dxa"/>
            <w:vAlign w:val="bottom"/>
          </w:tcPr>
          <w:p>
            <w:pPr>
              <w:spacing w:after="0"/>
              <w:rPr>
                <w:sz w:val="24"/>
                <w:szCs w:val="24"/>
                <w:color w:val="auto"/>
              </w:rPr>
            </w:pPr>
          </w:p>
        </w:tc>
      </w:tr>
      <w:tr>
        <w:trPr>
          <w:trHeight w:val="356"/>
        </w:trPr>
        <w:tc>
          <w:tcPr>
            <w:tcW w:w="1120" w:type="dxa"/>
            <w:vAlign w:val="bottom"/>
          </w:tcPr>
          <w:p>
            <w:pPr>
              <w:spacing w:after="0"/>
              <w:rPr>
                <w:sz w:val="24"/>
                <w:szCs w:val="24"/>
                <w:color w:val="auto"/>
              </w:rPr>
            </w:pPr>
          </w:p>
        </w:tc>
        <w:tc>
          <w:tcPr>
            <w:tcW w:w="8460" w:type="dxa"/>
            <w:vAlign w:val="bottom"/>
            <w:tcBorders>
              <w:bottom w:val="single" w:sz="8" w:color="53C072"/>
            </w:tcBorders>
            <w:gridSpan w:val="4"/>
          </w:tcPr>
          <w:p>
            <w:pPr>
              <w:spacing w:after="0"/>
              <w:rPr>
                <w:rFonts w:ascii="Arial" w:cs="Arial" w:eastAsia="Arial" w:hAnsi="Arial"/>
                <w:sz w:val="19"/>
                <w:szCs w:val="19"/>
                <w:b w:val="1"/>
                <w:bCs w:val="1"/>
                <w:u w:val="single" w:color="auto"/>
                <w:color w:val="53C072"/>
              </w:rPr>
            </w:pPr>
            <w:hyperlink w:anchor="page78">
              <w:r>
                <w:rPr>
                  <w:rFonts w:ascii="Arial" w:cs="Arial" w:eastAsia="Arial" w:hAnsi="Arial"/>
                  <w:sz w:val="19"/>
                  <w:szCs w:val="19"/>
                  <w:b w:val="1"/>
                  <w:bCs w:val="1"/>
                  <w:u w:val="single" w:color="auto"/>
                  <w:color w:val="53C072"/>
                </w:rPr>
                <w:t>Appendix A — Reconciliation of Non-GAAP Measures</w:t>
              </w:r>
            </w:hyperlink>
          </w:p>
        </w:tc>
        <w:tc>
          <w:tcPr>
            <w:tcW w:w="540" w:type="dxa"/>
            <w:vAlign w:val="bottom"/>
            <w:tcBorders>
              <w:bottom w:val="single" w:sz="8" w:color="53C072"/>
            </w:tcBorders>
          </w:tcPr>
          <w:p>
            <w:pPr>
              <w:jc w:val="right"/>
              <w:spacing w:after="0"/>
              <w:rPr>
                <w:rFonts w:ascii="Arial" w:cs="Arial" w:eastAsia="Arial" w:hAnsi="Arial"/>
                <w:sz w:val="16"/>
                <w:szCs w:val="16"/>
                <w:u w:val="single" w:color="auto"/>
                <w:color w:val="0000EE"/>
              </w:rPr>
            </w:pPr>
            <w:hyperlink w:anchor="page78">
              <w:r>
                <w:rPr>
                  <w:rFonts w:ascii="Arial" w:cs="Arial" w:eastAsia="Arial" w:hAnsi="Arial"/>
                  <w:sz w:val="16"/>
                  <w:szCs w:val="16"/>
                  <w:u w:val="single" w:color="auto"/>
                  <w:color w:val="0000EE"/>
                </w:rPr>
                <w:t>73</w:t>
              </w:r>
            </w:hyperlink>
          </w:p>
        </w:tc>
        <w:tc>
          <w:tcPr>
            <w:tcW w:w="1140" w:type="dxa"/>
            <w:vAlign w:val="bottom"/>
          </w:tcPr>
          <w:p>
            <w:pPr>
              <w:spacing w:after="0"/>
              <w:rPr>
                <w:sz w:val="24"/>
                <w:szCs w:val="24"/>
                <w:color w:val="auto"/>
              </w:rPr>
            </w:pPr>
          </w:p>
        </w:tc>
      </w:tr>
      <w:tr>
        <w:trPr>
          <w:trHeight w:val="97"/>
        </w:trPr>
        <w:tc>
          <w:tcPr>
            <w:tcW w:w="1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4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-13335</wp:posOffset>
            </wp:positionV>
            <wp:extent cx="1270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b w:val="1"/>
          <w:bCs w:val="1"/>
          <w:color w:val="53C072"/>
        </w:rPr>
        <w:t>2020 ANNUAL</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118110</wp:posOffset>
            </wp:positionV>
            <wp:extent cx="7146290" cy="2546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6290" cy="254635"/>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FFFE"/>
        </w:rPr>
        <w:t>PROXY STATEMENT SUMMARY</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This summary highlights selected information in this Proxy Statement. Please review the entire document before voting.</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143510</wp:posOffset>
            </wp:positionV>
            <wp:extent cx="7146290" cy="1433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6290" cy="143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1540"/>
        <w:spacing w:after="0"/>
        <w:tabs>
          <w:tab w:leader="none" w:pos="4300" w:val="left"/>
          <w:tab w:leader="none" w:pos="6980" w:val="left"/>
          <w:tab w:leader="none" w:pos="9420" w:val="left"/>
        </w:tabs>
        <w:rPr>
          <w:sz w:val="20"/>
          <w:szCs w:val="20"/>
          <w:color w:val="auto"/>
        </w:rPr>
      </w:pPr>
      <w:r>
        <w:rPr>
          <w:rFonts w:ascii="Arial" w:cs="Arial" w:eastAsia="Arial" w:hAnsi="Arial"/>
          <w:sz w:val="16"/>
          <w:szCs w:val="16"/>
          <w:b w:val="1"/>
          <w:bCs w:val="1"/>
          <w:color w:val="53C072"/>
        </w:rPr>
        <w:t>DATE</w:t>
      </w:r>
      <w:r>
        <w:rPr>
          <w:sz w:val="20"/>
          <w:szCs w:val="20"/>
          <w:color w:val="auto"/>
        </w:rPr>
        <w:tab/>
      </w:r>
      <w:r>
        <w:rPr>
          <w:rFonts w:ascii="Arial" w:cs="Arial" w:eastAsia="Arial" w:hAnsi="Arial"/>
          <w:sz w:val="16"/>
          <w:szCs w:val="16"/>
          <w:b w:val="1"/>
          <w:bCs w:val="1"/>
          <w:color w:val="53C072"/>
        </w:rPr>
        <w:t>TIME</w:t>
      </w:r>
      <w:r>
        <w:rPr>
          <w:sz w:val="20"/>
          <w:szCs w:val="20"/>
          <w:color w:val="auto"/>
        </w:rPr>
        <w:tab/>
      </w:r>
      <w:r>
        <w:rPr>
          <w:rFonts w:ascii="Arial" w:cs="Arial" w:eastAsia="Arial" w:hAnsi="Arial"/>
          <w:sz w:val="16"/>
          <w:szCs w:val="16"/>
          <w:b w:val="1"/>
          <w:bCs w:val="1"/>
          <w:color w:val="53C072"/>
        </w:rPr>
        <w:t>PLACE</w:t>
      </w:r>
      <w:r>
        <w:rPr>
          <w:sz w:val="20"/>
          <w:szCs w:val="20"/>
          <w:color w:val="auto"/>
        </w:rPr>
        <w:tab/>
      </w:r>
      <w:r>
        <w:rPr>
          <w:rFonts w:ascii="Arial" w:cs="Arial" w:eastAsia="Arial" w:hAnsi="Arial"/>
          <w:sz w:val="15"/>
          <w:szCs w:val="15"/>
          <w:b w:val="1"/>
          <w:bCs w:val="1"/>
          <w:color w:val="53C072"/>
        </w:rPr>
        <w:t>RECORD DATE</w:t>
      </w:r>
    </w:p>
    <w:p>
      <w:pPr>
        <w:spacing w:after="0" w:line="18" w:lineRule="exact"/>
        <w:rPr>
          <w:sz w:val="20"/>
          <w:szCs w:val="20"/>
          <w:color w:val="auto"/>
        </w:rPr>
      </w:pPr>
    </w:p>
    <w:p>
      <w:pPr>
        <w:jc w:val="right"/>
        <w:ind w:right="520"/>
        <w:spacing w:after="0"/>
        <w:tabs>
          <w:tab w:leader="none" w:pos="6880" w:val="left"/>
          <w:tab w:leader="none" w:pos="4240" w:val="left"/>
          <w:tab w:leader="none" w:pos="1420" w:val="left"/>
        </w:tabs>
        <w:rPr>
          <w:sz w:val="20"/>
          <w:szCs w:val="20"/>
          <w:color w:val="auto"/>
        </w:rPr>
      </w:pPr>
      <w:r>
        <w:rPr>
          <w:rFonts w:ascii="Arial" w:cs="Arial" w:eastAsia="Arial" w:hAnsi="Arial"/>
          <w:sz w:val="16"/>
          <w:szCs w:val="16"/>
          <w:color w:val="auto"/>
        </w:rPr>
        <w:t>November 17, 2020</w:t>
      </w:r>
      <w:r>
        <w:rPr>
          <w:sz w:val="20"/>
          <w:szCs w:val="20"/>
          <w:color w:val="auto"/>
        </w:rPr>
        <w:tab/>
      </w:r>
      <w:r>
        <w:rPr>
          <w:rFonts w:ascii="Arial" w:cs="Arial" w:eastAsia="Arial" w:hAnsi="Arial"/>
          <w:sz w:val="16"/>
          <w:szCs w:val="16"/>
          <w:color w:val="auto"/>
        </w:rPr>
        <w:t>8:00 am local time</w:t>
      </w:r>
      <w:r>
        <w:rPr>
          <w:sz w:val="20"/>
          <w:szCs w:val="20"/>
          <w:color w:val="auto"/>
        </w:rPr>
        <w:tab/>
      </w:r>
      <w:r>
        <w:rPr>
          <w:rFonts w:ascii="Arial" w:cs="Arial" w:eastAsia="Arial" w:hAnsi="Arial"/>
          <w:sz w:val="16"/>
          <w:szCs w:val="16"/>
          <w:color w:val="auto"/>
        </w:rPr>
        <w:t>Avnet's Headquarters</w:t>
      </w:r>
      <w:r>
        <w:rPr>
          <w:sz w:val="20"/>
          <w:szCs w:val="20"/>
          <w:color w:val="auto"/>
        </w:rPr>
        <w:tab/>
      </w:r>
      <w:r>
        <w:rPr>
          <w:rFonts w:ascii="Arial" w:cs="Arial" w:eastAsia="Arial" w:hAnsi="Arial"/>
          <w:sz w:val="15"/>
          <w:szCs w:val="15"/>
          <w:color w:val="auto"/>
        </w:rPr>
        <w:t>September 18, 2020</w:t>
      </w:r>
    </w:p>
    <w:p>
      <w:pPr>
        <w:jc w:val="center"/>
        <w:ind w:left="3240"/>
        <w:spacing w:after="0" w:line="237" w:lineRule="auto"/>
        <w:rPr>
          <w:sz w:val="20"/>
          <w:szCs w:val="20"/>
          <w:color w:val="auto"/>
        </w:rPr>
      </w:pPr>
      <w:r>
        <w:rPr>
          <w:rFonts w:ascii="Arial" w:cs="Arial" w:eastAsia="Arial" w:hAnsi="Arial"/>
          <w:sz w:val="16"/>
          <w:szCs w:val="16"/>
          <w:color w:val="auto"/>
        </w:rPr>
        <w:t>2211 South 47th Street</w:t>
      </w:r>
    </w:p>
    <w:p>
      <w:pPr>
        <w:jc w:val="center"/>
        <w:ind w:left="3240"/>
        <w:spacing w:after="0" w:line="238" w:lineRule="auto"/>
        <w:rPr>
          <w:sz w:val="20"/>
          <w:szCs w:val="20"/>
          <w:color w:val="auto"/>
        </w:rPr>
      </w:pPr>
      <w:r>
        <w:rPr>
          <w:rFonts w:ascii="Arial" w:cs="Arial" w:eastAsia="Arial" w:hAnsi="Arial"/>
          <w:sz w:val="16"/>
          <w:szCs w:val="16"/>
          <w:color w:val="auto"/>
        </w:rPr>
        <w:t>Phoenix, Arizona 85034</w:t>
      </w:r>
    </w:p>
    <w:p>
      <w:pPr>
        <w:jc w:val="center"/>
        <w:ind w:left="3240"/>
        <w:spacing w:after="0" w:line="237" w:lineRule="auto"/>
        <w:rPr>
          <w:sz w:val="20"/>
          <w:szCs w:val="20"/>
          <w:color w:val="auto"/>
        </w:rPr>
      </w:pPr>
      <w:r>
        <w:rPr>
          <w:rFonts w:ascii="Arial" w:cs="Arial" w:eastAsia="Arial" w:hAnsi="Arial"/>
          <w:sz w:val="16"/>
          <w:szCs w:val="16"/>
          <w:color w:val="auto"/>
        </w:rPr>
        <w:t>AND</w:t>
      </w:r>
    </w:p>
    <w:p>
      <w:pPr>
        <w:jc w:val="center"/>
        <w:ind w:left="3240"/>
        <w:spacing w:after="0" w:line="238" w:lineRule="auto"/>
        <w:rPr>
          <w:sz w:val="20"/>
          <w:szCs w:val="20"/>
          <w:color w:val="auto"/>
        </w:rPr>
      </w:pPr>
      <w:r>
        <w:rPr>
          <w:rFonts w:ascii="Arial" w:cs="Arial" w:eastAsia="Arial" w:hAnsi="Arial"/>
          <w:sz w:val="16"/>
          <w:szCs w:val="16"/>
          <w:color w:val="auto"/>
        </w:rPr>
        <w:t>Via Webcast at</w:t>
      </w:r>
    </w:p>
    <w:p>
      <w:pPr>
        <w:jc w:val="center"/>
        <w:ind w:left="3240"/>
        <w:spacing w:after="0" w:line="237" w:lineRule="auto"/>
        <w:rPr>
          <w:sz w:val="20"/>
          <w:szCs w:val="20"/>
          <w:color w:val="auto"/>
        </w:rPr>
      </w:pPr>
      <w:r>
        <w:rPr>
          <w:rFonts w:ascii="Arial" w:cs="Arial" w:eastAsia="Arial" w:hAnsi="Arial"/>
          <w:sz w:val="16"/>
          <w:szCs w:val="16"/>
          <w:color w:val="auto"/>
        </w:rPr>
        <w:t>www.virtualshareholder</w:t>
      </w:r>
    </w:p>
    <w:p>
      <w:pPr>
        <w:spacing w:after="0" w:line="1" w:lineRule="exact"/>
        <w:rPr>
          <w:sz w:val="20"/>
          <w:szCs w:val="20"/>
          <w:color w:val="auto"/>
        </w:rPr>
      </w:pPr>
    </w:p>
    <w:p>
      <w:pPr>
        <w:jc w:val="center"/>
        <w:ind w:left="2940"/>
        <w:spacing w:after="0"/>
        <w:rPr>
          <w:sz w:val="20"/>
          <w:szCs w:val="20"/>
          <w:color w:val="auto"/>
        </w:rPr>
      </w:pPr>
      <w:r>
        <w:rPr>
          <w:rFonts w:ascii="Arial" w:cs="Arial" w:eastAsia="Arial" w:hAnsi="Arial"/>
          <w:sz w:val="16"/>
          <w:szCs w:val="16"/>
          <w:color w:val="auto"/>
        </w:rPr>
        <w:t>meeting.com/AVT2020</w:t>
      </w:r>
    </w:p>
    <w:p>
      <w:pPr>
        <w:sectPr>
          <w:pgSz w:w="11900" w:h="16838" w:orient="portrait"/>
          <w:cols w:equalWidth="0" w:num="1">
            <w:col w:w="11260"/>
          </w:cols>
          <w:pgMar w:left="320" w:top="122" w:right="31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PROPOSALS AND BOARD RECOMMENDATIONS</w:t>
      </w: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53C072"/>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5612130" cy="3543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12130" cy="354330"/>
                    </a:xfrm>
                    <a:prstGeom prst="rect">
                      <a:avLst/>
                    </a:prstGeom>
                    <a:noFill/>
                  </pic:spPr>
                </pic:pic>
              </a:graphicData>
            </a:graphic>
          </wp:anchor>
        </w:drawing>
      </w:r>
    </w:p>
    <w:p>
      <w:pPr>
        <w:spacing w:after="0" w:line="159" w:lineRule="exact"/>
        <w:rPr>
          <w:sz w:val="20"/>
          <w:szCs w:val="20"/>
          <w:color w:val="auto"/>
        </w:rPr>
      </w:pPr>
    </w:p>
    <w:p>
      <w:pPr>
        <w:ind w:left="860" w:hanging="590"/>
        <w:spacing w:after="0"/>
        <w:tabs>
          <w:tab w:leader="none" w:pos="860" w:val="left"/>
        </w:tabs>
        <w:numPr>
          <w:ilvl w:val="0"/>
          <w:numId w:val="5"/>
        </w:numPr>
        <w:rPr>
          <w:rFonts w:ascii="Arial" w:cs="Arial" w:eastAsia="Arial" w:hAnsi="Arial"/>
          <w:sz w:val="29"/>
          <w:szCs w:val="29"/>
          <w:b w:val="1"/>
          <w:bCs w:val="1"/>
          <w:color w:val="FFFFFE"/>
        </w:rPr>
      </w:pPr>
      <w:r>
        <w:rPr>
          <w:rFonts w:ascii="Arial" w:cs="Arial" w:eastAsia="Arial" w:hAnsi="Arial"/>
          <w:sz w:val="16"/>
          <w:szCs w:val="16"/>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155575</wp:posOffset>
            </wp:positionV>
            <wp:extent cx="5612130" cy="3543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12130" cy="354330"/>
                    </a:xfrm>
                    <a:prstGeom prst="rect">
                      <a:avLst/>
                    </a:prstGeom>
                    <a:noFill/>
                  </pic:spPr>
                </pic:pic>
              </a:graphicData>
            </a:graphic>
          </wp:anchor>
        </w:drawing>
      </w:r>
    </w:p>
    <w:p>
      <w:pPr>
        <w:spacing w:after="0" w:line="387" w:lineRule="exact"/>
        <w:rPr>
          <w:sz w:val="20"/>
          <w:szCs w:val="20"/>
          <w:color w:val="auto"/>
        </w:rPr>
      </w:pPr>
    </w:p>
    <w:p>
      <w:pPr>
        <w:ind w:left="860" w:hanging="590"/>
        <w:spacing w:after="0"/>
        <w:tabs>
          <w:tab w:leader="none" w:pos="860" w:val="left"/>
        </w:tabs>
        <w:numPr>
          <w:ilvl w:val="0"/>
          <w:numId w:val="6"/>
        </w:numPr>
        <w:rPr>
          <w:rFonts w:ascii="Arial" w:cs="Arial" w:eastAsia="Arial" w:hAnsi="Arial"/>
          <w:sz w:val="29"/>
          <w:szCs w:val="29"/>
          <w:b w:val="1"/>
          <w:bCs w:val="1"/>
          <w:color w:val="FFFFFE"/>
        </w:rPr>
      </w:pPr>
      <w:r>
        <w:rPr>
          <w:rFonts w:ascii="Arial" w:cs="Arial" w:eastAsia="Arial" w:hAnsi="Arial"/>
          <w:sz w:val="16"/>
          <w:szCs w:val="16"/>
          <w:b w:val="1"/>
          <w:bCs w:val="1"/>
          <w:color w:val="auto"/>
        </w:rPr>
        <w:t>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155575</wp:posOffset>
            </wp:positionV>
            <wp:extent cx="5612130" cy="3543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12130" cy="354330"/>
                    </a:xfrm>
                    <a:prstGeom prst="rect">
                      <a:avLst/>
                    </a:prstGeom>
                    <a:noFill/>
                  </pic:spPr>
                </pic:pic>
              </a:graphicData>
            </a:graphic>
          </wp:anchor>
        </w:drawing>
      </w:r>
    </w:p>
    <w:p>
      <w:pPr>
        <w:spacing w:after="0" w:line="399" w:lineRule="exact"/>
        <w:rPr>
          <w:sz w:val="20"/>
          <w:szCs w:val="20"/>
          <w:color w:val="auto"/>
        </w:rPr>
      </w:pPr>
    </w:p>
    <w:p>
      <w:pPr>
        <w:ind w:left="820" w:hanging="550"/>
        <w:spacing w:after="0"/>
        <w:tabs>
          <w:tab w:leader="none" w:pos="820" w:val="left"/>
        </w:tabs>
        <w:numPr>
          <w:ilvl w:val="0"/>
          <w:numId w:val="7"/>
        </w:numPr>
        <w:rPr>
          <w:rFonts w:ascii="Arial" w:cs="Arial" w:eastAsia="Arial" w:hAnsi="Arial"/>
          <w:sz w:val="28"/>
          <w:szCs w:val="28"/>
          <w:b w:val="1"/>
          <w:bCs w:val="1"/>
          <w:color w:val="FFFFFE"/>
        </w:rPr>
      </w:pPr>
      <w:r>
        <w:rPr>
          <w:rFonts w:ascii="Arial" w:cs="Arial" w:eastAsia="Arial" w:hAnsi="Arial"/>
          <w:sz w:val="15"/>
          <w:szCs w:val="15"/>
          <w:b w:val="1"/>
          <w:bCs w:val="1"/>
          <w:color w:val="auto"/>
        </w:rPr>
        <w:t>Ratification of independent registered public accounting firm</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143510</wp:posOffset>
            </wp:positionV>
            <wp:extent cx="3500120" cy="6089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00120" cy="60896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53C072"/>
        </w:rPr>
        <w:t>INTERNET</w:t>
      </w:r>
    </w:p>
    <w:p>
      <w:pPr>
        <w:spacing w:after="0" w:line="134" w:lineRule="exact"/>
        <w:rPr>
          <w:sz w:val="20"/>
          <w:szCs w:val="20"/>
          <w:color w:val="auto"/>
        </w:rPr>
      </w:pPr>
    </w:p>
    <w:p>
      <w:pPr>
        <w:ind w:left="360" w:right="1640"/>
        <w:spacing w:after="0" w:line="275" w:lineRule="auto"/>
        <w:rPr>
          <w:sz w:val="20"/>
          <w:szCs w:val="20"/>
          <w:color w:val="auto"/>
        </w:rPr>
      </w:pPr>
      <w:r>
        <w:rPr>
          <w:rFonts w:ascii="Arial" w:cs="Arial" w:eastAsia="Arial" w:hAnsi="Arial"/>
          <w:sz w:val="16"/>
          <w:szCs w:val="16"/>
          <w:color w:val="auto"/>
        </w:rPr>
        <w:t>Visit the website noted on your proxycard to vote 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3500120" cy="6089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00120" cy="608965"/>
                    </a:xfrm>
                    <a:prstGeom prst="rect">
                      <a:avLst/>
                    </a:prstGeom>
                    <a:noFill/>
                  </pic:spPr>
                </pic:pic>
              </a:graphicData>
            </a:graphic>
          </wp:anchor>
        </w:drawing>
      </w:r>
    </w:p>
    <w:p>
      <w:pPr>
        <w:spacing w:after="0" w:line="382"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53C072"/>
        </w:rPr>
        <w:t>TELEPHONE</w:t>
      </w:r>
    </w:p>
    <w:p>
      <w:pPr>
        <w:spacing w:after="0" w:line="134" w:lineRule="exact"/>
        <w:rPr>
          <w:sz w:val="20"/>
          <w:szCs w:val="20"/>
          <w:color w:val="auto"/>
        </w:rPr>
      </w:pPr>
    </w:p>
    <w:p>
      <w:pPr>
        <w:ind w:left="360" w:right="1600"/>
        <w:spacing w:after="0" w:line="275" w:lineRule="auto"/>
        <w:rPr>
          <w:sz w:val="20"/>
          <w:szCs w:val="20"/>
          <w:color w:val="auto"/>
        </w:rPr>
      </w:pPr>
      <w:r>
        <w:rPr>
          <w:rFonts w:ascii="Arial" w:cs="Arial" w:eastAsia="Arial" w:hAnsi="Arial"/>
          <w:sz w:val="16"/>
          <w:szCs w:val="16"/>
          <w:color w:val="auto"/>
        </w:rPr>
        <w:t>Use the toll-free telephone number on your proxy card to vote by telephone.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ind w:left="3360"/>
        <w:spacing w:after="0"/>
        <w:tabs>
          <w:tab w:leader="none" w:pos="4580" w:val="left"/>
        </w:tabs>
        <w:rPr>
          <w:sz w:val="20"/>
          <w:szCs w:val="20"/>
          <w:color w:val="auto"/>
        </w:rPr>
      </w:pPr>
      <w:r>
        <w:rPr>
          <w:rFonts w:ascii="Arial" w:cs="Arial" w:eastAsia="Arial" w:hAnsi="Arial"/>
          <w:sz w:val="16"/>
          <w:szCs w:val="16"/>
          <w:b w:val="1"/>
          <w:bCs w:val="1"/>
          <w:color w:val="53C072"/>
        </w:rPr>
        <w:t>Board</w:t>
      </w:r>
      <w:r>
        <w:rPr>
          <w:sz w:val="20"/>
          <w:szCs w:val="20"/>
          <w:color w:val="auto"/>
        </w:rPr>
        <w:tab/>
      </w:r>
      <w:r>
        <w:rPr>
          <w:rFonts w:ascii="Arial" w:cs="Arial" w:eastAsia="Arial" w:hAnsi="Arial"/>
          <w:sz w:val="16"/>
          <w:szCs w:val="16"/>
          <w:b w:val="1"/>
          <w:bCs w:val="1"/>
          <w:color w:val="53C072"/>
        </w:rPr>
        <w:t>Page</w:t>
      </w:r>
    </w:p>
    <w:p>
      <w:pPr>
        <w:spacing w:after="0" w:line="20" w:lineRule="exact"/>
        <w:rPr>
          <w:sz w:val="20"/>
          <w:szCs w:val="20"/>
          <w:color w:val="auto"/>
        </w:rPr>
      </w:pPr>
    </w:p>
    <w:p>
      <w:pPr>
        <w:jc w:val="right"/>
        <w:ind w:right="20"/>
        <w:spacing w:after="0"/>
        <w:tabs>
          <w:tab w:leader="none" w:pos="740" w:val="left"/>
        </w:tabs>
        <w:rPr>
          <w:sz w:val="20"/>
          <w:szCs w:val="20"/>
          <w:color w:val="auto"/>
        </w:rPr>
      </w:pPr>
      <w:r>
        <w:rPr>
          <w:rFonts w:ascii="Arial" w:cs="Arial" w:eastAsia="Arial" w:hAnsi="Arial"/>
          <w:sz w:val="16"/>
          <w:szCs w:val="16"/>
          <w:b w:val="1"/>
          <w:bCs w:val="1"/>
          <w:color w:val="53C072"/>
        </w:rPr>
        <w:t>Recommendation</w:t>
      </w:r>
      <w:r>
        <w:rPr>
          <w:sz w:val="20"/>
          <w:szCs w:val="20"/>
          <w:color w:val="auto"/>
        </w:rPr>
        <w:tab/>
      </w:r>
      <w:r>
        <w:rPr>
          <w:rFonts w:ascii="Arial" w:cs="Arial" w:eastAsia="Arial" w:hAnsi="Arial"/>
          <w:sz w:val="15"/>
          <w:szCs w:val="15"/>
          <w:b w:val="1"/>
          <w:bCs w:val="1"/>
          <w:color w:val="53C072"/>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-2540</wp:posOffset>
            </wp:positionV>
            <wp:extent cx="1534160" cy="3543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34160" cy="354330"/>
                    </a:xfrm>
                    <a:prstGeom prst="rect">
                      <a:avLst/>
                    </a:prstGeom>
                    <a:noFill/>
                  </pic:spPr>
                </pic:pic>
              </a:graphicData>
            </a:graphic>
          </wp:anchor>
        </w:drawing>
      </w:r>
    </w:p>
    <w:p>
      <w:pPr>
        <w:spacing w:after="0" w:line="167" w:lineRule="exact"/>
        <w:rPr>
          <w:sz w:val="20"/>
          <w:szCs w:val="20"/>
          <w:color w:val="auto"/>
        </w:rPr>
      </w:pPr>
    </w:p>
    <w:p>
      <w:pPr>
        <w:ind w:left="3380"/>
        <w:spacing w:after="0"/>
        <w:tabs>
          <w:tab w:leader="none" w:pos="4740" w:val="left"/>
        </w:tabs>
        <w:rPr>
          <w:sz w:val="20"/>
          <w:szCs w:val="20"/>
          <w:color w:val="auto"/>
        </w:rPr>
      </w:pPr>
      <w:r>
        <w:rPr>
          <w:rFonts w:ascii="Arial" w:cs="Arial" w:eastAsia="Arial" w:hAnsi="Arial"/>
          <w:sz w:val="22"/>
          <w:szCs w:val="22"/>
          <w:b w:val="1"/>
          <w:bCs w:val="1"/>
          <w:color w:val="FFFFFE"/>
        </w:rPr>
        <w:t>FOR</w:t>
      </w:r>
      <w:r>
        <w:rPr>
          <w:sz w:val="20"/>
          <w:szCs w:val="20"/>
          <w:color w:val="auto"/>
        </w:rPr>
        <w:tab/>
      </w:r>
      <w:r>
        <w:rPr>
          <w:rFonts w:ascii="Arial" w:cs="Arial" w:eastAsia="Arial" w:hAnsi="Arial"/>
          <w:sz w:val="16"/>
          <w:szCs w:val="16"/>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187960</wp:posOffset>
            </wp:positionV>
            <wp:extent cx="1534160" cy="3543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34160" cy="35433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3380"/>
        <w:spacing w:after="0"/>
        <w:tabs>
          <w:tab w:leader="none" w:pos="4680" w:val="left"/>
        </w:tabs>
        <w:rPr>
          <w:sz w:val="20"/>
          <w:szCs w:val="20"/>
          <w:color w:val="auto"/>
        </w:rPr>
      </w:pPr>
      <w:r>
        <w:rPr>
          <w:rFonts w:ascii="Arial" w:cs="Arial" w:eastAsia="Arial" w:hAnsi="Arial"/>
          <w:sz w:val="22"/>
          <w:szCs w:val="22"/>
          <w:b w:val="1"/>
          <w:bCs w:val="1"/>
          <w:color w:val="FFFFFE"/>
        </w:rPr>
        <w:t>FOR</w:t>
      </w:r>
      <w:r>
        <w:rPr>
          <w:sz w:val="20"/>
          <w:szCs w:val="20"/>
          <w:color w:val="auto"/>
        </w:rPr>
        <w:tab/>
      </w:r>
      <w:r>
        <w:rPr>
          <w:rFonts w:ascii="Arial" w:cs="Arial" w:eastAsia="Arial" w:hAnsi="Arial"/>
          <w:sz w:val="16"/>
          <w:szCs w:val="16"/>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187960</wp:posOffset>
            </wp:positionV>
            <wp:extent cx="1534160" cy="3543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34160" cy="35433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3380"/>
        <w:spacing w:after="0"/>
        <w:tabs>
          <w:tab w:leader="none" w:pos="4680" w:val="left"/>
        </w:tabs>
        <w:rPr>
          <w:sz w:val="20"/>
          <w:szCs w:val="20"/>
          <w:color w:val="auto"/>
        </w:rPr>
      </w:pPr>
      <w:r>
        <w:rPr>
          <w:rFonts w:ascii="Arial" w:cs="Arial" w:eastAsia="Arial" w:hAnsi="Arial"/>
          <w:sz w:val="22"/>
          <w:szCs w:val="22"/>
          <w:b w:val="1"/>
          <w:bCs w:val="1"/>
          <w:color w:val="FFFFFE"/>
        </w:rPr>
        <w:t>FOR</w:t>
      </w:r>
      <w:r>
        <w:rPr>
          <w:sz w:val="20"/>
          <w:szCs w:val="20"/>
          <w:color w:val="auto"/>
        </w:rPr>
        <w:tab/>
      </w:r>
      <w:r>
        <w:rPr>
          <w:rFonts w:ascii="Arial" w:cs="Arial" w:eastAsia="Arial" w:hAnsi="Arial"/>
          <w:sz w:val="16"/>
          <w:szCs w:val="16"/>
          <w:b w:val="1"/>
          <w:b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457835</wp:posOffset>
            </wp:positionV>
            <wp:extent cx="3530600" cy="6089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3060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53C072"/>
        </w:rPr>
        <w:t>MAIL</w:t>
      </w:r>
    </w:p>
    <w:p>
      <w:pPr>
        <w:spacing w:after="0" w:line="182" w:lineRule="exact"/>
        <w:rPr>
          <w:sz w:val="20"/>
          <w:szCs w:val="20"/>
          <w:color w:val="auto"/>
        </w:rPr>
      </w:pPr>
    </w:p>
    <w:p>
      <w:pPr>
        <w:ind w:right="2120"/>
        <w:spacing w:after="0" w:line="275" w:lineRule="auto"/>
        <w:rPr>
          <w:sz w:val="20"/>
          <w:szCs w:val="20"/>
          <w:color w:val="auto"/>
        </w:rPr>
      </w:pPr>
      <w:r>
        <w:rPr>
          <w:rFonts w:ascii="Arial" w:cs="Arial" w:eastAsia="Arial" w:hAnsi="Arial"/>
          <w:sz w:val="16"/>
          <w:szCs w:val="16"/>
          <w:color w:val="auto"/>
        </w:rPr>
        <w:t>Sign, date, and return your proxy card in the enclosed envelope to vote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90170</wp:posOffset>
            </wp:positionV>
            <wp:extent cx="3530600" cy="6089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30600" cy="608965"/>
                    </a:xfrm>
                    <a:prstGeom prst="rect">
                      <a:avLst/>
                    </a:prstGeom>
                    <a:noFill/>
                  </pic:spPr>
                </pic:pic>
              </a:graphicData>
            </a:graphic>
          </wp:anchor>
        </w:drawing>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53C072"/>
        </w:rPr>
        <w:t>IN PERSON</w:t>
      </w:r>
    </w:p>
    <w:p>
      <w:pPr>
        <w:spacing w:after="0" w:line="182" w:lineRule="exact"/>
        <w:rPr>
          <w:sz w:val="20"/>
          <w:szCs w:val="20"/>
          <w:color w:val="auto"/>
        </w:rPr>
      </w:pPr>
    </w:p>
    <w:p>
      <w:pPr>
        <w:ind w:right="1700"/>
        <w:spacing w:after="0" w:line="275" w:lineRule="auto"/>
        <w:rPr>
          <w:sz w:val="20"/>
          <w:szCs w:val="20"/>
          <w:color w:val="auto"/>
        </w:rPr>
      </w:pPr>
      <w:r>
        <w:rPr>
          <w:rFonts w:ascii="Arial" w:cs="Arial" w:eastAsia="Arial" w:hAnsi="Arial"/>
          <w:sz w:val="16"/>
          <w:szCs w:val="16"/>
          <w:color w:val="auto"/>
        </w:rPr>
        <w:t>Cast your vote in person, including virtually via the webcast, at the annual meeting.</w:t>
      </w:r>
    </w:p>
    <w:p>
      <w:pPr>
        <w:spacing w:after="0" w:line="200" w:lineRule="exact"/>
        <w:rPr>
          <w:sz w:val="20"/>
          <w:szCs w:val="20"/>
          <w:color w:val="auto"/>
        </w:rPr>
      </w:pPr>
    </w:p>
    <w:p>
      <w:pPr>
        <w:sectPr>
          <w:pgSz w:w="11900" w:h="16838" w:orient="portrait"/>
          <w:cols w:equalWidth="0" w:num="2">
            <w:col w:w="5400" w:space="660"/>
            <w:col w:w="5200"/>
          </w:cols>
          <w:pgMar w:left="320" w:top="122" w:right="319" w:bottom="1440" w:gutter="0" w:footer="0" w:header="0"/>
          <w:type w:val="continuous"/>
        </w:sectPr>
      </w:pPr>
    </w:p>
    <w:p>
      <w:pPr>
        <w:spacing w:after="0" w:line="152" w:lineRule="exact"/>
        <w:rPr>
          <w:sz w:val="20"/>
          <w:szCs w:val="20"/>
          <w:color w:val="auto"/>
        </w:rPr>
      </w:pPr>
    </w:p>
    <w:p>
      <w:pPr>
        <w:ind w:left="11160" w:hanging="434"/>
        <w:spacing w:after="0"/>
        <w:tabs>
          <w:tab w:leader="none" w:pos="11160" w:val="left"/>
        </w:tabs>
        <w:numPr>
          <w:ilvl w:val="0"/>
          <w:numId w:val="8"/>
        </w:numPr>
        <w:rPr>
          <w:rFonts w:ascii="Arial" w:cs="Arial" w:eastAsia="Arial" w:hAnsi="Arial"/>
          <w:sz w:val="23"/>
          <w:szCs w:val="23"/>
          <w:b w:val="1"/>
          <w:bCs w:val="1"/>
          <w:color w:val="53C072"/>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112395</wp:posOffset>
            </wp:positionV>
            <wp:extent cx="7151370"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-170180</wp:posOffset>
            </wp:positionV>
            <wp:extent cx="1664970" cy="1231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13"/>
        </w:trPr>
        <w:tc>
          <w:tcPr>
            <w:tcW w:w="4780" w:type="dxa"/>
            <w:vAlign w:val="bottom"/>
            <w:gridSpan w:val="2"/>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4780" w:type="dxa"/>
            <w:vAlign w:val="bottom"/>
            <w:gridSpan w:val="2"/>
          </w:tcPr>
          <w:p>
            <w:pPr>
              <w:spacing w:after="0"/>
              <w:rPr>
                <w:sz w:val="20"/>
                <w:szCs w:val="20"/>
                <w:color w:val="auto"/>
              </w:rPr>
            </w:pPr>
            <w:r>
              <w:rPr>
                <w:rFonts w:ascii="Arial" w:cs="Arial" w:eastAsia="Arial" w:hAnsi="Arial"/>
                <w:sz w:val="13"/>
                <w:szCs w:val="13"/>
                <w:b w:val="1"/>
                <w:bCs w:val="1"/>
                <w:color w:val="53C072"/>
              </w:rPr>
              <w:t>2020 ANNUAL</w:t>
            </w: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vMerge w:val="restart"/>
          </w:tcPr>
          <w:p>
            <w:pPr>
              <w:ind w:left="100"/>
              <w:spacing w:after="0"/>
              <w:rPr>
                <w:sz w:val="20"/>
                <w:szCs w:val="20"/>
                <w:color w:val="auto"/>
              </w:rPr>
            </w:pPr>
            <w:r>
              <w:rPr>
                <w:rFonts w:ascii="Arial" w:cs="Arial" w:eastAsia="Arial" w:hAnsi="Arial"/>
                <w:sz w:val="13"/>
                <w:szCs w:val="13"/>
                <w:color w:val="auto"/>
                <w:w w:val="97"/>
              </w:rPr>
              <w:t>Proxy Summary</w:t>
            </w:r>
          </w:p>
        </w:tc>
        <w:tc>
          <w:tcPr>
            <w:tcW w:w="0" w:type="dxa"/>
            <w:vAlign w:val="bottom"/>
          </w:tcPr>
          <w:p>
            <w:pPr>
              <w:spacing w:after="0"/>
              <w:rPr>
                <w:sz w:val="1"/>
                <w:szCs w:val="1"/>
                <w:color w:val="auto"/>
              </w:rPr>
            </w:pPr>
          </w:p>
        </w:tc>
      </w:tr>
      <w:tr>
        <w:trPr>
          <w:trHeight w:val="102"/>
        </w:trPr>
        <w:tc>
          <w:tcPr>
            <w:tcW w:w="47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478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2"/>
        </w:trPr>
        <w:tc>
          <w:tcPr>
            <w:tcW w:w="4780" w:type="dxa"/>
            <w:vAlign w:val="bottom"/>
            <w:gridSpan w:val="2"/>
          </w:tcPr>
          <w:p>
            <w:pPr>
              <w:spacing w:after="0"/>
              <w:rPr>
                <w:sz w:val="20"/>
                <w:szCs w:val="20"/>
                <w:color w:val="auto"/>
              </w:rPr>
            </w:pPr>
            <w:r>
              <w:rPr>
                <w:rFonts w:ascii="Arial" w:cs="Arial" w:eastAsia="Arial" w:hAnsi="Arial"/>
                <w:sz w:val="19"/>
                <w:szCs w:val="19"/>
                <w:b w:val="1"/>
                <w:bCs w:val="1"/>
                <w:color w:val="53C072"/>
              </w:rPr>
              <w:t>SNAPSHOT OF 2020 DIRECTOR NOMINEES</w:t>
            </w: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12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Director</w:t>
            </w:r>
          </w:p>
        </w:tc>
        <w:tc>
          <w:tcPr>
            <w:tcW w:w="900" w:type="dxa"/>
            <w:vAlign w:val="bottom"/>
          </w:tcPr>
          <w:p>
            <w:pPr>
              <w:spacing w:after="0"/>
              <w:rPr>
                <w:sz w:val="24"/>
                <w:szCs w:val="24"/>
                <w:color w:val="auto"/>
              </w:rPr>
            </w:pPr>
          </w:p>
        </w:tc>
        <w:tc>
          <w:tcPr>
            <w:tcW w:w="340" w:type="dxa"/>
            <w:vAlign w:val="bottom"/>
            <w:tcBorders>
              <w:bottom w:val="single" w:sz="8" w:color="53C072"/>
            </w:tcBorders>
          </w:tcPr>
          <w:p>
            <w:pPr>
              <w:spacing w:after="0"/>
              <w:rPr>
                <w:sz w:val="24"/>
                <w:szCs w:val="24"/>
                <w:color w:val="auto"/>
              </w:rPr>
            </w:pPr>
          </w:p>
        </w:tc>
        <w:tc>
          <w:tcPr>
            <w:tcW w:w="340" w:type="dxa"/>
            <w:vAlign w:val="bottom"/>
            <w:tcBorders>
              <w:bottom w:val="single" w:sz="8" w:color="53C072"/>
            </w:tcBorders>
          </w:tcPr>
          <w:p>
            <w:pPr>
              <w:spacing w:after="0"/>
              <w:rPr>
                <w:sz w:val="24"/>
                <w:szCs w:val="24"/>
                <w:color w:val="auto"/>
              </w:rPr>
            </w:pPr>
          </w:p>
        </w:tc>
        <w:tc>
          <w:tcPr>
            <w:tcW w:w="80" w:type="dxa"/>
            <w:vAlign w:val="bottom"/>
            <w:tcBorders>
              <w:bottom w:val="single" w:sz="8" w:color="53C072"/>
            </w:tcBorders>
          </w:tcPr>
          <w:p>
            <w:pPr>
              <w:spacing w:after="0"/>
              <w:rPr>
                <w:sz w:val="24"/>
                <w:szCs w:val="24"/>
                <w:color w:val="auto"/>
              </w:rPr>
            </w:pPr>
          </w:p>
        </w:tc>
        <w:tc>
          <w:tcPr>
            <w:tcW w:w="360" w:type="dxa"/>
            <w:vAlign w:val="bottom"/>
            <w:tcBorders>
              <w:bottom w:val="single" w:sz="8" w:color="53C072"/>
            </w:tcBorders>
          </w:tcPr>
          <w:p>
            <w:pPr>
              <w:spacing w:after="0"/>
              <w:rPr>
                <w:sz w:val="24"/>
                <w:szCs w:val="24"/>
                <w:color w:val="auto"/>
              </w:rPr>
            </w:pPr>
          </w:p>
        </w:tc>
        <w:tc>
          <w:tcPr>
            <w:tcW w:w="1820" w:type="dxa"/>
            <w:vAlign w:val="bottom"/>
            <w:tcBorders>
              <w:bottom w:val="single" w:sz="8" w:color="53C072"/>
            </w:tcBorders>
            <w:gridSpan w:val="5"/>
          </w:tcPr>
          <w:p>
            <w:pPr>
              <w:jc w:val="center"/>
              <w:ind w:right="495"/>
              <w:spacing w:after="0"/>
              <w:rPr>
                <w:sz w:val="20"/>
                <w:szCs w:val="20"/>
                <w:color w:val="auto"/>
              </w:rPr>
            </w:pPr>
            <w:r>
              <w:rPr>
                <w:rFonts w:ascii="Arial" w:cs="Arial" w:eastAsia="Arial" w:hAnsi="Arial"/>
                <w:sz w:val="13"/>
                <w:szCs w:val="13"/>
                <w:b w:val="1"/>
                <w:bCs w:val="1"/>
                <w:color w:val="auto"/>
                <w:w w:val="99"/>
              </w:rPr>
              <w:t>Avnet Committees</w:t>
            </w:r>
          </w:p>
        </w:tc>
        <w:tc>
          <w:tcPr>
            <w:tcW w:w="80" w:type="dxa"/>
            <w:vAlign w:val="bottom"/>
            <w:tcBorders>
              <w:bottom w:val="single" w:sz="8" w:color="53C072"/>
            </w:tcBorders>
          </w:tcPr>
          <w:p>
            <w:pPr>
              <w:spacing w:after="0"/>
              <w:rPr>
                <w:sz w:val="24"/>
                <w:szCs w:val="24"/>
                <w:color w:val="auto"/>
              </w:rPr>
            </w:pPr>
          </w:p>
        </w:tc>
        <w:tc>
          <w:tcPr>
            <w:tcW w:w="500" w:type="dxa"/>
            <w:vAlign w:val="bottom"/>
            <w:tcBorders>
              <w:bottom w:val="single" w:sz="8" w:color="53C072"/>
            </w:tcBorders>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20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Age</w:t>
            </w:r>
          </w:p>
        </w:tc>
        <w:tc>
          <w:tcPr>
            <w:tcW w:w="60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Independent</w:t>
            </w:r>
          </w:p>
        </w:tc>
        <w:tc>
          <w:tcPr>
            <w:tcW w:w="340" w:type="dxa"/>
            <w:vAlign w:val="bottom"/>
            <w:vMerge w:val="restart"/>
          </w:tcPr>
          <w:p>
            <w:pPr>
              <w:jc w:val="center"/>
              <w:ind w:left="115"/>
              <w:spacing w:after="0"/>
              <w:rPr>
                <w:sz w:val="20"/>
                <w:szCs w:val="20"/>
                <w:color w:val="auto"/>
              </w:rPr>
            </w:pPr>
            <w:r>
              <w:rPr>
                <w:rFonts w:ascii="Arial" w:cs="Arial" w:eastAsia="Arial" w:hAnsi="Arial"/>
                <w:sz w:val="13"/>
                <w:szCs w:val="13"/>
                <w:b w:val="1"/>
                <w:bCs w:val="1"/>
                <w:color w:val="auto"/>
              </w:rPr>
              <w:t>A</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vMerge w:val="restart"/>
          </w:tcPr>
          <w:p>
            <w:pPr>
              <w:jc w:val="center"/>
              <w:ind w:left="55"/>
              <w:spacing w:after="0"/>
              <w:rPr>
                <w:sz w:val="20"/>
                <w:szCs w:val="20"/>
                <w:color w:val="auto"/>
              </w:rPr>
            </w:pPr>
            <w:r>
              <w:rPr>
                <w:rFonts w:ascii="Arial" w:cs="Arial" w:eastAsia="Arial" w:hAnsi="Arial"/>
                <w:sz w:val="13"/>
                <w:szCs w:val="13"/>
                <w:b w:val="1"/>
                <w:bCs w:val="1"/>
                <w:color w:val="auto"/>
                <w:w w:val="84"/>
              </w:rPr>
              <w:t>C</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jc w:val="center"/>
              <w:ind w:right="113"/>
              <w:spacing w:after="0"/>
              <w:rPr>
                <w:sz w:val="20"/>
                <w:szCs w:val="20"/>
                <w:color w:val="auto"/>
              </w:rPr>
            </w:pPr>
            <w:r>
              <w:rPr>
                <w:rFonts w:ascii="Arial" w:cs="Arial" w:eastAsia="Arial" w:hAnsi="Arial"/>
                <w:sz w:val="13"/>
                <w:szCs w:val="13"/>
                <w:b w:val="1"/>
                <w:bCs w:val="1"/>
                <w:color w:val="auto"/>
              </w:rPr>
              <w:t>CG</w:t>
            </w:r>
          </w:p>
        </w:tc>
        <w:tc>
          <w:tcPr>
            <w:tcW w:w="80" w:type="dxa"/>
            <w:vAlign w:val="bottom"/>
          </w:tcPr>
          <w:p>
            <w:pPr>
              <w:spacing w:after="0"/>
              <w:rPr>
                <w:sz w:val="10"/>
                <w:szCs w:val="10"/>
                <w:color w:val="auto"/>
              </w:rPr>
            </w:pPr>
          </w:p>
        </w:tc>
        <w:tc>
          <w:tcPr>
            <w:tcW w:w="680" w:type="dxa"/>
            <w:vAlign w:val="bottom"/>
            <w:vMerge w:val="restart"/>
          </w:tcPr>
          <w:p>
            <w:pPr>
              <w:jc w:val="center"/>
              <w:ind w:right="135"/>
              <w:spacing w:after="0"/>
              <w:rPr>
                <w:sz w:val="20"/>
                <w:szCs w:val="20"/>
                <w:color w:val="auto"/>
              </w:rPr>
            </w:pPr>
            <w:r>
              <w:rPr>
                <w:rFonts w:ascii="Arial" w:cs="Arial" w:eastAsia="Arial" w:hAnsi="Arial"/>
                <w:sz w:val="13"/>
                <w:szCs w:val="13"/>
                <w:b w:val="1"/>
                <w:bCs w:val="1"/>
                <w:color w:val="auto"/>
              </w:rPr>
              <w:t>F</w:t>
            </w:r>
          </w:p>
        </w:tc>
        <w:tc>
          <w:tcPr>
            <w:tcW w:w="80" w:type="dxa"/>
            <w:vAlign w:val="bottom"/>
          </w:tcPr>
          <w:p>
            <w:pPr>
              <w:spacing w:after="0"/>
              <w:rPr>
                <w:sz w:val="10"/>
                <w:szCs w:val="10"/>
                <w:color w:val="auto"/>
              </w:rPr>
            </w:pPr>
          </w:p>
        </w:tc>
        <w:tc>
          <w:tcPr>
            <w:tcW w:w="1520" w:type="dxa"/>
            <w:vAlign w:val="bottom"/>
            <w:gridSpan w:val="2"/>
            <w:vMerge w:val="restart"/>
          </w:tcPr>
          <w:p>
            <w:pPr>
              <w:jc w:val="center"/>
              <w:ind w:right="975"/>
              <w:spacing w:after="0"/>
              <w:rPr>
                <w:sz w:val="20"/>
                <w:szCs w:val="20"/>
                <w:color w:val="auto"/>
              </w:rPr>
            </w:pPr>
            <w:r>
              <w:rPr>
                <w:rFonts w:ascii="Arial" w:cs="Arial" w:eastAsia="Arial" w:hAnsi="Arial"/>
                <w:sz w:val="13"/>
                <w:szCs w:val="13"/>
                <w:b w:val="1"/>
                <w:bCs w:val="1"/>
                <w:color w:val="auto"/>
                <w:w w:val="91"/>
              </w:rPr>
              <w:t>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7"/>
              </w:rPr>
              <w:t>Since</w:t>
            </w:r>
          </w:p>
        </w:tc>
        <w:tc>
          <w:tcPr>
            <w:tcW w:w="90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200" w:type="dxa"/>
            <w:vAlign w:val="bottom"/>
          </w:tcPr>
          <w:p>
            <w:pPr>
              <w:spacing w:after="0"/>
              <w:rPr>
                <w:sz w:val="11"/>
                <w:szCs w:val="11"/>
                <w:color w:val="auto"/>
              </w:rPr>
            </w:pPr>
          </w:p>
        </w:tc>
        <w:tc>
          <w:tcPr>
            <w:tcW w:w="3580" w:type="dxa"/>
            <w:vAlign w:val="bottom"/>
            <w:tcBorders>
              <w:top w:val="single" w:sz="8" w:color="53C072"/>
            </w:tcBorders>
          </w:tcPr>
          <w:p>
            <w:pPr>
              <w:spacing w:after="0" w:line="134" w:lineRule="exact"/>
              <w:rPr>
                <w:sz w:val="20"/>
                <w:szCs w:val="20"/>
                <w:color w:val="auto"/>
              </w:rPr>
            </w:pPr>
            <w:r>
              <w:rPr>
                <w:rFonts w:ascii="Arial" w:cs="Arial" w:eastAsia="Arial" w:hAnsi="Arial"/>
                <w:sz w:val="13"/>
                <w:szCs w:val="13"/>
                <w:b w:val="1"/>
                <w:bCs w:val="1"/>
                <w:color w:val="auto"/>
              </w:rPr>
              <w:t>Rodney C. Adkins</w:t>
            </w:r>
          </w:p>
        </w:tc>
        <w:tc>
          <w:tcPr>
            <w:tcW w:w="440" w:type="dxa"/>
            <w:vAlign w:val="bottom"/>
            <w:tcBorders>
              <w:top w:val="single" w:sz="8" w:color="53C072"/>
            </w:tcBorders>
          </w:tcPr>
          <w:p>
            <w:pPr>
              <w:spacing w:after="0"/>
              <w:rPr>
                <w:sz w:val="11"/>
                <w:szCs w:val="11"/>
                <w:color w:val="auto"/>
              </w:rPr>
            </w:pPr>
          </w:p>
        </w:tc>
        <w:tc>
          <w:tcPr>
            <w:tcW w:w="600" w:type="dxa"/>
            <w:vAlign w:val="bottom"/>
            <w:tcBorders>
              <w:top w:val="single" w:sz="8" w:color="53C072"/>
            </w:tcBorders>
          </w:tcPr>
          <w:p>
            <w:pPr>
              <w:spacing w:after="0"/>
              <w:rPr>
                <w:sz w:val="11"/>
                <w:szCs w:val="11"/>
                <w:color w:val="auto"/>
              </w:rPr>
            </w:pPr>
          </w:p>
        </w:tc>
        <w:tc>
          <w:tcPr>
            <w:tcW w:w="900" w:type="dxa"/>
            <w:vAlign w:val="bottom"/>
            <w:tcBorders>
              <w:top w:val="single" w:sz="8" w:color="53C072"/>
            </w:tcBorders>
          </w:tcPr>
          <w:p>
            <w:pPr>
              <w:spacing w:after="0"/>
              <w:rPr>
                <w:sz w:val="11"/>
                <w:szCs w:val="11"/>
                <w:color w:val="auto"/>
              </w:rPr>
            </w:pPr>
          </w:p>
        </w:tc>
        <w:tc>
          <w:tcPr>
            <w:tcW w:w="340" w:type="dxa"/>
            <w:vAlign w:val="bottom"/>
            <w:tcBorders>
              <w:top w:val="single" w:sz="8" w:color="53C072"/>
            </w:tcBorders>
            <w:shd w:val="clear" w:color="auto" w:fill="DCDDDE"/>
          </w:tcPr>
          <w:p>
            <w:pPr>
              <w:spacing w:after="0"/>
              <w:rPr>
                <w:sz w:val="11"/>
                <w:szCs w:val="11"/>
                <w:color w:val="auto"/>
              </w:rPr>
            </w:pPr>
          </w:p>
        </w:tc>
        <w:tc>
          <w:tcPr>
            <w:tcW w:w="340" w:type="dxa"/>
            <w:vAlign w:val="bottom"/>
            <w:tcBorders>
              <w:top w:val="single" w:sz="8" w:color="53C072"/>
            </w:tcBorders>
            <w:shd w:val="clear" w:color="auto" w:fill="DCDDDE"/>
          </w:tcPr>
          <w:p>
            <w:pPr>
              <w:spacing w:after="0"/>
              <w:rPr>
                <w:sz w:val="11"/>
                <w:szCs w:val="11"/>
                <w:color w:val="auto"/>
              </w:rPr>
            </w:pPr>
          </w:p>
        </w:tc>
        <w:tc>
          <w:tcPr>
            <w:tcW w:w="80" w:type="dxa"/>
            <w:vAlign w:val="bottom"/>
            <w:tcBorders>
              <w:top w:val="single" w:sz="8" w:color="53C072"/>
            </w:tcBorders>
            <w:shd w:val="clear" w:color="auto" w:fill="DCDDDE"/>
          </w:tcPr>
          <w:p>
            <w:pPr>
              <w:spacing w:after="0"/>
              <w:rPr>
                <w:sz w:val="11"/>
                <w:szCs w:val="11"/>
                <w:color w:val="auto"/>
              </w:rPr>
            </w:pPr>
          </w:p>
        </w:tc>
        <w:tc>
          <w:tcPr>
            <w:tcW w:w="360" w:type="dxa"/>
            <w:vAlign w:val="bottom"/>
            <w:tcBorders>
              <w:top w:val="single" w:sz="8" w:color="53C072"/>
            </w:tcBorders>
            <w:vMerge w:val="restart"/>
            <w:shd w:val="clear" w:color="auto" w:fill="DCDDDE"/>
          </w:tcPr>
          <w:p>
            <w:pPr>
              <w:jc w:val="center"/>
              <w:ind w:left="55"/>
              <w:spacing w:after="0"/>
              <w:rPr>
                <w:sz w:val="20"/>
                <w:szCs w:val="20"/>
                <w:color w:val="auto"/>
              </w:rPr>
            </w:pPr>
            <w:r>
              <w:rPr>
                <w:rFonts w:ascii="Times New Roman" w:cs="Times New Roman" w:eastAsia="Times New Roman" w:hAnsi="Times New Roman"/>
                <w:sz w:val="13"/>
                <w:szCs w:val="13"/>
                <w:color w:val="53C072"/>
                <w:w w:val="91"/>
              </w:rPr>
              <w:t>·</w:t>
            </w:r>
          </w:p>
        </w:tc>
        <w:tc>
          <w:tcPr>
            <w:tcW w:w="320" w:type="dxa"/>
            <w:vAlign w:val="bottom"/>
            <w:tcBorders>
              <w:top w:val="single" w:sz="8" w:color="53C072"/>
              <w:right w:val="single" w:sz="8" w:color="FFFFFE"/>
            </w:tcBorders>
            <w:shd w:val="clear" w:color="auto" w:fill="DCDDDE"/>
          </w:tcPr>
          <w:p>
            <w:pPr>
              <w:spacing w:after="0"/>
              <w:rPr>
                <w:sz w:val="11"/>
                <w:szCs w:val="11"/>
                <w:color w:val="auto"/>
              </w:rPr>
            </w:pPr>
          </w:p>
        </w:tc>
        <w:tc>
          <w:tcPr>
            <w:tcW w:w="60" w:type="dxa"/>
            <w:vAlign w:val="bottom"/>
            <w:tcBorders>
              <w:top w:val="single" w:sz="8" w:color="53C072"/>
            </w:tcBorders>
            <w:shd w:val="clear" w:color="auto" w:fill="DCDDDE"/>
          </w:tcPr>
          <w:p>
            <w:pPr>
              <w:spacing w:after="0"/>
              <w:rPr>
                <w:sz w:val="11"/>
                <w:szCs w:val="11"/>
                <w:color w:val="auto"/>
              </w:rPr>
            </w:pPr>
          </w:p>
        </w:tc>
        <w:tc>
          <w:tcPr>
            <w:tcW w:w="680" w:type="dxa"/>
            <w:vAlign w:val="bottom"/>
            <w:tcBorders>
              <w:top w:val="single" w:sz="8" w:color="53C072"/>
            </w:tcBorders>
            <w:vMerge w:val="restart"/>
            <w:shd w:val="clear" w:color="auto" w:fill="DCDDDE"/>
          </w:tcPr>
          <w:p>
            <w:pPr>
              <w:jc w:val="center"/>
              <w:ind w:right="133"/>
              <w:spacing w:after="0"/>
              <w:rPr>
                <w:sz w:val="20"/>
                <w:szCs w:val="20"/>
                <w:color w:val="auto"/>
              </w:rPr>
            </w:pPr>
            <w:r>
              <w:rPr>
                <w:rFonts w:ascii="Times New Roman" w:cs="Times New Roman" w:eastAsia="Times New Roman" w:hAnsi="Times New Roman"/>
                <w:sz w:val="8"/>
                <w:szCs w:val="8"/>
                <w:color w:val="53C072"/>
                <w:w w:val="73"/>
              </w:rPr>
              <w:t>·</w:t>
            </w:r>
          </w:p>
        </w:tc>
        <w:tc>
          <w:tcPr>
            <w:tcW w:w="80" w:type="dxa"/>
            <w:vAlign w:val="bottom"/>
            <w:tcBorders>
              <w:top w:val="single" w:sz="8" w:color="53C072"/>
            </w:tcBorders>
            <w:shd w:val="clear" w:color="auto" w:fill="DCDDDE"/>
          </w:tcPr>
          <w:p>
            <w:pPr>
              <w:spacing w:after="0"/>
              <w:rPr>
                <w:sz w:val="11"/>
                <w:szCs w:val="11"/>
                <w:color w:val="auto"/>
              </w:rPr>
            </w:pPr>
          </w:p>
        </w:tc>
        <w:tc>
          <w:tcPr>
            <w:tcW w:w="680" w:type="dxa"/>
            <w:vAlign w:val="bottom"/>
            <w:tcBorders>
              <w:top w:val="single" w:sz="8" w:color="53C072"/>
              <w:right w:val="single" w:sz="8" w:color="FFFFFE"/>
            </w:tcBorders>
            <w:shd w:val="clear" w:color="auto" w:fill="DCDDDE"/>
          </w:tcPr>
          <w:p>
            <w:pPr>
              <w:spacing w:after="0"/>
              <w:rPr>
                <w:sz w:val="11"/>
                <w:szCs w:val="11"/>
                <w:color w:val="auto"/>
              </w:rPr>
            </w:pPr>
          </w:p>
        </w:tc>
        <w:tc>
          <w:tcPr>
            <w:tcW w:w="80" w:type="dxa"/>
            <w:vAlign w:val="bottom"/>
            <w:tcBorders>
              <w:top w:val="single" w:sz="8" w:color="53C072"/>
            </w:tcBorders>
            <w:shd w:val="clear" w:color="auto" w:fill="DCDDDE"/>
          </w:tcPr>
          <w:p>
            <w:pPr>
              <w:spacing w:after="0"/>
              <w:rPr>
                <w:sz w:val="11"/>
                <w:szCs w:val="11"/>
                <w:color w:val="auto"/>
              </w:rPr>
            </w:pPr>
          </w:p>
        </w:tc>
        <w:tc>
          <w:tcPr>
            <w:tcW w:w="500" w:type="dxa"/>
            <w:vAlign w:val="bottom"/>
            <w:tcBorders>
              <w:top w:val="single" w:sz="8" w:color="53C072"/>
            </w:tcBorders>
            <w:vMerge w:val="restart"/>
            <w:shd w:val="clear" w:color="auto" w:fill="DCDDDE"/>
          </w:tcPr>
          <w:p>
            <w:pPr>
              <w:jc w:val="center"/>
              <w:spacing w:after="0"/>
              <w:rPr>
                <w:sz w:val="20"/>
                <w:szCs w:val="20"/>
                <w:color w:val="auto"/>
              </w:rPr>
            </w:pPr>
            <w:r>
              <w:rPr>
                <w:rFonts w:ascii="Courier New" w:cs="Courier New" w:eastAsia="Courier New" w:hAnsi="Courier New"/>
                <w:sz w:val="13"/>
                <w:szCs w:val="13"/>
                <w:color w:val="53C072"/>
              </w:rPr>
              <w:t>o</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780" w:type="dxa"/>
            <w:vAlign w:val="bottom"/>
            <w:gridSpan w:val="2"/>
          </w:tcPr>
          <w:p>
            <w:pPr>
              <w:ind w:left="1200"/>
              <w:spacing w:after="0" w:line="146" w:lineRule="exact"/>
              <w:rPr>
                <w:sz w:val="20"/>
                <w:szCs w:val="20"/>
                <w:color w:val="auto"/>
              </w:rPr>
            </w:pPr>
            <w:r>
              <w:rPr>
                <w:rFonts w:ascii="Arial" w:cs="Arial" w:eastAsia="Arial" w:hAnsi="Arial"/>
                <w:sz w:val="13"/>
                <w:szCs w:val="13"/>
                <w:color w:val="auto"/>
              </w:rPr>
              <w:t>Chairman of the Board of Avnet, Inc,</w:t>
            </w:r>
          </w:p>
        </w:tc>
        <w:tc>
          <w:tcPr>
            <w:tcW w:w="440" w:type="dxa"/>
            <w:vAlign w:val="bottom"/>
          </w:tcPr>
          <w:p>
            <w:pPr>
              <w:jc w:val="right"/>
              <w:spacing w:after="0" w:line="146" w:lineRule="exact"/>
              <w:rPr>
                <w:sz w:val="20"/>
                <w:szCs w:val="20"/>
                <w:color w:val="auto"/>
              </w:rPr>
            </w:pPr>
            <w:r>
              <w:rPr>
                <w:rFonts w:ascii="Arial" w:cs="Arial" w:eastAsia="Arial" w:hAnsi="Arial"/>
                <w:sz w:val="13"/>
                <w:szCs w:val="13"/>
                <w:color w:val="auto"/>
              </w:rPr>
              <w:t>62</w:t>
            </w:r>
          </w:p>
        </w:tc>
        <w:tc>
          <w:tcPr>
            <w:tcW w:w="600" w:type="dxa"/>
            <w:vAlign w:val="bottom"/>
          </w:tcPr>
          <w:p>
            <w:pPr>
              <w:jc w:val="center"/>
              <w:spacing w:after="0" w:line="146" w:lineRule="exact"/>
              <w:rPr>
                <w:sz w:val="20"/>
                <w:szCs w:val="20"/>
                <w:color w:val="auto"/>
              </w:rPr>
            </w:pPr>
            <w:r>
              <w:rPr>
                <w:rFonts w:ascii="Arial" w:cs="Arial" w:eastAsia="Arial" w:hAnsi="Arial"/>
                <w:sz w:val="13"/>
                <w:szCs w:val="13"/>
                <w:color w:val="auto"/>
                <w:w w:val="96"/>
              </w:rPr>
              <w:t>2015</w:t>
            </w:r>
          </w:p>
        </w:tc>
        <w:tc>
          <w:tcPr>
            <w:tcW w:w="900" w:type="dxa"/>
            <w:vAlign w:val="bottom"/>
          </w:tcPr>
          <w:p>
            <w:pPr>
              <w:jc w:val="center"/>
              <w:spacing w:after="0" w:line="146" w:lineRule="exact"/>
              <w:rPr>
                <w:sz w:val="20"/>
                <w:szCs w:val="20"/>
                <w:color w:val="auto"/>
              </w:rPr>
            </w:pPr>
            <w:r>
              <w:rPr>
                <w:rFonts w:ascii="Arial" w:cs="Arial" w:eastAsia="Arial" w:hAnsi="Arial"/>
                <w:sz w:val="13"/>
                <w:szCs w:val="13"/>
                <w:color w:val="auto"/>
                <w:w w:val="99"/>
              </w:rPr>
              <w:t>YES</w:t>
            </w:r>
          </w:p>
        </w:tc>
        <w:tc>
          <w:tcPr>
            <w:tcW w:w="340" w:type="dxa"/>
            <w:vAlign w:val="bottom"/>
            <w:shd w:val="clear" w:color="auto" w:fill="DCDDDE"/>
          </w:tcPr>
          <w:p>
            <w:pPr>
              <w:spacing w:after="0"/>
              <w:rPr>
                <w:sz w:val="12"/>
                <w:szCs w:val="12"/>
                <w:color w:val="auto"/>
              </w:rPr>
            </w:pPr>
          </w:p>
        </w:tc>
        <w:tc>
          <w:tcPr>
            <w:tcW w:w="340" w:type="dxa"/>
            <w:vAlign w:val="bottom"/>
            <w:shd w:val="clear" w:color="auto" w:fill="DCDDDE"/>
          </w:tcPr>
          <w:p>
            <w:pPr>
              <w:spacing w:after="0"/>
              <w:rPr>
                <w:sz w:val="12"/>
                <w:szCs w:val="12"/>
                <w:color w:val="auto"/>
              </w:rPr>
            </w:pPr>
          </w:p>
        </w:tc>
        <w:tc>
          <w:tcPr>
            <w:tcW w:w="80" w:type="dxa"/>
            <w:vAlign w:val="bottom"/>
            <w:shd w:val="clear" w:color="auto" w:fill="DCDDDE"/>
          </w:tcPr>
          <w:p>
            <w:pPr>
              <w:spacing w:after="0"/>
              <w:rPr>
                <w:sz w:val="12"/>
                <w:szCs w:val="12"/>
                <w:color w:val="auto"/>
              </w:rPr>
            </w:pPr>
          </w:p>
        </w:tc>
        <w:tc>
          <w:tcPr>
            <w:tcW w:w="360" w:type="dxa"/>
            <w:vAlign w:val="bottom"/>
            <w:vMerge w:val="continue"/>
            <w:shd w:val="clear" w:color="auto" w:fill="DCDDDE"/>
          </w:tcPr>
          <w:p>
            <w:pPr>
              <w:spacing w:after="0"/>
              <w:rPr>
                <w:sz w:val="12"/>
                <w:szCs w:val="12"/>
                <w:color w:val="auto"/>
              </w:rPr>
            </w:pPr>
          </w:p>
        </w:tc>
        <w:tc>
          <w:tcPr>
            <w:tcW w:w="320" w:type="dxa"/>
            <w:vAlign w:val="bottom"/>
            <w:tcBorders>
              <w:right w:val="single" w:sz="8" w:color="FFFFFE"/>
            </w:tcBorders>
            <w:shd w:val="clear" w:color="auto" w:fill="DCDDDE"/>
          </w:tcPr>
          <w:p>
            <w:pPr>
              <w:spacing w:after="0"/>
              <w:rPr>
                <w:sz w:val="12"/>
                <w:szCs w:val="12"/>
                <w:color w:val="auto"/>
              </w:rPr>
            </w:pPr>
          </w:p>
        </w:tc>
        <w:tc>
          <w:tcPr>
            <w:tcW w:w="60" w:type="dxa"/>
            <w:vAlign w:val="bottom"/>
            <w:shd w:val="clear" w:color="auto" w:fill="DCDDDE"/>
          </w:tcPr>
          <w:p>
            <w:pPr>
              <w:spacing w:after="0"/>
              <w:rPr>
                <w:sz w:val="12"/>
                <w:szCs w:val="12"/>
                <w:color w:val="auto"/>
              </w:rPr>
            </w:pPr>
          </w:p>
        </w:tc>
        <w:tc>
          <w:tcPr>
            <w:tcW w:w="680" w:type="dxa"/>
            <w:vAlign w:val="bottom"/>
            <w:vMerge w:val="continue"/>
            <w:shd w:val="clear" w:color="auto" w:fill="DCDDDE"/>
          </w:tcPr>
          <w:p>
            <w:pPr>
              <w:spacing w:after="0"/>
              <w:rPr>
                <w:sz w:val="12"/>
                <w:szCs w:val="12"/>
                <w:color w:val="auto"/>
              </w:rPr>
            </w:pPr>
          </w:p>
        </w:tc>
        <w:tc>
          <w:tcPr>
            <w:tcW w:w="80" w:type="dxa"/>
            <w:vAlign w:val="bottom"/>
            <w:shd w:val="clear" w:color="auto" w:fill="DCDDDE"/>
          </w:tcPr>
          <w:p>
            <w:pPr>
              <w:spacing w:after="0"/>
              <w:rPr>
                <w:sz w:val="12"/>
                <w:szCs w:val="12"/>
                <w:color w:val="auto"/>
              </w:rPr>
            </w:pPr>
          </w:p>
        </w:tc>
        <w:tc>
          <w:tcPr>
            <w:tcW w:w="680" w:type="dxa"/>
            <w:vAlign w:val="bottom"/>
            <w:tcBorders>
              <w:right w:val="single" w:sz="8" w:color="FFFFFE"/>
            </w:tcBorders>
            <w:shd w:val="clear" w:color="auto" w:fill="DCDDDE"/>
          </w:tcPr>
          <w:p>
            <w:pPr>
              <w:spacing w:after="0"/>
              <w:rPr>
                <w:sz w:val="12"/>
                <w:szCs w:val="12"/>
                <w:color w:val="auto"/>
              </w:rPr>
            </w:pPr>
          </w:p>
        </w:tc>
        <w:tc>
          <w:tcPr>
            <w:tcW w:w="80" w:type="dxa"/>
            <w:vAlign w:val="bottom"/>
            <w:shd w:val="clear" w:color="auto" w:fill="DCDDDE"/>
          </w:tcPr>
          <w:p>
            <w:pPr>
              <w:spacing w:after="0"/>
              <w:rPr>
                <w:sz w:val="12"/>
                <w:szCs w:val="12"/>
                <w:color w:val="auto"/>
              </w:rPr>
            </w:pPr>
          </w:p>
        </w:tc>
        <w:tc>
          <w:tcPr>
            <w:tcW w:w="500" w:type="dxa"/>
            <w:vAlign w:val="bottom"/>
            <w:vMerge w:val="continue"/>
            <w:shd w:val="clear" w:color="auto" w:fill="DCDDDE"/>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780" w:type="dxa"/>
            <w:vAlign w:val="bottom"/>
            <w:gridSpan w:val="2"/>
          </w:tcPr>
          <w:p>
            <w:pPr>
              <w:ind w:left="1200"/>
              <w:spacing w:after="0"/>
              <w:rPr>
                <w:sz w:val="20"/>
                <w:szCs w:val="20"/>
                <w:color w:val="auto"/>
              </w:rPr>
            </w:pPr>
            <w:r>
              <w:rPr>
                <w:rFonts w:ascii="Arial" w:cs="Arial" w:eastAsia="Arial" w:hAnsi="Arial"/>
                <w:sz w:val="13"/>
                <w:szCs w:val="13"/>
                <w:color w:val="auto"/>
              </w:rPr>
              <w:t>President, 3RAM Group LLC</w:t>
            </w: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shd w:val="clear" w:color="auto" w:fill="DCDDDE"/>
          </w:tcPr>
          <w:p>
            <w:pPr>
              <w:spacing w:after="0"/>
              <w:rPr>
                <w:sz w:val="13"/>
                <w:szCs w:val="13"/>
                <w:color w:val="auto"/>
              </w:rPr>
            </w:pPr>
          </w:p>
        </w:tc>
        <w:tc>
          <w:tcPr>
            <w:tcW w:w="340" w:type="dxa"/>
            <w:vAlign w:val="bottom"/>
            <w:shd w:val="clear" w:color="auto" w:fill="DCDDDE"/>
          </w:tcPr>
          <w:p>
            <w:pPr>
              <w:spacing w:after="0"/>
              <w:rPr>
                <w:sz w:val="13"/>
                <w:szCs w:val="13"/>
                <w:color w:val="auto"/>
              </w:rPr>
            </w:pPr>
          </w:p>
        </w:tc>
        <w:tc>
          <w:tcPr>
            <w:tcW w:w="80" w:type="dxa"/>
            <w:vAlign w:val="bottom"/>
            <w:shd w:val="clear" w:color="auto" w:fill="DCDDDE"/>
          </w:tcPr>
          <w:p>
            <w:pPr>
              <w:spacing w:after="0"/>
              <w:rPr>
                <w:sz w:val="13"/>
                <w:szCs w:val="13"/>
                <w:color w:val="auto"/>
              </w:rPr>
            </w:pPr>
          </w:p>
        </w:tc>
        <w:tc>
          <w:tcPr>
            <w:tcW w:w="360" w:type="dxa"/>
            <w:vAlign w:val="bottom"/>
            <w:shd w:val="clear" w:color="auto" w:fill="DCDDDE"/>
          </w:tcPr>
          <w:p>
            <w:pPr>
              <w:spacing w:after="0"/>
              <w:rPr>
                <w:sz w:val="13"/>
                <w:szCs w:val="13"/>
                <w:color w:val="auto"/>
              </w:rPr>
            </w:pPr>
          </w:p>
        </w:tc>
        <w:tc>
          <w:tcPr>
            <w:tcW w:w="320" w:type="dxa"/>
            <w:vAlign w:val="bottom"/>
            <w:tcBorders>
              <w:right w:val="single" w:sz="8" w:color="FFFFFE"/>
            </w:tcBorders>
            <w:shd w:val="clear" w:color="auto" w:fill="DCDDDE"/>
          </w:tcPr>
          <w:p>
            <w:pPr>
              <w:spacing w:after="0"/>
              <w:rPr>
                <w:sz w:val="13"/>
                <w:szCs w:val="13"/>
                <w:color w:val="auto"/>
              </w:rPr>
            </w:pPr>
          </w:p>
        </w:tc>
        <w:tc>
          <w:tcPr>
            <w:tcW w:w="60" w:type="dxa"/>
            <w:vAlign w:val="bottom"/>
            <w:shd w:val="clear" w:color="auto" w:fill="DCDDDE"/>
          </w:tcPr>
          <w:p>
            <w:pPr>
              <w:spacing w:after="0"/>
              <w:rPr>
                <w:sz w:val="13"/>
                <w:szCs w:val="13"/>
                <w:color w:val="auto"/>
              </w:rPr>
            </w:pPr>
          </w:p>
        </w:tc>
        <w:tc>
          <w:tcPr>
            <w:tcW w:w="680" w:type="dxa"/>
            <w:vAlign w:val="bottom"/>
            <w:shd w:val="clear" w:color="auto" w:fill="DCDDDE"/>
          </w:tcPr>
          <w:p>
            <w:pPr>
              <w:spacing w:after="0"/>
              <w:rPr>
                <w:sz w:val="13"/>
                <w:szCs w:val="13"/>
                <w:color w:val="auto"/>
              </w:rPr>
            </w:pPr>
          </w:p>
        </w:tc>
        <w:tc>
          <w:tcPr>
            <w:tcW w:w="80" w:type="dxa"/>
            <w:vAlign w:val="bottom"/>
            <w:shd w:val="clear" w:color="auto" w:fill="DCDDDE"/>
          </w:tcPr>
          <w:p>
            <w:pPr>
              <w:spacing w:after="0"/>
              <w:rPr>
                <w:sz w:val="13"/>
                <w:szCs w:val="13"/>
                <w:color w:val="auto"/>
              </w:rPr>
            </w:pPr>
          </w:p>
        </w:tc>
        <w:tc>
          <w:tcPr>
            <w:tcW w:w="680" w:type="dxa"/>
            <w:vAlign w:val="bottom"/>
            <w:tcBorders>
              <w:right w:val="single" w:sz="8" w:color="FFFFFE"/>
            </w:tcBorders>
            <w:shd w:val="clear" w:color="auto" w:fill="DCDDDE"/>
          </w:tcPr>
          <w:p>
            <w:pPr>
              <w:spacing w:after="0"/>
              <w:rPr>
                <w:sz w:val="13"/>
                <w:szCs w:val="13"/>
                <w:color w:val="auto"/>
              </w:rPr>
            </w:pPr>
          </w:p>
        </w:tc>
        <w:tc>
          <w:tcPr>
            <w:tcW w:w="80" w:type="dxa"/>
            <w:vAlign w:val="bottom"/>
            <w:shd w:val="clear" w:color="auto" w:fill="DCDDDE"/>
          </w:tcPr>
          <w:p>
            <w:pPr>
              <w:spacing w:after="0"/>
              <w:rPr>
                <w:sz w:val="13"/>
                <w:szCs w:val="13"/>
                <w:color w:val="auto"/>
              </w:rPr>
            </w:pPr>
          </w:p>
        </w:tc>
        <w:tc>
          <w:tcPr>
            <w:tcW w:w="500" w:type="dxa"/>
            <w:vAlign w:val="bottom"/>
            <w:shd w:val="clear" w:color="auto" w:fill="DCDDDE"/>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200" w:type="dxa"/>
            <w:vAlign w:val="bottom"/>
          </w:tcPr>
          <w:p>
            <w:pPr>
              <w:spacing w:after="0"/>
              <w:rPr>
                <w:sz w:val="10"/>
                <w:szCs w:val="10"/>
                <w:color w:val="auto"/>
              </w:rPr>
            </w:pPr>
          </w:p>
        </w:tc>
        <w:tc>
          <w:tcPr>
            <w:tcW w:w="3580" w:type="dxa"/>
            <w:vAlign w:val="bottom"/>
            <w:tcBorders>
              <w:top w:val="single" w:sz="8" w:color="D0CECE"/>
            </w:tcBorders>
          </w:tcPr>
          <w:p>
            <w:pPr>
              <w:spacing w:after="0" w:line="126" w:lineRule="exact"/>
              <w:rPr>
                <w:sz w:val="20"/>
                <w:szCs w:val="20"/>
                <w:color w:val="auto"/>
              </w:rPr>
            </w:pPr>
            <w:r>
              <w:rPr>
                <w:rFonts w:ascii="Arial" w:cs="Arial" w:eastAsia="Arial" w:hAnsi="Arial"/>
                <w:sz w:val="13"/>
                <w:szCs w:val="13"/>
                <w:b w:val="1"/>
                <w:bCs w:val="1"/>
                <w:color w:val="auto"/>
              </w:rPr>
              <w:t>Carlo Bozotti</w:t>
            </w:r>
          </w:p>
        </w:tc>
        <w:tc>
          <w:tcPr>
            <w:tcW w:w="440" w:type="dxa"/>
            <w:vAlign w:val="bottom"/>
            <w:tcBorders>
              <w:top w:val="single" w:sz="8" w:color="D0CECE"/>
            </w:tcBorders>
            <w:vMerge w:val="restart"/>
          </w:tcPr>
          <w:p>
            <w:pPr>
              <w:jc w:val="right"/>
              <w:spacing w:after="0"/>
              <w:rPr>
                <w:sz w:val="20"/>
                <w:szCs w:val="20"/>
                <w:color w:val="auto"/>
              </w:rPr>
            </w:pPr>
            <w:r>
              <w:rPr>
                <w:rFonts w:ascii="Arial" w:cs="Arial" w:eastAsia="Arial" w:hAnsi="Arial"/>
                <w:sz w:val="13"/>
                <w:szCs w:val="13"/>
                <w:color w:val="auto"/>
              </w:rPr>
              <w:t>67</w:t>
            </w:r>
          </w:p>
        </w:tc>
        <w:tc>
          <w:tcPr>
            <w:tcW w:w="600" w:type="dxa"/>
            <w:vAlign w:val="bottom"/>
            <w:tcBorders>
              <w:top w:val="single" w:sz="8" w:color="D0CECE"/>
            </w:tcBorders>
            <w:vMerge w:val="restart"/>
          </w:tcPr>
          <w:p>
            <w:pPr>
              <w:jc w:val="center"/>
              <w:spacing w:after="0"/>
              <w:rPr>
                <w:sz w:val="20"/>
                <w:szCs w:val="20"/>
                <w:color w:val="auto"/>
              </w:rPr>
            </w:pPr>
            <w:r>
              <w:rPr>
                <w:rFonts w:ascii="Arial" w:cs="Arial" w:eastAsia="Arial" w:hAnsi="Arial"/>
                <w:sz w:val="13"/>
                <w:szCs w:val="13"/>
                <w:color w:val="auto"/>
                <w:w w:val="96"/>
              </w:rPr>
              <w:t>2019</w:t>
            </w:r>
          </w:p>
        </w:tc>
        <w:tc>
          <w:tcPr>
            <w:tcW w:w="900" w:type="dxa"/>
            <w:vAlign w:val="bottom"/>
            <w:tcBorders>
              <w:top w:val="single" w:sz="8" w:color="D0CECE"/>
            </w:tcBorders>
            <w:vMerge w:val="restart"/>
          </w:tcPr>
          <w:p>
            <w:pPr>
              <w:jc w:val="center"/>
              <w:spacing w:after="0"/>
              <w:rPr>
                <w:sz w:val="20"/>
                <w:szCs w:val="20"/>
                <w:color w:val="auto"/>
              </w:rPr>
            </w:pPr>
            <w:r>
              <w:rPr>
                <w:rFonts w:ascii="Arial" w:cs="Arial" w:eastAsia="Arial" w:hAnsi="Arial"/>
                <w:sz w:val="13"/>
                <w:szCs w:val="13"/>
                <w:color w:val="auto"/>
                <w:w w:val="99"/>
              </w:rPr>
              <w:t>YES</w:t>
            </w:r>
          </w:p>
        </w:tc>
        <w:tc>
          <w:tcPr>
            <w:tcW w:w="340" w:type="dxa"/>
            <w:vAlign w:val="bottom"/>
            <w:tcBorders>
              <w:top w:val="single" w:sz="8" w:color="D0CECE"/>
            </w:tcBorders>
            <w:vMerge w:val="restart"/>
            <w:shd w:val="clear" w:color="auto" w:fill="DCDDDE"/>
          </w:tcPr>
          <w:p>
            <w:pPr>
              <w:jc w:val="center"/>
              <w:ind w:left="115"/>
              <w:spacing w:after="0"/>
              <w:rPr>
                <w:sz w:val="20"/>
                <w:szCs w:val="20"/>
                <w:color w:val="auto"/>
              </w:rPr>
            </w:pPr>
            <w:r>
              <w:rPr>
                <w:rFonts w:ascii="Times New Roman" w:cs="Times New Roman" w:eastAsia="Times New Roman" w:hAnsi="Times New Roman"/>
                <w:sz w:val="8"/>
                <w:szCs w:val="8"/>
                <w:color w:val="53C072"/>
                <w:w w:val="73"/>
              </w:rPr>
              <w:t>·</w:t>
            </w:r>
          </w:p>
        </w:tc>
        <w:tc>
          <w:tcPr>
            <w:tcW w:w="340" w:type="dxa"/>
            <w:vAlign w:val="bottom"/>
            <w:tcBorders>
              <w:top w:val="single" w:sz="8" w:color="D0CECE"/>
            </w:tcBorders>
            <w:shd w:val="clear" w:color="auto" w:fill="DCDDDE"/>
          </w:tcPr>
          <w:p>
            <w:pPr>
              <w:spacing w:after="0"/>
              <w:rPr>
                <w:sz w:val="10"/>
                <w:szCs w:val="10"/>
                <w:color w:val="auto"/>
              </w:rPr>
            </w:pPr>
          </w:p>
        </w:tc>
        <w:tc>
          <w:tcPr>
            <w:tcW w:w="80" w:type="dxa"/>
            <w:vAlign w:val="bottom"/>
            <w:tcBorders>
              <w:top w:val="single" w:sz="8" w:color="DCDDDE"/>
            </w:tcBorders>
            <w:shd w:val="clear" w:color="auto" w:fill="DCDDDE"/>
          </w:tcPr>
          <w:p>
            <w:pPr>
              <w:spacing w:after="0"/>
              <w:rPr>
                <w:sz w:val="10"/>
                <w:szCs w:val="10"/>
                <w:color w:val="auto"/>
              </w:rPr>
            </w:pPr>
          </w:p>
        </w:tc>
        <w:tc>
          <w:tcPr>
            <w:tcW w:w="360" w:type="dxa"/>
            <w:vAlign w:val="bottom"/>
            <w:tcBorders>
              <w:top w:val="single" w:sz="8" w:color="D0CECE"/>
            </w:tcBorders>
            <w:shd w:val="clear" w:color="auto" w:fill="DCDDDE"/>
          </w:tcPr>
          <w:p>
            <w:pPr>
              <w:spacing w:after="0"/>
              <w:rPr>
                <w:sz w:val="10"/>
                <w:szCs w:val="10"/>
                <w:color w:val="auto"/>
              </w:rPr>
            </w:pPr>
          </w:p>
        </w:tc>
        <w:tc>
          <w:tcPr>
            <w:tcW w:w="320" w:type="dxa"/>
            <w:vAlign w:val="bottom"/>
            <w:tcBorders>
              <w:top w:val="single" w:sz="8" w:color="D0CECE"/>
              <w:right w:val="single" w:sz="8" w:color="FFFFFE"/>
            </w:tcBorders>
            <w:shd w:val="clear" w:color="auto" w:fill="DCDDDE"/>
          </w:tcPr>
          <w:p>
            <w:pPr>
              <w:spacing w:after="0"/>
              <w:rPr>
                <w:sz w:val="10"/>
                <w:szCs w:val="10"/>
                <w:color w:val="auto"/>
              </w:rPr>
            </w:pPr>
          </w:p>
        </w:tc>
        <w:tc>
          <w:tcPr>
            <w:tcW w:w="60" w:type="dxa"/>
            <w:vAlign w:val="bottom"/>
            <w:tcBorders>
              <w:top w:val="single" w:sz="8" w:color="DCDDDE"/>
            </w:tcBorders>
            <w:shd w:val="clear" w:color="auto" w:fill="DCDDDE"/>
          </w:tcPr>
          <w:p>
            <w:pPr>
              <w:spacing w:after="0"/>
              <w:rPr>
                <w:sz w:val="10"/>
                <w:szCs w:val="10"/>
                <w:color w:val="auto"/>
              </w:rPr>
            </w:pPr>
          </w:p>
        </w:tc>
        <w:tc>
          <w:tcPr>
            <w:tcW w:w="680" w:type="dxa"/>
            <w:vAlign w:val="bottom"/>
            <w:tcBorders>
              <w:top w:val="single" w:sz="8" w:color="D0CECE"/>
            </w:tcBorders>
            <w:vMerge w:val="restart"/>
            <w:shd w:val="clear" w:color="auto" w:fill="DCDDDE"/>
          </w:tcPr>
          <w:p>
            <w:pPr>
              <w:jc w:val="center"/>
              <w:ind w:right="133"/>
              <w:spacing w:after="0"/>
              <w:rPr>
                <w:sz w:val="20"/>
                <w:szCs w:val="20"/>
                <w:color w:val="auto"/>
              </w:rPr>
            </w:pPr>
            <w:r>
              <w:rPr>
                <w:rFonts w:ascii="Times New Roman" w:cs="Times New Roman" w:eastAsia="Times New Roman" w:hAnsi="Times New Roman"/>
                <w:sz w:val="8"/>
                <w:szCs w:val="8"/>
                <w:color w:val="53C072"/>
                <w:w w:val="73"/>
              </w:rPr>
              <w:t>·</w:t>
            </w:r>
          </w:p>
        </w:tc>
        <w:tc>
          <w:tcPr>
            <w:tcW w:w="80" w:type="dxa"/>
            <w:vAlign w:val="bottom"/>
            <w:tcBorders>
              <w:top w:val="single" w:sz="8" w:color="DCDDDE"/>
            </w:tcBorders>
            <w:shd w:val="clear" w:color="auto" w:fill="DCDDDE"/>
          </w:tcPr>
          <w:p>
            <w:pPr>
              <w:spacing w:after="0"/>
              <w:rPr>
                <w:sz w:val="10"/>
                <w:szCs w:val="10"/>
                <w:color w:val="auto"/>
              </w:rPr>
            </w:pPr>
          </w:p>
        </w:tc>
        <w:tc>
          <w:tcPr>
            <w:tcW w:w="680" w:type="dxa"/>
            <w:vAlign w:val="bottom"/>
            <w:tcBorders>
              <w:top w:val="single" w:sz="8" w:color="D0CECE"/>
              <w:right w:val="single" w:sz="8" w:color="FFFFFE"/>
            </w:tcBorders>
            <w:shd w:val="clear" w:color="auto" w:fill="DCDDDE"/>
          </w:tcPr>
          <w:p>
            <w:pPr>
              <w:spacing w:after="0"/>
              <w:rPr>
                <w:sz w:val="10"/>
                <w:szCs w:val="10"/>
                <w:color w:val="auto"/>
              </w:rPr>
            </w:pPr>
          </w:p>
        </w:tc>
        <w:tc>
          <w:tcPr>
            <w:tcW w:w="80" w:type="dxa"/>
            <w:vAlign w:val="bottom"/>
            <w:tcBorders>
              <w:top w:val="single" w:sz="8" w:color="DCDDDE"/>
            </w:tcBorders>
            <w:shd w:val="clear" w:color="auto" w:fill="DCDDDE"/>
          </w:tcPr>
          <w:p>
            <w:pPr>
              <w:spacing w:after="0"/>
              <w:rPr>
                <w:sz w:val="10"/>
                <w:szCs w:val="10"/>
                <w:color w:val="auto"/>
              </w:rPr>
            </w:pPr>
          </w:p>
        </w:tc>
        <w:tc>
          <w:tcPr>
            <w:tcW w:w="500" w:type="dxa"/>
            <w:vAlign w:val="bottom"/>
            <w:tcBorders>
              <w:top w:val="single" w:sz="8" w:color="D0CECE"/>
            </w:tcBorders>
            <w:shd w:val="clear" w:color="auto" w:fill="DCDDDE"/>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780" w:type="dxa"/>
            <w:vAlign w:val="bottom"/>
            <w:gridSpan w:val="2"/>
          </w:tcPr>
          <w:p>
            <w:pPr>
              <w:ind w:left="1200"/>
              <w:spacing w:after="0"/>
              <w:rPr>
                <w:sz w:val="20"/>
                <w:szCs w:val="20"/>
                <w:color w:val="auto"/>
              </w:rPr>
            </w:pPr>
            <w:r>
              <w:rPr>
                <w:rFonts w:ascii="Arial" w:cs="Arial" w:eastAsia="Arial" w:hAnsi="Arial"/>
                <w:sz w:val="13"/>
                <w:szCs w:val="13"/>
                <w:color w:val="auto"/>
              </w:rPr>
              <w:t>Industrial Partner of FSI</w:t>
            </w:r>
          </w:p>
        </w:tc>
        <w:tc>
          <w:tcPr>
            <w:tcW w:w="4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340" w:type="dxa"/>
            <w:vAlign w:val="bottom"/>
            <w:tcBorders>
              <w:bottom w:val="single" w:sz="8" w:color="DCDDDE"/>
            </w:tcBorders>
            <w:vMerge w:val="continue"/>
            <w:shd w:val="clear" w:color="auto" w:fill="DCDDDE"/>
          </w:tcPr>
          <w:p>
            <w:pPr>
              <w:spacing w:after="0"/>
              <w:rPr>
                <w:sz w:val="13"/>
                <w:szCs w:val="13"/>
                <w:color w:val="auto"/>
              </w:rPr>
            </w:pPr>
          </w:p>
        </w:tc>
        <w:tc>
          <w:tcPr>
            <w:tcW w:w="340" w:type="dxa"/>
            <w:vAlign w:val="bottom"/>
            <w:tcBorders>
              <w:bottom w:val="single" w:sz="8" w:color="DCDDDE"/>
            </w:tcBorders>
            <w:shd w:val="clear" w:color="auto" w:fill="DCDDDE"/>
          </w:tcPr>
          <w:p>
            <w:pPr>
              <w:spacing w:after="0"/>
              <w:rPr>
                <w:sz w:val="13"/>
                <w:szCs w:val="13"/>
                <w:color w:val="auto"/>
              </w:rPr>
            </w:pPr>
          </w:p>
        </w:tc>
        <w:tc>
          <w:tcPr>
            <w:tcW w:w="80" w:type="dxa"/>
            <w:vAlign w:val="bottom"/>
            <w:tcBorders>
              <w:bottom w:val="single" w:sz="8" w:color="DCDDDE"/>
            </w:tcBorders>
            <w:shd w:val="clear" w:color="auto" w:fill="DCDDDE"/>
          </w:tcPr>
          <w:p>
            <w:pPr>
              <w:spacing w:after="0"/>
              <w:rPr>
                <w:sz w:val="13"/>
                <w:szCs w:val="13"/>
                <w:color w:val="auto"/>
              </w:rPr>
            </w:pPr>
          </w:p>
        </w:tc>
        <w:tc>
          <w:tcPr>
            <w:tcW w:w="360" w:type="dxa"/>
            <w:vAlign w:val="bottom"/>
            <w:tcBorders>
              <w:bottom w:val="single" w:sz="8" w:color="DCDDDE"/>
            </w:tcBorders>
            <w:shd w:val="clear" w:color="auto" w:fill="DCDDDE"/>
          </w:tcPr>
          <w:p>
            <w:pPr>
              <w:spacing w:after="0"/>
              <w:rPr>
                <w:sz w:val="13"/>
                <w:szCs w:val="13"/>
                <w:color w:val="auto"/>
              </w:rPr>
            </w:pPr>
          </w:p>
        </w:tc>
        <w:tc>
          <w:tcPr>
            <w:tcW w:w="320" w:type="dxa"/>
            <w:vAlign w:val="bottom"/>
            <w:tcBorders>
              <w:bottom w:val="single" w:sz="8" w:color="DCDDDE"/>
              <w:right w:val="single" w:sz="8" w:color="FFFFFE"/>
            </w:tcBorders>
            <w:shd w:val="clear" w:color="auto" w:fill="DCDDDE"/>
          </w:tcPr>
          <w:p>
            <w:pPr>
              <w:spacing w:after="0"/>
              <w:rPr>
                <w:sz w:val="13"/>
                <w:szCs w:val="13"/>
                <w:color w:val="auto"/>
              </w:rPr>
            </w:pPr>
          </w:p>
        </w:tc>
        <w:tc>
          <w:tcPr>
            <w:tcW w:w="60" w:type="dxa"/>
            <w:vAlign w:val="bottom"/>
            <w:tcBorders>
              <w:bottom w:val="single" w:sz="8" w:color="DCDDDE"/>
            </w:tcBorders>
            <w:shd w:val="clear" w:color="auto" w:fill="DCDDDE"/>
          </w:tcPr>
          <w:p>
            <w:pPr>
              <w:spacing w:after="0"/>
              <w:rPr>
                <w:sz w:val="13"/>
                <w:szCs w:val="13"/>
                <w:color w:val="auto"/>
              </w:rPr>
            </w:pPr>
          </w:p>
        </w:tc>
        <w:tc>
          <w:tcPr>
            <w:tcW w:w="680" w:type="dxa"/>
            <w:vAlign w:val="bottom"/>
            <w:tcBorders>
              <w:bottom w:val="single" w:sz="8" w:color="DCDDDE"/>
            </w:tcBorders>
            <w:vMerge w:val="continue"/>
            <w:shd w:val="clear" w:color="auto" w:fill="DCDDDE"/>
          </w:tcPr>
          <w:p>
            <w:pPr>
              <w:spacing w:after="0"/>
              <w:rPr>
                <w:sz w:val="13"/>
                <w:szCs w:val="13"/>
                <w:color w:val="auto"/>
              </w:rPr>
            </w:pPr>
          </w:p>
        </w:tc>
        <w:tc>
          <w:tcPr>
            <w:tcW w:w="80" w:type="dxa"/>
            <w:vAlign w:val="bottom"/>
            <w:tcBorders>
              <w:bottom w:val="single" w:sz="8" w:color="DCDDDE"/>
            </w:tcBorders>
            <w:shd w:val="clear" w:color="auto" w:fill="DCDDDE"/>
          </w:tcPr>
          <w:p>
            <w:pPr>
              <w:spacing w:after="0"/>
              <w:rPr>
                <w:sz w:val="13"/>
                <w:szCs w:val="13"/>
                <w:color w:val="auto"/>
              </w:rPr>
            </w:pPr>
          </w:p>
        </w:tc>
        <w:tc>
          <w:tcPr>
            <w:tcW w:w="680" w:type="dxa"/>
            <w:vAlign w:val="bottom"/>
            <w:tcBorders>
              <w:bottom w:val="single" w:sz="8" w:color="DCDDDE"/>
              <w:right w:val="single" w:sz="8" w:color="FFFFFE"/>
            </w:tcBorders>
            <w:shd w:val="clear" w:color="auto" w:fill="DCDDDE"/>
          </w:tcPr>
          <w:p>
            <w:pPr>
              <w:spacing w:after="0"/>
              <w:rPr>
                <w:sz w:val="13"/>
                <w:szCs w:val="13"/>
                <w:color w:val="auto"/>
              </w:rPr>
            </w:pPr>
          </w:p>
        </w:tc>
        <w:tc>
          <w:tcPr>
            <w:tcW w:w="80" w:type="dxa"/>
            <w:vAlign w:val="bottom"/>
            <w:tcBorders>
              <w:bottom w:val="single" w:sz="8" w:color="DCDDDE"/>
            </w:tcBorders>
            <w:shd w:val="clear" w:color="auto" w:fill="DCDDDE"/>
          </w:tcPr>
          <w:p>
            <w:pPr>
              <w:spacing w:after="0"/>
              <w:rPr>
                <w:sz w:val="13"/>
                <w:szCs w:val="13"/>
                <w:color w:val="auto"/>
              </w:rPr>
            </w:pPr>
          </w:p>
        </w:tc>
        <w:tc>
          <w:tcPr>
            <w:tcW w:w="500" w:type="dxa"/>
            <w:vAlign w:val="bottom"/>
            <w:tcBorders>
              <w:bottom w:val="single" w:sz="8" w:color="DCDDDE"/>
            </w:tcBorders>
            <w:shd w:val="clear" w:color="auto" w:fill="DCDDDE"/>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200" w:type="dxa"/>
            <w:vAlign w:val="bottom"/>
          </w:tcPr>
          <w:p>
            <w:pPr>
              <w:spacing w:after="0"/>
              <w:rPr>
                <w:sz w:val="10"/>
                <w:szCs w:val="10"/>
                <w:color w:val="auto"/>
              </w:rPr>
            </w:pPr>
          </w:p>
        </w:tc>
        <w:tc>
          <w:tcPr>
            <w:tcW w:w="3580" w:type="dxa"/>
            <w:vAlign w:val="bottom"/>
            <w:tcBorders>
              <w:top w:val="single" w:sz="8" w:color="D0CECE"/>
            </w:tcBorders>
          </w:tcPr>
          <w:p>
            <w:pPr>
              <w:spacing w:after="0" w:line="126" w:lineRule="exact"/>
              <w:rPr>
                <w:sz w:val="20"/>
                <w:szCs w:val="20"/>
                <w:color w:val="auto"/>
              </w:rPr>
            </w:pPr>
            <w:r>
              <w:rPr>
                <w:rFonts w:ascii="Arial" w:cs="Arial" w:eastAsia="Arial" w:hAnsi="Arial"/>
                <w:sz w:val="13"/>
                <w:szCs w:val="13"/>
                <w:b w:val="1"/>
                <w:bCs w:val="1"/>
                <w:color w:val="auto"/>
              </w:rPr>
              <w:t>Michael A. Bradley</w:t>
            </w:r>
          </w:p>
        </w:tc>
        <w:tc>
          <w:tcPr>
            <w:tcW w:w="440" w:type="dxa"/>
            <w:vAlign w:val="bottom"/>
            <w:tcBorders>
              <w:top w:val="single" w:sz="8" w:color="D0CECE"/>
            </w:tcBorders>
            <w:vMerge w:val="restart"/>
          </w:tcPr>
          <w:p>
            <w:pPr>
              <w:jc w:val="right"/>
              <w:spacing w:after="0"/>
              <w:rPr>
                <w:sz w:val="20"/>
                <w:szCs w:val="20"/>
                <w:color w:val="auto"/>
              </w:rPr>
            </w:pPr>
            <w:r>
              <w:rPr>
                <w:rFonts w:ascii="Arial" w:cs="Arial" w:eastAsia="Arial" w:hAnsi="Arial"/>
                <w:sz w:val="13"/>
                <w:szCs w:val="13"/>
                <w:color w:val="auto"/>
              </w:rPr>
              <w:t>71</w:t>
            </w:r>
          </w:p>
        </w:tc>
        <w:tc>
          <w:tcPr>
            <w:tcW w:w="600" w:type="dxa"/>
            <w:vAlign w:val="bottom"/>
            <w:tcBorders>
              <w:top w:val="single" w:sz="8" w:color="D0CECE"/>
            </w:tcBorders>
            <w:vMerge w:val="restart"/>
          </w:tcPr>
          <w:p>
            <w:pPr>
              <w:jc w:val="center"/>
              <w:spacing w:after="0"/>
              <w:rPr>
                <w:sz w:val="20"/>
                <w:szCs w:val="20"/>
                <w:color w:val="auto"/>
              </w:rPr>
            </w:pPr>
            <w:r>
              <w:rPr>
                <w:rFonts w:ascii="Arial" w:cs="Arial" w:eastAsia="Arial" w:hAnsi="Arial"/>
                <w:sz w:val="13"/>
                <w:szCs w:val="13"/>
                <w:color w:val="auto"/>
                <w:w w:val="96"/>
              </w:rPr>
              <w:t>2012</w:t>
            </w:r>
          </w:p>
        </w:tc>
        <w:tc>
          <w:tcPr>
            <w:tcW w:w="900" w:type="dxa"/>
            <w:vAlign w:val="bottom"/>
            <w:tcBorders>
              <w:top w:val="single" w:sz="8" w:color="D0CECE"/>
            </w:tcBorders>
            <w:vMerge w:val="restart"/>
          </w:tcPr>
          <w:p>
            <w:pPr>
              <w:jc w:val="center"/>
              <w:spacing w:after="0"/>
              <w:rPr>
                <w:sz w:val="20"/>
                <w:szCs w:val="20"/>
                <w:color w:val="auto"/>
              </w:rPr>
            </w:pPr>
            <w:r>
              <w:rPr>
                <w:rFonts w:ascii="Arial" w:cs="Arial" w:eastAsia="Arial" w:hAnsi="Arial"/>
                <w:sz w:val="13"/>
                <w:szCs w:val="13"/>
                <w:color w:val="auto"/>
                <w:w w:val="99"/>
              </w:rPr>
              <w:t>YES</w:t>
            </w:r>
          </w:p>
        </w:tc>
        <w:tc>
          <w:tcPr>
            <w:tcW w:w="340" w:type="dxa"/>
            <w:vAlign w:val="bottom"/>
            <w:tcBorders>
              <w:top w:val="single" w:sz="8" w:color="D0CECE"/>
            </w:tcBorders>
            <w:vMerge w:val="restart"/>
            <w:shd w:val="clear" w:color="auto" w:fill="DCDDDE"/>
          </w:tcPr>
          <w:p>
            <w:pPr>
              <w:jc w:val="center"/>
              <w:ind w:left="95"/>
              <w:spacing w:after="0"/>
              <w:rPr>
                <w:sz w:val="20"/>
                <w:szCs w:val="20"/>
                <w:color w:val="auto"/>
              </w:rPr>
            </w:pPr>
            <w:r>
              <w:rPr>
                <w:rFonts w:ascii="Courier New" w:cs="Courier New" w:eastAsia="Courier New" w:hAnsi="Courier New"/>
                <w:sz w:val="13"/>
                <w:szCs w:val="13"/>
                <w:color w:val="53C072"/>
              </w:rPr>
              <w:t>o</w:t>
            </w:r>
          </w:p>
        </w:tc>
        <w:tc>
          <w:tcPr>
            <w:tcW w:w="340" w:type="dxa"/>
            <w:vAlign w:val="bottom"/>
            <w:tcBorders>
              <w:top w:val="single" w:sz="8" w:color="D0CECE"/>
            </w:tcBorders>
            <w:shd w:val="clear" w:color="auto" w:fill="DCDDDE"/>
          </w:tcPr>
          <w:p>
            <w:pPr>
              <w:spacing w:after="0"/>
              <w:rPr>
                <w:sz w:val="10"/>
                <w:szCs w:val="10"/>
                <w:color w:val="auto"/>
              </w:rPr>
            </w:pPr>
          </w:p>
        </w:tc>
        <w:tc>
          <w:tcPr>
            <w:tcW w:w="80" w:type="dxa"/>
            <w:vAlign w:val="bottom"/>
            <w:tcBorders>
              <w:top w:val="single" w:sz="8" w:color="DCDDDE"/>
            </w:tcBorders>
            <w:shd w:val="clear" w:color="auto" w:fill="DCDDDE"/>
          </w:tcPr>
          <w:p>
            <w:pPr>
              <w:spacing w:after="0"/>
              <w:rPr>
                <w:sz w:val="10"/>
                <w:szCs w:val="10"/>
                <w:color w:val="auto"/>
              </w:rPr>
            </w:pPr>
          </w:p>
        </w:tc>
        <w:tc>
          <w:tcPr>
            <w:tcW w:w="360" w:type="dxa"/>
            <w:vAlign w:val="bottom"/>
            <w:tcBorders>
              <w:top w:val="single" w:sz="8" w:color="D0CECE"/>
            </w:tcBorders>
            <w:shd w:val="clear" w:color="auto" w:fill="DCDDDE"/>
          </w:tcPr>
          <w:p>
            <w:pPr>
              <w:spacing w:after="0"/>
              <w:rPr>
                <w:sz w:val="10"/>
                <w:szCs w:val="10"/>
                <w:color w:val="auto"/>
              </w:rPr>
            </w:pPr>
          </w:p>
        </w:tc>
        <w:tc>
          <w:tcPr>
            <w:tcW w:w="320" w:type="dxa"/>
            <w:vAlign w:val="bottom"/>
            <w:tcBorders>
              <w:top w:val="single" w:sz="8" w:color="D0CECE"/>
              <w:right w:val="single" w:sz="8" w:color="FFFFFE"/>
            </w:tcBorders>
            <w:shd w:val="clear" w:color="auto" w:fill="DCDDDE"/>
          </w:tcPr>
          <w:p>
            <w:pPr>
              <w:spacing w:after="0"/>
              <w:rPr>
                <w:sz w:val="10"/>
                <w:szCs w:val="10"/>
                <w:color w:val="auto"/>
              </w:rPr>
            </w:pPr>
          </w:p>
        </w:tc>
        <w:tc>
          <w:tcPr>
            <w:tcW w:w="60" w:type="dxa"/>
            <w:vAlign w:val="bottom"/>
            <w:tcBorders>
              <w:top w:val="single" w:sz="8" w:color="DCDDDE"/>
            </w:tcBorders>
            <w:shd w:val="clear" w:color="auto" w:fill="DCDDDE"/>
          </w:tcPr>
          <w:p>
            <w:pPr>
              <w:spacing w:after="0"/>
              <w:rPr>
                <w:sz w:val="10"/>
                <w:szCs w:val="10"/>
                <w:color w:val="auto"/>
              </w:rPr>
            </w:pPr>
          </w:p>
        </w:tc>
        <w:tc>
          <w:tcPr>
            <w:tcW w:w="680" w:type="dxa"/>
            <w:vAlign w:val="bottom"/>
            <w:tcBorders>
              <w:top w:val="single" w:sz="8" w:color="D0CECE"/>
            </w:tcBorders>
            <w:shd w:val="clear" w:color="auto" w:fill="DCDDDE"/>
          </w:tcPr>
          <w:p>
            <w:pPr>
              <w:spacing w:after="0"/>
              <w:rPr>
                <w:sz w:val="10"/>
                <w:szCs w:val="10"/>
                <w:color w:val="auto"/>
              </w:rPr>
            </w:pPr>
          </w:p>
        </w:tc>
        <w:tc>
          <w:tcPr>
            <w:tcW w:w="80" w:type="dxa"/>
            <w:vAlign w:val="bottom"/>
            <w:tcBorders>
              <w:top w:val="single" w:sz="8" w:color="DCDDDE"/>
            </w:tcBorders>
            <w:shd w:val="clear" w:color="auto" w:fill="DCDDDE"/>
          </w:tcPr>
          <w:p>
            <w:pPr>
              <w:spacing w:after="0"/>
              <w:rPr>
                <w:sz w:val="10"/>
                <w:szCs w:val="10"/>
                <w:color w:val="auto"/>
              </w:rPr>
            </w:pPr>
          </w:p>
        </w:tc>
        <w:tc>
          <w:tcPr>
            <w:tcW w:w="680" w:type="dxa"/>
            <w:vAlign w:val="bottom"/>
            <w:tcBorders>
              <w:top w:val="single" w:sz="8" w:color="D0CECE"/>
              <w:right w:val="single" w:sz="8" w:color="FFFFFE"/>
            </w:tcBorders>
            <w:vMerge w:val="restart"/>
            <w:shd w:val="clear" w:color="auto" w:fill="DCDDDE"/>
          </w:tcPr>
          <w:p>
            <w:pPr>
              <w:jc w:val="center"/>
              <w:ind w:right="135"/>
              <w:spacing w:after="0"/>
              <w:rPr>
                <w:sz w:val="20"/>
                <w:szCs w:val="20"/>
                <w:color w:val="auto"/>
              </w:rPr>
            </w:pPr>
            <w:r>
              <w:rPr>
                <w:rFonts w:ascii="Times New Roman" w:cs="Times New Roman" w:eastAsia="Times New Roman" w:hAnsi="Times New Roman"/>
                <w:sz w:val="13"/>
                <w:szCs w:val="13"/>
                <w:color w:val="53C072"/>
                <w:w w:val="91"/>
              </w:rPr>
              <w:t>·</w:t>
            </w:r>
          </w:p>
        </w:tc>
        <w:tc>
          <w:tcPr>
            <w:tcW w:w="80" w:type="dxa"/>
            <w:vAlign w:val="bottom"/>
            <w:tcBorders>
              <w:top w:val="single" w:sz="8" w:color="DCDDDE"/>
            </w:tcBorders>
            <w:shd w:val="clear" w:color="auto" w:fill="DCDDDE"/>
          </w:tcPr>
          <w:p>
            <w:pPr>
              <w:spacing w:after="0"/>
              <w:rPr>
                <w:sz w:val="10"/>
                <w:szCs w:val="10"/>
                <w:color w:val="auto"/>
              </w:rPr>
            </w:pPr>
          </w:p>
        </w:tc>
        <w:tc>
          <w:tcPr>
            <w:tcW w:w="500" w:type="dxa"/>
            <w:vAlign w:val="bottom"/>
            <w:tcBorders>
              <w:top w:val="single" w:sz="8" w:color="D0CECE"/>
            </w:tcBorders>
            <w:vMerge w:val="restart"/>
            <w:shd w:val="clear" w:color="auto" w:fill="DCDDDE"/>
          </w:tcPr>
          <w:p>
            <w:pPr>
              <w:jc w:val="center"/>
              <w:spacing w:after="0"/>
              <w:rPr>
                <w:sz w:val="20"/>
                <w:szCs w:val="20"/>
                <w:color w:val="auto"/>
              </w:rPr>
            </w:pPr>
            <w:r>
              <w:rPr>
                <w:rFonts w:ascii="Times New Roman" w:cs="Times New Roman" w:eastAsia="Times New Roman" w:hAnsi="Times New Roman"/>
                <w:sz w:val="13"/>
                <w:szCs w:val="13"/>
                <w:color w:val="53C072"/>
                <w:w w:val="91"/>
              </w:rPr>
              <w:t>·</w:t>
            </w: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780" w:type="dxa"/>
            <w:vAlign w:val="bottom"/>
            <w:gridSpan w:val="2"/>
          </w:tcPr>
          <w:p>
            <w:pPr>
              <w:ind w:left="1200"/>
              <w:spacing w:after="0"/>
              <w:rPr>
                <w:sz w:val="20"/>
                <w:szCs w:val="20"/>
                <w:color w:val="auto"/>
              </w:rPr>
            </w:pPr>
            <w:r>
              <w:rPr>
                <w:rFonts w:ascii="Arial" w:cs="Arial" w:eastAsia="Arial" w:hAnsi="Arial"/>
                <w:sz w:val="13"/>
                <w:szCs w:val="13"/>
                <w:color w:val="auto"/>
              </w:rPr>
              <w:t>Former Chief Executive Officer of Teradyne, Inc.</w:t>
            </w:r>
          </w:p>
        </w:tc>
        <w:tc>
          <w:tcPr>
            <w:tcW w:w="4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340" w:type="dxa"/>
            <w:vAlign w:val="bottom"/>
            <w:vMerge w:val="continue"/>
            <w:shd w:val="clear" w:color="auto" w:fill="DCDDDE"/>
          </w:tcPr>
          <w:p>
            <w:pPr>
              <w:spacing w:after="0"/>
              <w:rPr>
                <w:sz w:val="13"/>
                <w:szCs w:val="13"/>
                <w:color w:val="auto"/>
              </w:rPr>
            </w:pPr>
          </w:p>
        </w:tc>
        <w:tc>
          <w:tcPr>
            <w:tcW w:w="340" w:type="dxa"/>
            <w:vAlign w:val="bottom"/>
            <w:shd w:val="clear" w:color="auto" w:fill="DCDDDE"/>
          </w:tcPr>
          <w:p>
            <w:pPr>
              <w:spacing w:after="0"/>
              <w:rPr>
                <w:sz w:val="13"/>
                <w:szCs w:val="13"/>
                <w:color w:val="auto"/>
              </w:rPr>
            </w:pPr>
          </w:p>
        </w:tc>
        <w:tc>
          <w:tcPr>
            <w:tcW w:w="80" w:type="dxa"/>
            <w:vAlign w:val="bottom"/>
            <w:shd w:val="clear" w:color="auto" w:fill="DCDDDE"/>
          </w:tcPr>
          <w:p>
            <w:pPr>
              <w:spacing w:after="0"/>
              <w:rPr>
                <w:sz w:val="13"/>
                <w:szCs w:val="13"/>
                <w:color w:val="auto"/>
              </w:rPr>
            </w:pPr>
          </w:p>
        </w:tc>
        <w:tc>
          <w:tcPr>
            <w:tcW w:w="360" w:type="dxa"/>
            <w:vAlign w:val="bottom"/>
            <w:shd w:val="clear" w:color="auto" w:fill="DCDDDE"/>
          </w:tcPr>
          <w:p>
            <w:pPr>
              <w:spacing w:after="0"/>
              <w:rPr>
                <w:sz w:val="13"/>
                <w:szCs w:val="13"/>
                <w:color w:val="auto"/>
              </w:rPr>
            </w:pPr>
          </w:p>
        </w:tc>
        <w:tc>
          <w:tcPr>
            <w:tcW w:w="320" w:type="dxa"/>
            <w:vAlign w:val="bottom"/>
            <w:tcBorders>
              <w:right w:val="single" w:sz="8" w:color="FFFFFE"/>
            </w:tcBorders>
            <w:shd w:val="clear" w:color="auto" w:fill="DCDDDE"/>
          </w:tcPr>
          <w:p>
            <w:pPr>
              <w:spacing w:after="0"/>
              <w:rPr>
                <w:sz w:val="13"/>
                <w:szCs w:val="13"/>
                <w:color w:val="auto"/>
              </w:rPr>
            </w:pPr>
          </w:p>
        </w:tc>
        <w:tc>
          <w:tcPr>
            <w:tcW w:w="60" w:type="dxa"/>
            <w:vAlign w:val="bottom"/>
            <w:shd w:val="clear" w:color="auto" w:fill="DCDDDE"/>
          </w:tcPr>
          <w:p>
            <w:pPr>
              <w:spacing w:after="0"/>
              <w:rPr>
                <w:sz w:val="13"/>
                <w:szCs w:val="13"/>
                <w:color w:val="auto"/>
              </w:rPr>
            </w:pPr>
          </w:p>
        </w:tc>
        <w:tc>
          <w:tcPr>
            <w:tcW w:w="680" w:type="dxa"/>
            <w:vAlign w:val="bottom"/>
            <w:shd w:val="clear" w:color="auto" w:fill="DCDDDE"/>
          </w:tcPr>
          <w:p>
            <w:pPr>
              <w:spacing w:after="0"/>
              <w:rPr>
                <w:sz w:val="13"/>
                <w:szCs w:val="13"/>
                <w:color w:val="auto"/>
              </w:rPr>
            </w:pPr>
          </w:p>
        </w:tc>
        <w:tc>
          <w:tcPr>
            <w:tcW w:w="80" w:type="dxa"/>
            <w:vAlign w:val="bottom"/>
            <w:shd w:val="clear" w:color="auto" w:fill="DCDDDE"/>
          </w:tcPr>
          <w:p>
            <w:pPr>
              <w:spacing w:after="0"/>
              <w:rPr>
                <w:sz w:val="13"/>
                <w:szCs w:val="13"/>
                <w:color w:val="auto"/>
              </w:rPr>
            </w:pPr>
          </w:p>
        </w:tc>
        <w:tc>
          <w:tcPr>
            <w:tcW w:w="680" w:type="dxa"/>
            <w:vAlign w:val="bottom"/>
            <w:tcBorders>
              <w:right w:val="single" w:sz="8" w:color="FFFFFE"/>
            </w:tcBorders>
            <w:vMerge w:val="continue"/>
            <w:shd w:val="clear" w:color="auto" w:fill="DCDDDE"/>
          </w:tcPr>
          <w:p>
            <w:pPr>
              <w:spacing w:after="0"/>
              <w:rPr>
                <w:sz w:val="13"/>
                <w:szCs w:val="13"/>
                <w:color w:val="auto"/>
              </w:rPr>
            </w:pPr>
          </w:p>
        </w:tc>
        <w:tc>
          <w:tcPr>
            <w:tcW w:w="80" w:type="dxa"/>
            <w:vAlign w:val="bottom"/>
            <w:shd w:val="clear" w:color="auto" w:fill="DCDDDE"/>
          </w:tcPr>
          <w:p>
            <w:pPr>
              <w:spacing w:after="0"/>
              <w:rPr>
                <w:sz w:val="13"/>
                <w:szCs w:val="13"/>
                <w:color w:val="auto"/>
              </w:rPr>
            </w:pPr>
          </w:p>
        </w:tc>
        <w:tc>
          <w:tcPr>
            <w:tcW w:w="500" w:type="dxa"/>
            <w:vAlign w:val="bottom"/>
            <w:vMerge w:val="continue"/>
            <w:shd w:val="clear" w:color="auto" w:fill="DCDDDE"/>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200" w:type="dxa"/>
            <w:vAlign w:val="bottom"/>
          </w:tcPr>
          <w:p>
            <w:pPr>
              <w:spacing w:after="0"/>
              <w:rPr>
                <w:sz w:val="10"/>
                <w:szCs w:val="10"/>
                <w:color w:val="auto"/>
              </w:rPr>
            </w:pPr>
          </w:p>
        </w:tc>
        <w:tc>
          <w:tcPr>
            <w:tcW w:w="3580" w:type="dxa"/>
            <w:vAlign w:val="bottom"/>
            <w:tcBorders>
              <w:top w:val="single" w:sz="8" w:color="D0CECE"/>
            </w:tcBorders>
          </w:tcPr>
          <w:p>
            <w:pPr>
              <w:spacing w:after="0" w:line="126" w:lineRule="exact"/>
              <w:rPr>
                <w:sz w:val="20"/>
                <w:szCs w:val="20"/>
                <w:color w:val="auto"/>
              </w:rPr>
            </w:pPr>
            <w:r>
              <w:rPr>
                <w:rFonts w:ascii="Arial" w:cs="Arial" w:eastAsia="Arial" w:hAnsi="Arial"/>
                <w:sz w:val="13"/>
                <w:szCs w:val="13"/>
                <w:b w:val="1"/>
                <w:bCs w:val="1"/>
                <w:color w:val="auto"/>
              </w:rPr>
              <w:t>Brenda L. Freeman</w:t>
            </w:r>
          </w:p>
        </w:tc>
        <w:tc>
          <w:tcPr>
            <w:tcW w:w="440" w:type="dxa"/>
            <w:vAlign w:val="bottom"/>
            <w:tcBorders>
              <w:top w:val="single" w:sz="8" w:color="D0CECE"/>
            </w:tcBorders>
            <w:vMerge w:val="restart"/>
          </w:tcPr>
          <w:p>
            <w:pPr>
              <w:jc w:val="right"/>
              <w:spacing w:after="0"/>
              <w:rPr>
                <w:sz w:val="20"/>
                <w:szCs w:val="20"/>
                <w:color w:val="auto"/>
              </w:rPr>
            </w:pPr>
            <w:r>
              <w:rPr>
                <w:rFonts w:ascii="Arial" w:cs="Arial" w:eastAsia="Arial" w:hAnsi="Arial"/>
                <w:sz w:val="13"/>
                <w:szCs w:val="13"/>
                <w:color w:val="auto"/>
              </w:rPr>
              <w:t>56</w:t>
            </w:r>
          </w:p>
        </w:tc>
        <w:tc>
          <w:tcPr>
            <w:tcW w:w="600" w:type="dxa"/>
            <w:vAlign w:val="bottom"/>
            <w:tcBorders>
              <w:top w:val="single" w:sz="8" w:color="D0CECE"/>
            </w:tcBorders>
            <w:vMerge w:val="restart"/>
          </w:tcPr>
          <w:p>
            <w:pPr>
              <w:jc w:val="center"/>
              <w:spacing w:after="0"/>
              <w:rPr>
                <w:sz w:val="20"/>
                <w:szCs w:val="20"/>
                <w:color w:val="auto"/>
              </w:rPr>
            </w:pPr>
            <w:r>
              <w:rPr>
                <w:rFonts w:ascii="Arial" w:cs="Arial" w:eastAsia="Arial" w:hAnsi="Arial"/>
                <w:sz w:val="13"/>
                <w:szCs w:val="13"/>
                <w:color w:val="auto"/>
                <w:w w:val="96"/>
              </w:rPr>
              <w:t>2018</w:t>
            </w:r>
          </w:p>
        </w:tc>
        <w:tc>
          <w:tcPr>
            <w:tcW w:w="900" w:type="dxa"/>
            <w:vAlign w:val="bottom"/>
            <w:tcBorders>
              <w:top w:val="single" w:sz="8" w:color="D0CECE"/>
            </w:tcBorders>
            <w:vMerge w:val="restart"/>
          </w:tcPr>
          <w:p>
            <w:pPr>
              <w:jc w:val="center"/>
              <w:spacing w:after="0"/>
              <w:rPr>
                <w:sz w:val="20"/>
                <w:szCs w:val="20"/>
                <w:color w:val="auto"/>
              </w:rPr>
            </w:pPr>
            <w:r>
              <w:rPr>
                <w:rFonts w:ascii="Arial" w:cs="Arial" w:eastAsia="Arial" w:hAnsi="Arial"/>
                <w:sz w:val="13"/>
                <w:szCs w:val="13"/>
                <w:color w:val="auto"/>
                <w:w w:val="99"/>
              </w:rPr>
              <w:t>YES</w:t>
            </w:r>
          </w:p>
        </w:tc>
        <w:tc>
          <w:tcPr>
            <w:tcW w:w="340" w:type="dxa"/>
            <w:vAlign w:val="bottom"/>
            <w:tcBorders>
              <w:top w:val="single" w:sz="8" w:color="D0CECE"/>
            </w:tcBorders>
            <w:vMerge w:val="restart"/>
            <w:shd w:val="clear" w:color="auto" w:fill="DCDDDE"/>
          </w:tcPr>
          <w:p>
            <w:pPr>
              <w:jc w:val="center"/>
              <w:ind w:left="115"/>
              <w:spacing w:after="0"/>
              <w:rPr>
                <w:sz w:val="20"/>
                <w:szCs w:val="20"/>
                <w:color w:val="auto"/>
              </w:rPr>
            </w:pPr>
            <w:r>
              <w:rPr>
                <w:rFonts w:ascii="Times New Roman" w:cs="Times New Roman" w:eastAsia="Times New Roman" w:hAnsi="Times New Roman"/>
                <w:sz w:val="8"/>
                <w:szCs w:val="8"/>
                <w:color w:val="53C072"/>
                <w:w w:val="73"/>
              </w:rPr>
              <w:t>·</w:t>
            </w:r>
          </w:p>
        </w:tc>
        <w:tc>
          <w:tcPr>
            <w:tcW w:w="340" w:type="dxa"/>
            <w:vAlign w:val="bottom"/>
            <w:tcBorders>
              <w:top w:val="single" w:sz="8" w:color="D0CECE"/>
            </w:tcBorders>
            <w:shd w:val="clear" w:color="auto" w:fill="DCDDDE"/>
          </w:tcPr>
          <w:p>
            <w:pPr>
              <w:spacing w:after="0"/>
              <w:rPr>
                <w:sz w:val="10"/>
                <w:szCs w:val="10"/>
                <w:color w:val="auto"/>
              </w:rPr>
            </w:pPr>
          </w:p>
        </w:tc>
        <w:tc>
          <w:tcPr>
            <w:tcW w:w="80" w:type="dxa"/>
            <w:vAlign w:val="bottom"/>
            <w:tcBorders>
              <w:top w:val="single" w:sz="8" w:color="DCDDDE"/>
            </w:tcBorders>
            <w:shd w:val="clear" w:color="auto" w:fill="DCDDDE"/>
          </w:tcPr>
          <w:p>
            <w:pPr>
              <w:spacing w:after="0"/>
              <w:rPr>
                <w:sz w:val="10"/>
                <w:szCs w:val="10"/>
                <w:color w:val="auto"/>
              </w:rPr>
            </w:pPr>
          </w:p>
        </w:tc>
        <w:tc>
          <w:tcPr>
            <w:tcW w:w="360" w:type="dxa"/>
            <w:vAlign w:val="bottom"/>
            <w:tcBorders>
              <w:top w:val="single" w:sz="8" w:color="D0CECE"/>
            </w:tcBorders>
            <w:shd w:val="clear" w:color="auto" w:fill="DCDDDE"/>
          </w:tcPr>
          <w:p>
            <w:pPr>
              <w:spacing w:after="0"/>
              <w:rPr>
                <w:sz w:val="10"/>
                <w:szCs w:val="10"/>
                <w:color w:val="auto"/>
              </w:rPr>
            </w:pPr>
          </w:p>
        </w:tc>
        <w:tc>
          <w:tcPr>
            <w:tcW w:w="320" w:type="dxa"/>
            <w:vAlign w:val="bottom"/>
            <w:tcBorders>
              <w:top w:val="single" w:sz="8" w:color="D0CECE"/>
              <w:right w:val="single" w:sz="8" w:color="FFFFFE"/>
            </w:tcBorders>
            <w:shd w:val="clear" w:color="auto" w:fill="DCDDDE"/>
          </w:tcPr>
          <w:p>
            <w:pPr>
              <w:spacing w:after="0"/>
              <w:rPr>
                <w:sz w:val="10"/>
                <w:szCs w:val="10"/>
                <w:color w:val="auto"/>
              </w:rPr>
            </w:pPr>
          </w:p>
        </w:tc>
        <w:tc>
          <w:tcPr>
            <w:tcW w:w="60" w:type="dxa"/>
            <w:vAlign w:val="bottom"/>
            <w:tcBorders>
              <w:top w:val="single" w:sz="8" w:color="DCDDDE"/>
            </w:tcBorders>
            <w:shd w:val="clear" w:color="auto" w:fill="DCDDDE"/>
          </w:tcPr>
          <w:p>
            <w:pPr>
              <w:spacing w:after="0"/>
              <w:rPr>
                <w:sz w:val="10"/>
                <w:szCs w:val="10"/>
                <w:color w:val="auto"/>
              </w:rPr>
            </w:pPr>
          </w:p>
        </w:tc>
        <w:tc>
          <w:tcPr>
            <w:tcW w:w="680" w:type="dxa"/>
            <w:vAlign w:val="bottom"/>
            <w:tcBorders>
              <w:top w:val="single" w:sz="8" w:color="D0CECE"/>
            </w:tcBorders>
            <w:shd w:val="clear" w:color="auto" w:fill="DCDDDE"/>
          </w:tcPr>
          <w:p>
            <w:pPr>
              <w:spacing w:after="0"/>
              <w:rPr>
                <w:sz w:val="10"/>
                <w:szCs w:val="10"/>
                <w:color w:val="auto"/>
              </w:rPr>
            </w:pPr>
          </w:p>
        </w:tc>
        <w:tc>
          <w:tcPr>
            <w:tcW w:w="80" w:type="dxa"/>
            <w:vAlign w:val="bottom"/>
            <w:tcBorders>
              <w:top w:val="single" w:sz="8" w:color="DCDDDE"/>
            </w:tcBorders>
            <w:shd w:val="clear" w:color="auto" w:fill="DCDDDE"/>
          </w:tcPr>
          <w:p>
            <w:pPr>
              <w:spacing w:after="0"/>
              <w:rPr>
                <w:sz w:val="10"/>
                <w:szCs w:val="10"/>
                <w:color w:val="auto"/>
              </w:rPr>
            </w:pPr>
          </w:p>
        </w:tc>
        <w:tc>
          <w:tcPr>
            <w:tcW w:w="680" w:type="dxa"/>
            <w:vAlign w:val="bottom"/>
            <w:tcBorders>
              <w:top w:val="single" w:sz="8" w:color="D0CECE"/>
              <w:right w:val="single" w:sz="8" w:color="FFFFFE"/>
            </w:tcBorders>
            <w:vMerge w:val="restart"/>
            <w:shd w:val="clear" w:color="auto" w:fill="DCDDDE"/>
          </w:tcPr>
          <w:p>
            <w:pPr>
              <w:jc w:val="center"/>
              <w:ind w:right="135"/>
              <w:spacing w:after="0"/>
              <w:rPr>
                <w:sz w:val="20"/>
                <w:szCs w:val="20"/>
                <w:color w:val="auto"/>
              </w:rPr>
            </w:pPr>
            <w:r>
              <w:rPr>
                <w:rFonts w:ascii="Times New Roman" w:cs="Times New Roman" w:eastAsia="Times New Roman" w:hAnsi="Times New Roman"/>
                <w:sz w:val="13"/>
                <w:szCs w:val="13"/>
                <w:color w:val="53C072"/>
                <w:w w:val="91"/>
              </w:rPr>
              <w:t>·</w:t>
            </w:r>
          </w:p>
        </w:tc>
        <w:tc>
          <w:tcPr>
            <w:tcW w:w="80" w:type="dxa"/>
            <w:vAlign w:val="bottom"/>
            <w:tcBorders>
              <w:top w:val="single" w:sz="8" w:color="DCDDDE"/>
            </w:tcBorders>
            <w:shd w:val="clear" w:color="auto" w:fill="DCDDDE"/>
          </w:tcPr>
          <w:p>
            <w:pPr>
              <w:spacing w:after="0"/>
              <w:rPr>
                <w:sz w:val="10"/>
                <w:szCs w:val="10"/>
                <w:color w:val="auto"/>
              </w:rPr>
            </w:pPr>
          </w:p>
        </w:tc>
        <w:tc>
          <w:tcPr>
            <w:tcW w:w="500" w:type="dxa"/>
            <w:vAlign w:val="bottom"/>
            <w:tcBorders>
              <w:top w:val="single" w:sz="8" w:color="D0CECE"/>
            </w:tcBorders>
            <w:shd w:val="clear" w:color="auto" w:fill="DCDDDE"/>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780" w:type="dxa"/>
            <w:vAlign w:val="bottom"/>
            <w:gridSpan w:val="2"/>
          </w:tcPr>
          <w:p>
            <w:pPr>
              <w:ind w:left="1200"/>
              <w:spacing w:after="0"/>
              <w:rPr>
                <w:sz w:val="20"/>
                <w:szCs w:val="20"/>
                <w:color w:val="auto"/>
              </w:rPr>
            </w:pPr>
            <w:r>
              <w:rPr>
                <w:rFonts w:ascii="Arial" w:cs="Arial" w:eastAsia="Arial" w:hAnsi="Arial"/>
                <w:sz w:val="13"/>
                <w:szCs w:val="13"/>
                <w:color w:val="auto"/>
              </w:rPr>
              <w:t>Chief Executive Officer of Arteza</w:t>
            </w:r>
          </w:p>
        </w:tc>
        <w:tc>
          <w:tcPr>
            <w:tcW w:w="4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340" w:type="dxa"/>
            <w:vAlign w:val="bottom"/>
            <w:tcBorders>
              <w:bottom w:val="single" w:sz="8" w:color="DCDDDE"/>
            </w:tcBorders>
            <w:vMerge w:val="continue"/>
            <w:shd w:val="clear" w:color="auto" w:fill="DCDDDE"/>
          </w:tcPr>
          <w:p>
            <w:pPr>
              <w:spacing w:after="0"/>
              <w:rPr>
                <w:sz w:val="13"/>
                <w:szCs w:val="13"/>
                <w:color w:val="auto"/>
              </w:rPr>
            </w:pPr>
          </w:p>
        </w:tc>
        <w:tc>
          <w:tcPr>
            <w:tcW w:w="340" w:type="dxa"/>
            <w:vAlign w:val="bottom"/>
            <w:tcBorders>
              <w:bottom w:val="single" w:sz="8" w:color="DCDDDE"/>
            </w:tcBorders>
            <w:shd w:val="clear" w:color="auto" w:fill="DCDDDE"/>
          </w:tcPr>
          <w:p>
            <w:pPr>
              <w:spacing w:after="0"/>
              <w:rPr>
                <w:sz w:val="13"/>
                <w:szCs w:val="13"/>
                <w:color w:val="auto"/>
              </w:rPr>
            </w:pPr>
          </w:p>
        </w:tc>
        <w:tc>
          <w:tcPr>
            <w:tcW w:w="80" w:type="dxa"/>
            <w:vAlign w:val="bottom"/>
            <w:tcBorders>
              <w:bottom w:val="single" w:sz="8" w:color="DCDDDE"/>
            </w:tcBorders>
            <w:shd w:val="clear" w:color="auto" w:fill="DCDDDE"/>
          </w:tcPr>
          <w:p>
            <w:pPr>
              <w:spacing w:after="0"/>
              <w:rPr>
                <w:sz w:val="13"/>
                <w:szCs w:val="13"/>
                <w:color w:val="auto"/>
              </w:rPr>
            </w:pPr>
          </w:p>
        </w:tc>
        <w:tc>
          <w:tcPr>
            <w:tcW w:w="360" w:type="dxa"/>
            <w:vAlign w:val="bottom"/>
            <w:tcBorders>
              <w:bottom w:val="single" w:sz="8" w:color="DCDDDE"/>
            </w:tcBorders>
            <w:shd w:val="clear" w:color="auto" w:fill="DCDDDE"/>
          </w:tcPr>
          <w:p>
            <w:pPr>
              <w:spacing w:after="0"/>
              <w:rPr>
                <w:sz w:val="13"/>
                <w:szCs w:val="13"/>
                <w:color w:val="auto"/>
              </w:rPr>
            </w:pPr>
          </w:p>
        </w:tc>
        <w:tc>
          <w:tcPr>
            <w:tcW w:w="320" w:type="dxa"/>
            <w:vAlign w:val="bottom"/>
            <w:tcBorders>
              <w:bottom w:val="single" w:sz="8" w:color="DCDDDE"/>
              <w:right w:val="single" w:sz="8" w:color="FFFFFE"/>
            </w:tcBorders>
            <w:shd w:val="clear" w:color="auto" w:fill="DCDDDE"/>
          </w:tcPr>
          <w:p>
            <w:pPr>
              <w:spacing w:after="0"/>
              <w:rPr>
                <w:sz w:val="13"/>
                <w:szCs w:val="13"/>
                <w:color w:val="auto"/>
              </w:rPr>
            </w:pPr>
          </w:p>
        </w:tc>
        <w:tc>
          <w:tcPr>
            <w:tcW w:w="60" w:type="dxa"/>
            <w:vAlign w:val="bottom"/>
            <w:tcBorders>
              <w:bottom w:val="single" w:sz="8" w:color="DCDDDE"/>
            </w:tcBorders>
            <w:shd w:val="clear" w:color="auto" w:fill="DCDDDE"/>
          </w:tcPr>
          <w:p>
            <w:pPr>
              <w:spacing w:after="0"/>
              <w:rPr>
                <w:sz w:val="13"/>
                <w:szCs w:val="13"/>
                <w:color w:val="auto"/>
              </w:rPr>
            </w:pPr>
          </w:p>
        </w:tc>
        <w:tc>
          <w:tcPr>
            <w:tcW w:w="680" w:type="dxa"/>
            <w:vAlign w:val="bottom"/>
            <w:tcBorders>
              <w:bottom w:val="single" w:sz="8" w:color="DCDDDE"/>
            </w:tcBorders>
            <w:shd w:val="clear" w:color="auto" w:fill="DCDDDE"/>
          </w:tcPr>
          <w:p>
            <w:pPr>
              <w:spacing w:after="0"/>
              <w:rPr>
                <w:sz w:val="13"/>
                <w:szCs w:val="13"/>
                <w:color w:val="auto"/>
              </w:rPr>
            </w:pPr>
          </w:p>
        </w:tc>
        <w:tc>
          <w:tcPr>
            <w:tcW w:w="80" w:type="dxa"/>
            <w:vAlign w:val="bottom"/>
            <w:tcBorders>
              <w:bottom w:val="single" w:sz="8" w:color="DCDDDE"/>
            </w:tcBorders>
            <w:shd w:val="clear" w:color="auto" w:fill="DCDDDE"/>
          </w:tcPr>
          <w:p>
            <w:pPr>
              <w:spacing w:after="0"/>
              <w:rPr>
                <w:sz w:val="13"/>
                <w:szCs w:val="13"/>
                <w:color w:val="auto"/>
              </w:rPr>
            </w:pPr>
          </w:p>
        </w:tc>
        <w:tc>
          <w:tcPr>
            <w:tcW w:w="680" w:type="dxa"/>
            <w:vAlign w:val="bottom"/>
            <w:tcBorders>
              <w:bottom w:val="single" w:sz="8" w:color="DCDDDE"/>
              <w:right w:val="single" w:sz="8" w:color="FFFFFE"/>
            </w:tcBorders>
            <w:vMerge w:val="continue"/>
            <w:shd w:val="clear" w:color="auto" w:fill="DCDDDE"/>
          </w:tcPr>
          <w:p>
            <w:pPr>
              <w:spacing w:after="0"/>
              <w:rPr>
                <w:sz w:val="13"/>
                <w:szCs w:val="13"/>
                <w:color w:val="auto"/>
              </w:rPr>
            </w:pPr>
          </w:p>
        </w:tc>
        <w:tc>
          <w:tcPr>
            <w:tcW w:w="80" w:type="dxa"/>
            <w:vAlign w:val="bottom"/>
            <w:tcBorders>
              <w:bottom w:val="single" w:sz="8" w:color="DCDDDE"/>
            </w:tcBorders>
            <w:shd w:val="clear" w:color="auto" w:fill="DCDDDE"/>
          </w:tcPr>
          <w:p>
            <w:pPr>
              <w:spacing w:after="0"/>
              <w:rPr>
                <w:sz w:val="13"/>
                <w:szCs w:val="13"/>
                <w:color w:val="auto"/>
              </w:rPr>
            </w:pPr>
          </w:p>
        </w:tc>
        <w:tc>
          <w:tcPr>
            <w:tcW w:w="500" w:type="dxa"/>
            <w:vAlign w:val="bottom"/>
            <w:tcBorders>
              <w:bottom w:val="single" w:sz="8" w:color="DCDDDE"/>
            </w:tcBorders>
            <w:shd w:val="clear" w:color="auto" w:fill="DCDDDE"/>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200" w:type="dxa"/>
            <w:vAlign w:val="bottom"/>
          </w:tcPr>
          <w:p>
            <w:pPr>
              <w:spacing w:after="0"/>
              <w:rPr>
                <w:sz w:val="10"/>
                <w:szCs w:val="10"/>
                <w:color w:val="auto"/>
              </w:rPr>
            </w:pPr>
          </w:p>
        </w:tc>
        <w:tc>
          <w:tcPr>
            <w:tcW w:w="3580" w:type="dxa"/>
            <w:vAlign w:val="bottom"/>
            <w:tcBorders>
              <w:top w:val="single" w:sz="8" w:color="D0CECE"/>
            </w:tcBorders>
          </w:tcPr>
          <w:p>
            <w:pPr>
              <w:spacing w:after="0" w:line="126" w:lineRule="exact"/>
              <w:rPr>
                <w:sz w:val="20"/>
                <w:szCs w:val="20"/>
                <w:color w:val="auto"/>
              </w:rPr>
            </w:pPr>
            <w:r>
              <w:rPr>
                <w:rFonts w:ascii="Arial" w:cs="Arial" w:eastAsia="Arial" w:hAnsi="Arial"/>
                <w:sz w:val="13"/>
                <w:szCs w:val="13"/>
                <w:b w:val="1"/>
                <w:bCs w:val="1"/>
                <w:color w:val="auto"/>
              </w:rPr>
              <w:t>Jo Ann Jenkins</w:t>
            </w:r>
          </w:p>
        </w:tc>
        <w:tc>
          <w:tcPr>
            <w:tcW w:w="440" w:type="dxa"/>
            <w:vAlign w:val="bottom"/>
            <w:tcBorders>
              <w:top w:val="single" w:sz="8" w:color="D0CECE"/>
            </w:tcBorders>
            <w:vMerge w:val="restart"/>
          </w:tcPr>
          <w:p>
            <w:pPr>
              <w:jc w:val="right"/>
              <w:spacing w:after="0"/>
              <w:rPr>
                <w:sz w:val="20"/>
                <w:szCs w:val="20"/>
                <w:color w:val="auto"/>
              </w:rPr>
            </w:pPr>
            <w:r>
              <w:rPr>
                <w:rFonts w:ascii="Arial" w:cs="Arial" w:eastAsia="Arial" w:hAnsi="Arial"/>
                <w:sz w:val="13"/>
                <w:szCs w:val="13"/>
                <w:color w:val="auto"/>
              </w:rPr>
              <w:t>62</w:t>
            </w:r>
          </w:p>
        </w:tc>
        <w:tc>
          <w:tcPr>
            <w:tcW w:w="600" w:type="dxa"/>
            <w:vAlign w:val="bottom"/>
            <w:tcBorders>
              <w:top w:val="single" w:sz="8" w:color="D0CECE"/>
            </w:tcBorders>
            <w:vMerge w:val="restart"/>
          </w:tcPr>
          <w:p>
            <w:pPr>
              <w:jc w:val="center"/>
              <w:spacing w:after="0"/>
              <w:rPr>
                <w:sz w:val="20"/>
                <w:szCs w:val="20"/>
                <w:color w:val="auto"/>
              </w:rPr>
            </w:pPr>
            <w:r>
              <w:rPr>
                <w:rFonts w:ascii="Arial" w:cs="Arial" w:eastAsia="Arial" w:hAnsi="Arial"/>
                <w:sz w:val="13"/>
                <w:szCs w:val="13"/>
                <w:color w:val="auto"/>
                <w:w w:val="96"/>
              </w:rPr>
              <w:t>2018</w:t>
            </w:r>
          </w:p>
        </w:tc>
        <w:tc>
          <w:tcPr>
            <w:tcW w:w="900" w:type="dxa"/>
            <w:vAlign w:val="bottom"/>
            <w:tcBorders>
              <w:top w:val="single" w:sz="8" w:color="D0CECE"/>
            </w:tcBorders>
            <w:vMerge w:val="restart"/>
          </w:tcPr>
          <w:p>
            <w:pPr>
              <w:jc w:val="center"/>
              <w:spacing w:after="0"/>
              <w:rPr>
                <w:sz w:val="20"/>
                <w:szCs w:val="20"/>
                <w:color w:val="auto"/>
              </w:rPr>
            </w:pPr>
            <w:r>
              <w:rPr>
                <w:rFonts w:ascii="Arial" w:cs="Arial" w:eastAsia="Arial" w:hAnsi="Arial"/>
                <w:sz w:val="13"/>
                <w:szCs w:val="13"/>
                <w:color w:val="auto"/>
                <w:w w:val="99"/>
              </w:rPr>
              <w:t>YES</w:t>
            </w:r>
          </w:p>
        </w:tc>
        <w:tc>
          <w:tcPr>
            <w:tcW w:w="340" w:type="dxa"/>
            <w:vAlign w:val="bottom"/>
            <w:tcBorders>
              <w:top w:val="single" w:sz="8" w:color="D0CECE"/>
            </w:tcBorders>
            <w:shd w:val="clear" w:color="auto" w:fill="DCDDDE"/>
          </w:tcPr>
          <w:p>
            <w:pPr>
              <w:spacing w:after="0"/>
              <w:rPr>
                <w:sz w:val="10"/>
                <w:szCs w:val="10"/>
                <w:color w:val="auto"/>
              </w:rPr>
            </w:pPr>
          </w:p>
        </w:tc>
        <w:tc>
          <w:tcPr>
            <w:tcW w:w="340" w:type="dxa"/>
            <w:vAlign w:val="bottom"/>
            <w:tcBorders>
              <w:top w:val="single" w:sz="8" w:color="D0CECE"/>
            </w:tcBorders>
            <w:shd w:val="clear" w:color="auto" w:fill="DCDDDE"/>
          </w:tcPr>
          <w:p>
            <w:pPr>
              <w:spacing w:after="0"/>
              <w:rPr>
                <w:sz w:val="10"/>
                <w:szCs w:val="10"/>
                <w:color w:val="auto"/>
              </w:rPr>
            </w:pPr>
          </w:p>
        </w:tc>
        <w:tc>
          <w:tcPr>
            <w:tcW w:w="80" w:type="dxa"/>
            <w:vAlign w:val="bottom"/>
            <w:tcBorders>
              <w:top w:val="single" w:sz="8" w:color="DCDDDE"/>
            </w:tcBorders>
            <w:shd w:val="clear" w:color="auto" w:fill="DCDDDE"/>
          </w:tcPr>
          <w:p>
            <w:pPr>
              <w:spacing w:after="0"/>
              <w:rPr>
                <w:sz w:val="10"/>
                <w:szCs w:val="10"/>
                <w:color w:val="auto"/>
              </w:rPr>
            </w:pPr>
          </w:p>
        </w:tc>
        <w:tc>
          <w:tcPr>
            <w:tcW w:w="360" w:type="dxa"/>
            <w:vAlign w:val="bottom"/>
            <w:tcBorders>
              <w:top w:val="single" w:sz="8" w:color="D0CECE"/>
            </w:tcBorders>
            <w:vMerge w:val="restart"/>
            <w:shd w:val="clear" w:color="auto" w:fill="DCDDDE"/>
          </w:tcPr>
          <w:p>
            <w:pPr>
              <w:jc w:val="center"/>
              <w:ind w:left="55"/>
              <w:spacing w:after="0"/>
              <w:rPr>
                <w:sz w:val="20"/>
                <w:szCs w:val="20"/>
                <w:color w:val="auto"/>
              </w:rPr>
            </w:pPr>
            <w:r>
              <w:rPr>
                <w:rFonts w:ascii="Times New Roman" w:cs="Times New Roman" w:eastAsia="Times New Roman" w:hAnsi="Times New Roman"/>
                <w:sz w:val="13"/>
                <w:szCs w:val="13"/>
                <w:color w:val="53C072"/>
                <w:w w:val="91"/>
              </w:rPr>
              <w:t>·</w:t>
            </w:r>
          </w:p>
        </w:tc>
        <w:tc>
          <w:tcPr>
            <w:tcW w:w="320" w:type="dxa"/>
            <w:vAlign w:val="bottom"/>
            <w:tcBorders>
              <w:top w:val="single" w:sz="8" w:color="D0CECE"/>
              <w:right w:val="single" w:sz="8" w:color="FFFFFE"/>
            </w:tcBorders>
            <w:shd w:val="clear" w:color="auto" w:fill="DCDDDE"/>
          </w:tcPr>
          <w:p>
            <w:pPr>
              <w:spacing w:after="0"/>
              <w:rPr>
                <w:sz w:val="10"/>
                <w:szCs w:val="10"/>
                <w:color w:val="auto"/>
              </w:rPr>
            </w:pPr>
          </w:p>
        </w:tc>
        <w:tc>
          <w:tcPr>
            <w:tcW w:w="60" w:type="dxa"/>
            <w:vAlign w:val="bottom"/>
            <w:tcBorders>
              <w:top w:val="single" w:sz="8" w:color="DCDDDE"/>
            </w:tcBorders>
            <w:shd w:val="clear" w:color="auto" w:fill="DCDDDE"/>
          </w:tcPr>
          <w:p>
            <w:pPr>
              <w:spacing w:after="0"/>
              <w:rPr>
                <w:sz w:val="10"/>
                <w:szCs w:val="10"/>
                <w:color w:val="auto"/>
              </w:rPr>
            </w:pPr>
          </w:p>
        </w:tc>
        <w:tc>
          <w:tcPr>
            <w:tcW w:w="680" w:type="dxa"/>
            <w:vAlign w:val="bottom"/>
            <w:tcBorders>
              <w:top w:val="single" w:sz="8" w:color="D0CECE"/>
            </w:tcBorders>
            <w:vMerge w:val="restart"/>
            <w:shd w:val="clear" w:color="auto" w:fill="DCDDDE"/>
          </w:tcPr>
          <w:p>
            <w:pPr>
              <w:jc w:val="center"/>
              <w:ind w:right="133"/>
              <w:spacing w:after="0"/>
              <w:rPr>
                <w:sz w:val="20"/>
                <w:szCs w:val="20"/>
                <w:color w:val="auto"/>
              </w:rPr>
            </w:pPr>
            <w:r>
              <w:rPr>
                <w:rFonts w:ascii="Times New Roman" w:cs="Times New Roman" w:eastAsia="Times New Roman" w:hAnsi="Times New Roman"/>
                <w:sz w:val="8"/>
                <w:szCs w:val="8"/>
                <w:color w:val="53C072"/>
                <w:w w:val="73"/>
              </w:rPr>
              <w:t>·</w:t>
            </w:r>
          </w:p>
        </w:tc>
        <w:tc>
          <w:tcPr>
            <w:tcW w:w="80" w:type="dxa"/>
            <w:vAlign w:val="bottom"/>
            <w:tcBorders>
              <w:top w:val="single" w:sz="8" w:color="DCDDDE"/>
            </w:tcBorders>
            <w:shd w:val="clear" w:color="auto" w:fill="DCDDDE"/>
          </w:tcPr>
          <w:p>
            <w:pPr>
              <w:spacing w:after="0"/>
              <w:rPr>
                <w:sz w:val="10"/>
                <w:szCs w:val="10"/>
                <w:color w:val="auto"/>
              </w:rPr>
            </w:pPr>
          </w:p>
        </w:tc>
        <w:tc>
          <w:tcPr>
            <w:tcW w:w="680" w:type="dxa"/>
            <w:vAlign w:val="bottom"/>
            <w:tcBorders>
              <w:top w:val="single" w:sz="8" w:color="D0CECE"/>
              <w:right w:val="single" w:sz="8" w:color="FFFFFE"/>
            </w:tcBorders>
            <w:shd w:val="clear" w:color="auto" w:fill="DCDDDE"/>
          </w:tcPr>
          <w:p>
            <w:pPr>
              <w:spacing w:after="0"/>
              <w:rPr>
                <w:sz w:val="10"/>
                <w:szCs w:val="10"/>
                <w:color w:val="auto"/>
              </w:rPr>
            </w:pPr>
          </w:p>
        </w:tc>
        <w:tc>
          <w:tcPr>
            <w:tcW w:w="80" w:type="dxa"/>
            <w:vAlign w:val="bottom"/>
            <w:tcBorders>
              <w:top w:val="single" w:sz="8" w:color="DCDDDE"/>
            </w:tcBorders>
            <w:shd w:val="clear" w:color="auto" w:fill="DCDDDE"/>
          </w:tcPr>
          <w:p>
            <w:pPr>
              <w:spacing w:after="0"/>
              <w:rPr>
                <w:sz w:val="10"/>
                <w:szCs w:val="10"/>
                <w:color w:val="auto"/>
              </w:rPr>
            </w:pPr>
          </w:p>
        </w:tc>
        <w:tc>
          <w:tcPr>
            <w:tcW w:w="500" w:type="dxa"/>
            <w:vAlign w:val="bottom"/>
            <w:tcBorders>
              <w:top w:val="single" w:sz="8" w:color="D0CECE"/>
            </w:tcBorders>
            <w:shd w:val="clear" w:color="auto" w:fill="DCDDDE"/>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780" w:type="dxa"/>
            <w:vAlign w:val="bottom"/>
            <w:gridSpan w:val="2"/>
          </w:tcPr>
          <w:p>
            <w:pPr>
              <w:ind w:left="1200"/>
              <w:spacing w:after="0"/>
              <w:rPr>
                <w:sz w:val="20"/>
                <w:szCs w:val="20"/>
                <w:color w:val="auto"/>
              </w:rPr>
            </w:pPr>
            <w:r>
              <w:rPr>
                <w:rFonts w:ascii="Arial" w:cs="Arial" w:eastAsia="Arial" w:hAnsi="Arial"/>
                <w:sz w:val="13"/>
                <w:szCs w:val="13"/>
                <w:color w:val="auto"/>
              </w:rPr>
              <w:t>Chief Executive Officer of AARP</w:t>
            </w:r>
          </w:p>
        </w:tc>
        <w:tc>
          <w:tcPr>
            <w:tcW w:w="4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340" w:type="dxa"/>
            <w:vAlign w:val="bottom"/>
            <w:tcBorders>
              <w:bottom w:val="single" w:sz="8" w:color="DCDDDE"/>
            </w:tcBorders>
            <w:shd w:val="clear" w:color="auto" w:fill="DCDDDE"/>
          </w:tcPr>
          <w:p>
            <w:pPr>
              <w:spacing w:after="0"/>
              <w:rPr>
                <w:sz w:val="13"/>
                <w:szCs w:val="13"/>
                <w:color w:val="auto"/>
              </w:rPr>
            </w:pPr>
          </w:p>
        </w:tc>
        <w:tc>
          <w:tcPr>
            <w:tcW w:w="340" w:type="dxa"/>
            <w:vAlign w:val="bottom"/>
            <w:tcBorders>
              <w:bottom w:val="single" w:sz="8" w:color="DCDDDE"/>
            </w:tcBorders>
            <w:shd w:val="clear" w:color="auto" w:fill="DCDDDE"/>
          </w:tcPr>
          <w:p>
            <w:pPr>
              <w:spacing w:after="0"/>
              <w:rPr>
                <w:sz w:val="13"/>
                <w:szCs w:val="13"/>
                <w:color w:val="auto"/>
              </w:rPr>
            </w:pPr>
          </w:p>
        </w:tc>
        <w:tc>
          <w:tcPr>
            <w:tcW w:w="80" w:type="dxa"/>
            <w:vAlign w:val="bottom"/>
            <w:tcBorders>
              <w:bottom w:val="single" w:sz="8" w:color="DCDDDE"/>
            </w:tcBorders>
            <w:shd w:val="clear" w:color="auto" w:fill="DCDDDE"/>
          </w:tcPr>
          <w:p>
            <w:pPr>
              <w:spacing w:after="0"/>
              <w:rPr>
                <w:sz w:val="13"/>
                <w:szCs w:val="13"/>
                <w:color w:val="auto"/>
              </w:rPr>
            </w:pPr>
          </w:p>
        </w:tc>
        <w:tc>
          <w:tcPr>
            <w:tcW w:w="360" w:type="dxa"/>
            <w:vAlign w:val="bottom"/>
            <w:tcBorders>
              <w:bottom w:val="single" w:sz="8" w:color="DCDDDE"/>
            </w:tcBorders>
            <w:vMerge w:val="continue"/>
            <w:shd w:val="clear" w:color="auto" w:fill="DCDDDE"/>
          </w:tcPr>
          <w:p>
            <w:pPr>
              <w:spacing w:after="0"/>
              <w:rPr>
                <w:sz w:val="13"/>
                <w:szCs w:val="13"/>
                <w:color w:val="auto"/>
              </w:rPr>
            </w:pPr>
          </w:p>
        </w:tc>
        <w:tc>
          <w:tcPr>
            <w:tcW w:w="320" w:type="dxa"/>
            <w:vAlign w:val="bottom"/>
            <w:tcBorders>
              <w:bottom w:val="single" w:sz="8" w:color="DCDDDE"/>
              <w:right w:val="single" w:sz="8" w:color="FFFFFE"/>
            </w:tcBorders>
            <w:shd w:val="clear" w:color="auto" w:fill="DCDDDE"/>
          </w:tcPr>
          <w:p>
            <w:pPr>
              <w:spacing w:after="0"/>
              <w:rPr>
                <w:sz w:val="13"/>
                <w:szCs w:val="13"/>
                <w:color w:val="auto"/>
              </w:rPr>
            </w:pPr>
          </w:p>
        </w:tc>
        <w:tc>
          <w:tcPr>
            <w:tcW w:w="60" w:type="dxa"/>
            <w:vAlign w:val="bottom"/>
            <w:tcBorders>
              <w:bottom w:val="single" w:sz="8" w:color="DCDDDE"/>
            </w:tcBorders>
            <w:shd w:val="clear" w:color="auto" w:fill="DCDDDE"/>
          </w:tcPr>
          <w:p>
            <w:pPr>
              <w:spacing w:after="0"/>
              <w:rPr>
                <w:sz w:val="13"/>
                <w:szCs w:val="13"/>
                <w:color w:val="auto"/>
              </w:rPr>
            </w:pPr>
          </w:p>
        </w:tc>
        <w:tc>
          <w:tcPr>
            <w:tcW w:w="680" w:type="dxa"/>
            <w:vAlign w:val="bottom"/>
            <w:tcBorders>
              <w:bottom w:val="single" w:sz="8" w:color="DCDDDE"/>
            </w:tcBorders>
            <w:vMerge w:val="continue"/>
            <w:shd w:val="clear" w:color="auto" w:fill="DCDDDE"/>
          </w:tcPr>
          <w:p>
            <w:pPr>
              <w:spacing w:after="0"/>
              <w:rPr>
                <w:sz w:val="13"/>
                <w:szCs w:val="13"/>
                <w:color w:val="auto"/>
              </w:rPr>
            </w:pPr>
          </w:p>
        </w:tc>
        <w:tc>
          <w:tcPr>
            <w:tcW w:w="80" w:type="dxa"/>
            <w:vAlign w:val="bottom"/>
            <w:tcBorders>
              <w:bottom w:val="single" w:sz="8" w:color="DCDDDE"/>
            </w:tcBorders>
            <w:shd w:val="clear" w:color="auto" w:fill="DCDDDE"/>
          </w:tcPr>
          <w:p>
            <w:pPr>
              <w:spacing w:after="0"/>
              <w:rPr>
                <w:sz w:val="13"/>
                <w:szCs w:val="13"/>
                <w:color w:val="auto"/>
              </w:rPr>
            </w:pPr>
          </w:p>
        </w:tc>
        <w:tc>
          <w:tcPr>
            <w:tcW w:w="680" w:type="dxa"/>
            <w:vAlign w:val="bottom"/>
            <w:tcBorders>
              <w:bottom w:val="single" w:sz="8" w:color="DCDDDE"/>
              <w:right w:val="single" w:sz="8" w:color="FFFFFE"/>
            </w:tcBorders>
            <w:shd w:val="clear" w:color="auto" w:fill="DCDDDE"/>
          </w:tcPr>
          <w:p>
            <w:pPr>
              <w:spacing w:after="0"/>
              <w:rPr>
                <w:sz w:val="13"/>
                <w:szCs w:val="13"/>
                <w:color w:val="auto"/>
              </w:rPr>
            </w:pPr>
          </w:p>
        </w:tc>
        <w:tc>
          <w:tcPr>
            <w:tcW w:w="80" w:type="dxa"/>
            <w:vAlign w:val="bottom"/>
            <w:tcBorders>
              <w:bottom w:val="single" w:sz="8" w:color="DCDDDE"/>
            </w:tcBorders>
            <w:shd w:val="clear" w:color="auto" w:fill="DCDDDE"/>
          </w:tcPr>
          <w:p>
            <w:pPr>
              <w:spacing w:after="0"/>
              <w:rPr>
                <w:sz w:val="13"/>
                <w:szCs w:val="13"/>
                <w:color w:val="auto"/>
              </w:rPr>
            </w:pPr>
          </w:p>
        </w:tc>
        <w:tc>
          <w:tcPr>
            <w:tcW w:w="500" w:type="dxa"/>
            <w:vAlign w:val="bottom"/>
            <w:tcBorders>
              <w:bottom w:val="single" w:sz="8" w:color="DCDDDE"/>
            </w:tcBorders>
            <w:shd w:val="clear" w:color="auto" w:fill="DCDDDE"/>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200" w:type="dxa"/>
            <w:vAlign w:val="bottom"/>
          </w:tcPr>
          <w:p>
            <w:pPr>
              <w:spacing w:after="0"/>
              <w:rPr>
                <w:sz w:val="10"/>
                <w:szCs w:val="10"/>
                <w:color w:val="auto"/>
              </w:rPr>
            </w:pPr>
          </w:p>
        </w:tc>
        <w:tc>
          <w:tcPr>
            <w:tcW w:w="3580" w:type="dxa"/>
            <w:vAlign w:val="bottom"/>
            <w:tcBorders>
              <w:top w:val="single" w:sz="8" w:color="D0CECE"/>
            </w:tcBorders>
          </w:tcPr>
          <w:p>
            <w:pPr>
              <w:spacing w:after="0" w:line="126" w:lineRule="exact"/>
              <w:rPr>
                <w:sz w:val="20"/>
                <w:szCs w:val="20"/>
                <w:color w:val="auto"/>
              </w:rPr>
            </w:pPr>
            <w:r>
              <w:rPr>
                <w:rFonts w:ascii="Arial" w:cs="Arial" w:eastAsia="Arial" w:hAnsi="Arial"/>
                <w:sz w:val="13"/>
                <w:szCs w:val="13"/>
                <w:b w:val="1"/>
                <w:bCs w:val="1"/>
                <w:color w:val="auto"/>
              </w:rPr>
              <w:t>Oleg Khaykin</w:t>
            </w:r>
          </w:p>
        </w:tc>
        <w:tc>
          <w:tcPr>
            <w:tcW w:w="440" w:type="dxa"/>
            <w:vAlign w:val="bottom"/>
            <w:tcBorders>
              <w:top w:val="single" w:sz="8" w:color="D0CECE"/>
            </w:tcBorders>
            <w:vMerge w:val="restart"/>
          </w:tcPr>
          <w:p>
            <w:pPr>
              <w:jc w:val="right"/>
              <w:spacing w:after="0"/>
              <w:rPr>
                <w:sz w:val="20"/>
                <w:szCs w:val="20"/>
                <w:color w:val="auto"/>
              </w:rPr>
            </w:pPr>
            <w:r>
              <w:rPr>
                <w:rFonts w:ascii="Arial" w:cs="Arial" w:eastAsia="Arial" w:hAnsi="Arial"/>
                <w:sz w:val="13"/>
                <w:szCs w:val="13"/>
                <w:color w:val="auto"/>
              </w:rPr>
              <w:t>55</w:t>
            </w:r>
          </w:p>
        </w:tc>
        <w:tc>
          <w:tcPr>
            <w:tcW w:w="600" w:type="dxa"/>
            <w:vAlign w:val="bottom"/>
            <w:tcBorders>
              <w:top w:val="single" w:sz="8" w:color="D0CECE"/>
            </w:tcBorders>
            <w:vMerge w:val="restart"/>
          </w:tcPr>
          <w:p>
            <w:pPr>
              <w:jc w:val="center"/>
              <w:spacing w:after="0"/>
              <w:rPr>
                <w:sz w:val="20"/>
                <w:szCs w:val="20"/>
                <w:color w:val="auto"/>
              </w:rPr>
            </w:pPr>
            <w:r>
              <w:rPr>
                <w:rFonts w:ascii="Arial" w:cs="Arial" w:eastAsia="Arial" w:hAnsi="Arial"/>
                <w:sz w:val="13"/>
                <w:szCs w:val="13"/>
                <w:color w:val="auto"/>
                <w:w w:val="96"/>
              </w:rPr>
              <w:t>2018</w:t>
            </w:r>
          </w:p>
        </w:tc>
        <w:tc>
          <w:tcPr>
            <w:tcW w:w="900" w:type="dxa"/>
            <w:vAlign w:val="bottom"/>
            <w:tcBorders>
              <w:top w:val="single" w:sz="8" w:color="D0CECE"/>
            </w:tcBorders>
            <w:vMerge w:val="restart"/>
          </w:tcPr>
          <w:p>
            <w:pPr>
              <w:jc w:val="center"/>
              <w:spacing w:after="0"/>
              <w:rPr>
                <w:sz w:val="20"/>
                <w:szCs w:val="20"/>
                <w:color w:val="auto"/>
              </w:rPr>
            </w:pPr>
            <w:r>
              <w:rPr>
                <w:rFonts w:ascii="Arial" w:cs="Arial" w:eastAsia="Arial" w:hAnsi="Arial"/>
                <w:sz w:val="13"/>
                <w:szCs w:val="13"/>
                <w:color w:val="auto"/>
                <w:w w:val="99"/>
              </w:rPr>
              <w:t>YES</w:t>
            </w:r>
          </w:p>
        </w:tc>
        <w:tc>
          <w:tcPr>
            <w:tcW w:w="340" w:type="dxa"/>
            <w:vAlign w:val="bottom"/>
            <w:tcBorders>
              <w:top w:val="single" w:sz="8" w:color="D0CECE"/>
            </w:tcBorders>
            <w:vMerge w:val="restart"/>
            <w:shd w:val="clear" w:color="auto" w:fill="DCDDDE"/>
          </w:tcPr>
          <w:p>
            <w:pPr>
              <w:jc w:val="center"/>
              <w:ind w:left="115"/>
              <w:spacing w:after="0"/>
              <w:rPr>
                <w:sz w:val="20"/>
                <w:szCs w:val="20"/>
                <w:color w:val="auto"/>
              </w:rPr>
            </w:pPr>
            <w:r>
              <w:rPr>
                <w:rFonts w:ascii="Times New Roman" w:cs="Times New Roman" w:eastAsia="Times New Roman" w:hAnsi="Times New Roman"/>
                <w:sz w:val="8"/>
                <w:szCs w:val="8"/>
                <w:color w:val="53C072"/>
                <w:w w:val="73"/>
              </w:rPr>
              <w:t>·</w:t>
            </w:r>
          </w:p>
        </w:tc>
        <w:tc>
          <w:tcPr>
            <w:tcW w:w="340" w:type="dxa"/>
            <w:vAlign w:val="bottom"/>
            <w:tcBorders>
              <w:top w:val="single" w:sz="8" w:color="D0CECE"/>
            </w:tcBorders>
            <w:shd w:val="clear" w:color="auto" w:fill="DCDDDE"/>
          </w:tcPr>
          <w:p>
            <w:pPr>
              <w:spacing w:after="0"/>
              <w:rPr>
                <w:sz w:val="10"/>
                <w:szCs w:val="10"/>
                <w:color w:val="auto"/>
              </w:rPr>
            </w:pPr>
          </w:p>
        </w:tc>
        <w:tc>
          <w:tcPr>
            <w:tcW w:w="80" w:type="dxa"/>
            <w:vAlign w:val="bottom"/>
            <w:tcBorders>
              <w:top w:val="single" w:sz="8" w:color="DCDDDE"/>
            </w:tcBorders>
            <w:shd w:val="clear" w:color="auto" w:fill="DCDDDE"/>
          </w:tcPr>
          <w:p>
            <w:pPr>
              <w:spacing w:after="0"/>
              <w:rPr>
                <w:sz w:val="10"/>
                <w:szCs w:val="10"/>
                <w:color w:val="auto"/>
              </w:rPr>
            </w:pPr>
          </w:p>
        </w:tc>
        <w:tc>
          <w:tcPr>
            <w:tcW w:w="360" w:type="dxa"/>
            <w:vAlign w:val="bottom"/>
            <w:tcBorders>
              <w:top w:val="single" w:sz="8" w:color="D0CECE"/>
            </w:tcBorders>
            <w:shd w:val="clear" w:color="auto" w:fill="DCDDDE"/>
          </w:tcPr>
          <w:p>
            <w:pPr>
              <w:spacing w:after="0"/>
              <w:rPr>
                <w:sz w:val="10"/>
                <w:szCs w:val="10"/>
                <w:color w:val="auto"/>
              </w:rPr>
            </w:pPr>
          </w:p>
        </w:tc>
        <w:tc>
          <w:tcPr>
            <w:tcW w:w="320" w:type="dxa"/>
            <w:vAlign w:val="bottom"/>
            <w:tcBorders>
              <w:top w:val="single" w:sz="8" w:color="D0CECE"/>
              <w:right w:val="single" w:sz="8" w:color="FFFFFE"/>
            </w:tcBorders>
            <w:shd w:val="clear" w:color="auto" w:fill="DCDDDE"/>
          </w:tcPr>
          <w:p>
            <w:pPr>
              <w:spacing w:after="0"/>
              <w:rPr>
                <w:sz w:val="10"/>
                <w:szCs w:val="10"/>
                <w:color w:val="auto"/>
              </w:rPr>
            </w:pPr>
          </w:p>
        </w:tc>
        <w:tc>
          <w:tcPr>
            <w:tcW w:w="60" w:type="dxa"/>
            <w:vAlign w:val="bottom"/>
            <w:tcBorders>
              <w:top w:val="single" w:sz="8" w:color="DCDDDE"/>
            </w:tcBorders>
            <w:shd w:val="clear" w:color="auto" w:fill="DCDDDE"/>
          </w:tcPr>
          <w:p>
            <w:pPr>
              <w:spacing w:after="0"/>
              <w:rPr>
                <w:sz w:val="10"/>
                <w:szCs w:val="10"/>
                <w:color w:val="auto"/>
              </w:rPr>
            </w:pPr>
          </w:p>
        </w:tc>
        <w:tc>
          <w:tcPr>
            <w:tcW w:w="680" w:type="dxa"/>
            <w:vAlign w:val="bottom"/>
            <w:tcBorders>
              <w:top w:val="single" w:sz="8" w:color="D0CECE"/>
            </w:tcBorders>
            <w:shd w:val="clear" w:color="auto" w:fill="DCDDDE"/>
          </w:tcPr>
          <w:p>
            <w:pPr>
              <w:spacing w:after="0"/>
              <w:rPr>
                <w:sz w:val="10"/>
                <w:szCs w:val="10"/>
                <w:color w:val="auto"/>
              </w:rPr>
            </w:pPr>
          </w:p>
        </w:tc>
        <w:tc>
          <w:tcPr>
            <w:tcW w:w="80" w:type="dxa"/>
            <w:vAlign w:val="bottom"/>
            <w:tcBorders>
              <w:top w:val="single" w:sz="8" w:color="DCDDDE"/>
            </w:tcBorders>
            <w:shd w:val="clear" w:color="auto" w:fill="DCDDDE"/>
          </w:tcPr>
          <w:p>
            <w:pPr>
              <w:spacing w:after="0"/>
              <w:rPr>
                <w:sz w:val="10"/>
                <w:szCs w:val="10"/>
                <w:color w:val="auto"/>
              </w:rPr>
            </w:pPr>
          </w:p>
        </w:tc>
        <w:tc>
          <w:tcPr>
            <w:tcW w:w="680" w:type="dxa"/>
            <w:vAlign w:val="bottom"/>
            <w:tcBorders>
              <w:top w:val="single" w:sz="8" w:color="D0CECE"/>
              <w:right w:val="single" w:sz="8" w:color="FFFFFE"/>
            </w:tcBorders>
            <w:vMerge w:val="restart"/>
            <w:shd w:val="clear" w:color="auto" w:fill="DCDDDE"/>
          </w:tcPr>
          <w:p>
            <w:pPr>
              <w:jc w:val="center"/>
              <w:ind w:right="135"/>
              <w:spacing w:after="0"/>
              <w:rPr>
                <w:sz w:val="20"/>
                <w:szCs w:val="20"/>
                <w:color w:val="auto"/>
              </w:rPr>
            </w:pPr>
            <w:r>
              <w:rPr>
                <w:rFonts w:ascii="Times New Roman" w:cs="Times New Roman" w:eastAsia="Times New Roman" w:hAnsi="Times New Roman"/>
                <w:sz w:val="13"/>
                <w:szCs w:val="13"/>
                <w:color w:val="53C072"/>
                <w:w w:val="91"/>
              </w:rPr>
              <w:t>·</w:t>
            </w:r>
          </w:p>
        </w:tc>
        <w:tc>
          <w:tcPr>
            <w:tcW w:w="80" w:type="dxa"/>
            <w:vAlign w:val="bottom"/>
            <w:tcBorders>
              <w:top w:val="single" w:sz="8" w:color="DCDDDE"/>
            </w:tcBorders>
            <w:shd w:val="clear" w:color="auto" w:fill="DCDDDE"/>
          </w:tcPr>
          <w:p>
            <w:pPr>
              <w:spacing w:after="0"/>
              <w:rPr>
                <w:sz w:val="10"/>
                <w:szCs w:val="10"/>
                <w:color w:val="auto"/>
              </w:rPr>
            </w:pPr>
          </w:p>
        </w:tc>
        <w:tc>
          <w:tcPr>
            <w:tcW w:w="500" w:type="dxa"/>
            <w:vAlign w:val="bottom"/>
            <w:tcBorders>
              <w:top w:val="single" w:sz="8" w:color="D0CECE"/>
            </w:tcBorders>
            <w:shd w:val="clear" w:color="auto" w:fill="DCDDDE"/>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780" w:type="dxa"/>
            <w:vAlign w:val="bottom"/>
            <w:gridSpan w:val="2"/>
          </w:tcPr>
          <w:p>
            <w:pPr>
              <w:ind w:left="1200"/>
              <w:spacing w:after="0"/>
              <w:rPr>
                <w:sz w:val="20"/>
                <w:szCs w:val="20"/>
                <w:color w:val="auto"/>
              </w:rPr>
            </w:pPr>
            <w:r>
              <w:rPr>
                <w:rFonts w:ascii="Arial" w:cs="Arial" w:eastAsia="Arial" w:hAnsi="Arial"/>
                <w:sz w:val="13"/>
                <w:szCs w:val="13"/>
                <w:color w:val="auto"/>
              </w:rPr>
              <w:t>President and Chief Executive Officer of Viavi Solutions, Inc.</w:t>
            </w:r>
          </w:p>
        </w:tc>
        <w:tc>
          <w:tcPr>
            <w:tcW w:w="4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340" w:type="dxa"/>
            <w:vAlign w:val="bottom"/>
            <w:tcBorders>
              <w:bottom w:val="single" w:sz="8" w:color="DCDDDE"/>
            </w:tcBorders>
            <w:vMerge w:val="continue"/>
            <w:shd w:val="clear" w:color="auto" w:fill="DCDDDE"/>
          </w:tcPr>
          <w:p>
            <w:pPr>
              <w:spacing w:after="0"/>
              <w:rPr>
                <w:sz w:val="13"/>
                <w:szCs w:val="13"/>
                <w:color w:val="auto"/>
              </w:rPr>
            </w:pPr>
          </w:p>
        </w:tc>
        <w:tc>
          <w:tcPr>
            <w:tcW w:w="340" w:type="dxa"/>
            <w:vAlign w:val="bottom"/>
            <w:tcBorders>
              <w:bottom w:val="single" w:sz="8" w:color="DCDDDE"/>
            </w:tcBorders>
            <w:shd w:val="clear" w:color="auto" w:fill="DCDDDE"/>
          </w:tcPr>
          <w:p>
            <w:pPr>
              <w:spacing w:after="0"/>
              <w:rPr>
                <w:sz w:val="13"/>
                <w:szCs w:val="13"/>
                <w:color w:val="auto"/>
              </w:rPr>
            </w:pPr>
          </w:p>
        </w:tc>
        <w:tc>
          <w:tcPr>
            <w:tcW w:w="80" w:type="dxa"/>
            <w:vAlign w:val="bottom"/>
            <w:tcBorders>
              <w:bottom w:val="single" w:sz="8" w:color="DCDDDE"/>
            </w:tcBorders>
            <w:shd w:val="clear" w:color="auto" w:fill="DCDDDE"/>
          </w:tcPr>
          <w:p>
            <w:pPr>
              <w:spacing w:after="0"/>
              <w:rPr>
                <w:sz w:val="13"/>
                <w:szCs w:val="13"/>
                <w:color w:val="auto"/>
              </w:rPr>
            </w:pPr>
          </w:p>
        </w:tc>
        <w:tc>
          <w:tcPr>
            <w:tcW w:w="360" w:type="dxa"/>
            <w:vAlign w:val="bottom"/>
            <w:tcBorders>
              <w:bottom w:val="single" w:sz="8" w:color="DCDDDE"/>
            </w:tcBorders>
            <w:shd w:val="clear" w:color="auto" w:fill="DCDDDE"/>
          </w:tcPr>
          <w:p>
            <w:pPr>
              <w:spacing w:after="0"/>
              <w:rPr>
                <w:sz w:val="13"/>
                <w:szCs w:val="13"/>
                <w:color w:val="auto"/>
              </w:rPr>
            </w:pPr>
          </w:p>
        </w:tc>
        <w:tc>
          <w:tcPr>
            <w:tcW w:w="320" w:type="dxa"/>
            <w:vAlign w:val="bottom"/>
            <w:tcBorders>
              <w:bottom w:val="single" w:sz="8" w:color="DCDDDE"/>
              <w:right w:val="single" w:sz="8" w:color="FFFFFE"/>
            </w:tcBorders>
            <w:shd w:val="clear" w:color="auto" w:fill="DCDDDE"/>
          </w:tcPr>
          <w:p>
            <w:pPr>
              <w:spacing w:after="0"/>
              <w:rPr>
                <w:sz w:val="13"/>
                <w:szCs w:val="13"/>
                <w:color w:val="auto"/>
              </w:rPr>
            </w:pPr>
          </w:p>
        </w:tc>
        <w:tc>
          <w:tcPr>
            <w:tcW w:w="60" w:type="dxa"/>
            <w:vAlign w:val="bottom"/>
            <w:tcBorders>
              <w:bottom w:val="single" w:sz="8" w:color="DCDDDE"/>
            </w:tcBorders>
            <w:shd w:val="clear" w:color="auto" w:fill="DCDDDE"/>
          </w:tcPr>
          <w:p>
            <w:pPr>
              <w:spacing w:after="0"/>
              <w:rPr>
                <w:sz w:val="13"/>
                <w:szCs w:val="13"/>
                <w:color w:val="auto"/>
              </w:rPr>
            </w:pPr>
          </w:p>
        </w:tc>
        <w:tc>
          <w:tcPr>
            <w:tcW w:w="680" w:type="dxa"/>
            <w:vAlign w:val="bottom"/>
            <w:tcBorders>
              <w:bottom w:val="single" w:sz="8" w:color="DCDDDE"/>
            </w:tcBorders>
            <w:shd w:val="clear" w:color="auto" w:fill="DCDDDE"/>
          </w:tcPr>
          <w:p>
            <w:pPr>
              <w:spacing w:after="0"/>
              <w:rPr>
                <w:sz w:val="13"/>
                <w:szCs w:val="13"/>
                <w:color w:val="auto"/>
              </w:rPr>
            </w:pPr>
          </w:p>
        </w:tc>
        <w:tc>
          <w:tcPr>
            <w:tcW w:w="80" w:type="dxa"/>
            <w:vAlign w:val="bottom"/>
            <w:tcBorders>
              <w:bottom w:val="single" w:sz="8" w:color="DCDDDE"/>
            </w:tcBorders>
            <w:shd w:val="clear" w:color="auto" w:fill="DCDDDE"/>
          </w:tcPr>
          <w:p>
            <w:pPr>
              <w:spacing w:after="0"/>
              <w:rPr>
                <w:sz w:val="13"/>
                <w:szCs w:val="13"/>
                <w:color w:val="auto"/>
              </w:rPr>
            </w:pPr>
          </w:p>
        </w:tc>
        <w:tc>
          <w:tcPr>
            <w:tcW w:w="680" w:type="dxa"/>
            <w:vAlign w:val="bottom"/>
            <w:tcBorders>
              <w:bottom w:val="single" w:sz="8" w:color="DCDDDE"/>
              <w:right w:val="single" w:sz="8" w:color="FFFFFE"/>
            </w:tcBorders>
            <w:vMerge w:val="continue"/>
            <w:shd w:val="clear" w:color="auto" w:fill="DCDDDE"/>
          </w:tcPr>
          <w:p>
            <w:pPr>
              <w:spacing w:after="0"/>
              <w:rPr>
                <w:sz w:val="13"/>
                <w:szCs w:val="13"/>
                <w:color w:val="auto"/>
              </w:rPr>
            </w:pPr>
          </w:p>
        </w:tc>
        <w:tc>
          <w:tcPr>
            <w:tcW w:w="80" w:type="dxa"/>
            <w:vAlign w:val="bottom"/>
            <w:tcBorders>
              <w:bottom w:val="single" w:sz="8" w:color="DCDDDE"/>
            </w:tcBorders>
            <w:shd w:val="clear" w:color="auto" w:fill="DCDDDE"/>
          </w:tcPr>
          <w:p>
            <w:pPr>
              <w:spacing w:after="0"/>
              <w:rPr>
                <w:sz w:val="13"/>
                <w:szCs w:val="13"/>
                <w:color w:val="auto"/>
              </w:rPr>
            </w:pPr>
          </w:p>
        </w:tc>
        <w:tc>
          <w:tcPr>
            <w:tcW w:w="500" w:type="dxa"/>
            <w:vAlign w:val="bottom"/>
            <w:tcBorders>
              <w:bottom w:val="single" w:sz="8" w:color="DCDDDE"/>
            </w:tcBorders>
            <w:shd w:val="clear" w:color="auto" w:fill="DCDDDE"/>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200" w:type="dxa"/>
            <w:vAlign w:val="bottom"/>
          </w:tcPr>
          <w:p>
            <w:pPr>
              <w:spacing w:after="0"/>
              <w:rPr>
                <w:sz w:val="10"/>
                <w:szCs w:val="10"/>
                <w:color w:val="auto"/>
              </w:rPr>
            </w:pPr>
          </w:p>
        </w:tc>
        <w:tc>
          <w:tcPr>
            <w:tcW w:w="3580" w:type="dxa"/>
            <w:vAlign w:val="bottom"/>
            <w:tcBorders>
              <w:top w:val="single" w:sz="8" w:color="D0CECE"/>
            </w:tcBorders>
          </w:tcPr>
          <w:p>
            <w:pPr>
              <w:spacing w:after="0" w:line="126" w:lineRule="exact"/>
              <w:rPr>
                <w:sz w:val="20"/>
                <w:szCs w:val="20"/>
                <w:color w:val="auto"/>
              </w:rPr>
            </w:pPr>
            <w:r>
              <w:rPr>
                <w:rFonts w:ascii="Arial" w:cs="Arial" w:eastAsia="Arial" w:hAnsi="Arial"/>
                <w:sz w:val="13"/>
                <w:szCs w:val="13"/>
                <w:b w:val="1"/>
                <w:bCs w:val="1"/>
                <w:color w:val="auto"/>
              </w:rPr>
              <w:t>James A. Lawrence</w:t>
            </w:r>
          </w:p>
        </w:tc>
        <w:tc>
          <w:tcPr>
            <w:tcW w:w="440" w:type="dxa"/>
            <w:vAlign w:val="bottom"/>
            <w:tcBorders>
              <w:top w:val="single" w:sz="8" w:color="D0CECE"/>
            </w:tcBorders>
            <w:vMerge w:val="restart"/>
          </w:tcPr>
          <w:p>
            <w:pPr>
              <w:jc w:val="right"/>
              <w:spacing w:after="0"/>
              <w:rPr>
                <w:sz w:val="20"/>
                <w:szCs w:val="20"/>
                <w:color w:val="auto"/>
              </w:rPr>
            </w:pPr>
            <w:r>
              <w:rPr>
                <w:rFonts w:ascii="Arial" w:cs="Arial" w:eastAsia="Arial" w:hAnsi="Arial"/>
                <w:sz w:val="13"/>
                <w:szCs w:val="13"/>
                <w:color w:val="auto"/>
              </w:rPr>
              <w:t>67</w:t>
            </w:r>
          </w:p>
        </w:tc>
        <w:tc>
          <w:tcPr>
            <w:tcW w:w="600" w:type="dxa"/>
            <w:vAlign w:val="bottom"/>
            <w:tcBorders>
              <w:top w:val="single" w:sz="8" w:color="D0CECE"/>
            </w:tcBorders>
            <w:vMerge w:val="restart"/>
          </w:tcPr>
          <w:p>
            <w:pPr>
              <w:jc w:val="center"/>
              <w:spacing w:after="0"/>
              <w:rPr>
                <w:sz w:val="20"/>
                <w:szCs w:val="20"/>
                <w:color w:val="auto"/>
              </w:rPr>
            </w:pPr>
            <w:r>
              <w:rPr>
                <w:rFonts w:ascii="Arial" w:cs="Arial" w:eastAsia="Arial" w:hAnsi="Arial"/>
                <w:sz w:val="13"/>
                <w:szCs w:val="13"/>
                <w:color w:val="auto"/>
                <w:w w:val="96"/>
              </w:rPr>
              <w:t>2011</w:t>
            </w:r>
          </w:p>
        </w:tc>
        <w:tc>
          <w:tcPr>
            <w:tcW w:w="900" w:type="dxa"/>
            <w:vAlign w:val="bottom"/>
            <w:tcBorders>
              <w:top w:val="single" w:sz="8" w:color="D0CECE"/>
            </w:tcBorders>
            <w:vMerge w:val="restart"/>
          </w:tcPr>
          <w:p>
            <w:pPr>
              <w:jc w:val="center"/>
              <w:spacing w:after="0"/>
              <w:rPr>
                <w:sz w:val="20"/>
                <w:szCs w:val="20"/>
                <w:color w:val="auto"/>
              </w:rPr>
            </w:pPr>
            <w:r>
              <w:rPr>
                <w:rFonts w:ascii="Arial" w:cs="Arial" w:eastAsia="Arial" w:hAnsi="Arial"/>
                <w:sz w:val="13"/>
                <w:szCs w:val="13"/>
                <w:color w:val="auto"/>
                <w:w w:val="99"/>
              </w:rPr>
              <w:t>YES</w:t>
            </w:r>
          </w:p>
        </w:tc>
        <w:tc>
          <w:tcPr>
            <w:tcW w:w="340" w:type="dxa"/>
            <w:vAlign w:val="bottom"/>
            <w:tcBorders>
              <w:top w:val="single" w:sz="8" w:color="D0CECE"/>
            </w:tcBorders>
            <w:shd w:val="clear" w:color="auto" w:fill="DCDDDE"/>
          </w:tcPr>
          <w:p>
            <w:pPr>
              <w:spacing w:after="0"/>
              <w:rPr>
                <w:sz w:val="10"/>
                <w:szCs w:val="10"/>
                <w:color w:val="auto"/>
              </w:rPr>
            </w:pPr>
          </w:p>
        </w:tc>
        <w:tc>
          <w:tcPr>
            <w:tcW w:w="340" w:type="dxa"/>
            <w:vAlign w:val="bottom"/>
            <w:tcBorders>
              <w:top w:val="single" w:sz="8" w:color="D0CECE"/>
            </w:tcBorders>
            <w:shd w:val="clear" w:color="auto" w:fill="DCDDDE"/>
          </w:tcPr>
          <w:p>
            <w:pPr>
              <w:spacing w:after="0"/>
              <w:rPr>
                <w:sz w:val="10"/>
                <w:szCs w:val="10"/>
                <w:color w:val="auto"/>
              </w:rPr>
            </w:pPr>
          </w:p>
        </w:tc>
        <w:tc>
          <w:tcPr>
            <w:tcW w:w="80" w:type="dxa"/>
            <w:vAlign w:val="bottom"/>
            <w:tcBorders>
              <w:top w:val="single" w:sz="8" w:color="DCDDDE"/>
            </w:tcBorders>
            <w:shd w:val="clear" w:color="auto" w:fill="DCDDDE"/>
          </w:tcPr>
          <w:p>
            <w:pPr>
              <w:spacing w:after="0"/>
              <w:rPr>
                <w:sz w:val="10"/>
                <w:szCs w:val="10"/>
                <w:color w:val="auto"/>
              </w:rPr>
            </w:pPr>
          </w:p>
        </w:tc>
        <w:tc>
          <w:tcPr>
            <w:tcW w:w="360" w:type="dxa"/>
            <w:vAlign w:val="bottom"/>
            <w:tcBorders>
              <w:top w:val="single" w:sz="8" w:color="D0CECE"/>
            </w:tcBorders>
            <w:vMerge w:val="restart"/>
            <w:shd w:val="clear" w:color="auto" w:fill="DCDDDE"/>
          </w:tcPr>
          <w:p>
            <w:pPr>
              <w:jc w:val="center"/>
              <w:ind w:left="55"/>
              <w:spacing w:after="0"/>
              <w:rPr>
                <w:sz w:val="20"/>
                <w:szCs w:val="20"/>
                <w:color w:val="auto"/>
              </w:rPr>
            </w:pPr>
            <w:r>
              <w:rPr>
                <w:rFonts w:ascii="Courier New" w:cs="Courier New" w:eastAsia="Courier New" w:hAnsi="Courier New"/>
                <w:sz w:val="13"/>
                <w:szCs w:val="13"/>
                <w:color w:val="53C072"/>
              </w:rPr>
              <w:t>o</w:t>
            </w:r>
          </w:p>
        </w:tc>
        <w:tc>
          <w:tcPr>
            <w:tcW w:w="320" w:type="dxa"/>
            <w:vAlign w:val="bottom"/>
            <w:tcBorders>
              <w:top w:val="single" w:sz="8" w:color="D0CECE"/>
              <w:right w:val="single" w:sz="8" w:color="FFFFFE"/>
            </w:tcBorders>
            <w:shd w:val="clear" w:color="auto" w:fill="DCDDDE"/>
          </w:tcPr>
          <w:p>
            <w:pPr>
              <w:spacing w:after="0"/>
              <w:rPr>
                <w:sz w:val="10"/>
                <w:szCs w:val="10"/>
                <w:color w:val="auto"/>
              </w:rPr>
            </w:pPr>
          </w:p>
        </w:tc>
        <w:tc>
          <w:tcPr>
            <w:tcW w:w="60" w:type="dxa"/>
            <w:vAlign w:val="bottom"/>
            <w:tcBorders>
              <w:top w:val="single" w:sz="8" w:color="DCDDDE"/>
            </w:tcBorders>
            <w:shd w:val="clear" w:color="auto" w:fill="DCDDDE"/>
          </w:tcPr>
          <w:p>
            <w:pPr>
              <w:spacing w:after="0"/>
              <w:rPr>
                <w:sz w:val="10"/>
                <w:szCs w:val="10"/>
                <w:color w:val="auto"/>
              </w:rPr>
            </w:pPr>
          </w:p>
        </w:tc>
        <w:tc>
          <w:tcPr>
            <w:tcW w:w="680" w:type="dxa"/>
            <w:vAlign w:val="bottom"/>
            <w:tcBorders>
              <w:top w:val="single" w:sz="8" w:color="D0CECE"/>
            </w:tcBorders>
            <w:shd w:val="clear" w:color="auto" w:fill="DCDDDE"/>
          </w:tcPr>
          <w:p>
            <w:pPr>
              <w:spacing w:after="0"/>
              <w:rPr>
                <w:sz w:val="10"/>
                <w:szCs w:val="10"/>
                <w:color w:val="auto"/>
              </w:rPr>
            </w:pPr>
          </w:p>
        </w:tc>
        <w:tc>
          <w:tcPr>
            <w:tcW w:w="80" w:type="dxa"/>
            <w:vAlign w:val="bottom"/>
            <w:tcBorders>
              <w:top w:val="single" w:sz="8" w:color="DCDDDE"/>
            </w:tcBorders>
            <w:shd w:val="clear" w:color="auto" w:fill="DCDDDE"/>
          </w:tcPr>
          <w:p>
            <w:pPr>
              <w:spacing w:after="0"/>
              <w:rPr>
                <w:sz w:val="10"/>
                <w:szCs w:val="10"/>
                <w:color w:val="auto"/>
              </w:rPr>
            </w:pPr>
          </w:p>
        </w:tc>
        <w:tc>
          <w:tcPr>
            <w:tcW w:w="680" w:type="dxa"/>
            <w:vAlign w:val="bottom"/>
            <w:tcBorders>
              <w:top w:val="single" w:sz="8" w:color="D0CECE"/>
              <w:right w:val="single" w:sz="8" w:color="FFFFFE"/>
            </w:tcBorders>
            <w:vMerge w:val="restart"/>
            <w:shd w:val="clear" w:color="auto" w:fill="DCDDDE"/>
          </w:tcPr>
          <w:p>
            <w:pPr>
              <w:jc w:val="center"/>
              <w:ind w:right="135"/>
              <w:spacing w:after="0"/>
              <w:rPr>
                <w:sz w:val="20"/>
                <w:szCs w:val="20"/>
                <w:color w:val="auto"/>
              </w:rPr>
            </w:pPr>
            <w:r>
              <w:rPr>
                <w:rFonts w:ascii="Times New Roman" w:cs="Times New Roman" w:eastAsia="Times New Roman" w:hAnsi="Times New Roman"/>
                <w:sz w:val="13"/>
                <w:szCs w:val="13"/>
                <w:color w:val="53C072"/>
                <w:w w:val="91"/>
              </w:rPr>
              <w:t>·</w:t>
            </w:r>
          </w:p>
        </w:tc>
        <w:tc>
          <w:tcPr>
            <w:tcW w:w="80" w:type="dxa"/>
            <w:vAlign w:val="bottom"/>
            <w:tcBorders>
              <w:top w:val="single" w:sz="8" w:color="DCDDDE"/>
            </w:tcBorders>
            <w:shd w:val="clear" w:color="auto" w:fill="DCDDDE"/>
          </w:tcPr>
          <w:p>
            <w:pPr>
              <w:spacing w:after="0"/>
              <w:rPr>
                <w:sz w:val="10"/>
                <w:szCs w:val="10"/>
                <w:color w:val="auto"/>
              </w:rPr>
            </w:pPr>
          </w:p>
        </w:tc>
        <w:tc>
          <w:tcPr>
            <w:tcW w:w="500" w:type="dxa"/>
            <w:vAlign w:val="bottom"/>
            <w:tcBorders>
              <w:top w:val="single" w:sz="8" w:color="D0CECE"/>
            </w:tcBorders>
            <w:vMerge w:val="restart"/>
            <w:shd w:val="clear" w:color="auto" w:fill="DCDDDE"/>
          </w:tcPr>
          <w:p>
            <w:pPr>
              <w:jc w:val="center"/>
              <w:spacing w:after="0"/>
              <w:rPr>
                <w:sz w:val="20"/>
                <w:szCs w:val="20"/>
                <w:color w:val="auto"/>
              </w:rPr>
            </w:pPr>
            <w:r>
              <w:rPr>
                <w:rFonts w:ascii="Times New Roman" w:cs="Times New Roman" w:eastAsia="Times New Roman" w:hAnsi="Times New Roman"/>
                <w:sz w:val="13"/>
                <w:szCs w:val="13"/>
                <w:color w:val="53C072"/>
                <w:w w:val="91"/>
              </w:rPr>
              <w:t>·</w:t>
            </w: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780" w:type="dxa"/>
            <w:vAlign w:val="bottom"/>
            <w:gridSpan w:val="2"/>
          </w:tcPr>
          <w:p>
            <w:pPr>
              <w:ind w:left="1200"/>
              <w:spacing w:after="0"/>
              <w:rPr>
                <w:sz w:val="20"/>
                <w:szCs w:val="20"/>
                <w:color w:val="auto"/>
              </w:rPr>
            </w:pPr>
            <w:r>
              <w:rPr>
                <w:rFonts w:ascii="Arial" w:cs="Arial" w:eastAsia="Arial" w:hAnsi="Arial"/>
                <w:sz w:val="13"/>
                <w:szCs w:val="13"/>
                <w:color w:val="auto"/>
              </w:rPr>
              <w:t>Chairman of Lake Harriet Capital, LLC</w:t>
            </w:r>
          </w:p>
        </w:tc>
        <w:tc>
          <w:tcPr>
            <w:tcW w:w="4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340" w:type="dxa"/>
            <w:vAlign w:val="bottom"/>
            <w:shd w:val="clear" w:color="auto" w:fill="DCDDDE"/>
          </w:tcPr>
          <w:p>
            <w:pPr>
              <w:spacing w:after="0"/>
              <w:rPr>
                <w:sz w:val="13"/>
                <w:szCs w:val="13"/>
                <w:color w:val="auto"/>
              </w:rPr>
            </w:pPr>
          </w:p>
        </w:tc>
        <w:tc>
          <w:tcPr>
            <w:tcW w:w="340" w:type="dxa"/>
            <w:vAlign w:val="bottom"/>
            <w:shd w:val="clear" w:color="auto" w:fill="DCDDDE"/>
          </w:tcPr>
          <w:p>
            <w:pPr>
              <w:spacing w:after="0"/>
              <w:rPr>
                <w:sz w:val="13"/>
                <w:szCs w:val="13"/>
                <w:color w:val="auto"/>
              </w:rPr>
            </w:pPr>
          </w:p>
        </w:tc>
        <w:tc>
          <w:tcPr>
            <w:tcW w:w="80" w:type="dxa"/>
            <w:vAlign w:val="bottom"/>
            <w:shd w:val="clear" w:color="auto" w:fill="DCDDDE"/>
          </w:tcPr>
          <w:p>
            <w:pPr>
              <w:spacing w:after="0"/>
              <w:rPr>
                <w:sz w:val="13"/>
                <w:szCs w:val="13"/>
                <w:color w:val="auto"/>
              </w:rPr>
            </w:pPr>
          </w:p>
        </w:tc>
        <w:tc>
          <w:tcPr>
            <w:tcW w:w="360" w:type="dxa"/>
            <w:vAlign w:val="bottom"/>
            <w:vMerge w:val="continue"/>
            <w:shd w:val="clear" w:color="auto" w:fill="DCDDDE"/>
          </w:tcPr>
          <w:p>
            <w:pPr>
              <w:spacing w:after="0"/>
              <w:rPr>
                <w:sz w:val="13"/>
                <w:szCs w:val="13"/>
                <w:color w:val="auto"/>
              </w:rPr>
            </w:pPr>
          </w:p>
        </w:tc>
        <w:tc>
          <w:tcPr>
            <w:tcW w:w="320" w:type="dxa"/>
            <w:vAlign w:val="bottom"/>
            <w:tcBorders>
              <w:right w:val="single" w:sz="8" w:color="FFFFFE"/>
            </w:tcBorders>
            <w:shd w:val="clear" w:color="auto" w:fill="DCDDDE"/>
          </w:tcPr>
          <w:p>
            <w:pPr>
              <w:spacing w:after="0"/>
              <w:rPr>
                <w:sz w:val="13"/>
                <w:szCs w:val="13"/>
                <w:color w:val="auto"/>
              </w:rPr>
            </w:pPr>
          </w:p>
        </w:tc>
        <w:tc>
          <w:tcPr>
            <w:tcW w:w="60" w:type="dxa"/>
            <w:vAlign w:val="bottom"/>
            <w:shd w:val="clear" w:color="auto" w:fill="DCDDDE"/>
          </w:tcPr>
          <w:p>
            <w:pPr>
              <w:spacing w:after="0"/>
              <w:rPr>
                <w:sz w:val="13"/>
                <w:szCs w:val="13"/>
                <w:color w:val="auto"/>
              </w:rPr>
            </w:pPr>
          </w:p>
        </w:tc>
        <w:tc>
          <w:tcPr>
            <w:tcW w:w="680" w:type="dxa"/>
            <w:vAlign w:val="bottom"/>
            <w:shd w:val="clear" w:color="auto" w:fill="DCDDDE"/>
          </w:tcPr>
          <w:p>
            <w:pPr>
              <w:spacing w:after="0"/>
              <w:rPr>
                <w:sz w:val="13"/>
                <w:szCs w:val="13"/>
                <w:color w:val="auto"/>
              </w:rPr>
            </w:pPr>
          </w:p>
        </w:tc>
        <w:tc>
          <w:tcPr>
            <w:tcW w:w="80" w:type="dxa"/>
            <w:vAlign w:val="bottom"/>
            <w:shd w:val="clear" w:color="auto" w:fill="DCDDDE"/>
          </w:tcPr>
          <w:p>
            <w:pPr>
              <w:spacing w:after="0"/>
              <w:rPr>
                <w:sz w:val="13"/>
                <w:szCs w:val="13"/>
                <w:color w:val="auto"/>
              </w:rPr>
            </w:pPr>
          </w:p>
        </w:tc>
        <w:tc>
          <w:tcPr>
            <w:tcW w:w="680" w:type="dxa"/>
            <w:vAlign w:val="bottom"/>
            <w:tcBorders>
              <w:right w:val="single" w:sz="8" w:color="FFFFFE"/>
            </w:tcBorders>
            <w:vMerge w:val="continue"/>
            <w:shd w:val="clear" w:color="auto" w:fill="DCDDDE"/>
          </w:tcPr>
          <w:p>
            <w:pPr>
              <w:spacing w:after="0"/>
              <w:rPr>
                <w:sz w:val="13"/>
                <w:szCs w:val="13"/>
                <w:color w:val="auto"/>
              </w:rPr>
            </w:pPr>
          </w:p>
        </w:tc>
        <w:tc>
          <w:tcPr>
            <w:tcW w:w="80" w:type="dxa"/>
            <w:vAlign w:val="bottom"/>
            <w:shd w:val="clear" w:color="auto" w:fill="DCDDDE"/>
          </w:tcPr>
          <w:p>
            <w:pPr>
              <w:spacing w:after="0"/>
              <w:rPr>
                <w:sz w:val="13"/>
                <w:szCs w:val="13"/>
                <w:color w:val="auto"/>
              </w:rPr>
            </w:pPr>
          </w:p>
        </w:tc>
        <w:tc>
          <w:tcPr>
            <w:tcW w:w="500" w:type="dxa"/>
            <w:vAlign w:val="bottom"/>
            <w:vMerge w:val="continue"/>
            <w:shd w:val="clear" w:color="auto" w:fill="DCDDDE"/>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200" w:type="dxa"/>
            <w:vAlign w:val="bottom"/>
          </w:tcPr>
          <w:p>
            <w:pPr>
              <w:spacing w:after="0"/>
              <w:rPr>
                <w:sz w:val="10"/>
                <w:szCs w:val="10"/>
                <w:color w:val="auto"/>
              </w:rPr>
            </w:pPr>
          </w:p>
        </w:tc>
        <w:tc>
          <w:tcPr>
            <w:tcW w:w="3580" w:type="dxa"/>
            <w:vAlign w:val="bottom"/>
            <w:tcBorders>
              <w:top w:val="single" w:sz="8" w:color="D0CECE"/>
            </w:tcBorders>
          </w:tcPr>
          <w:p>
            <w:pPr>
              <w:spacing w:after="0" w:line="126" w:lineRule="exact"/>
              <w:rPr>
                <w:sz w:val="20"/>
                <w:szCs w:val="20"/>
                <w:color w:val="auto"/>
              </w:rPr>
            </w:pPr>
            <w:r>
              <w:rPr>
                <w:rFonts w:ascii="Arial" w:cs="Arial" w:eastAsia="Arial" w:hAnsi="Arial"/>
                <w:sz w:val="13"/>
                <w:szCs w:val="13"/>
                <w:b w:val="1"/>
                <w:bCs w:val="1"/>
                <w:color w:val="auto"/>
              </w:rPr>
              <w:t>Avid Modjtabai</w:t>
            </w:r>
          </w:p>
        </w:tc>
        <w:tc>
          <w:tcPr>
            <w:tcW w:w="440" w:type="dxa"/>
            <w:vAlign w:val="bottom"/>
            <w:tcBorders>
              <w:top w:val="single" w:sz="8" w:color="D0CECE"/>
            </w:tcBorders>
          </w:tcPr>
          <w:p>
            <w:pPr>
              <w:spacing w:after="0"/>
              <w:rPr>
                <w:sz w:val="10"/>
                <w:szCs w:val="10"/>
                <w:color w:val="auto"/>
              </w:rPr>
            </w:pPr>
          </w:p>
        </w:tc>
        <w:tc>
          <w:tcPr>
            <w:tcW w:w="600" w:type="dxa"/>
            <w:vAlign w:val="bottom"/>
            <w:tcBorders>
              <w:top w:val="single" w:sz="8" w:color="D0CECE"/>
            </w:tcBorders>
          </w:tcPr>
          <w:p>
            <w:pPr>
              <w:spacing w:after="0"/>
              <w:rPr>
                <w:sz w:val="10"/>
                <w:szCs w:val="10"/>
                <w:color w:val="auto"/>
              </w:rPr>
            </w:pPr>
          </w:p>
        </w:tc>
        <w:tc>
          <w:tcPr>
            <w:tcW w:w="900" w:type="dxa"/>
            <w:vAlign w:val="bottom"/>
            <w:tcBorders>
              <w:top w:val="single" w:sz="8" w:color="D0CECE"/>
            </w:tcBorders>
          </w:tcPr>
          <w:p>
            <w:pPr>
              <w:spacing w:after="0"/>
              <w:rPr>
                <w:sz w:val="10"/>
                <w:szCs w:val="10"/>
                <w:color w:val="auto"/>
              </w:rPr>
            </w:pPr>
          </w:p>
        </w:tc>
        <w:tc>
          <w:tcPr>
            <w:tcW w:w="340" w:type="dxa"/>
            <w:vAlign w:val="bottom"/>
            <w:tcBorders>
              <w:top w:val="single" w:sz="8" w:color="D0CECE"/>
            </w:tcBorders>
            <w:shd w:val="clear" w:color="auto" w:fill="DCDDDE"/>
          </w:tcPr>
          <w:p>
            <w:pPr>
              <w:spacing w:after="0"/>
              <w:rPr>
                <w:sz w:val="10"/>
                <w:szCs w:val="10"/>
                <w:color w:val="auto"/>
              </w:rPr>
            </w:pPr>
          </w:p>
        </w:tc>
        <w:tc>
          <w:tcPr>
            <w:tcW w:w="340" w:type="dxa"/>
            <w:vAlign w:val="bottom"/>
            <w:tcBorders>
              <w:top w:val="single" w:sz="8" w:color="D0CECE"/>
            </w:tcBorders>
            <w:shd w:val="clear" w:color="auto" w:fill="DCDDDE"/>
          </w:tcPr>
          <w:p>
            <w:pPr>
              <w:spacing w:after="0"/>
              <w:rPr>
                <w:sz w:val="10"/>
                <w:szCs w:val="10"/>
                <w:color w:val="auto"/>
              </w:rPr>
            </w:pPr>
          </w:p>
        </w:tc>
        <w:tc>
          <w:tcPr>
            <w:tcW w:w="80" w:type="dxa"/>
            <w:vAlign w:val="bottom"/>
            <w:tcBorders>
              <w:top w:val="single" w:sz="8" w:color="DCDDDE"/>
            </w:tcBorders>
            <w:shd w:val="clear" w:color="auto" w:fill="DCDDDE"/>
          </w:tcPr>
          <w:p>
            <w:pPr>
              <w:spacing w:after="0"/>
              <w:rPr>
                <w:sz w:val="10"/>
                <w:szCs w:val="10"/>
                <w:color w:val="auto"/>
              </w:rPr>
            </w:pPr>
          </w:p>
        </w:tc>
        <w:tc>
          <w:tcPr>
            <w:tcW w:w="360" w:type="dxa"/>
            <w:vAlign w:val="bottom"/>
            <w:tcBorders>
              <w:top w:val="single" w:sz="8" w:color="D0CECE"/>
            </w:tcBorders>
            <w:vMerge w:val="restart"/>
            <w:shd w:val="clear" w:color="auto" w:fill="DCDDDE"/>
          </w:tcPr>
          <w:p>
            <w:pPr>
              <w:jc w:val="center"/>
              <w:ind w:left="55"/>
              <w:spacing w:after="0"/>
              <w:rPr>
                <w:sz w:val="20"/>
                <w:szCs w:val="20"/>
                <w:color w:val="auto"/>
              </w:rPr>
            </w:pPr>
            <w:r>
              <w:rPr>
                <w:rFonts w:ascii="Times New Roman" w:cs="Times New Roman" w:eastAsia="Times New Roman" w:hAnsi="Times New Roman"/>
                <w:sz w:val="13"/>
                <w:szCs w:val="13"/>
                <w:color w:val="53C072"/>
                <w:w w:val="91"/>
              </w:rPr>
              <w:t>·</w:t>
            </w:r>
          </w:p>
        </w:tc>
        <w:tc>
          <w:tcPr>
            <w:tcW w:w="320" w:type="dxa"/>
            <w:vAlign w:val="bottom"/>
            <w:tcBorders>
              <w:top w:val="single" w:sz="8" w:color="D0CECE"/>
              <w:right w:val="single" w:sz="8" w:color="FFFFFE"/>
            </w:tcBorders>
            <w:shd w:val="clear" w:color="auto" w:fill="DCDDDE"/>
          </w:tcPr>
          <w:p>
            <w:pPr>
              <w:spacing w:after="0"/>
              <w:rPr>
                <w:sz w:val="10"/>
                <w:szCs w:val="10"/>
                <w:color w:val="auto"/>
              </w:rPr>
            </w:pPr>
          </w:p>
        </w:tc>
        <w:tc>
          <w:tcPr>
            <w:tcW w:w="60" w:type="dxa"/>
            <w:vAlign w:val="bottom"/>
            <w:tcBorders>
              <w:top w:val="single" w:sz="8" w:color="DCDDDE"/>
            </w:tcBorders>
            <w:shd w:val="clear" w:color="auto" w:fill="DCDDDE"/>
          </w:tcPr>
          <w:p>
            <w:pPr>
              <w:spacing w:after="0"/>
              <w:rPr>
                <w:sz w:val="10"/>
                <w:szCs w:val="10"/>
                <w:color w:val="auto"/>
              </w:rPr>
            </w:pPr>
          </w:p>
        </w:tc>
        <w:tc>
          <w:tcPr>
            <w:tcW w:w="680" w:type="dxa"/>
            <w:vAlign w:val="bottom"/>
            <w:tcBorders>
              <w:top w:val="single" w:sz="8" w:color="D0CECE"/>
            </w:tcBorders>
            <w:vMerge w:val="restart"/>
            <w:shd w:val="clear" w:color="auto" w:fill="DCDDDE"/>
          </w:tcPr>
          <w:p>
            <w:pPr>
              <w:jc w:val="center"/>
              <w:ind w:right="113"/>
              <w:spacing w:after="0"/>
              <w:rPr>
                <w:sz w:val="20"/>
                <w:szCs w:val="20"/>
                <w:color w:val="auto"/>
              </w:rPr>
            </w:pPr>
            <w:r>
              <w:rPr>
                <w:rFonts w:ascii="Courier New" w:cs="Courier New" w:eastAsia="Courier New" w:hAnsi="Courier New"/>
                <w:sz w:val="13"/>
                <w:szCs w:val="13"/>
                <w:color w:val="53C072"/>
              </w:rPr>
              <w:t>o</w:t>
            </w:r>
          </w:p>
        </w:tc>
        <w:tc>
          <w:tcPr>
            <w:tcW w:w="80" w:type="dxa"/>
            <w:vAlign w:val="bottom"/>
            <w:tcBorders>
              <w:top w:val="single" w:sz="8" w:color="DCDDDE"/>
            </w:tcBorders>
            <w:shd w:val="clear" w:color="auto" w:fill="DCDDDE"/>
          </w:tcPr>
          <w:p>
            <w:pPr>
              <w:spacing w:after="0"/>
              <w:rPr>
                <w:sz w:val="10"/>
                <w:szCs w:val="10"/>
                <w:color w:val="auto"/>
              </w:rPr>
            </w:pPr>
          </w:p>
        </w:tc>
        <w:tc>
          <w:tcPr>
            <w:tcW w:w="680" w:type="dxa"/>
            <w:vAlign w:val="bottom"/>
            <w:tcBorders>
              <w:top w:val="single" w:sz="8" w:color="D0CECE"/>
              <w:right w:val="single" w:sz="8" w:color="FFFFFE"/>
            </w:tcBorders>
            <w:shd w:val="clear" w:color="auto" w:fill="DCDDDE"/>
          </w:tcPr>
          <w:p>
            <w:pPr>
              <w:spacing w:after="0"/>
              <w:rPr>
                <w:sz w:val="10"/>
                <w:szCs w:val="10"/>
                <w:color w:val="auto"/>
              </w:rPr>
            </w:pPr>
          </w:p>
        </w:tc>
        <w:tc>
          <w:tcPr>
            <w:tcW w:w="80" w:type="dxa"/>
            <w:vAlign w:val="bottom"/>
            <w:tcBorders>
              <w:top w:val="single" w:sz="8" w:color="DCDDDE"/>
            </w:tcBorders>
            <w:shd w:val="clear" w:color="auto" w:fill="DCDDDE"/>
          </w:tcPr>
          <w:p>
            <w:pPr>
              <w:spacing w:after="0"/>
              <w:rPr>
                <w:sz w:val="10"/>
                <w:szCs w:val="10"/>
                <w:color w:val="auto"/>
              </w:rPr>
            </w:pPr>
          </w:p>
        </w:tc>
        <w:tc>
          <w:tcPr>
            <w:tcW w:w="500" w:type="dxa"/>
            <w:vAlign w:val="bottom"/>
            <w:tcBorders>
              <w:top w:val="single" w:sz="8" w:color="D0CECE"/>
            </w:tcBorders>
            <w:vMerge w:val="restart"/>
            <w:shd w:val="clear" w:color="auto" w:fill="DCDDDE"/>
          </w:tcPr>
          <w:p>
            <w:pPr>
              <w:jc w:val="center"/>
              <w:spacing w:after="0"/>
              <w:rPr>
                <w:sz w:val="20"/>
                <w:szCs w:val="20"/>
                <w:color w:val="auto"/>
              </w:rPr>
            </w:pPr>
            <w:r>
              <w:rPr>
                <w:rFonts w:ascii="Times New Roman" w:cs="Times New Roman" w:eastAsia="Times New Roman" w:hAnsi="Times New Roman"/>
                <w:sz w:val="13"/>
                <w:szCs w:val="13"/>
                <w:color w:val="53C072"/>
                <w:w w:val="91"/>
              </w:rPr>
              <w:t>·</w:t>
            </w: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780" w:type="dxa"/>
            <w:vAlign w:val="bottom"/>
            <w:gridSpan w:val="2"/>
          </w:tcPr>
          <w:p>
            <w:pPr>
              <w:ind w:left="1200"/>
              <w:spacing w:after="0" w:line="146" w:lineRule="exact"/>
              <w:rPr>
                <w:sz w:val="20"/>
                <w:szCs w:val="20"/>
                <w:color w:val="auto"/>
              </w:rPr>
            </w:pPr>
            <w:r>
              <w:rPr>
                <w:rFonts w:ascii="Arial" w:cs="Arial" w:eastAsia="Arial" w:hAnsi="Arial"/>
                <w:sz w:val="13"/>
                <w:szCs w:val="13"/>
                <w:color w:val="auto"/>
              </w:rPr>
              <w:t>Former Senior Executive Vice President, Payments, Virtual</w:t>
            </w:r>
          </w:p>
        </w:tc>
        <w:tc>
          <w:tcPr>
            <w:tcW w:w="440" w:type="dxa"/>
            <w:vAlign w:val="bottom"/>
          </w:tcPr>
          <w:p>
            <w:pPr>
              <w:jc w:val="right"/>
              <w:spacing w:after="0" w:line="146" w:lineRule="exact"/>
              <w:rPr>
                <w:sz w:val="20"/>
                <w:szCs w:val="20"/>
                <w:color w:val="auto"/>
              </w:rPr>
            </w:pPr>
            <w:r>
              <w:rPr>
                <w:rFonts w:ascii="Arial" w:cs="Arial" w:eastAsia="Arial" w:hAnsi="Arial"/>
                <w:sz w:val="13"/>
                <w:szCs w:val="13"/>
                <w:color w:val="auto"/>
              </w:rPr>
              <w:t>58</w:t>
            </w:r>
          </w:p>
        </w:tc>
        <w:tc>
          <w:tcPr>
            <w:tcW w:w="600" w:type="dxa"/>
            <w:vAlign w:val="bottom"/>
          </w:tcPr>
          <w:p>
            <w:pPr>
              <w:jc w:val="center"/>
              <w:spacing w:after="0" w:line="146" w:lineRule="exact"/>
              <w:rPr>
                <w:sz w:val="20"/>
                <w:szCs w:val="20"/>
                <w:color w:val="auto"/>
              </w:rPr>
            </w:pPr>
            <w:r>
              <w:rPr>
                <w:rFonts w:ascii="Arial" w:cs="Arial" w:eastAsia="Arial" w:hAnsi="Arial"/>
                <w:sz w:val="13"/>
                <w:szCs w:val="13"/>
                <w:color w:val="auto"/>
                <w:w w:val="96"/>
              </w:rPr>
              <w:t>2014</w:t>
            </w:r>
          </w:p>
        </w:tc>
        <w:tc>
          <w:tcPr>
            <w:tcW w:w="900" w:type="dxa"/>
            <w:vAlign w:val="bottom"/>
          </w:tcPr>
          <w:p>
            <w:pPr>
              <w:jc w:val="center"/>
              <w:spacing w:after="0" w:line="146" w:lineRule="exact"/>
              <w:rPr>
                <w:sz w:val="20"/>
                <w:szCs w:val="20"/>
                <w:color w:val="auto"/>
              </w:rPr>
            </w:pPr>
            <w:r>
              <w:rPr>
                <w:rFonts w:ascii="Arial" w:cs="Arial" w:eastAsia="Arial" w:hAnsi="Arial"/>
                <w:sz w:val="13"/>
                <w:szCs w:val="13"/>
                <w:color w:val="auto"/>
                <w:w w:val="99"/>
              </w:rPr>
              <w:t>YES</w:t>
            </w:r>
          </w:p>
        </w:tc>
        <w:tc>
          <w:tcPr>
            <w:tcW w:w="340" w:type="dxa"/>
            <w:vAlign w:val="bottom"/>
            <w:shd w:val="clear" w:color="auto" w:fill="DCDDDE"/>
          </w:tcPr>
          <w:p>
            <w:pPr>
              <w:spacing w:after="0"/>
              <w:rPr>
                <w:sz w:val="12"/>
                <w:szCs w:val="12"/>
                <w:color w:val="auto"/>
              </w:rPr>
            </w:pPr>
          </w:p>
        </w:tc>
        <w:tc>
          <w:tcPr>
            <w:tcW w:w="340" w:type="dxa"/>
            <w:vAlign w:val="bottom"/>
            <w:shd w:val="clear" w:color="auto" w:fill="DCDDDE"/>
          </w:tcPr>
          <w:p>
            <w:pPr>
              <w:spacing w:after="0"/>
              <w:rPr>
                <w:sz w:val="12"/>
                <w:szCs w:val="12"/>
                <w:color w:val="auto"/>
              </w:rPr>
            </w:pPr>
          </w:p>
        </w:tc>
        <w:tc>
          <w:tcPr>
            <w:tcW w:w="80" w:type="dxa"/>
            <w:vAlign w:val="bottom"/>
            <w:shd w:val="clear" w:color="auto" w:fill="DCDDDE"/>
          </w:tcPr>
          <w:p>
            <w:pPr>
              <w:spacing w:after="0"/>
              <w:rPr>
                <w:sz w:val="12"/>
                <w:szCs w:val="12"/>
                <w:color w:val="auto"/>
              </w:rPr>
            </w:pPr>
          </w:p>
        </w:tc>
        <w:tc>
          <w:tcPr>
            <w:tcW w:w="360" w:type="dxa"/>
            <w:vAlign w:val="bottom"/>
            <w:vMerge w:val="continue"/>
            <w:shd w:val="clear" w:color="auto" w:fill="DCDDDE"/>
          </w:tcPr>
          <w:p>
            <w:pPr>
              <w:spacing w:after="0"/>
              <w:rPr>
                <w:sz w:val="12"/>
                <w:szCs w:val="12"/>
                <w:color w:val="auto"/>
              </w:rPr>
            </w:pPr>
          </w:p>
        </w:tc>
        <w:tc>
          <w:tcPr>
            <w:tcW w:w="320" w:type="dxa"/>
            <w:vAlign w:val="bottom"/>
            <w:tcBorders>
              <w:right w:val="single" w:sz="8" w:color="FFFFFE"/>
            </w:tcBorders>
            <w:shd w:val="clear" w:color="auto" w:fill="DCDDDE"/>
          </w:tcPr>
          <w:p>
            <w:pPr>
              <w:spacing w:after="0"/>
              <w:rPr>
                <w:sz w:val="12"/>
                <w:szCs w:val="12"/>
                <w:color w:val="auto"/>
              </w:rPr>
            </w:pPr>
          </w:p>
        </w:tc>
        <w:tc>
          <w:tcPr>
            <w:tcW w:w="60" w:type="dxa"/>
            <w:vAlign w:val="bottom"/>
            <w:shd w:val="clear" w:color="auto" w:fill="DCDDDE"/>
          </w:tcPr>
          <w:p>
            <w:pPr>
              <w:spacing w:after="0"/>
              <w:rPr>
                <w:sz w:val="12"/>
                <w:szCs w:val="12"/>
                <w:color w:val="auto"/>
              </w:rPr>
            </w:pPr>
          </w:p>
        </w:tc>
        <w:tc>
          <w:tcPr>
            <w:tcW w:w="680" w:type="dxa"/>
            <w:vAlign w:val="bottom"/>
            <w:vMerge w:val="continue"/>
            <w:shd w:val="clear" w:color="auto" w:fill="DCDDDE"/>
          </w:tcPr>
          <w:p>
            <w:pPr>
              <w:spacing w:after="0"/>
              <w:rPr>
                <w:sz w:val="12"/>
                <w:szCs w:val="12"/>
                <w:color w:val="auto"/>
              </w:rPr>
            </w:pPr>
          </w:p>
        </w:tc>
        <w:tc>
          <w:tcPr>
            <w:tcW w:w="80" w:type="dxa"/>
            <w:vAlign w:val="bottom"/>
            <w:shd w:val="clear" w:color="auto" w:fill="DCDDDE"/>
          </w:tcPr>
          <w:p>
            <w:pPr>
              <w:spacing w:after="0"/>
              <w:rPr>
                <w:sz w:val="12"/>
                <w:szCs w:val="12"/>
                <w:color w:val="auto"/>
              </w:rPr>
            </w:pPr>
          </w:p>
        </w:tc>
        <w:tc>
          <w:tcPr>
            <w:tcW w:w="680" w:type="dxa"/>
            <w:vAlign w:val="bottom"/>
            <w:tcBorders>
              <w:right w:val="single" w:sz="8" w:color="FFFFFE"/>
            </w:tcBorders>
            <w:shd w:val="clear" w:color="auto" w:fill="DCDDDE"/>
          </w:tcPr>
          <w:p>
            <w:pPr>
              <w:spacing w:after="0"/>
              <w:rPr>
                <w:sz w:val="12"/>
                <w:szCs w:val="12"/>
                <w:color w:val="auto"/>
              </w:rPr>
            </w:pPr>
          </w:p>
        </w:tc>
        <w:tc>
          <w:tcPr>
            <w:tcW w:w="80" w:type="dxa"/>
            <w:vAlign w:val="bottom"/>
            <w:shd w:val="clear" w:color="auto" w:fill="DCDDDE"/>
          </w:tcPr>
          <w:p>
            <w:pPr>
              <w:spacing w:after="0"/>
              <w:rPr>
                <w:sz w:val="12"/>
                <w:szCs w:val="12"/>
                <w:color w:val="auto"/>
              </w:rPr>
            </w:pPr>
          </w:p>
        </w:tc>
        <w:tc>
          <w:tcPr>
            <w:tcW w:w="500" w:type="dxa"/>
            <w:vAlign w:val="bottom"/>
            <w:vMerge w:val="continue"/>
            <w:shd w:val="clear" w:color="auto" w:fill="DCDDDE"/>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780" w:type="dxa"/>
            <w:vAlign w:val="bottom"/>
            <w:gridSpan w:val="2"/>
          </w:tcPr>
          <w:p>
            <w:pPr>
              <w:ind w:left="1200"/>
              <w:spacing w:after="0"/>
              <w:rPr>
                <w:sz w:val="20"/>
                <w:szCs w:val="20"/>
                <w:color w:val="auto"/>
              </w:rPr>
            </w:pPr>
            <w:r>
              <w:rPr>
                <w:rFonts w:ascii="Arial" w:cs="Arial" w:eastAsia="Arial" w:hAnsi="Arial"/>
                <w:sz w:val="13"/>
                <w:szCs w:val="13"/>
                <w:color w:val="auto"/>
              </w:rPr>
              <w:t>Solutions and Innovation Group, Wells Fargo</w:t>
            </w: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shd w:val="clear" w:color="auto" w:fill="DCDDDE"/>
          </w:tcPr>
          <w:p>
            <w:pPr>
              <w:spacing w:after="0"/>
              <w:rPr>
                <w:sz w:val="13"/>
                <w:szCs w:val="13"/>
                <w:color w:val="auto"/>
              </w:rPr>
            </w:pPr>
          </w:p>
        </w:tc>
        <w:tc>
          <w:tcPr>
            <w:tcW w:w="340" w:type="dxa"/>
            <w:vAlign w:val="bottom"/>
            <w:shd w:val="clear" w:color="auto" w:fill="DCDDDE"/>
          </w:tcPr>
          <w:p>
            <w:pPr>
              <w:spacing w:after="0"/>
              <w:rPr>
                <w:sz w:val="13"/>
                <w:szCs w:val="13"/>
                <w:color w:val="auto"/>
              </w:rPr>
            </w:pPr>
          </w:p>
        </w:tc>
        <w:tc>
          <w:tcPr>
            <w:tcW w:w="80" w:type="dxa"/>
            <w:vAlign w:val="bottom"/>
            <w:shd w:val="clear" w:color="auto" w:fill="DCDDDE"/>
          </w:tcPr>
          <w:p>
            <w:pPr>
              <w:spacing w:after="0"/>
              <w:rPr>
                <w:sz w:val="13"/>
                <w:szCs w:val="13"/>
                <w:color w:val="auto"/>
              </w:rPr>
            </w:pPr>
          </w:p>
        </w:tc>
        <w:tc>
          <w:tcPr>
            <w:tcW w:w="360" w:type="dxa"/>
            <w:vAlign w:val="bottom"/>
            <w:shd w:val="clear" w:color="auto" w:fill="DCDDDE"/>
          </w:tcPr>
          <w:p>
            <w:pPr>
              <w:spacing w:after="0"/>
              <w:rPr>
                <w:sz w:val="13"/>
                <w:szCs w:val="13"/>
                <w:color w:val="auto"/>
              </w:rPr>
            </w:pPr>
          </w:p>
        </w:tc>
        <w:tc>
          <w:tcPr>
            <w:tcW w:w="320" w:type="dxa"/>
            <w:vAlign w:val="bottom"/>
            <w:tcBorders>
              <w:right w:val="single" w:sz="8" w:color="FFFFFE"/>
            </w:tcBorders>
            <w:shd w:val="clear" w:color="auto" w:fill="DCDDDE"/>
          </w:tcPr>
          <w:p>
            <w:pPr>
              <w:spacing w:after="0"/>
              <w:rPr>
                <w:sz w:val="13"/>
                <w:szCs w:val="13"/>
                <w:color w:val="auto"/>
              </w:rPr>
            </w:pPr>
          </w:p>
        </w:tc>
        <w:tc>
          <w:tcPr>
            <w:tcW w:w="60" w:type="dxa"/>
            <w:vAlign w:val="bottom"/>
            <w:shd w:val="clear" w:color="auto" w:fill="DCDDDE"/>
          </w:tcPr>
          <w:p>
            <w:pPr>
              <w:spacing w:after="0"/>
              <w:rPr>
                <w:sz w:val="13"/>
                <w:szCs w:val="13"/>
                <w:color w:val="auto"/>
              </w:rPr>
            </w:pPr>
          </w:p>
        </w:tc>
        <w:tc>
          <w:tcPr>
            <w:tcW w:w="680" w:type="dxa"/>
            <w:vAlign w:val="bottom"/>
            <w:shd w:val="clear" w:color="auto" w:fill="DCDDDE"/>
          </w:tcPr>
          <w:p>
            <w:pPr>
              <w:spacing w:after="0"/>
              <w:rPr>
                <w:sz w:val="13"/>
                <w:szCs w:val="13"/>
                <w:color w:val="auto"/>
              </w:rPr>
            </w:pPr>
          </w:p>
        </w:tc>
        <w:tc>
          <w:tcPr>
            <w:tcW w:w="80" w:type="dxa"/>
            <w:vAlign w:val="bottom"/>
            <w:shd w:val="clear" w:color="auto" w:fill="DCDDDE"/>
          </w:tcPr>
          <w:p>
            <w:pPr>
              <w:spacing w:after="0"/>
              <w:rPr>
                <w:sz w:val="13"/>
                <w:szCs w:val="13"/>
                <w:color w:val="auto"/>
              </w:rPr>
            </w:pPr>
          </w:p>
        </w:tc>
        <w:tc>
          <w:tcPr>
            <w:tcW w:w="680" w:type="dxa"/>
            <w:vAlign w:val="bottom"/>
            <w:tcBorders>
              <w:right w:val="single" w:sz="8" w:color="FFFFFE"/>
            </w:tcBorders>
            <w:shd w:val="clear" w:color="auto" w:fill="DCDDDE"/>
          </w:tcPr>
          <w:p>
            <w:pPr>
              <w:spacing w:after="0"/>
              <w:rPr>
                <w:sz w:val="13"/>
                <w:szCs w:val="13"/>
                <w:color w:val="auto"/>
              </w:rPr>
            </w:pPr>
          </w:p>
        </w:tc>
        <w:tc>
          <w:tcPr>
            <w:tcW w:w="80" w:type="dxa"/>
            <w:vAlign w:val="bottom"/>
            <w:shd w:val="clear" w:color="auto" w:fill="DCDDDE"/>
          </w:tcPr>
          <w:p>
            <w:pPr>
              <w:spacing w:after="0"/>
              <w:rPr>
                <w:sz w:val="13"/>
                <w:szCs w:val="13"/>
                <w:color w:val="auto"/>
              </w:rPr>
            </w:pPr>
          </w:p>
        </w:tc>
        <w:tc>
          <w:tcPr>
            <w:tcW w:w="500" w:type="dxa"/>
            <w:vAlign w:val="bottom"/>
            <w:shd w:val="clear" w:color="auto" w:fill="DCDDDE"/>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200" w:type="dxa"/>
            <w:vAlign w:val="bottom"/>
          </w:tcPr>
          <w:p>
            <w:pPr>
              <w:spacing w:after="0"/>
              <w:rPr>
                <w:sz w:val="10"/>
                <w:szCs w:val="10"/>
                <w:color w:val="auto"/>
              </w:rPr>
            </w:pPr>
          </w:p>
        </w:tc>
        <w:tc>
          <w:tcPr>
            <w:tcW w:w="3580" w:type="dxa"/>
            <w:vAlign w:val="bottom"/>
            <w:tcBorders>
              <w:top w:val="single" w:sz="8" w:color="D0CECE"/>
            </w:tcBorders>
          </w:tcPr>
          <w:p>
            <w:pPr>
              <w:spacing w:after="0" w:line="126" w:lineRule="exact"/>
              <w:rPr>
                <w:sz w:val="20"/>
                <w:szCs w:val="20"/>
                <w:color w:val="auto"/>
              </w:rPr>
            </w:pPr>
            <w:r>
              <w:rPr>
                <w:rFonts w:ascii="Arial" w:cs="Arial" w:eastAsia="Arial" w:hAnsi="Arial"/>
                <w:sz w:val="13"/>
                <w:szCs w:val="13"/>
                <w:b w:val="1"/>
                <w:bCs w:val="1"/>
                <w:color w:val="auto"/>
              </w:rPr>
              <w:t>Adalio T. Sanchez</w:t>
            </w:r>
          </w:p>
        </w:tc>
        <w:tc>
          <w:tcPr>
            <w:tcW w:w="440" w:type="dxa"/>
            <w:vAlign w:val="bottom"/>
            <w:tcBorders>
              <w:top w:val="single" w:sz="8" w:color="D0CECE"/>
            </w:tcBorders>
            <w:vMerge w:val="restart"/>
          </w:tcPr>
          <w:p>
            <w:pPr>
              <w:jc w:val="right"/>
              <w:spacing w:after="0"/>
              <w:rPr>
                <w:sz w:val="20"/>
                <w:szCs w:val="20"/>
                <w:color w:val="auto"/>
              </w:rPr>
            </w:pPr>
            <w:r>
              <w:rPr>
                <w:rFonts w:ascii="Arial" w:cs="Arial" w:eastAsia="Arial" w:hAnsi="Arial"/>
                <w:sz w:val="13"/>
                <w:szCs w:val="13"/>
                <w:color w:val="auto"/>
              </w:rPr>
              <w:t>61</w:t>
            </w:r>
          </w:p>
        </w:tc>
        <w:tc>
          <w:tcPr>
            <w:tcW w:w="600" w:type="dxa"/>
            <w:vAlign w:val="bottom"/>
            <w:tcBorders>
              <w:top w:val="single" w:sz="8" w:color="D0CECE"/>
            </w:tcBorders>
            <w:vMerge w:val="restart"/>
          </w:tcPr>
          <w:p>
            <w:pPr>
              <w:jc w:val="center"/>
              <w:spacing w:after="0"/>
              <w:rPr>
                <w:sz w:val="20"/>
                <w:szCs w:val="20"/>
                <w:color w:val="auto"/>
              </w:rPr>
            </w:pPr>
            <w:r>
              <w:rPr>
                <w:rFonts w:ascii="Arial" w:cs="Arial" w:eastAsia="Arial" w:hAnsi="Arial"/>
                <w:sz w:val="13"/>
                <w:szCs w:val="13"/>
                <w:color w:val="auto"/>
                <w:w w:val="96"/>
              </w:rPr>
              <w:t>2019</w:t>
            </w:r>
          </w:p>
        </w:tc>
        <w:tc>
          <w:tcPr>
            <w:tcW w:w="900" w:type="dxa"/>
            <w:vAlign w:val="bottom"/>
            <w:tcBorders>
              <w:top w:val="single" w:sz="8" w:color="D0CECE"/>
            </w:tcBorders>
            <w:vMerge w:val="restart"/>
          </w:tcPr>
          <w:p>
            <w:pPr>
              <w:jc w:val="center"/>
              <w:spacing w:after="0"/>
              <w:rPr>
                <w:sz w:val="20"/>
                <w:szCs w:val="20"/>
                <w:color w:val="auto"/>
              </w:rPr>
            </w:pPr>
            <w:r>
              <w:rPr>
                <w:rFonts w:ascii="Arial" w:cs="Arial" w:eastAsia="Arial" w:hAnsi="Arial"/>
                <w:sz w:val="13"/>
                <w:szCs w:val="13"/>
                <w:color w:val="auto"/>
                <w:w w:val="99"/>
              </w:rPr>
              <w:t>YES</w:t>
            </w:r>
          </w:p>
        </w:tc>
        <w:tc>
          <w:tcPr>
            <w:tcW w:w="340" w:type="dxa"/>
            <w:vAlign w:val="bottom"/>
            <w:tcBorders>
              <w:top w:val="single" w:sz="8" w:color="D0CECE"/>
            </w:tcBorders>
            <w:vMerge w:val="restart"/>
            <w:shd w:val="clear" w:color="auto" w:fill="DCDDDE"/>
          </w:tcPr>
          <w:p>
            <w:pPr>
              <w:jc w:val="center"/>
              <w:ind w:left="115"/>
              <w:spacing w:after="0"/>
              <w:rPr>
                <w:sz w:val="20"/>
                <w:szCs w:val="20"/>
                <w:color w:val="auto"/>
              </w:rPr>
            </w:pPr>
            <w:r>
              <w:rPr>
                <w:rFonts w:ascii="Times New Roman" w:cs="Times New Roman" w:eastAsia="Times New Roman" w:hAnsi="Times New Roman"/>
                <w:sz w:val="8"/>
                <w:szCs w:val="8"/>
                <w:color w:val="53C072"/>
                <w:w w:val="73"/>
              </w:rPr>
              <w:t>·</w:t>
            </w:r>
          </w:p>
        </w:tc>
        <w:tc>
          <w:tcPr>
            <w:tcW w:w="340" w:type="dxa"/>
            <w:vAlign w:val="bottom"/>
            <w:tcBorders>
              <w:top w:val="single" w:sz="8" w:color="D0CECE"/>
            </w:tcBorders>
            <w:shd w:val="clear" w:color="auto" w:fill="DCDDDE"/>
          </w:tcPr>
          <w:p>
            <w:pPr>
              <w:spacing w:after="0"/>
              <w:rPr>
                <w:sz w:val="10"/>
                <w:szCs w:val="10"/>
                <w:color w:val="auto"/>
              </w:rPr>
            </w:pPr>
          </w:p>
        </w:tc>
        <w:tc>
          <w:tcPr>
            <w:tcW w:w="80" w:type="dxa"/>
            <w:vAlign w:val="bottom"/>
            <w:tcBorders>
              <w:top w:val="single" w:sz="8" w:color="DCDDDE"/>
            </w:tcBorders>
            <w:shd w:val="clear" w:color="auto" w:fill="DCDDDE"/>
          </w:tcPr>
          <w:p>
            <w:pPr>
              <w:spacing w:after="0"/>
              <w:rPr>
                <w:sz w:val="10"/>
                <w:szCs w:val="10"/>
                <w:color w:val="auto"/>
              </w:rPr>
            </w:pPr>
          </w:p>
        </w:tc>
        <w:tc>
          <w:tcPr>
            <w:tcW w:w="360" w:type="dxa"/>
            <w:vAlign w:val="bottom"/>
            <w:tcBorders>
              <w:top w:val="single" w:sz="8" w:color="D0CECE"/>
            </w:tcBorders>
            <w:shd w:val="clear" w:color="auto" w:fill="DCDDDE"/>
          </w:tcPr>
          <w:p>
            <w:pPr>
              <w:spacing w:after="0"/>
              <w:rPr>
                <w:sz w:val="10"/>
                <w:szCs w:val="10"/>
                <w:color w:val="auto"/>
              </w:rPr>
            </w:pPr>
          </w:p>
        </w:tc>
        <w:tc>
          <w:tcPr>
            <w:tcW w:w="320" w:type="dxa"/>
            <w:vAlign w:val="bottom"/>
            <w:tcBorders>
              <w:top w:val="single" w:sz="8" w:color="D0CECE"/>
              <w:right w:val="single" w:sz="8" w:color="FFFFFE"/>
            </w:tcBorders>
            <w:shd w:val="clear" w:color="auto" w:fill="DCDDDE"/>
          </w:tcPr>
          <w:p>
            <w:pPr>
              <w:spacing w:after="0"/>
              <w:rPr>
                <w:sz w:val="10"/>
                <w:szCs w:val="10"/>
                <w:color w:val="auto"/>
              </w:rPr>
            </w:pPr>
          </w:p>
        </w:tc>
        <w:tc>
          <w:tcPr>
            <w:tcW w:w="60" w:type="dxa"/>
            <w:vAlign w:val="bottom"/>
            <w:tcBorders>
              <w:top w:val="single" w:sz="8" w:color="DCDDDE"/>
            </w:tcBorders>
            <w:shd w:val="clear" w:color="auto" w:fill="DCDDDE"/>
          </w:tcPr>
          <w:p>
            <w:pPr>
              <w:spacing w:after="0"/>
              <w:rPr>
                <w:sz w:val="10"/>
                <w:szCs w:val="10"/>
                <w:color w:val="auto"/>
              </w:rPr>
            </w:pPr>
          </w:p>
        </w:tc>
        <w:tc>
          <w:tcPr>
            <w:tcW w:w="680" w:type="dxa"/>
            <w:vAlign w:val="bottom"/>
            <w:tcBorders>
              <w:top w:val="single" w:sz="8" w:color="D0CECE"/>
            </w:tcBorders>
            <w:vMerge w:val="restart"/>
            <w:shd w:val="clear" w:color="auto" w:fill="DCDDDE"/>
          </w:tcPr>
          <w:p>
            <w:pPr>
              <w:jc w:val="center"/>
              <w:ind w:right="133"/>
              <w:spacing w:after="0"/>
              <w:rPr>
                <w:sz w:val="20"/>
                <w:szCs w:val="20"/>
                <w:color w:val="auto"/>
              </w:rPr>
            </w:pPr>
            <w:r>
              <w:rPr>
                <w:rFonts w:ascii="Times New Roman" w:cs="Times New Roman" w:eastAsia="Times New Roman" w:hAnsi="Times New Roman"/>
                <w:sz w:val="8"/>
                <w:szCs w:val="8"/>
                <w:color w:val="53C072"/>
                <w:w w:val="73"/>
              </w:rPr>
              <w:t>·</w:t>
            </w:r>
          </w:p>
        </w:tc>
        <w:tc>
          <w:tcPr>
            <w:tcW w:w="80" w:type="dxa"/>
            <w:vAlign w:val="bottom"/>
            <w:tcBorders>
              <w:top w:val="single" w:sz="8" w:color="DCDDDE"/>
            </w:tcBorders>
            <w:shd w:val="clear" w:color="auto" w:fill="DCDDDE"/>
          </w:tcPr>
          <w:p>
            <w:pPr>
              <w:spacing w:after="0"/>
              <w:rPr>
                <w:sz w:val="10"/>
                <w:szCs w:val="10"/>
                <w:color w:val="auto"/>
              </w:rPr>
            </w:pPr>
          </w:p>
        </w:tc>
        <w:tc>
          <w:tcPr>
            <w:tcW w:w="680" w:type="dxa"/>
            <w:vAlign w:val="bottom"/>
            <w:tcBorders>
              <w:top w:val="single" w:sz="8" w:color="D0CECE"/>
              <w:right w:val="single" w:sz="8" w:color="FFFFFE"/>
            </w:tcBorders>
            <w:shd w:val="clear" w:color="auto" w:fill="DCDDDE"/>
          </w:tcPr>
          <w:p>
            <w:pPr>
              <w:spacing w:after="0"/>
              <w:rPr>
                <w:sz w:val="10"/>
                <w:szCs w:val="10"/>
                <w:color w:val="auto"/>
              </w:rPr>
            </w:pPr>
          </w:p>
        </w:tc>
        <w:tc>
          <w:tcPr>
            <w:tcW w:w="80" w:type="dxa"/>
            <w:vAlign w:val="bottom"/>
            <w:tcBorders>
              <w:top w:val="single" w:sz="8" w:color="DCDDDE"/>
            </w:tcBorders>
            <w:shd w:val="clear" w:color="auto" w:fill="DCDDDE"/>
          </w:tcPr>
          <w:p>
            <w:pPr>
              <w:spacing w:after="0"/>
              <w:rPr>
                <w:sz w:val="10"/>
                <w:szCs w:val="10"/>
                <w:color w:val="auto"/>
              </w:rPr>
            </w:pPr>
          </w:p>
        </w:tc>
        <w:tc>
          <w:tcPr>
            <w:tcW w:w="500" w:type="dxa"/>
            <w:vAlign w:val="bottom"/>
            <w:tcBorders>
              <w:top w:val="single" w:sz="8" w:color="D0CECE"/>
            </w:tcBorders>
            <w:shd w:val="clear" w:color="auto" w:fill="DCDDDE"/>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780" w:type="dxa"/>
            <w:vAlign w:val="bottom"/>
            <w:gridSpan w:val="2"/>
          </w:tcPr>
          <w:p>
            <w:pPr>
              <w:ind w:left="1200"/>
              <w:spacing w:after="0"/>
              <w:rPr>
                <w:sz w:val="20"/>
                <w:szCs w:val="20"/>
                <w:color w:val="auto"/>
              </w:rPr>
            </w:pPr>
            <w:r>
              <w:rPr>
                <w:rFonts w:ascii="Arial" w:cs="Arial" w:eastAsia="Arial" w:hAnsi="Arial"/>
                <w:sz w:val="13"/>
                <w:szCs w:val="13"/>
                <w:color w:val="auto"/>
              </w:rPr>
              <w:t>President of S Group Advisory LLC</w:t>
            </w:r>
          </w:p>
        </w:tc>
        <w:tc>
          <w:tcPr>
            <w:tcW w:w="4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340" w:type="dxa"/>
            <w:vAlign w:val="bottom"/>
            <w:tcBorders>
              <w:bottom w:val="single" w:sz="8" w:color="DCDDDE"/>
            </w:tcBorders>
            <w:vMerge w:val="continue"/>
            <w:shd w:val="clear" w:color="auto" w:fill="DCDDDE"/>
          </w:tcPr>
          <w:p>
            <w:pPr>
              <w:spacing w:after="0"/>
              <w:rPr>
                <w:sz w:val="13"/>
                <w:szCs w:val="13"/>
                <w:color w:val="auto"/>
              </w:rPr>
            </w:pPr>
          </w:p>
        </w:tc>
        <w:tc>
          <w:tcPr>
            <w:tcW w:w="340" w:type="dxa"/>
            <w:vAlign w:val="bottom"/>
            <w:tcBorders>
              <w:bottom w:val="single" w:sz="8" w:color="DCDDDE"/>
            </w:tcBorders>
            <w:shd w:val="clear" w:color="auto" w:fill="DCDDDE"/>
          </w:tcPr>
          <w:p>
            <w:pPr>
              <w:spacing w:after="0"/>
              <w:rPr>
                <w:sz w:val="13"/>
                <w:szCs w:val="13"/>
                <w:color w:val="auto"/>
              </w:rPr>
            </w:pPr>
          </w:p>
        </w:tc>
        <w:tc>
          <w:tcPr>
            <w:tcW w:w="80" w:type="dxa"/>
            <w:vAlign w:val="bottom"/>
            <w:tcBorders>
              <w:bottom w:val="single" w:sz="8" w:color="DCDDDE"/>
            </w:tcBorders>
            <w:shd w:val="clear" w:color="auto" w:fill="DCDDDE"/>
          </w:tcPr>
          <w:p>
            <w:pPr>
              <w:spacing w:after="0"/>
              <w:rPr>
                <w:sz w:val="13"/>
                <w:szCs w:val="13"/>
                <w:color w:val="auto"/>
              </w:rPr>
            </w:pPr>
          </w:p>
        </w:tc>
        <w:tc>
          <w:tcPr>
            <w:tcW w:w="360" w:type="dxa"/>
            <w:vAlign w:val="bottom"/>
            <w:tcBorders>
              <w:bottom w:val="single" w:sz="8" w:color="DCDDDE"/>
            </w:tcBorders>
            <w:shd w:val="clear" w:color="auto" w:fill="DCDDDE"/>
          </w:tcPr>
          <w:p>
            <w:pPr>
              <w:spacing w:after="0"/>
              <w:rPr>
                <w:sz w:val="13"/>
                <w:szCs w:val="13"/>
                <w:color w:val="auto"/>
              </w:rPr>
            </w:pPr>
          </w:p>
        </w:tc>
        <w:tc>
          <w:tcPr>
            <w:tcW w:w="320" w:type="dxa"/>
            <w:vAlign w:val="bottom"/>
            <w:tcBorders>
              <w:bottom w:val="single" w:sz="8" w:color="DCDDDE"/>
              <w:right w:val="single" w:sz="8" w:color="FFFFFE"/>
            </w:tcBorders>
            <w:shd w:val="clear" w:color="auto" w:fill="DCDDDE"/>
          </w:tcPr>
          <w:p>
            <w:pPr>
              <w:spacing w:after="0"/>
              <w:rPr>
                <w:sz w:val="13"/>
                <w:szCs w:val="13"/>
                <w:color w:val="auto"/>
              </w:rPr>
            </w:pPr>
          </w:p>
        </w:tc>
        <w:tc>
          <w:tcPr>
            <w:tcW w:w="60" w:type="dxa"/>
            <w:vAlign w:val="bottom"/>
            <w:tcBorders>
              <w:bottom w:val="single" w:sz="8" w:color="DCDDDE"/>
            </w:tcBorders>
            <w:shd w:val="clear" w:color="auto" w:fill="DCDDDE"/>
          </w:tcPr>
          <w:p>
            <w:pPr>
              <w:spacing w:after="0"/>
              <w:rPr>
                <w:sz w:val="13"/>
                <w:szCs w:val="13"/>
                <w:color w:val="auto"/>
              </w:rPr>
            </w:pPr>
          </w:p>
        </w:tc>
        <w:tc>
          <w:tcPr>
            <w:tcW w:w="680" w:type="dxa"/>
            <w:vAlign w:val="bottom"/>
            <w:tcBorders>
              <w:bottom w:val="single" w:sz="8" w:color="DCDDDE"/>
            </w:tcBorders>
            <w:vMerge w:val="continue"/>
            <w:shd w:val="clear" w:color="auto" w:fill="DCDDDE"/>
          </w:tcPr>
          <w:p>
            <w:pPr>
              <w:spacing w:after="0"/>
              <w:rPr>
                <w:sz w:val="13"/>
                <w:szCs w:val="13"/>
                <w:color w:val="auto"/>
              </w:rPr>
            </w:pPr>
          </w:p>
        </w:tc>
        <w:tc>
          <w:tcPr>
            <w:tcW w:w="80" w:type="dxa"/>
            <w:vAlign w:val="bottom"/>
            <w:tcBorders>
              <w:bottom w:val="single" w:sz="8" w:color="DCDDDE"/>
            </w:tcBorders>
            <w:shd w:val="clear" w:color="auto" w:fill="DCDDDE"/>
          </w:tcPr>
          <w:p>
            <w:pPr>
              <w:spacing w:after="0"/>
              <w:rPr>
                <w:sz w:val="13"/>
                <w:szCs w:val="13"/>
                <w:color w:val="auto"/>
              </w:rPr>
            </w:pPr>
          </w:p>
        </w:tc>
        <w:tc>
          <w:tcPr>
            <w:tcW w:w="680" w:type="dxa"/>
            <w:vAlign w:val="bottom"/>
            <w:tcBorders>
              <w:bottom w:val="single" w:sz="8" w:color="DCDDDE"/>
              <w:right w:val="single" w:sz="8" w:color="FFFFFE"/>
            </w:tcBorders>
            <w:shd w:val="clear" w:color="auto" w:fill="DCDDDE"/>
          </w:tcPr>
          <w:p>
            <w:pPr>
              <w:spacing w:after="0"/>
              <w:rPr>
                <w:sz w:val="13"/>
                <w:szCs w:val="13"/>
                <w:color w:val="auto"/>
              </w:rPr>
            </w:pPr>
          </w:p>
        </w:tc>
        <w:tc>
          <w:tcPr>
            <w:tcW w:w="80" w:type="dxa"/>
            <w:vAlign w:val="bottom"/>
            <w:tcBorders>
              <w:bottom w:val="single" w:sz="8" w:color="DCDDDE"/>
            </w:tcBorders>
            <w:shd w:val="clear" w:color="auto" w:fill="DCDDDE"/>
          </w:tcPr>
          <w:p>
            <w:pPr>
              <w:spacing w:after="0"/>
              <w:rPr>
                <w:sz w:val="13"/>
                <w:szCs w:val="13"/>
                <w:color w:val="auto"/>
              </w:rPr>
            </w:pPr>
          </w:p>
        </w:tc>
        <w:tc>
          <w:tcPr>
            <w:tcW w:w="500" w:type="dxa"/>
            <w:vAlign w:val="bottom"/>
            <w:tcBorders>
              <w:bottom w:val="single" w:sz="8" w:color="DCDDDE"/>
            </w:tcBorders>
            <w:shd w:val="clear" w:color="auto" w:fill="DCDDDE"/>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200" w:type="dxa"/>
            <w:vAlign w:val="bottom"/>
          </w:tcPr>
          <w:p>
            <w:pPr>
              <w:spacing w:after="0"/>
              <w:rPr>
                <w:sz w:val="10"/>
                <w:szCs w:val="10"/>
                <w:color w:val="auto"/>
              </w:rPr>
            </w:pPr>
          </w:p>
        </w:tc>
        <w:tc>
          <w:tcPr>
            <w:tcW w:w="3580" w:type="dxa"/>
            <w:vAlign w:val="bottom"/>
            <w:tcBorders>
              <w:top w:val="single" w:sz="8" w:color="D0CECE"/>
            </w:tcBorders>
          </w:tcPr>
          <w:p>
            <w:pPr>
              <w:spacing w:after="0" w:line="126" w:lineRule="exact"/>
              <w:rPr>
                <w:sz w:val="20"/>
                <w:szCs w:val="20"/>
                <w:color w:val="auto"/>
              </w:rPr>
            </w:pPr>
            <w:r>
              <w:rPr>
                <w:rFonts w:ascii="Arial" w:cs="Arial" w:eastAsia="Arial" w:hAnsi="Arial"/>
                <w:sz w:val="13"/>
                <w:szCs w:val="13"/>
                <w:b w:val="1"/>
                <w:bCs w:val="1"/>
                <w:color w:val="auto"/>
              </w:rPr>
              <w:t>William H. Schumann, III</w:t>
            </w:r>
          </w:p>
        </w:tc>
        <w:tc>
          <w:tcPr>
            <w:tcW w:w="440" w:type="dxa"/>
            <w:vAlign w:val="bottom"/>
            <w:tcBorders>
              <w:top w:val="single" w:sz="8" w:color="D0CECE"/>
            </w:tcBorders>
          </w:tcPr>
          <w:p>
            <w:pPr>
              <w:spacing w:after="0"/>
              <w:rPr>
                <w:sz w:val="10"/>
                <w:szCs w:val="10"/>
                <w:color w:val="auto"/>
              </w:rPr>
            </w:pPr>
          </w:p>
        </w:tc>
        <w:tc>
          <w:tcPr>
            <w:tcW w:w="600" w:type="dxa"/>
            <w:vAlign w:val="bottom"/>
            <w:tcBorders>
              <w:top w:val="single" w:sz="8" w:color="D0CECE"/>
            </w:tcBorders>
          </w:tcPr>
          <w:p>
            <w:pPr>
              <w:spacing w:after="0"/>
              <w:rPr>
                <w:sz w:val="10"/>
                <w:szCs w:val="10"/>
                <w:color w:val="auto"/>
              </w:rPr>
            </w:pPr>
          </w:p>
        </w:tc>
        <w:tc>
          <w:tcPr>
            <w:tcW w:w="900" w:type="dxa"/>
            <w:vAlign w:val="bottom"/>
            <w:tcBorders>
              <w:top w:val="single" w:sz="8" w:color="D0CECE"/>
            </w:tcBorders>
          </w:tcPr>
          <w:p>
            <w:pPr>
              <w:spacing w:after="0"/>
              <w:rPr>
                <w:sz w:val="10"/>
                <w:szCs w:val="10"/>
                <w:color w:val="auto"/>
              </w:rPr>
            </w:pPr>
          </w:p>
        </w:tc>
        <w:tc>
          <w:tcPr>
            <w:tcW w:w="340" w:type="dxa"/>
            <w:vAlign w:val="bottom"/>
            <w:tcBorders>
              <w:top w:val="single" w:sz="8" w:color="D0CECE"/>
            </w:tcBorders>
            <w:vMerge w:val="restart"/>
            <w:shd w:val="clear" w:color="auto" w:fill="DCDDDE"/>
          </w:tcPr>
          <w:p>
            <w:pPr>
              <w:jc w:val="center"/>
              <w:ind w:left="115"/>
              <w:spacing w:after="0"/>
              <w:rPr>
                <w:sz w:val="20"/>
                <w:szCs w:val="20"/>
                <w:color w:val="auto"/>
              </w:rPr>
            </w:pPr>
            <w:r>
              <w:rPr>
                <w:rFonts w:ascii="Times New Roman" w:cs="Times New Roman" w:eastAsia="Times New Roman" w:hAnsi="Times New Roman"/>
                <w:sz w:val="8"/>
                <w:szCs w:val="8"/>
                <w:color w:val="53C072"/>
                <w:w w:val="73"/>
              </w:rPr>
              <w:t>·</w:t>
            </w:r>
          </w:p>
        </w:tc>
        <w:tc>
          <w:tcPr>
            <w:tcW w:w="340" w:type="dxa"/>
            <w:vAlign w:val="bottom"/>
            <w:tcBorders>
              <w:top w:val="single" w:sz="8" w:color="D0CECE"/>
            </w:tcBorders>
            <w:shd w:val="clear" w:color="auto" w:fill="DCDDDE"/>
          </w:tcPr>
          <w:p>
            <w:pPr>
              <w:spacing w:after="0"/>
              <w:rPr>
                <w:sz w:val="10"/>
                <w:szCs w:val="10"/>
                <w:color w:val="auto"/>
              </w:rPr>
            </w:pPr>
          </w:p>
        </w:tc>
        <w:tc>
          <w:tcPr>
            <w:tcW w:w="80" w:type="dxa"/>
            <w:vAlign w:val="bottom"/>
            <w:tcBorders>
              <w:top w:val="single" w:sz="8" w:color="DCDDDE"/>
            </w:tcBorders>
            <w:shd w:val="clear" w:color="auto" w:fill="DCDDDE"/>
          </w:tcPr>
          <w:p>
            <w:pPr>
              <w:spacing w:after="0"/>
              <w:rPr>
                <w:sz w:val="10"/>
                <w:szCs w:val="10"/>
                <w:color w:val="auto"/>
              </w:rPr>
            </w:pPr>
          </w:p>
        </w:tc>
        <w:tc>
          <w:tcPr>
            <w:tcW w:w="360" w:type="dxa"/>
            <w:vAlign w:val="bottom"/>
            <w:tcBorders>
              <w:top w:val="single" w:sz="8" w:color="D0CECE"/>
            </w:tcBorders>
            <w:shd w:val="clear" w:color="auto" w:fill="DCDDDE"/>
          </w:tcPr>
          <w:p>
            <w:pPr>
              <w:spacing w:after="0"/>
              <w:rPr>
                <w:sz w:val="10"/>
                <w:szCs w:val="10"/>
                <w:color w:val="auto"/>
              </w:rPr>
            </w:pPr>
          </w:p>
        </w:tc>
        <w:tc>
          <w:tcPr>
            <w:tcW w:w="320" w:type="dxa"/>
            <w:vAlign w:val="bottom"/>
            <w:tcBorders>
              <w:top w:val="single" w:sz="8" w:color="D0CECE"/>
              <w:right w:val="single" w:sz="8" w:color="FFFFFE"/>
            </w:tcBorders>
            <w:shd w:val="clear" w:color="auto" w:fill="DCDDDE"/>
          </w:tcPr>
          <w:p>
            <w:pPr>
              <w:spacing w:after="0"/>
              <w:rPr>
                <w:sz w:val="10"/>
                <w:szCs w:val="10"/>
                <w:color w:val="auto"/>
              </w:rPr>
            </w:pPr>
          </w:p>
        </w:tc>
        <w:tc>
          <w:tcPr>
            <w:tcW w:w="60" w:type="dxa"/>
            <w:vAlign w:val="bottom"/>
            <w:tcBorders>
              <w:top w:val="single" w:sz="8" w:color="DCDDDE"/>
            </w:tcBorders>
            <w:shd w:val="clear" w:color="auto" w:fill="DCDDDE"/>
          </w:tcPr>
          <w:p>
            <w:pPr>
              <w:spacing w:after="0"/>
              <w:rPr>
                <w:sz w:val="10"/>
                <w:szCs w:val="10"/>
                <w:color w:val="auto"/>
              </w:rPr>
            </w:pPr>
          </w:p>
        </w:tc>
        <w:tc>
          <w:tcPr>
            <w:tcW w:w="680" w:type="dxa"/>
            <w:vAlign w:val="bottom"/>
            <w:tcBorders>
              <w:top w:val="single" w:sz="8" w:color="D0CECE"/>
            </w:tcBorders>
            <w:shd w:val="clear" w:color="auto" w:fill="DCDDDE"/>
          </w:tcPr>
          <w:p>
            <w:pPr>
              <w:spacing w:after="0"/>
              <w:rPr>
                <w:sz w:val="10"/>
                <w:szCs w:val="10"/>
                <w:color w:val="auto"/>
              </w:rPr>
            </w:pPr>
          </w:p>
        </w:tc>
        <w:tc>
          <w:tcPr>
            <w:tcW w:w="80" w:type="dxa"/>
            <w:vAlign w:val="bottom"/>
            <w:tcBorders>
              <w:top w:val="single" w:sz="8" w:color="DCDDDE"/>
            </w:tcBorders>
            <w:shd w:val="clear" w:color="auto" w:fill="DCDDDE"/>
          </w:tcPr>
          <w:p>
            <w:pPr>
              <w:spacing w:after="0"/>
              <w:rPr>
                <w:sz w:val="10"/>
                <w:szCs w:val="10"/>
                <w:color w:val="auto"/>
              </w:rPr>
            </w:pPr>
          </w:p>
        </w:tc>
        <w:tc>
          <w:tcPr>
            <w:tcW w:w="680" w:type="dxa"/>
            <w:vAlign w:val="bottom"/>
            <w:tcBorders>
              <w:top w:val="single" w:sz="8" w:color="D0CECE"/>
              <w:right w:val="single" w:sz="8" w:color="FFFFFE"/>
            </w:tcBorders>
            <w:vMerge w:val="restart"/>
            <w:shd w:val="clear" w:color="auto" w:fill="DCDDDE"/>
          </w:tcPr>
          <w:p>
            <w:pPr>
              <w:jc w:val="center"/>
              <w:ind w:right="135"/>
              <w:spacing w:after="0"/>
              <w:rPr>
                <w:sz w:val="20"/>
                <w:szCs w:val="20"/>
                <w:color w:val="auto"/>
              </w:rPr>
            </w:pPr>
            <w:r>
              <w:rPr>
                <w:rFonts w:ascii="Courier New" w:cs="Courier New" w:eastAsia="Courier New" w:hAnsi="Courier New"/>
                <w:sz w:val="13"/>
                <w:szCs w:val="13"/>
                <w:color w:val="53C072"/>
              </w:rPr>
              <w:t>o</w:t>
            </w:r>
          </w:p>
        </w:tc>
        <w:tc>
          <w:tcPr>
            <w:tcW w:w="80" w:type="dxa"/>
            <w:vAlign w:val="bottom"/>
            <w:tcBorders>
              <w:top w:val="single" w:sz="8" w:color="DCDDDE"/>
            </w:tcBorders>
            <w:shd w:val="clear" w:color="auto" w:fill="DCDDDE"/>
          </w:tcPr>
          <w:p>
            <w:pPr>
              <w:spacing w:after="0"/>
              <w:rPr>
                <w:sz w:val="10"/>
                <w:szCs w:val="10"/>
                <w:color w:val="auto"/>
              </w:rPr>
            </w:pPr>
          </w:p>
        </w:tc>
        <w:tc>
          <w:tcPr>
            <w:tcW w:w="500" w:type="dxa"/>
            <w:vAlign w:val="bottom"/>
            <w:tcBorders>
              <w:top w:val="single" w:sz="8" w:color="D0CECE"/>
            </w:tcBorders>
            <w:vMerge w:val="restart"/>
            <w:shd w:val="clear" w:color="auto" w:fill="DCDDDE"/>
          </w:tcPr>
          <w:p>
            <w:pPr>
              <w:jc w:val="center"/>
              <w:spacing w:after="0"/>
              <w:rPr>
                <w:sz w:val="20"/>
                <w:szCs w:val="20"/>
                <w:color w:val="auto"/>
              </w:rPr>
            </w:pPr>
            <w:r>
              <w:rPr>
                <w:rFonts w:ascii="Times New Roman" w:cs="Times New Roman" w:eastAsia="Times New Roman" w:hAnsi="Times New Roman"/>
                <w:sz w:val="13"/>
                <w:szCs w:val="13"/>
                <w:color w:val="53C072"/>
                <w:w w:val="91"/>
              </w:rPr>
              <w:t>·</w:t>
            </w: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780" w:type="dxa"/>
            <w:vAlign w:val="bottom"/>
            <w:gridSpan w:val="2"/>
          </w:tcPr>
          <w:p>
            <w:pPr>
              <w:ind w:left="1200"/>
              <w:spacing w:after="0" w:line="146" w:lineRule="exact"/>
              <w:rPr>
                <w:sz w:val="20"/>
                <w:szCs w:val="20"/>
                <w:color w:val="auto"/>
              </w:rPr>
            </w:pPr>
            <w:r>
              <w:rPr>
                <w:rFonts w:ascii="Arial" w:cs="Arial" w:eastAsia="Arial" w:hAnsi="Arial"/>
                <w:sz w:val="13"/>
                <w:szCs w:val="13"/>
                <w:color w:val="auto"/>
              </w:rPr>
              <w:t>Former Executive Vice President and Chief Financial Officer,</w:t>
            </w:r>
          </w:p>
        </w:tc>
        <w:tc>
          <w:tcPr>
            <w:tcW w:w="440" w:type="dxa"/>
            <w:vAlign w:val="bottom"/>
          </w:tcPr>
          <w:p>
            <w:pPr>
              <w:jc w:val="right"/>
              <w:spacing w:after="0" w:line="146" w:lineRule="exact"/>
              <w:rPr>
                <w:sz w:val="20"/>
                <w:szCs w:val="20"/>
                <w:color w:val="auto"/>
              </w:rPr>
            </w:pPr>
            <w:r>
              <w:rPr>
                <w:rFonts w:ascii="Arial" w:cs="Arial" w:eastAsia="Arial" w:hAnsi="Arial"/>
                <w:sz w:val="13"/>
                <w:szCs w:val="13"/>
                <w:color w:val="auto"/>
              </w:rPr>
              <w:t>70</w:t>
            </w:r>
          </w:p>
        </w:tc>
        <w:tc>
          <w:tcPr>
            <w:tcW w:w="600" w:type="dxa"/>
            <w:vAlign w:val="bottom"/>
          </w:tcPr>
          <w:p>
            <w:pPr>
              <w:jc w:val="center"/>
              <w:spacing w:after="0" w:line="146" w:lineRule="exact"/>
              <w:rPr>
                <w:sz w:val="20"/>
                <w:szCs w:val="20"/>
                <w:color w:val="auto"/>
              </w:rPr>
            </w:pPr>
            <w:r>
              <w:rPr>
                <w:rFonts w:ascii="Arial" w:cs="Arial" w:eastAsia="Arial" w:hAnsi="Arial"/>
                <w:sz w:val="13"/>
                <w:szCs w:val="13"/>
                <w:color w:val="auto"/>
                <w:w w:val="96"/>
              </w:rPr>
              <w:t>2010</w:t>
            </w:r>
          </w:p>
        </w:tc>
        <w:tc>
          <w:tcPr>
            <w:tcW w:w="900" w:type="dxa"/>
            <w:vAlign w:val="bottom"/>
          </w:tcPr>
          <w:p>
            <w:pPr>
              <w:jc w:val="center"/>
              <w:spacing w:after="0" w:line="146" w:lineRule="exact"/>
              <w:rPr>
                <w:sz w:val="20"/>
                <w:szCs w:val="20"/>
                <w:color w:val="auto"/>
              </w:rPr>
            </w:pPr>
            <w:r>
              <w:rPr>
                <w:rFonts w:ascii="Arial" w:cs="Arial" w:eastAsia="Arial" w:hAnsi="Arial"/>
                <w:sz w:val="13"/>
                <w:szCs w:val="13"/>
                <w:color w:val="auto"/>
                <w:w w:val="99"/>
              </w:rPr>
              <w:t>YES</w:t>
            </w:r>
          </w:p>
        </w:tc>
        <w:tc>
          <w:tcPr>
            <w:tcW w:w="340" w:type="dxa"/>
            <w:vAlign w:val="bottom"/>
            <w:vMerge w:val="continue"/>
            <w:shd w:val="clear" w:color="auto" w:fill="DCDDDE"/>
          </w:tcPr>
          <w:p>
            <w:pPr>
              <w:spacing w:after="0"/>
              <w:rPr>
                <w:sz w:val="12"/>
                <w:szCs w:val="12"/>
                <w:color w:val="auto"/>
              </w:rPr>
            </w:pPr>
          </w:p>
        </w:tc>
        <w:tc>
          <w:tcPr>
            <w:tcW w:w="340" w:type="dxa"/>
            <w:vAlign w:val="bottom"/>
            <w:shd w:val="clear" w:color="auto" w:fill="DCDDDE"/>
          </w:tcPr>
          <w:p>
            <w:pPr>
              <w:spacing w:after="0"/>
              <w:rPr>
                <w:sz w:val="12"/>
                <w:szCs w:val="12"/>
                <w:color w:val="auto"/>
              </w:rPr>
            </w:pPr>
          </w:p>
        </w:tc>
        <w:tc>
          <w:tcPr>
            <w:tcW w:w="80" w:type="dxa"/>
            <w:vAlign w:val="bottom"/>
            <w:shd w:val="clear" w:color="auto" w:fill="DCDDDE"/>
          </w:tcPr>
          <w:p>
            <w:pPr>
              <w:spacing w:after="0"/>
              <w:rPr>
                <w:sz w:val="12"/>
                <w:szCs w:val="12"/>
                <w:color w:val="auto"/>
              </w:rPr>
            </w:pPr>
          </w:p>
        </w:tc>
        <w:tc>
          <w:tcPr>
            <w:tcW w:w="360" w:type="dxa"/>
            <w:vAlign w:val="bottom"/>
            <w:shd w:val="clear" w:color="auto" w:fill="DCDDDE"/>
          </w:tcPr>
          <w:p>
            <w:pPr>
              <w:spacing w:after="0"/>
              <w:rPr>
                <w:sz w:val="12"/>
                <w:szCs w:val="12"/>
                <w:color w:val="auto"/>
              </w:rPr>
            </w:pPr>
          </w:p>
        </w:tc>
        <w:tc>
          <w:tcPr>
            <w:tcW w:w="320" w:type="dxa"/>
            <w:vAlign w:val="bottom"/>
            <w:tcBorders>
              <w:right w:val="single" w:sz="8" w:color="FFFFFE"/>
            </w:tcBorders>
            <w:shd w:val="clear" w:color="auto" w:fill="DCDDDE"/>
          </w:tcPr>
          <w:p>
            <w:pPr>
              <w:spacing w:after="0"/>
              <w:rPr>
                <w:sz w:val="12"/>
                <w:szCs w:val="12"/>
                <w:color w:val="auto"/>
              </w:rPr>
            </w:pPr>
          </w:p>
        </w:tc>
        <w:tc>
          <w:tcPr>
            <w:tcW w:w="60" w:type="dxa"/>
            <w:vAlign w:val="bottom"/>
            <w:shd w:val="clear" w:color="auto" w:fill="DCDDDE"/>
          </w:tcPr>
          <w:p>
            <w:pPr>
              <w:spacing w:after="0"/>
              <w:rPr>
                <w:sz w:val="12"/>
                <w:szCs w:val="12"/>
                <w:color w:val="auto"/>
              </w:rPr>
            </w:pPr>
          </w:p>
        </w:tc>
        <w:tc>
          <w:tcPr>
            <w:tcW w:w="680" w:type="dxa"/>
            <w:vAlign w:val="bottom"/>
            <w:shd w:val="clear" w:color="auto" w:fill="DCDDDE"/>
          </w:tcPr>
          <w:p>
            <w:pPr>
              <w:spacing w:after="0"/>
              <w:rPr>
                <w:sz w:val="12"/>
                <w:szCs w:val="12"/>
                <w:color w:val="auto"/>
              </w:rPr>
            </w:pPr>
          </w:p>
        </w:tc>
        <w:tc>
          <w:tcPr>
            <w:tcW w:w="80" w:type="dxa"/>
            <w:vAlign w:val="bottom"/>
            <w:shd w:val="clear" w:color="auto" w:fill="DCDDDE"/>
          </w:tcPr>
          <w:p>
            <w:pPr>
              <w:spacing w:after="0"/>
              <w:rPr>
                <w:sz w:val="12"/>
                <w:szCs w:val="12"/>
                <w:color w:val="auto"/>
              </w:rPr>
            </w:pPr>
          </w:p>
        </w:tc>
        <w:tc>
          <w:tcPr>
            <w:tcW w:w="680" w:type="dxa"/>
            <w:vAlign w:val="bottom"/>
            <w:tcBorders>
              <w:right w:val="single" w:sz="8" w:color="FFFFFE"/>
            </w:tcBorders>
            <w:vMerge w:val="continue"/>
            <w:shd w:val="clear" w:color="auto" w:fill="DCDDDE"/>
          </w:tcPr>
          <w:p>
            <w:pPr>
              <w:spacing w:after="0"/>
              <w:rPr>
                <w:sz w:val="12"/>
                <w:szCs w:val="12"/>
                <w:color w:val="auto"/>
              </w:rPr>
            </w:pPr>
          </w:p>
        </w:tc>
        <w:tc>
          <w:tcPr>
            <w:tcW w:w="80" w:type="dxa"/>
            <w:vAlign w:val="bottom"/>
            <w:shd w:val="clear" w:color="auto" w:fill="DCDDDE"/>
          </w:tcPr>
          <w:p>
            <w:pPr>
              <w:spacing w:after="0"/>
              <w:rPr>
                <w:sz w:val="12"/>
                <w:szCs w:val="12"/>
                <w:color w:val="auto"/>
              </w:rPr>
            </w:pPr>
          </w:p>
        </w:tc>
        <w:tc>
          <w:tcPr>
            <w:tcW w:w="500" w:type="dxa"/>
            <w:vAlign w:val="bottom"/>
            <w:vMerge w:val="continue"/>
            <w:shd w:val="clear" w:color="auto" w:fill="DCDDDE"/>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780" w:type="dxa"/>
            <w:vAlign w:val="bottom"/>
            <w:gridSpan w:val="2"/>
          </w:tcPr>
          <w:p>
            <w:pPr>
              <w:ind w:left="1200"/>
              <w:spacing w:after="0"/>
              <w:rPr>
                <w:sz w:val="20"/>
                <w:szCs w:val="20"/>
                <w:color w:val="auto"/>
              </w:rPr>
            </w:pPr>
            <w:r>
              <w:rPr>
                <w:rFonts w:ascii="Arial" w:cs="Arial" w:eastAsia="Arial" w:hAnsi="Arial"/>
                <w:sz w:val="13"/>
                <w:szCs w:val="13"/>
                <w:color w:val="auto"/>
              </w:rPr>
              <w:t>FMC Technologies, Inc.</w:t>
            </w: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shd w:val="clear" w:color="auto" w:fill="DCDDDE"/>
          </w:tcPr>
          <w:p>
            <w:pPr>
              <w:spacing w:after="0"/>
              <w:rPr>
                <w:sz w:val="13"/>
                <w:szCs w:val="13"/>
                <w:color w:val="auto"/>
              </w:rPr>
            </w:pPr>
          </w:p>
        </w:tc>
        <w:tc>
          <w:tcPr>
            <w:tcW w:w="340" w:type="dxa"/>
            <w:vAlign w:val="bottom"/>
            <w:shd w:val="clear" w:color="auto" w:fill="DCDDDE"/>
          </w:tcPr>
          <w:p>
            <w:pPr>
              <w:spacing w:after="0"/>
              <w:rPr>
                <w:sz w:val="13"/>
                <w:szCs w:val="13"/>
                <w:color w:val="auto"/>
              </w:rPr>
            </w:pPr>
          </w:p>
        </w:tc>
        <w:tc>
          <w:tcPr>
            <w:tcW w:w="80" w:type="dxa"/>
            <w:vAlign w:val="bottom"/>
            <w:shd w:val="clear" w:color="auto" w:fill="DCDDDE"/>
          </w:tcPr>
          <w:p>
            <w:pPr>
              <w:spacing w:after="0"/>
              <w:rPr>
                <w:sz w:val="13"/>
                <w:szCs w:val="13"/>
                <w:color w:val="auto"/>
              </w:rPr>
            </w:pPr>
          </w:p>
        </w:tc>
        <w:tc>
          <w:tcPr>
            <w:tcW w:w="360" w:type="dxa"/>
            <w:vAlign w:val="bottom"/>
            <w:shd w:val="clear" w:color="auto" w:fill="DCDDDE"/>
          </w:tcPr>
          <w:p>
            <w:pPr>
              <w:spacing w:after="0"/>
              <w:rPr>
                <w:sz w:val="13"/>
                <w:szCs w:val="13"/>
                <w:color w:val="auto"/>
              </w:rPr>
            </w:pPr>
          </w:p>
        </w:tc>
        <w:tc>
          <w:tcPr>
            <w:tcW w:w="320" w:type="dxa"/>
            <w:vAlign w:val="bottom"/>
            <w:tcBorders>
              <w:right w:val="single" w:sz="8" w:color="FFFFFE"/>
            </w:tcBorders>
            <w:shd w:val="clear" w:color="auto" w:fill="DCDDDE"/>
          </w:tcPr>
          <w:p>
            <w:pPr>
              <w:spacing w:after="0"/>
              <w:rPr>
                <w:sz w:val="13"/>
                <w:szCs w:val="13"/>
                <w:color w:val="auto"/>
              </w:rPr>
            </w:pPr>
          </w:p>
        </w:tc>
        <w:tc>
          <w:tcPr>
            <w:tcW w:w="60" w:type="dxa"/>
            <w:vAlign w:val="bottom"/>
            <w:shd w:val="clear" w:color="auto" w:fill="DCDDDE"/>
          </w:tcPr>
          <w:p>
            <w:pPr>
              <w:spacing w:after="0"/>
              <w:rPr>
                <w:sz w:val="13"/>
                <w:szCs w:val="13"/>
                <w:color w:val="auto"/>
              </w:rPr>
            </w:pPr>
          </w:p>
        </w:tc>
        <w:tc>
          <w:tcPr>
            <w:tcW w:w="680" w:type="dxa"/>
            <w:vAlign w:val="bottom"/>
            <w:shd w:val="clear" w:color="auto" w:fill="DCDDDE"/>
          </w:tcPr>
          <w:p>
            <w:pPr>
              <w:spacing w:after="0"/>
              <w:rPr>
                <w:sz w:val="13"/>
                <w:szCs w:val="13"/>
                <w:color w:val="auto"/>
              </w:rPr>
            </w:pPr>
          </w:p>
        </w:tc>
        <w:tc>
          <w:tcPr>
            <w:tcW w:w="80" w:type="dxa"/>
            <w:vAlign w:val="bottom"/>
            <w:shd w:val="clear" w:color="auto" w:fill="DCDDDE"/>
          </w:tcPr>
          <w:p>
            <w:pPr>
              <w:spacing w:after="0"/>
              <w:rPr>
                <w:sz w:val="13"/>
                <w:szCs w:val="13"/>
                <w:color w:val="auto"/>
              </w:rPr>
            </w:pPr>
          </w:p>
        </w:tc>
        <w:tc>
          <w:tcPr>
            <w:tcW w:w="680" w:type="dxa"/>
            <w:vAlign w:val="bottom"/>
            <w:tcBorders>
              <w:right w:val="single" w:sz="8" w:color="FFFFFE"/>
            </w:tcBorders>
            <w:shd w:val="clear" w:color="auto" w:fill="DCDDDE"/>
          </w:tcPr>
          <w:p>
            <w:pPr>
              <w:spacing w:after="0"/>
              <w:rPr>
                <w:sz w:val="13"/>
                <w:szCs w:val="13"/>
                <w:color w:val="auto"/>
              </w:rPr>
            </w:pPr>
          </w:p>
        </w:tc>
        <w:tc>
          <w:tcPr>
            <w:tcW w:w="80" w:type="dxa"/>
            <w:vAlign w:val="bottom"/>
            <w:shd w:val="clear" w:color="auto" w:fill="DCDDDE"/>
          </w:tcPr>
          <w:p>
            <w:pPr>
              <w:spacing w:after="0"/>
              <w:rPr>
                <w:sz w:val="13"/>
                <w:szCs w:val="13"/>
                <w:color w:val="auto"/>
              </w:rPr>
            </w:pPr>
          </w:p>
        </w:tc>
        <w:tc>
          <w:tcPr>
            <w:tcW w:w="500" w:type="dxa"/>
            <w:vAlign w:val="bottom"/>
            <w:shd w:val="clear" w:color="auto" w:fill="DCDDDE"/>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07"/>
        </w:trPr>
        <w:tc>
          <w:tcPr>
            <w:tcW w:w="1200" w:type="dxa"/>
            <w:vAlign w:val="bottom"/>
          </w:tcPr>
          <w:p>
            <w:pPr>
              <w:spacing w:after="0"/>
              <w:rPr>
                <w:sz w:val="24"/>
                <w:szCs w:val="24"/>
                <w:color w:val="auto"/>
              </w:rPr>
            </w:pPr>
          </w:p>
        </w:tc>
        <w:tc>
          <w:tcPr>
            <w:tcW w:w="3580" w:type="dxa"/>
            <w:vAlign w:val="bottom"/>
            <w:tcBorders>
              <w:top w:val="single" w:sz="8" w:color="53C072"/>
            </w:tcBorders>
          </w:tcPr>
          <w:p>
            <w:pPr>
              <w:spacing w:after="0"/>
              <w:rPr>
                <w:sz w:val="24"/>
                <w:szCs w:val="24"/>
                <w:color w:val="auto"/>
              </w:rPr>
            </w:pPr>
          </w:p>
        </w:tc>
        <w:tc>
          <w:tcPr>
            <w:tcW w:w="440" w:type="dxa"/>
            <w:vAlign w:val="bottom"/>
            <w:tcBorders>
              <w:top w:val="single" w:sz="8" w:color="53C072"/>
            </w:tcBorders>
          </w:tcPr>
          <w:p>
            <w:pPr>
              <w:spacing w:after="0"/>
              <w:rPr>
                <w:sz w:val="24"/>
                <w:szCs w:val="24"/>
                <w:color w:val="auto"/>
              </w:rPr>
            </w:pPr>
          </w:p>
        </w:tc>
        <w:tc>
          <w:tcPr>
            <w:tcW w:w="600" w:type="dxa"/>
            <w:vAlign w:val="bottom"/>
            <w:tcBorders>
              <w:top w:val="single" w:sz="8" w:color="53C072"/>
            </w:tcBorders>
          </w:tcPr>
          <w:p>
            <w:pPr>
              <w:spacing w:after="0"/>
              <w:rPr>
                <w:sz w:val="24"/>
                <w:szCs w:val="24"/>
                <w:color w:val="auto"/>
              </w:rPr>
            </w:pPr>
          </w:p>
        </w:tc>
        <w:tc>
          <w:tcPr>
            <w:tcW w:w="900" w:type="dxa"/>
            <w:vAlign w:val="bottom"/>
            <w:tcBorders>
              <w:top w:val="single" w:sz="8" w:color="53C072"/>
            </w:tcBorders>
          </w:tcPr>
          <w:p>
            <w:pPr>
              <w:spacing w:after="0"/>
              <w:rPr>
                <w:sz w:val="24"/>
                <w:szCs w:val="24"/>
                <w:color w:val="auto"/>
              </w:rPr>
            </w:pPr>
          </w:p>
        </w:tc>
        <w:tc>
          <w:tcPr>
            <w:tcW w:w="340" w:type="dxa"/>
            <w:vAlign w:val="bottom"/>
            <w:tcBorders>
              <w:top w:val="single" w:sz="8" w:color="53C072"/>
            </w:tcBorders>
          </w:tcPr>
          <w:p>
            <w:pPr>
              <w:spacing w:after="0"/>
              <w:rPr>
                <w:sz w:val="24"/>
                <w:szCs w:val="24"/>
                <w:color w:val="auto"/>
              </w:rPr>
            </w:pPr>
          </w:p>
        </w:tc>
        <w:tc>
          <w:tcPr>
            <w:tcW w:w="780" w:type="dxa"/>
            <w:vAlign w:val="bottom"/>
            <w:tcBorders>
              <w:top w:val="single" w:sz="8" w:color="53C072"/>
            </w:tcBorders>
            <w:gridSpan w:val="3"/>
          </w:tcPr>
          <w:p>
            <w:pPr>
              <w:ind w:left="20"/>
              <w:spacing w:after="0"/>
              <w:rPr>
                <w:sz w:val="20"/>
                <w:szCs w:val="20"/>
                <w:color w:val="auto"/>
              </w:rPr>
            </w:pPr>
            <w:r>
              <w:rPr>
                <w:rFonts w:ascii="Courier New" w:cs="Courier New" w:eastAsia="Courier New" w:hAnsi="Courier New"/>
                <w:sz w:val="13"/>
                <w:szCs w:val="13"/>
                <w:color w:val="53C072"/>
              </w:rPr>
              <w:t xml:space="preserve">o </w:t>
            </w:r>
            <w:r>
              <w:rPr>
                <w:rFonts w:ascii="Arial" w:cs="Arial" w:eastAsia="Arial" w:hAnsi="Arial"/>
                <w:sz w:val="13"/>
                <w:szCs w:val="13"/>
                <w:color w:val="000000"/>
              </w:rPr>
              <w:t>Chair</w:t>
            </w:r>
          </w:p>
        </w:tc>
        <w:tc>
          <w:tcPr>
            <w:tcW w:w="1060" w:type="dxa"/>
            <w:vAlign w:val="bottom"/>
            <w:tcBorders>
              <w:top w:val="single" w:sz="8" w:color="53C072"/>
            </w:tcBorders>
            <w:gridSpan w:val="3"/>
          </w:tcPr>
          <w:p>
            <w:pPr>
              <w:ind w:left="140"/>
              <w:spacing w:after="0"/>
              <w:rPr>
                <w:sz w:val="20"/>
                <w:szCs w:val="20"/>
                <w:color w:val="auto"/>
              </w:rPr>
            </w:pPr>
            <w:r>
              <w:rPr>
                <w:rFonts w:ascii="Arial" w:cs="Arial" w:eastAsia="Arial" w:hAnsi="Arial"/>
                <w:sz w:val="13"/>
                <w:szCs w:val="13"/>
                <w:b w:val="1"/>
                <w:bCs w:val="1"/>
                <w:color w:val="auto"/>
              </w:rPr>
              <w:t xml:space="preserve">A: </w:t>
            </w:r>
            <w:r>
              <w:rPr>
                <w:rFonts w:ascii="Arial" w:cs="Arial" w:eastAsia="Arial" w:hAnsi="Arial"/>
                <w:sz w:val="13"/>
                <w:szCs w:val="13"/>
                <w:color w:val="auto"/>
              </w:rPr>
              <w:t>Audit</w:t>
            </w:r>
          </w:p>
        </w:tc>
        <w:tc>
          <w:tcPr>
            <w:tcW w:w="80" w:type="dxa"/>
            <w:vAlign w:val="bottom"/>
            <w:tcBorders>
              <w:top w:val="single" w:sz="8" w:color="53C072"/>
            </w:tcBorders>
          </w:tcPr>
          <w:p>
            <w:pPr>
              <w:spacing w:after="0"/>
              <w:rPr>
                <w:sz w:val="24"/>
                <w:szCs w:val="24"/>
                <w:color w:val="auto"/>
              </w:rPr>
            </w:pPr>
          </w:p>
        </w:tc>
        <w:tc>
          <w:tcPr>
            <w:tcW w:w="1260" w:type="dxa"/>
            <w:vAlign w:val="bottom"/>
            <w:tcBorders>
              <w:top w:val="single" w:sz="8" w:color="53C072"/>
            </w:tcBorders>
            <w:gridSpan w:val="3"/>
          </w:tcPr>
          <w:p>
            <w:pPr>
              <w:ind w:left="20"/>
              <w:spacing w:after="0"/>
              <w:rPr>
                <w:sz w:val="20"/>
                <w:szCs w:val="20"/>
                <w:color w:val="auto"/>
              </w:rPr>
            </w:pPr>
            <w:r>
              <w:rPr>
                <w:rFonts w:ascii="Arial" w:cs="Arial" w:eastAsia="Arial" w:hAnsi="Arial"/>
                <w:sz w:val="13"/>
                <w:szCs w:val="13"/>
                <w:b w:val="1"/>
                <w:bCs w:val="1"/>
                <w:color w:val="auto"/>
              </w:rPr>
              <w:t xml:space="preserve">C: </w:t>
            </w:r>
            <w:r>
              <w:rPr>
                <w:rFonts w:ascii="Arial" w:cs="Arial" w:eastAsia="Arial" w:hAnsi="Arial"/>
                <w:sz w:val="13"/>
                <w:szCs w:val="13"/>
                <w:color w:val="auto"/>
              </w:rPr>
              <w:t>Compensation</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53C072"/>
              </w:rPr>
              <w:t xml:space="preserve">· </w:t>
            </w:r>
            <w:r>
              <w:rPr>
                <w:rFonts w:ascii="Arial" w:cs="Arial" w:eastAsia="Arial" w:hAnsi="Arial"/>
                <w:sz w:val="13"/>
                <w:szCs w:val="13"/>
                <w:color w:val="000000"/>
              </w:rPr>
              <w:t>Member</w:t>
            </w:r>
          </w:p>
        </w:tc>
        <w:tc>
          <w:tcPr>
            <w:tcW w:w="1820" w:type="dxa"/>
            <w:vAlign w:val="bottom"/>
            <w:gridSpan w:val="5"/>
          </w:tcPr>
          <w:p>
            <w:pPr>
              <w:ind w:left="140"/>
              <w:spacing w:after="0"/>
              <w:rPr>
                <w:sz w:val="20"/>
                <w:szCs w:val="20"/>
                <w:color w:val="auto"/>
              </w:rPr>
            </w:pPr>
            <w:r>
              <w:rPr>
                <w:rFonts w:ascii="Arial" w:cs="Arial" w:eastAsia="Arial" w:hAnsi="Arial"/>
                <w:sz w:val="13"/>
                <w:szCs w:val="13"/>
                <w:b w:val="1"/>
                <w:bCs w:val="1"/>
                <w:color w:val="auto"/>
              </w:rPr>
              <w:t xml:space="preserve">CG: </w:t>
            </w:r>
            <w:r>
              <w:rPr>
                <w:rFonts w:ascii="Arial" w:cs="Arial" w:eastAsia="Arial" w:hAnsi="Arial"/>
                <w:sz w:val="13"/>
                <w:szCs w:val="13"/>
                <w:color w:val="auto"/>
              </w:rPr>
              <w:t>Corporate Governance</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2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gridSpan w:val="3"/>
          </w:tcPr>
          <w:p>
            <w:pPr>
              <w:ind w:left="140"/>
              <w:spacing w:after="0"/>
              <w:rPr>
                <w:sz w:val="20"/>
                <w:szCs w:val="20"/>
                <w:color w:val="auto"/>
              </w:rPr>
            </w:pPr>
            <w:r>
              <w:rPr>
                <w:rFonts w:ascii="Arial" w:cs="Arial" w:eastAsia="Arial" w:hAnsi="Arial"/>
                <w:sz w:val="13"/>
                <w:szCs w:val="13"/>
                <w:b w:val="1"/>
                <w:bCs w:val="1"/>
                <w:color w:val="auto"/>
              </w:rPr>
              <w:t xml:space="preserve">E: </w:t>
            </w:r>
            <w:r>
              <w:rPr>
                <w:rFonts w:ascii="Arial" w:cs="Arial" w:eastAsia="Arial" w:hAnsi="Arial"/>
                <w:sz w:val="13"/>
                <w:szCs w:val="13"/>
                <w:color w:val="auto"/>
              </w:rPr>
              <w:t>Executive</w:t>
            </w:r>
          </w:p>
        </w:tc>
        <w:tc>
          <w:tcPr>
            <w:tcW w:w="80" w:type="dxa"/>
            <w:vAlign w:val="bottom"/>
          </w:tcPr>
          <w:p>
            <w:pPr>
              <w:spacing w:after="0"/>
              <w:rPr>
                <w:sz w:val="16"/>
                <w:szCs w:val="16"/>
                <w:color w:val="auto"/>
              </w:rPr>
            </w:pPr>
          </w:p>
        </w:tc>
        <w:tc>
          <w:tcPr>
            <w:tcW w:w="680" w:type="dxa"/>
            <w:vAlign w:val="bottom"/>
          </w:tcPr>
          <w:p>
            <w:pPr>
              <w:ind w:left="20"/>
              <w:spacing w:after="0"/>
              <w:rPr>
                <w:sz w:val="20"/>
                <w:szCs w:val="20"/>
                <w:color w:val="auto"/>
              </w:rPr>
            </w:pPr>
            <w:r>
              <w:rPr>
                <w:rFonts w:ascii="Arial" w:cs="Arial" w:eastAsia="Arial" w:hAnsi="Arial"/>
                <w:sz w:val="13"/>
                <w:szCs w:val="13"/>
                <w:b w:val="1"/>
                <w:bCs w:val="1"/>
                <w:color w:val="auto"/>
                <w:w w:val="99"/>
              </w:rPr>
              <w:t xml:space="preserve">F: </w:t>
            </w:r>
            <w:r>
              <w:rPr>
                <w:rFonts w:ascii="Arial" w:cs="Arial" w:eastAsia="Arial" w:hAnsi="Arial"/>
                <w:sz w:val="13"/>
                <w:szCs w:val="13"/>
                <w:color w:val="auto"/>
                <w:w w:val="99"/>
              </w:rPr>
              <w:t>Finance</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23"/>
          <w:szCs w:val="23"/>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118745</wp:posOffset>
            </wp:positionV>
            <wp:extent cx="7151370"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-163195</wp:posOffset>
            </wp:positionV>
            <wp:extent cx="1664970" cy="1231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3"/>
        </w:trPr>
        <w:tc>
          <w:tcPr>
            <w:tcW w:w="580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5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80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5460" w:type="dxa"/>
            <w:vAlign w:val="bottom"/>
            <w:vMerge w:val="restart"/>
          </w:tcPr>
          <w:p>
            <w:pPr>
              <w:ind w:left="4540"/>
              <w:spacing w:after="0"/>
              <w:rPr>
                <w:sz w:val="20"/>
                <w:szCs w:val="20"/>
                <w:color w:val="auto"/>
              </w:rPr>
            </w:pPr>
            <w:r>
              <w:rPr>
                <w:rFonts w:ascii="Arial" w:cs="Arial" w:eastAsia="Arial" w:hAnsi="Arial"/>
                <w:sz w:val="13"/>
                <w:szCs w:val="13"/>
                <w:color w:val="auto"/>
                <w:w w:val="97"/>
              </w:rPr>
              <w:t>Proxy Summary</w:t>
            </w:r>
          </w:p>
        </w:tc>
        <w:tc>
          <w:tcPr>
            <w:tcW w:w="0" w:type="dxa"/>
            <w:vAlign w:val="bottom"/>
          </w:tcPr>
          <w:p>
            <w:pPr>
              <w:spacing w:after="0"/>
              <w:rPr>
                <w:sz w:val="1"/>
                <w:szCs w:val="1"/>
                <w:color w:val="auto"/>
              </w:rPr>
            </w:pPr>
          </w:p>
        </w:tc>
      </w:tr>
      <w:tr>
        <w:trPr>
          <w:trHeight w:val="102"/>
        </w:trPr>
        <w:tc>
          <w:tcPr>
            <w:tcW w:w="580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5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800" w:type="dxa"/>
            <w:vAlign w:val="bottom"/>
            <w:vMerge w:val="continue"/>
          </w:tcPr>
          <w:p>
            <w:pPr>
              <w:spacing w:after="0"/>
              <w:rPr>
                <w:sz w:val="7"/>
                <w:szCs w:val="7"/>
                <w:color w:val="auto"/>
              </w:rPr>
            </w:pPr>
          </w:p>
        </w:tc>
        <w:tc>
          <w:tcPr>
            <w:tcW w:w="54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792480</wp:posOffset>
            </wp:positionH>
            <wp:positionV relativeFrom="paragraph">
              <wp:posOffset>108585</wp:posOffset>
            </wp:positionV>
            <wp:extent cx="5558155" cy="2320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58155" cy="2320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367030</wp:posOffset>
            </wp:positionV>
            <wp:extent cx="7146290" cy="25361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6290" cy="2536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left="380"/>
        <w:spacing w:after="0"/>
        <w:rPr>
          <w:sz w:val="20"/>
          <w:szCs w:val="20"/>
          <w:color w:val="auto"/>
        </w:rPr>
      </w:pPr>
      <w:r>
        <w:rPr>
          <w:rFonts w:ascii="Arial" w:cs="Arial" w:eastAsia="Arial" w:hAnsi="Arial"/>
          <w:sz w:val="16"/>
          <w:szCs w:val="16"/>
          <w:b w:val="1"/>
          <w:bCs w:val="1"/>
          <w:color w:val="FFFFFE"/>
        </w:rPr>
        <w:t>Our governance highlights include:</w:t>
      </w:r>
    </w:p>
    <w:p>
      <w:pPr>
        <w:sectPr>
          <w:pgSz w:w="11900" w:h="16838" w:orient="portrait"/>
          <w:cols w:equalWidth="0" w:num="1">
            <w:col w:w="11260"/>
          </w:cols>
          <w:pgMar w:left="320" w:top="122" w:right="319" w:bottom="1440" w:gutter="0" w:footer="0" w:header="0"/>
        </w:sectPr>
      </w:pPr>
    </w:p>
    <w:p>
      <w:pPr>
        <w:spacing w:after="0" w:line="376"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Diverse Independent Board</w:t>
      </w:r>
    </w:p>
    <w:p>
      <w:pPr>
        <w:spacing w:after="0" w:line="289"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Annual Election of Directors</w:t>
      </w:r>
    </w:p>
    <w:p>
      <w:pPr>
        <w:spacing w:after="0" w:line="289" w:lineRule="exact"/>
        <w:rPr>
          <w:sz w:val="20"/>
          <w:szCs w:val="20"/>
          <w:color w:val="auto"/>
        </w:rPr>
      </w:pPr>
    </w:p>
    <w:p>
      <w:pPr>
        <w:ind w:left="1220" w:right="860"/>
        <w:spacing w:after="0" w:line="601" w:lineRule="auto"/>
        <w:rPr>
          <w:sz w:val="20"/>
          <w:szCs w:val="20"/>
          <w:color w:val="auto"/>
        </w:rPr>
      </w:pPr>
      <w:r>
        <w:rPr>
          <w:rFonts w:ascii="Arial" w:cs="Arial" w:eastAsia="Arial" w:hAnsi="Arial"/>
          <w:sz w:val="16"/>
          <w:szCs w:val="16"/>
          <w:color w:val="auto"/>
        </w:rPr>
        <w:t>Regular Executive Sessions of Independent Directors Separate Chair and CEO roles Independent Chair</w:t>
      </w:r>
    </w:p>
    <w:p>
      <w:pPr>
        <w:spacing w:after="0" w:line="2" w:lineRule="exact"/>
        <w:rPr>
          <w:sz w:val="20"/>
          <w:szCs w:val="20"/>
          <w:color w:val="auto"/>
        </w:rPr>
      </w:pPr>
    </w:p>
    <w:p>
      <w:pPr>
        <w:ind w:left="1220" w:right="600"/>
        <w:spacing w:after="0" w:line="275" w:lineRule="auto"/>
        <w:rPr>
          <w:sz w:val="20"/>
          <w:szCs w:val="20"/>
          <w:color w:val="auto"/>
        </w:rPr>
      </w:pPr>
      <w:r>
        <w:rPr>
          <w:rFonts w:ascii="Arial" w:cs="Arial" w:eastAsia="Arial" w:hAnsi="Arial"/>
          <w:sz w:val="16"/>
          <w:szCs w:val="16"/>
          <w:color w:val="auto"/>
        </w:rPr>
        <w:t>Regular Succession Planning for CEO and executive and Board levels</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ind w:right="1620"/>
        <w:spacing w:after="0" w:line="617" w:lineRule="auto"/>
        <w:rPr>
          <w:sz w:val="20"/>
          <w:szCs w:val="20"/>
          <w:color w:val="auto"/>
        </w:rPr>
      </w:pPr>
      <w:r>
        <w:rPr>
          <w:rFonts w:ascii="Arial" w:cs="Arial" w:eastAsia="Arial" w:hAnsi="Arial"/>
          <w:sz w:val="16"/>
          <w:szCs w:val="16"/>
          <w:color w:val="auto"/>
        </w:rPr>
        <w:t>Incentive Compensation Recoupment Policy Risk Oversight by Board and Committees Majority Voting for Directors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No Supermajority Voting Provisions</w:t>
      </w: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color w:val="auto"/>
        </w:rPr>
        <w:t>Stock Ownership Guidelines for Executives and Directors</w:t>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Prohibitions on Hedging and Pledging</w:t>
      </w:r>
    </w:p>
    <w:p>
      <w:pPr>
        <w:spacing w:after="0" w:line="350" w:lineRule="exact"/>
        <w:rPr>
          <w:sz w:val="20"/>
          <w:szCs w:val="20"/>
          <w:color w:val="auto"/>
        </w:rPr>
      </w:pPr>
    </w:p>
    <w:p>
      <w:pPr>
        <w:sectPr>
          <w:pgSz w:w="11900" w:h="16838" w:orient="portrait"/>
          <w:cols w:equalWidth="0" w:num="2">
            <w:col w:w="5820" w:space="720"/>
            <w:col w:w="4720"/>
          </w:cols>
          <w:pgMar w:left="320" w:top="122" w:right="319" w:bottom="1440" w:gutter="0" w:footer="0" w:header="0"/>
          <w:type w:val="continuous"/>
        </w:sectPr>
      </w:pPr>
    </w:p>
    <w:p>
      <w:pPr>
        <w:jc w:val="right"/>
        <w:ind w:right="3740"/>
        <w:spacing w:after="0"/>
        <w:rPr>
          <w:sz w:val="20"/>
          <w:szCs w:val="20"/>
          <w:color w:val="auto"/>
        </w:rPr>
      </w:pPr>
      <w:r>
        <w:rPr>
          <w:rFonts w:ascii="Arial" w:cs="Arial" w:eastAsia="Arial" w:hAnsi="Arial"/>
          <w:sz w:val="16"/>
          <w:szCs w:val="16"/>
          <w:color w:val="auto"/>
        </w:rPr>
        <w:t>No Poison Pill</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COMPENSATION PROGRAM FOR FISCAL 2020</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Below are the primary components of the fiscal 2020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1200785</wp:posOffset>
            </wp:positionH>
            <wp:positionV relativeFrom="paragraph">
              <wp:posOffset>133350</wp:posOffset>
            </wp:positionV>
            <wp:extent cx="4740910" cy="21043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740910" cy="21043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1160" w:hanging="434"/>
        <w:spacing w:after="0"/>
        <w:tabs>
          <w:tab w:leader="none" w:pos="11160" w:val="left"/>
        </w:tabs>
        <w:numPr>
          <w:ilvl w:val="0"/>
          <w:numId w:val="9"/>
        </w:numPr>
        <w:rPr>
          <w:rFonts w:ascii="Arial" w:cs="Arial" w:eastAsia="Arial" w:hAnsi="Arial"/>
          <w:sz w:val="23"/>
          <w:szCs w:val="23"/>
          <w:b w:val="1"/>
          <w:bCs w:val="1"/>
          <w:color w:val="53C072"/>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112395</wp:posOffset>
            </wp:positionV>
            <wp:extent cx="7151370"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-170180</wp:posOffset>
            </wp:positionV>
            <wp:extent cx="1664970" cy="1231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type w:val="continuous"/>
        </w:sectPr>
      </w:pPr>
    </w:p>
    <w:bookmarkStart w:id="8" w:name="page9"/>
    <w:bookmarkEnd w:id="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b w:val="1"/>
          <w:bCs w:val="1"/>
          <w:color w:val="53C072"/>
        </w:rPr>
        <w:t>2020 ANNUAL</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118110</wp:posOffset>
            </wp:positionV>
            <wp:extent cx="7146290" cy="2546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6290" cy="254635"/>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FFFE"/>
        </w:rPr>
        <w:t>PROXY STATEMENT FOR ANNUAL MEETING OF SHAREHOLDERS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971"/>
        </w:trPr>
        <w:tc>
          <w:tcPr>
            <w:tcW w:w="2980" w:type="dxa"/>
            <w:vAlign w:val="bottom"/>
            <w:tcBorders>
              <w:top w:val="single" w:sz="8" w:color="53C072"/>
              <w:right w:val="single" w:sz="8" w:color="FFFFFE"/>
            </w:tcBorders>
            <w:shd w:val="clear" w:color="auto" w:fill="DCDDDE"/>
          </w:tcPr>
          <w:p>
            <w:pPr>
              <w:jc w:val="center"/>
              <w:ind w:left="441"/>
              <w:spacing w:after="0"/>
              <w:rPr>
                <w:sz w:val="20"/>
                <w:szCs w:val="20"/>
                <w:color w:val="auto"/>
              </w:rPr>
            </w:pPr>
            <w:r>
              <w:rPr>
                <w:rFonts w:ascii="Arial" w:cs="Arial" w:eastAsia="Arial" w:hAnsi="Arial"/>
                <w:sz w:val="16"/>
                <w:szCs w:val="16"/>
                <w:b w:val="1"/>
                <w:bCs w:val="1"/>
                <w:color w:val="53C072"/>
                <w:w w:val="96"/>
              </w:rPr>
              <w:t>DATE</w:t>
            </w:r>
          </w:p>
        </w:tc>
        <w:tc>
          <w:tcPr>
            <w:tcW w:w="2890" w:type="dxa"/>
            <w:vAlign w:val="bottom"/>
            <w:tcBorders>
              <w:top w:val="single" w:sz="8" w:color="53C072"/>
            </w:tcBorders>
            <w:shd w:val="clear" w:color="auto" w:fill="DCDDDE"/>
          </w:tcPr>
          <w:p>
            <w:pPr>
              <w:jc w:val="center"/>
              <w:ind w:left="91"/>
              <w:spacing w:after="0"/>
              <w:rPr>
                <w:sz w:val="20"/>
                <w:szCs w:val="20"/>
                <w:color w:val="auto"/>
              </w:rPr>
            </w:pPr>
            <w:r>
              <w:rPr>
                <w:rFonts w:ascii="Arial" w:cs="Arial" w:eastAsia="Arial" w:hAnsi="Arial"/>
                <w:sz w:val="16"/>
                <w:szCs w:val="16"/>
                <w:b w:val="1"/>
                <w:bCs w:val="1"/>
                <w:color w:val="53C072"/>
                <w:w w:val="99"/>
              </w:rPr>
              <w:t>TIME</w:t>
            </w:r>
          </w:p>
        </w:tc>
        <w:tc>
          <w:tcPr>
            <w:tcW w:w="2760" w:type="dxa"/>
            <w:vAlign w:val="bottom"/>
            <w:tcBorders>
              <w:top w:val="single" w:sz="8" w:color="53C072"/>
            </w:tcBorders>
            <w:shd w:val="clear" w:color="auto" w:fill="DCDDDE"/>
          </w:tcPr>
          <w:p>
            <w:pPr>
              <w:jc w:val="center"/>
              <w:spacing w:after="0"/>
              <w:rPr>
                <w:sz w:val="20"/>
                <w:szCs w:val="20"/>
                <w:color w:val="auto"/>
              </w:rPr>
            </w:pPr>
            <w:r>
              <w:rPr>
                <w:rFonts w:ascii="Arial" w:cs="Arial" w:eastAsia="Arial" w:hAnsi="Arial"/>
                <w:sz w:val="16"/>
                <w:szCs w:val="16"/>
                <w:b w:val="1"/>
                <w:bCs w:val="1"/>
                <w:color w:val="53C072"/>
                <w:w w:val="99"/>
              </w:rPr>
              <w:t>PLACE</w:t>
            </w:r>
          </w:p>
        </w:tc>
        <w:tc>
          <w:tcPr>
            <w:tcW w:w="2630" w:type="dxa"/>
            <w:vAlign w:val="bottom"/>
            <w:tcBorders>
              <w:top w:val="single" w:sz="8" w:color="53C072"/>
            </w:tcBorders>
            <w:shd w:val="clear" w:color="auto" w:fill="DCDDDE"/>
          </w:tcPr>
          <w:p>
            <w:pPr>
              <w:jc w:val="center"/>
              <w:ind w:left="71"/>
              <w:spacing w:after="0"/>
              <w:rPr>
                <w:sz w:val="20"/>
                <w:szCs w:val="20"/>
                <w:color w:val="auto"/>
              </w:rPr>
            </w:pPr>
            <w:r>
              <w:rPr>
                <w:rFonts w:ascii="Arial" w:cs="Arial" w:eastAsia="Arial" w:hAnsi="Arial"/>
                <w:sz w:val="16"/>
                <w:szCs w:val="16"/>
                <w:b w:val="1"/>
                <w:bCs w:val="1"/>
                <w:color w:val="53C072"/>
                <w:w w:val="98"/>
              </w:rPr>
              <w:t>RECORD DATE</w:t>
            </w:r>
          </w:p>
        </w:tc>
      </w:tr>
      <w:tr>
        <w:trPr>
          <w:trHeight w:val="163"/>
        </w:trPr>
        <w:tc>
          <w:tcPr>
            <w:tcW w:w="2980" w:type="dxa"/>
            <w:vAlign w:val="bottom"/>
            <w:tcBorders>
              <w:right w:val="single" w:sz="8" w:color="FFFFFE"/>
            </w:tcBorders>
            <w:shd w:val="clear" w:color="auto" w:fill="DCDDDE"/>
          </w:tcPr>
          <w:p>
            <w:pPr>
              <w:jc w:val="center"/>
              <w:ind w:left="401"/>
              <w:spacing w:after="0" w:line="163" w:lineRule="exact"/>
              <w:rPr>
                <w:sz w:val="20"/>
                <w:szCs w:val="20"/>
                <w:color w:val="auto"/>
              </w:rPr>
            </w:pPr>
            <w:r>
              <w:rPr>
                <w:rFonts w:ascii="Arial" w:cs="Arial" w:eastAsia="Arial" w:hAnsi="Arial"/>
                <w:sz w:val="16"/>
                <w:szCs w:val="16"/>
                <w:b w:val="1"/>
                <w:bCs w:val="1"/>
                <w:color w:val="auto"/>
                <w:w w:val="97"/>
              </w:rPr>
              <w:t>November 17, 2020</w:t>
            </w:r>
          </w:p>
        </w:tc>
        <w:tc>
          <w:tcPr>
            <w:tcW w:w="2890" w:type="dxa"/>
            <w:vAlign w:val="bottom"/>
            <w:shd w:val="clear" w:color="auto" w:fill="DCDDDE"/>
          </w:tcPr>
          <w:p>
            <w:pPr>
              <w:jc w:val="center"/>
              <w:ind w:left="31"/>
              <w:spacing w:after="0" w:line="163" w:lineRule="exact"/>
              <w:rPr>
                <w:sz w:val="20"/>
                <w:szCs w:val="20"/>
                <w:color w:val="auto"/>
              </w:rPr>
            </w:pPr>
            <w:r>
              <w:rPr>
                <w:rFonts w:ascii="Arial" w:cs="Arial" w:eastAsia="Arial" w:hAnsi="Arial"/>
                <w:sz w:val="16"/>
                <w:szCs w:val="16"/>
                <w:b w:val="1"/>
                <w:bCs w:val="1"/>
                <w:color w:val="auto"/>
                <w:w w:val="98"/>
              </w:rPr>
              <w:t>8:00 am local time</w:t>
            </w:r>
          </w:p>
        </w:tc>
        <w:tc>
          <w:tcPr>
            <w:tcW w:w="2760" w:type="dxa"/>
            <w:vAlign w:val="bottom"/>
            <w:shd w:val="clear" w:color="auto" w:fill="DCDDDE"/>
          </w:tcPr>
          <w:p>
            <w:pPr>
              <w:jc w:val="center"/>
              <w:spacing w:after="0" w:line="163" w:lineRule="exact"/>
              <w:rPr>
                <w:sz w:val="20"/>
                <w:szCs w:val="20"/>
                <w:color w:val="auto"/>
              </w:rPr>
            </w:pPr>
            <w:r>
              <w:rPr>
                <w:rFonts w:ascii="Arial" w:cs="Arial" w:eastAsia="Arial" w:hAnsi="Arial"/>
                <w:sz w:val="16"/>
                <w:szCs w:val="16"/>
                <w:b w:val="1"/>
                <w:bCs w:val="1"/>
                <w:color w:val="auto"/>
                <w:w w:val="98"/>
              </w:rPr>
              <w:t>Avnet's Headquarters</w:t>
            </w:r>
          </w:p>
        </w:tc>
        <w:tc>
          <w:tcPr>
            <w:tcW w:w="2630" w:type="dxa"/>
            <w:vAlign w:val="bottom"/>
            <w:shd w:val="clear" w:color="auto" w:fill="DCDDDE"/>
          </w:tcPr>
          <w:p>
            <w:pPr>
              <w:jc w:val="center"/>
              <w:ind w:left="71"/>
              <w:spacing w:after="0" w:line="163" w:lineRule="exact"/>
              <w:rPr>
                <w:sz w:val="20"/>
                <w:szCs w:val="20"/>
                <w:color w:val="auto"/>
              </w:rPr>
            </w:pPr>
            <w:r>
              <w:rPr>
                <w:rFonts w:ascii="Arial" w:cs="Arial" w:eastAsia="Arial" w:hAnsi="Arial"/>
                <w:sz w:val="16"/>
                <w:szCs w:val="16"/>
                <w:b w:val="1"/>
                <w:bCs w:val="1"/>
                <w:color w:val="auto"/>
                <w:w w:val="99"/>
              </w:rPr>
              <w:t>September 18, 2020</w:t>
            </w:r>
          </w:p>
        </w:tc>
      </w:tr>
      <w:tr>
        <w:trPr>
          <w:trHeight w:val="182"/>
        </w:trPr>
        <w:tc>
          <w:tcPr>
            <w:tcW w:w="2980" w:type="dxa"/>
            <w:vAlign w:val="bottom"/>
            <w:tcBorders>
              <w:right w:val="single" w:sz="8" w:color="FFFFFE"/>
            </w:tcBorders>
            <w:shd w:val="clear" w:color="auto" w:fill="DCDDDE"/>
          </w:tcPr>
          <w:p>
            <w:pPr>
              <w:spacing w:after="0"/>
              <w:rPr>
                <w:sz w:val="15"/>
                <w:szCs w:val="15"/>
                <w:color w:val="auto"/>
              </w:rPr>
            </w:pPr>
          </w:p>
        </w:tc>
        <w:tc>
          <w:tcPr>
            <w:tcW w:w="2890" w:type="dxa"/>
            <w:vAlign w:val="bottom"/>
            <w:shd w:val="clear" w:color="auto" w:fill="DCDDDE"/>
          </w:tcPr>
          <w:p>
            <w:pPr>
              <w:spacing w:after="0"/>
              <w:rPr>
                <w:sz w:val="15"/>
                <w:szCs w:val="15"/>
                <w:color w:val="auto"/>
              </w:rPr>
            </w:pPr>
          </w:p>
        </w:tc>
        <w:tc>
          <w:tcPr>
            <w:tcW w:w="2760" w:type="dxa"/>
            <w:vAlign w:val="bottom"/>
            <w:shd w:val="clear" w:color="auto" w:fill="DCDDDE"/>
          </w:tcPr>
          <w:p>
            <w:pPr>
              <w:jc w:val="center"/>
              <w:spacing w:after="0" w:line="182" w:lineRule="exact"/>
              <w:rPr>
                <w:sz w:val="20"/>
                <w:szCs w:val="20"/>
                <w:color w:val="auto"/>
              </w:rPr>
            </w:pPr>
            <w:r>
              <w:rPr>
                <w:rFonts w:ascii="Arial" w:cs="Arial" w:eastAsia="Arial" w:hAnsi="Arial"/>
                <w:sz w:val="16"/>
                <w:szCs w:val="16"/>
                <w:b w:val="1"/>
                <w:bCs w:val="1"/>
                <w:color w:val="auto"/>
                <w:w w:val="97"/>
              </w:rPr>
              <w:t>2211 South 47th Street</w:t>
            </w:r>
          </w:p>
        </w:tc>
        <w:tc>
          <w:tcPr>
            <w:tcW w:w="2630" w:type="dxa"/>
            <w:vAlign w:val="bottom"/>
            <w:shd w:val="clear" w:color="auto" w:fill="DCDDDE"/>
          </w:tcPr>
          <w:p>
            <w:pPr>
              <w:spacing w:after="0"/>
              <w:rPr>
                <w:sz w:val="15"/>
                <w:szCs w:val="15"/>
                <w:color w:val="auto"/>
              </w:rPr>
            </w:pPr>
          </w:p>
        </w:tc>
      </w:tr>
      <w:tr>
        <w:trPr>
          <w:trHeight w:val="182"/>
        </w:trPr>
        <w:tc>
          <w:tcPr>
            <w:tcW w:w="2980" w:type="dxa"/>
            <w:vAlign w:val="bottom"/>
            <w:tcBorders>
              <w:right w:val="single" w:sz="8" w:color="FFFFFE"/>
            </w:tcBorders>
            <w:shd w:val="clear" w:color="auto" w:fill="DCDDDE"/>
          </w:tcPr>
          <w:p>
            <w:pPr>
              <w:spacing w:after="0"/>
              <w:rPr>
                <w:sz w:val="15"/>
                <w:szCs w:val="15"/>
                <w:color w:val="auto"/>
              </w:rPr>
            </w:pPr>
          </w:p>
        </w:tc>
        <w:tc>
          <w:tcPr>
            <w:tcW w:w="2890" w:type="dxa"/>
            <w:vAlign w:val="bottom"/>
            <w:shd w:val="clear" w:color="auto" w:fill="DCDDDE"/>
          </w:tcPr>
          <w:p>
            <w:pPr>
              <w:spacing w:after="0"/>
              <w:rPr>
                <w:sz w:val="15"/>
                <w:szCs w:val="15"/>
                <w:color w:val="auto"/>
              </w:rPr>
            </w:pPr>
          </w:p>
        </w:tc>
        <w:tc>
          <w:tcPr>
            <w:tcW w:w="2760" w:type="dxa"/>
            <w:vAlign w:val="bottom"/>
            <w:shd w:val="clear" w:color="auto" w:fill="DCDDDE"/>
          </w:tcPr>
          <w:p>
            <w:pPr>
              <w:jc w:val="center"/>
              <w:spacing w:after="0" w:line="182" w:lineRule="exact"/>
              <w:rPr>
                <w:sz w:val="20"/>
                <w:szCs w:val="20"/>
                <w:color w:val="auto"/>
              </w:rPr>
            </w:pPr>
            <w:r>
              <w:rPr>
                <w:rFonts w:ascii="Arial" w:cs="Arial" w:eastAsia="Arial" w:hAnsi="Arial"/>
                <w:sz w:val="16"/>
                <w:szCs w:val="16"/>
                <w:b w:val="1"/>
                <w:bCs w:val="1"/>
                <w:color w:val="auto"/>
                <w:w w:val="98"/>
              </w:rPr>
              <w:t>Phoenix, Arizona 85034</w:t>
            </w:r>
          </w:p>
        </w:tc>
        <w:tc>
          <w:tcPr>
            <w:tcW w:w="2630" w:type="dxa"/>
            <w:vAlign w:val="bottom"/>
            <w:shd w:val="clear" w:color="auto" w:fill="DCDDDE"/>
          </w:tcPr>
          <w:p>
            <w:pPr>
              <w:spacing w:after="0"/>
              <w:rPr>
                <w:sz w:val="15"/>
                <w:szCs w:val="15"/>
                <w:color w:val="auto"/>
              </w:rPr>
            </w:pPr>
          </w:p>
        </w:tc>
      </w:tr>
      <w:tr>
        <w:trPr>
          <w:trHeight w:val="182"/>
        </w:trPr>
        <w:tc>
          <w:tcPr>
            <w:tcW w:w="2980" w:type="dxa"/>
            <w:vAlign w:val="bottom"/>
            <w:tcBorders>
              <w:right w:val="single" w:sz="8" w:color="FFFFFE"/>
            </w:tcBorders>
            <w:shd w:val="clear" w:color="auto" w:fill="DCDDDE"/>
          </w:tcPr>
          <w:p>
            <w:pPr>
              <w:spacing w:after="0"/>
              <w:rPr>
                <w:sz w:val="15"/>
                <w:szCs w:val="15"/>
                <w:color w:val="auto"/>
              </w:rPr>
            </w:pPr>
          </w:p>
        </w:tc>
        <w:tc>
          <w:tcPr>
            <w:tcW w:w="2890" w:type="dxa"/>
            <w:vAlign w:val="bottom"/>
            <w:shd w:val="clear" w:color="auto" w:fill="DCDDDE"/>
          </w:tcPr>
          <w:p>
            <w:pPr>
              <w:spacing w:after="0"/>
              <w:rPr>
                <w:sz w:val="15"/>
                <w:szCs w:val="15"/>
                <w:color w:val="auto"/>
              </w:rPr>
            </w:pPr>
          </w:p>
        </w:tc>
        <w:tc>
          <w:tcPr>
            <w:tcW w:w="2760" w:type="dxa"/>
            <w:vAlign w:val="bottom"/>
            <w:shd w:val="clear" w:color="auto" w:fill="DCDDDE"/>
          </w:tcPr>
          <w:p>
            <w:pPr>
              <w:jc w:val="center"/>
              <w:spacing w:after="0" w:line="182" w:lineRule="exact"/>
              <w:rPr>
                <w:sz w:val="20"/>
                <w:szCs w:val="20"/>
                <w:color w:val="auto"/>
              </w:rPr>
            </w:pPr>
            <w:r>
              <w:rPr>
                <w:rFonts w:ascii="Arial" w:cs="Arial" w:eastAsia="Arial" w:hAnsi="Arial"/>
                <w:sz w:val="16"/>
                <w:szCs w:val="16"/>
                <w:b w:val="1"/>
                <w:bCs w:val="1"/>
                <w:color w:val="auto"/>
                <w:w w:val="97"/>
              </w:rPr>
              <w:t>AND</w:t>
            </w:r>
          </w:p>
        </w:tc>
        <w:tc>
          <w:tcPr>
            <w:tcW w:w="2630" w:type="dxa"/>
            <w:vAlign w:val="bottom"/>
            <w:shd w:val="clear" w:color="auto" w:fill="DCDDDE"/>
          </w:tcPr>
          <w:p>
            <w:pPr>
              <w:spacing w:after="0"/>
              <w:rPr>
                <w:sz w:val="15"/>
                <w:szCs w:val="15"/>
                <w:color w:val="auto"/>
              </w:rPr>
            </w:pPr>
          </w:p>
        </w:tc>
      </w:tr>
      <w:tr>
        <w:trPr>
          <w:trHeight w:val="182"/>
        </w:trPr>
        <w:tc>
          <w:tcPr>
            <w:tcW w:w="2980" w:type="dxa"/>
            <w:vAlign w:val="bottom"/>
            <w:tcBorders>
              <w:right w:val="single" w:sz="8" w:color="FFFFFE"/>
            </w:tcBorders>
            <w:shd w:val="clear" w:color="auto" w:fill="DCDDDE"/>
          </w:tcPr>
          <w:p>
            <w:pPr>
              <w:spacing w:after="0"/>
              <w:rPr>
                <w:sz w:val="15"/>
                <w:szCs w:val="15"/>
                <w:color w:val="auto"/>
              </w:rPr>
            </w:pPr>
          </w:p>
        </w:tc>
        <w:tc>
          <w:tcPr>
            <w:tcW w:w="2890" w:type="dxa"/>
            <w:vAlign w:val="bottom"/>
            <w:shd w:val="clear" w:color="auto" w:fill="DCDDDE"/>
          </w:tcPr>
          <w:p>
            <w:pPr>
              <w:spacing w:after="0"/>
              <w:rPr>
                <w:sz w:val="15"/>
                <w:szCs w:val="15"/>
                <w:color w:val="auto"/>
              </w:rPr>
            </w:pPr>
          </w:p>
        </w:tc>
        <w:tc>
          <w:tcPr>
            <w:tcW w:w="2760" w:type="dxa"/>
            <w:vAlign w:val="bottom"/>
            <w:shd w:val="clear" w:color="auto" w:fill="DCDDDE"/>
          </w:tcPr>
          <w:p>
            <w:pPr>
              <w:jc w:val="center"/>
              <w:spacing w:after="0" w:line="182" w:lineRule="exact"/>
              <w:rPr>
                <w:sz w:val="20"/>
                <w:szCs w:val="20"/>
                <w:color w:val="auto"/>
              </w:rPr>
            </w:pPr>
            <w:r>
              <w:rPr>
                <w:rFonts w:ascii="Arial" w:cs="Arial" w:eastAsia="Arial" w:hAnsi="Arial"/>
                <w:sz w:val="16"/>
                <w:szCs w:val="16"/>
                <w:b w:val="1"/>
                <w:bCs w:val="1"/>
                <w:color w:val="auto"/>
                <w:w w:val="99"/>
              </w:rPr>
              <w:t>Via Webcast at</w:t>
            </w:r>
          </w:p>
        </w:tc>
        <w:tc>
          <w:tcPr>
            <w:tcW w:w="2630" w:type="dxa"/>
            <w:vAlign w:val="bottom"/>
            <w:shd w:val="clear" w:color="auto" w:fill="DCDDDE"/>
          </w:tcPr>
          <w:p>
            <w:pPr>
              <w:spacing w:after="0"/>
              <w:rPr>
                <w:sz w:val="15"/>
                <w:szCs w:val="15"/>
                <w:color w:val="auto"/>
              </w:rPr>
            </w:pPr>
          </w:p>
        </w:tc>
      </w:tr>
      <w:tr>
        <w:trPr>
          <w:trHeight w:val="182"/>
        </w:trPr>
        <w:tc>
          <w:tcPr>
            <w:tcW w:w="2980" w:type="dxa"/>
            <w:vAlign w:val="bottom"/>
            <w:tcBorders>
              <w:right w:val="single" w:sz="8" w:color="FFFFFE"/>
            </w:tcBorders>
            <w:shd w:val="clear" w:color="auto" w:fill="DCDDDE"/>
          </w:tcPr>
          <w:p>
            <w:pPr>
              <w:spacing w:after="0"/>
              <w:rPr>
                <w:sz w:val="15"/>
                <w:szCs w:val="15"/>
                <w:color w:val="auto"/>
              </w:rPr>
            </w:pPr>
          </w:p>
        </w:tc>
        <w:tc>
          <w:tcPr>
            <w:tcW w:w="2890" w:type="dxa"/>
            <w:vAlign w:val="bottom"/>
            <w:shd w:val="clear" w:color="auto" w:fill="DCDDDE"/>
          </w:tcPr>
          <w:p>
            <w:pPr>
              <w:spacing w:after="0"/>
              <w:rPr>
                <w:sz w:val="15"/>
                <w:szCs w:val="15"/>
                <w:color w:val="auto"/>
              </w:rPr>
            </w:pPr>
          </w:p>
        </w:tc>
        <w:tc>
          <w:tcPr>
            <w:tcW w:w="2760" w:type="dxa"/>
            <w:vAlign w:val="bottom"/>
            <w:shd w:val="clear" w:color="auto" w:fill="DCDDDE"/>
          </w:tcPr>
          <w:p>
            <w:pPr>
              <w:jc w:val="center"/>
              <w:spacing w:after="0" w:line="182" w:lineRule="exact"/>
              <w:rPr>
                <w:sz w:val="20"/>
                <w:szCs w:val="20"/>
                <w:color w:val="auto"/>
              </w:rPr>
            </w:pPr>
            <w:r>
              <w:rPr>
                <w:rFonts w:ascii="Arial" w:cs="Arial" w:eastAsia="Arial" w:hAnsi="Arial"/>
                <w:sz w:val="16"/>
                <w:szCs w:val="16"/>
                <w:b w:val="1"/>
                <w:bCs w:val="1"/>
                <w:color w:val="auto"/>
                <w:w w:val="98"/>
              </w:rPr>
              <w:t>www.virtualshareholder</w:t>
            </w:r>
          </w:p>
        </w:tc>
        <w:tc>
          <w:tcPr>
            <w:tcW w:w="2630" w:type="dxa"/>
            <w:vAlign w:val="bottom"/>
            <w:shd w:val="clear" w:color="auto" w:fill="DCDDDE"/>
          </w:tcPr>
          <w:p>
            <w:pPr>
              <w:spacing w:after="0"/>
              <w:rPr>
                <w:sz w:val="15"/>
                <w:szCs w:val="15"/>
                <w:color w:val="auto"/>
              </w:rPr>
            </w:pPr>
          </w:p>
        </w:tc>
      </w:tr>
      <w:tr>
        <w:trPr>
          <w:trHeight w:val="201"/>
        </w:trPr>
        <w:tc>
          <w:tcPr>
            <w:tcW w:w="2980" w:type="dxa"/>
            <w:vAlign w:val="bottom"/>
            <w:tcBorders>
              <w:bottom w:val="single" w:sz="8" w:color="53C072"/>
              <w:right w:val="single" w:sz="8" w:color="FFFFFE"/>
            </w:tcBorders>
            <w:shd w:val="clear" w:color="auto" w:fill="DCDDDE"/>
          </w:tcPr>
          <w:p>
            <w:pPr>
              <w:spacing w:after="0"/>
              <w:rPr>
                <w:sz w:val="17"/>
                <w:szCs w:val="17"/>
                <w:color w:val="auto"/>
              </w:rPr>
            </w:pPr>
          </w:p>
        </w:tc>
        <w:tc>
          <w:tcPr>
            <w:tcW w:w="2890" w:type="dxa"/>
            <w:vAlign w:val="bottom"/>
            <w:tcBorders>
              <w:bottom w:val="single" w:sz="8" w:color="53C072"/>
            </w:tcBorders>
            <w:shd w:val="clear" w:color="auto" w:fill="DCDDDE"/>
          </w:tcPr>
          <w:p>
            <w:pPr>
              <w:spacing w:after="0"/>
              <w:rPr>
                <w:sz w:val="17"/>
                <w:szCs w:val="17"/>
                <w:color w:val="auto"/>
              </w:rPr>
            </w:pPr>
          </w:p>
        </w:tc>
        <w:tc>
          <w:tcPr>
            <w:tcW w:w="2760" w:type="dxa"/>
            <w:vAlign w:val="bottom"/>
            <w:tcBorders>
              <w:bottom w:val="single" w:sz="8" w:color="53C072"/>
            </w:tcBorders>
            <w:shd w:val="clear" w:color="auto" w:fill="DCDDDE"/>
          </w:tcPr>
          <w:p>
            <w:pPr>
              <w:jc w:val="center"/>
              <w:spacing w:after="0"/>
              <w:rPr>
                <w:sz w:val="20"/>
                <w:szCs w:val="20"/>
                <w:color w:val="auto"/>
              </w:rPr>
            </w:pPr>
            <w:r>
              <w:rPr>
                <w:rFonts w:ascii="Arial" w:cs="Arial" w:eastAsia="Arial" w:hAnsi="Arial"/>
                <w:sz w:val="16"/>
                <w:szCs w:val="16"/>
                <w:b w:val="1"/>
                <w:bCs w:val="1"/>
                <w:color w:val="auto"/>
                <w:w w:val="98"/>
              </w:rPr>
              <w:t>meeting.com/AVT2020</w:t>
            </w:r>
          </w:p>
        </w:tc>
        <w:tc>
          <w:tcPr>
            <w:tcW w:w="2630" w:type="dxa"/>
            <w:vAlign w:val="bottom"/>
            <w:tcBorders>
              <w:bottom w:val="single" w:sz="8" w:color="53C072"/>
            </w:tcBorders>
            <w:shd w:val="clear" w:color="auto" w:fill="DCDDDE"/>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953770</wp:posOffset>
            </wp:positionH>
            <wp:positionV relativeFrom="paragraph">
              <wp:posOffset>-1286510</wp:posOffset>
            </wp:positionV>
            <wp:extent cx="323850" cy="3314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0" cy="331470"/>
                    </a:xfrm>
                    <a:prstGeom prst="rect">
                      <a:avLst/>
                    </a:prstGeom>
                    <a:noFill/>
                  </pic:spPr>
                </pic:pic>
              </a:graphicData>
            </a:graphic>
          </wp:anchor>
        </w:drawing>
        <w:drawing>
          <wp:anchor simplePos="0" relativeHeight="251657728" behindDoc="1" locked="0" layoutInCell="0" allowOverlap="1">
            <wp:simplePos x="0" y="0"/>
            <wp:positionH relativeFrom="column">
              <wp:posOffset>2703830</wp:posOffset>
            </wp:positionH>
            <wp:positionV relativeFrom="paragraph">
              <wp:posOffset>-1286510</wp:posOffset>
            </wp:positionV>
            <wp:extent cx="323850" cy="3238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0" cy="323850"/>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-1286510</wp:posOffset>
            </wp:positionV>
            <wp:extent cx="231140" cy="3238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1140" cy="323850"/>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-1286510</wp:posOffset>
            </wp:positionV>
            <wp:extent cx="323850" cy="3314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0" cy="331470"/>
                    </a:xfrm>
                    <a:prstGeom prst="rect">
                      <a:avLst/>
                    </a:prstGeom>
                    <a:noFill/>
                  </pic:spPr>
                </pic:pic>
              </a:graphicData>
            </a:graphic>
          </wp:anchor>
        </w:drawing>
      </w:r>
    </w:p>
    <w:p>
      <w:pPr>
        <w:spacing w:after="0" w:line="157" w:lineRule="exact"/>
        <w:rPr>
          <w:sz w:val="20"/>
          <w:szCs w:val="20"/>
          <w:color w:val="auto"/>
        </w:rPr>
      </w:pPr>
    </w:p>
    <w:p>
      <w:pPr>
        <w:ind w:right="320"/>
        <w:spacing w:after="0" w:line="246" w:lineRule="auto"/>
        <w:rPr>
          <w:sz w:val="20"/>
          <w:szCs w:val="20"/>
          <w:color w:val="auto"/>
        </w:rPr>
      </w:pPr>
      <w:r>
        <w:rPr>
          <w:rFonts w:ascii="Arial" w:cs="Arial" w:eastAsia="Arial" w:hAnsi="Arial"/>
          <w:sz w:val="16"/>
          <w:szCs w:val="16"/>
          <w:color w:val="auto"/>
        </w:rPr>
        <w:t>This Proxy Statement is being furnished in connection with the solicitation of proxies by the Board of Directors of Avnet, Inc. ("Avnet" or the "Company") to be voted at the annual meeting of shareholders to be held at the Company's Corporate Headquarters, 2211 South 47th Street, Phoenix, Arizona 85034, on November 17, 2020, and at any and all postponements or adjournments thereof (the "Annual Meeting"), with respect to the matters referred to in the accompanying notice. For convenience, shareholders may attend the Annual Meeting either in person or through a webcast via the internet at www.virtualshareholdermeeting.com/AVT2020.</w:t>
      </w:r>
    </w:p>
    <w:p>
      <w:pPr>
        <w:spacing w:after="0" w:line="162" w:lineRule="exact"/>
        <w:rPr>
          <w:sz w:val="20"/>
          <w:szCs w:val="20"/>
          <w:color w:val="auto"/>
        </w:rPr>
      </w:pPr>
    </w:p>
    <w:p>
      <w:pPr>
        <w:ind w:right="160"/>
        <w:spacing w:after="0" w:line="246" w:lineRule="auto"/>
        <w:rPr>
          <w:sz w:val="20"/>
          <w:szCs w:val="20"/>
          <w:color w:val="auto"/>
        </w:rPr>
      </w:pPr>
      <w:r>
        <w:rPr>
          <w:rFonts w:ascii="Arial" w:cs="Arial" w:eastAsia="Arial" w:hAnsi="Arial"/>
          <w:sz w:val="16"/>
          <w:szCs w:val="16"/>
          <w:color w:val="auto"/>
        </w:rPr>
        <w:t>The approximate date on which this Proxy Statement and the enclosed form of proxy are first being sent or given to shareholders is October 2, 2020. Only holders of record of outstanding shares of the Company's common stock, par value $1.00 per share (the "Common Stock"), at the close of business on September 18, 2020, the record date, are entitled to notice of and to vote at the Annual Meeting. Each shareholder is entitled to one vote per share held on the record date. The aggregate number of shares of Common Stock outstanding (net of treasury shares) at September 18, 2020, was 98,836,102, comprising all of the Company's capital stock outstanding as of that date.</w:t>
      </w:r>
    </w:p>
    <w:p>
      <w:pPr>
        <w:spacing w:after="0" w:line="162" w:lineRule="exact"/>
        <w:rPr>
          <w:sz w:val="20"/>
          <w:szCs w:val="20"/>
          <w:color w:val="auto"/>
        </w:rPr>
      </w:pPr>
    </w:p>
    <w:p>
      <w:pPr>
        <w:jc w:val="both"/>
        <w:ind w:right="60"/>
        <w:spacing w:after="0" w:line="256" w:lineRule="auto"/>
        <w:rPr>
          <w:sz w:val="20"/>
          <w:szCs w:val="20"/>
          <w:color w:val="auto"/>
        </w:rPr>
      </w:pPr>
      <w:r>
        <w:rPr>
          <w:rFonts w:ascii="Arial" w:cs="Arial" w:eastAsia="Arial" w:hAnsi="Arial"/>
          <w:sz w:val="16"/>
          <w:szCs w:val="16"/>
          <w:color w:val="auto"/>
        </w:rPr>
        <w:t>At the Annual Meeting you will be asked to elect the ten Director nominees named in the Proxy Statement, conduct an advisory vote on executive compensation, and ratify the appointment of KPMG LLP as the independent registered public accounting firm to audit the consolidated financial statements of the Company for the fiscal year ending July 3, 2021.</w:t>
      </w:r>
    </w:p>
    <w:p>
      <w:pPr>
        <w:spacing w:after="0" w:line="152"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cost of soliciting proxies relating to the Annual Meeting will be borne by the Company. Directors, officers and employees of the Company may, without additional compensation, solicit proxies by mail, telephone, email or personal interview. The Company has not engaged an independent proxy solicitor in regards to the Annual Meeting. An independent inspector of election will be engaged to tabulate shareholder votes.</w:t>
      </w:r>
    </w:p>
    <w:p>
      <w:pPr>
        <w:spacing w:after="0" w:line="152"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color w:val="auto"/>
        </w:rPr>
        <w:t>The Company is furnishing proxy materials to its shareholders primarily via the Internet. On or about October 2, 2020, the Company mailed to its shareholders a Notice of Internet Availability of Proxy Materials containing instructions on how to access the Company's proxy materials, including the 2020 Proxy Statement and the 2020 Annual Report, and how to vote through the Internet, by phone, by mail or in person. On or about October 2, 2020, certain shareholders, in accordance with their prior requests, were sent e-mail notifications of how to access the proxy materials and to vote or have been mailed paper copies of the Company's proxy materials and a proxy card or voting form.</w:t>
      </w:r>
    </w:p>
    <w:p>
      <w:pPr>
        <w:spacing w:after="0" w:line="185"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4</w:t>
      </w:r>
      <w:r>
        <w:rPr>
          <w:sz w:val="20"/>
          <w:szCs w:val="20"/>
          <w:color w:val="auto"/>
        </w:rPr>
        <w:tab/>
      </w:r>
      <w:r>
        <w:rPr>
          <w:rFonts w:ascii="Arial" w:cs="Arial" w:eastAsia="Arial" w:hAnsi="Arial"/>
          <w:sz w:val="23"/>
          <w:szCs w:val="23"/>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118745</wp:posOffset>
            </wp:positionV>
            <wp:extent cx="7151370"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-163195</wp:posOffset>
            </wp:positionV>
            <wp:extent cx="1664970" cy="1231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3"/>
        </w:trPr>
        <w:tc>
          <w:tcPr>
            <w:tcW w:w="578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5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78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5480" w:type="dxa"/>
            <w:vAlign w:val="bottom"/>
            <w:vMerge w:val="restart"/>
          </w:tcPr>
          <w:p>
            <w:pPr>
              <w:ind w:left="4520"/>
              <w:spacing w:after="0"/>
              <w:rPr>
                <w:sz w:val="20"/>
                <w:szCs w:val="20"/>
                <w:color w:val="auto"/>
              </w:rPr>
            </w:pPr>
            <w:r>
              <w:rPr>
                <w:rFonts w:ascii="Arial" w:cs="Arial" w:eastAsia="Arial" w:hAnsi="Arial"/>
                <w:sz w:val="13"/>
                <w:szCs w:val="13"/>
                <w:color w:val="auto"/>
                <w:w w:val="97"/>
              </w:rPr>
              <w:t>Proxy Statement</w:t>
            </w:r>
          </w:p>
        </w:tc>
        <w:tc>
          <w:tcPr>
            <w:tcW w:w="0" w:type="dxa"/>
            <w:vAlign w:val="bottom"/>
          </w:tcPr>
          <w:p>
            <w:pPr>
              <w:spacing w:after="0"/>
              <w:rPr>
                <w:sz w:val="1"/>
                <w:szCs w:val="1"/>
                <w:color w:val="auto"/>
              </w:rPr>
            </w:pPr>
          </w:p>
        </w:tc>
      </w:tr>
      <w:tr>
        <w:trPr>
          <w:trHeight w:val="102"/>
        </w:trPr>
        <w:tc>
          <w:tcPr>
            <w:tcW w:w="578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5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780" w:type="dxa"/>
            <w:vAlign w:val="bottom"/>
            <w:vMerge w:val="continue"/>
          </w:tcPr>
          <w:p>
            <w:pPr>
              <w:spacing w:after="0"/>
              <w:rPr>
                <w:sz w:val="7"/>
                <w:szCs w:val="7"/>
                <w:color w:val="auto"/>
              </w:rPr>
            </w:pPr>
          </w:p>
        </w:tc>
        <w:tc>
          <w:tcPr>
            <w:tcW w:w="54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right="40"/>
        <w:spacing w:after="0" w:line="281" w:lineRule="auto"/>
        <w:rPr>
          <w:sz w:val="20"/>
          <w:szCs w:val="20"/>
          <w:color w:val="auto"/>
        </w:rPr>
      </w:pPr>
      <w:r>
        <w:rPr>
          <w:rFonts w:ascii="Arial" w:cs="Arial" w:eastAsia="Arial" w:hAnsi="Arial"/>
          <w:sz w:val="15"/>
          <w:szCs w:val="15"/>
          <w:color w:val="auto"/>
        </w:rPr>
        <w:t>Internet distribution of the Company's proxy materials is designed to expedite receipt by shareholders, lower the cost of the Annual Meeting and conserve natural resources. However, if you would prefer to receive printed proxy materials, please follow the instructions included in the Notice of Internet Availability. If you have previously elected to receive the Company's proxy materials electronically, you will continue to receive these materials via e-mail unless you elect otherwise.</w:t>
      </w:r>
    </w:p>
    <w:p>
      <w:pPr>
        <w:spacing w:after="0" w:line="135" w:lineRule="exact"/>
        <w:rPr>
          <w:sz w:val="20"/>
          <w:szCs w:val="20"/>
          <w:color w:val="auto"/>
        </w:rPr>
      </w:pPr>
    </w:p>
    <w:p>
      <w:pPr>
        <w:ind w:right="280"/>
        <w:spacing w:after="0" w:line="256" w:lineRule="auto"/>
        <w:rPr>
          <w:sz w:val="20"/>
          <w:szCs w:val="20"/>
          <w:color w:val="auto"/>
        </w:rPr>
      </w:pPr>
      <w:r>
        <w:rPr>
          <w:rFonts w:ascii="Arial" w:cs="Arial" w:eastAsia="Arial" w:hAnsi="Arial"/>
          <w:sz w:val="16"/>
          <w:szCs w:val="16"/>
          <w:color w:val="auto"/>
        </w:rPr>
        <w:t>The Company will request banks, brokerage houses and other institutions, nominees and fiduciaries to forward the proxy materials to the beneficial owners of Common Stock and to obtain authorization for the execution of proxies. The Company will, upon request, reimburse banks, brokerage houses and other institutions, nominees and fiduciaries for their reasonable expenses in forwarding the proxy materials to the beneficial owners.</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PROXY AND REVOCATION OF PROXY</w:t>
      </w:r>
    </w:p>
    <w:p>
      <w:pPr>
        <w:spacing w:after="0" w:line="209" w:lineRule="exact"/>
        <w:rPr>
          <w:sz w:val="20"/>
          <w:szCs w:val="20"/>
          <w:color w:val="auto"/>
        </w:rPr>
      </w:pPr>
    </w:p>
    <w:p>
      <w:pPr>
        <w:ind w:right="140"/>
        <w:spacing w:after="0" w:line="242" w:lineRule="auto"/>
        <w:rPr>
          <w:sz w:val="20"/>
          <w:szCs w:val="20"/>
          <w:color w:val="auto"/>
        </w:rPr>
      </w:pPr>
      <w:r>
        <w:rPr>
          <w:rFonts w:ascii="Arial" w:cs="Arial" w:eastAsia="Arial" w:hAnsi="Arial"/>
          <w:sz w:val="16"/>
          <w:szCs w:val="16"/>
          <w:color w:val="auto"/>
        </w:rPr>
        <w:t>Proxies may be submitted by completing and mailing the proxy card or by submitting your proxy voting instructions by telephone or through the Internet. Shareholders who hold their shares through a broker, bank or other nominee should contact their nominee to determine whether they may submit their proxy by telephone or Internet. Common Stock represented by a proxy properly signed or submitted and received at or prior to the Annual Meeting will be voted in accordance with the shareholder's instructions. If a proxy card is signed, dated and returned without indicating any voting instructions, the Common Stock represented by the proxy will be voted as the Board recommends. The Board of Directors is not currently aware of any business to be acted upon at the Annual Meeting other than as described in this Proxy Statement. If, however, other matters are properly brought before the Annual Meeting, the persons appointed as proxies will have discretion to vote according to their best judgment, unless otherwise indicated on any particular proxy. The persons appointed as proxies will have discretion to vote on adjournment of the Annual Meeting. Proxies will extend to, and be voted at, any adjournment or postponement of the Annual Meeting to the extent permitted under the Business Corporation Law of the State of New York and the Company's By-laws.</w:t>
      </w:r>
    </w:p>
    <w:p>
      <w:pPr>
        <w:spacing w:after="0" w:line="163" w:lineRule="exact"/>
        <w:rPr>
          <w:sz w:val="20"/>
          <w:szCs w:val="20"/>
          <w:color w:val="auto"/>
        </w:rPr>
      </w:pPr>
    </w:p>
    <w:p>
      <w:pPr>
        <w:ind w:right="100"/>
        <w:spacing w:after="0" w:line="242" w:lineRule="auto"/>
        <w:rPr>
          <w:sz w:val="20"/>
          <w:szCs w:val="20"/>
          <w:color w:val="auto"/>
        </w:rPr>
      </w:pPr>
      <w:r>
        <w:rPr>
          <w:rFonts w:ascii="Arial" w:cs="Arial" w:eastAsia="Arial" w:hAnsi="Arial"/>
          <w:sz w:val="16"/>
          <w:szCs w:val="16"/>
          <w:color w:val="auto"/>
        </w:rPr>
        <w:t>Any shareholder who signs and returns the enclosed proxy, or properly votes by telephone or Internet, may revoke it by submitting a written notice of revocation or a later dated proxy that is received by the Company prior to the Annual Meeting or by voting in person at the Annual Meeting. However, a proxy will not be revoked by simply attending the Annual Meeting and not voting. All written notices of revocation and other communications with respect to revocation by shareholders should be addressed as follows: Darrel Jackson, Corporate Secretary, Avnet, Inc., 2211 South 47th Street, Phoenix, Arizona 85034. To revoke a proxy previously submitted by telephone or Internet, a shareholder of record can simply vote again at a later date, using the same procedures, in which case the later submitted vote will be recorded and the earlier vote will thereby be revoked. Please note that any shareholder whose shares are held of record by a broker, bank or other nominee, and who provides voting instructions on a form received from the nominee, may revoke or change his or her voting instructions only by contacting the nominee who holds his or her shares. Such shareholders may not vote in person at the Annual Meeting unless the shareholder obtains a legal proxy from the broker, bank or other nominee.</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BROKER VOTING</w:t>
      </w:r>
    </w:p>
    <w:p>
      <w:pPr>
        <w:spacing w:after="0" w:line="209"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auto"/>
        </w:rPr>
        <w:t>Brokers holding shares of record for a shareholder have the discretionary authority to vote on certain limited matters if they do not receive timely instructions from the shareholder regarding how the shareholder wants the shares voted. There are also some matters ("non-routine matters") with respect to which brokers do not have discretionary authority to vote if they do not receive timely instructions from the shareholder. When a broker does not have discretion to vote on a particular matter and the shareholder has not given timely instructions on how the broker should vote, then what is referred to as a "broker non-vote" results. Any broker non-vote would be counted as present at the meeting for purposes of determining a quorum, but would be treated as not entitled to vote with respect to non-routine matters.</w:t>
      </w:r>
    </w:p>
    <w:p>
      <w:pPr>
        <w:spacing w:after="0" w:line="131" w:lineRule="exact"/>
        <w:rPr>
          <w:sz w:val="20"/>
          <w:szCs w:val="20"/>
          <w:color w:val="auto"/>
        </w:rPr>
      </w:pPr>
    </w:p>
    <w:p>
      <w:pPr>
        <w:jc w:val="both"/>
        <w:ind w:left="10720"/>
        <w:spacing w:after="0"/>
        <w:tabs>
          <w:tab w:leader="none" w:pos="11140" w:val="left"/>
        </w:tabs>
        <w:rPr>
          <w:sz w:val="20"/>
          <w:szCs w:val="20"/>
          <w:color w:val="auto"/>
        </w:rPr>
      </w:pPr>
      <w:r>
        <w:rPr>
          <w:rFonts w:ascii="Arial" w:cs="Arial" w:eastAsia="Arial" w:hAnsi="Arial"/>
          <w:sz w:val="23"/>
          <w:szCs w:val="23"/>
          <w:b w:val="1"/>
          <w:bCs w:val="1"/>
          <w:color w:val="53C072"/>
        </w:rPr>
        <w:t>|</w:t>
      </w:r>
      <w:r>
        <w:rPr>
          <w:sz w:val="20"/>
          <w:szCs w:val="20"/>
          <w:color w:val="auto"/>
        </w:rPr>
        <w:tab/>
      </w: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7151370"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-130175</wp:posOffset>
            </wp:positionV>
            <wp:extent cx="1664970" cy="1231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3"/>
        </w:trPr>
        <w:tc>
          <w:tcPr>
            <w:tcW w:w="578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5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78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5480" w:type="dxa"/>
            <w:vAlign w:val="bottom"/>
            <w:vMerge w:val="restart"/>
          </w:tcPr>
          <w:p>
            <w:pPr>
              <w:ind w:left="4520"/>
              <w:spacing w:after="0"/>
              <w:rPr>
                <w:sz w:val="20"/>
                <w:szCs w:val="20"/>
                <w:color w:val="auto"/>
              </w:rPr>
            </w:pPr>
            <w:r>
              <w:rPr>
                <w:rFonts w:ascii="Arial" w:cs="Arial" w:eastAsia="Arial" w:hAnsi="Arial"/>
                <w:sz w:val="13"/>
                <w:szCs w:val="13"/>
                <w:color w:val="auto"/>
                <w:w w:val="97"/>
              </w:rPr>
              <w:t>Proxy Statement</w:t>
            </w:r>
          </w:p>
        </w:tc>
        <w:tc>
          <w:tcPr>
            <w:tcW w:w="0" w:type="dxa"/>
            <w:vAlign w:val="bottom"/>
          </w:tcPr>
          <w:p>
            <w:pPr>
              <w:spacing w:after="0"/>
              <w:rPr>
                <w:sz w:val="1"/>
                <w:szCs w:val="1"/>
                <w:color w:val="auto"/>
              </w:rPr>
            </w:pPr>
          </w:p>
        </w:tc>
      </w:tr>
      <w:tr>
        <w:trPr>
          <w:trHeight w:val="102"/>
        </w:trPr>
        <w:tc>
          <w:tcPr>
            <w:tcW w:w="578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5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780" w:type="dxa"/>
            <w:vAlign w:val="bottom"/>
            <w:vMerge w:val="continue"/>
          </w:tcPr>
          <w:p>
            <w:pPr>
              <w:spacing w:after="0"/>
              <w:rPr>
                <w:sz w:val="7"/>
                <w:szCs w:val="7"/>
                <w:color w:val="auto"/>
              </w:rPr>
            </w:pPr>
          </w:p>
        </w:tc>
        <w:tc>
          <w:tcPr>
            <w:tcW w:w="54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Therefore, a broker non-vote would not count as a vote in favor of or against such matters and, accordingly, would not affect the outcome of the vote.</w:t>
      </w:r>
    </w:p>
    <w:p>
      <w:pPr>
        <w:spacing w:after="0" w:line="192"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 xml:space="preserve">The election of Directors (Proposal 1) and the advisory vote on executive compensation (Proposal 2) are classified as non-routine matters. Accordingly, brokers, banks and other nominees will not be permitted to vote on any proposal other than the ratification of the appointment of the independent registered public accounting firm (Proposal 3) without instructions from the beneficial owners. </w:t>
      </w:r>
      <w:r>
        <w:rPr>
          <w:rFonts w:ascii="Arial" w:cs="Arial" w:eastAsia="Arial" w:hAnsi="Arial"/>
          <w:sz w:val="16"/>
          <w:szCs w:val="16"/>
          <w:b w:val="1"/>
          <w:bCs w:val="1"/>
          <w:color w:val="auto"/>
        </w:rPr>
        <w:t>As a result, the Company encourages all beneficial owners to provide voting</w:t>
      </w:r>
      <w:r>
        <w:rPr>
          <w:rFonts w:ascii="Arial" w:cs="Arial" w:eastAsia="Arial" w:hAnsi="Arial"/>
          <w:sz w:val="16"/>
          <w:szCs w:val="16"/>
          <w:color w:val="auto"/>
        </w:rPr>
        <w:t xml:space="preserve"> </w:t>
      </w:r>
      <w:r>
        <w:rPr>
          <w:rFonts w:ascii="Arial" w:cs="Arial" w:eastAsia="Arial" w:hAnsi="Arial"/>
          <w:sz w:val="16"/>
          <w:szCs w:val="16"/>
          <w:b w:val="1"/>
          <w:bCs w:val="1"/>
          <w:color w:val="auto"/>
        </w:rPr>
        <w:t>instructions to your nominees to ensure that your shares are voted at the Annual Meeting.</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MEETING ATTENDANCE</w:t>
      </w:r>
    </w:p>
    <w:p>
      <w:pPr>
        <w:spacing w:after="0" w:line="209" w:lineRule="exact"/>
        <w:rPr>
          <w:sz w:val="20"/>
          <w:szCs w:val="20"/>
          <w:color w:val="auto"/>
        </w:rPr>
      </w:pPr>
    </w:p>
    <w:p>
      <w:pPr>
        <w:ind w:right="60"/>
        <w:spacing w:after="0" w:line="242" w:lineRule="auto"/>
        <w:rPr>
          <w:sz w:val="20"/>
          <w:szCs w:val="20"/>
          <w:color w:val="auto"/>
        </w:rPr>
      </w:pPr>
      <w:r>
        <w:rPr>
          <w:rFonts w:ascii="Arial" w:cs="Arial" w:eastAsia="Arial" w:hAnsi="Arial"/>
          <w:sz w:val="16"/>
          <w:szCs w:val="16"/>
          <w:color w:val="auto"/>
        </w:rPr>
        <w:t>Admission to the Annual Meeting will be limited to shareholders. You are entitled to attend the Annual Meeting only if you are a shareholder of record as of the record date or hold a valid proxy for the meeting. In order to be admitted to the Annual Meeting, you must present proof of ownership of the Company's Common Stock on the record date. This can be a brokerage statement or letter from a bank or broker indicating ownership on the record date, the Notice of Internet Availability of Proxy Materials, a proxy card, or legal proxy or voting instruction card provided by your broker, bank or nominee. Any holder of a proxy from a shareholder must present the proxy card, properly executed, and a copy of the proof of ownership. Shareholders and proxyholders may also be asked to present a form of photo identification such as a driver's license or passport. Backpacks, cameras, cell phones with cameras, recording equipment and other electronic recording devices will not be permitted at the Annual Meeting. Failure to follow the meeting rules or permit inspection will be grounds for exclusion from the Annual Meeting.</w:t>
      </w:r>
    </w:p>
    <w:p>
      <w:pPr>
        <w:spacing w:after="0" w:line="167"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If you choose to attend the Annual Meeting through the webcast, you will need to enter your 16-digit control number included with the Notice of Internet Availability or proxy card. Instructions on how to attend and participate in the Annual Meeting via the webcast are posted on www.virtualshareholdermeeting.com/AVT2020. You will be able to vote your Common Stock while attending the Annual Meeting by following the instructions on the website.</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QUORUM</w:t>
      </w:r>
    </w:p>
    <w:p>
      <w:pPr>
        <w:spacing w:after="0" w:line="209"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The presence at the Annual Meeting, in person or by proxy, of the shareholders of record entitled to cast at least a majority of the votes that all shareholders are entitled to cast is necessary to constitute a quorum. Each vote represented at the Annual Meeting in person or by proxy will be counted toward a quorum. If a quorum should not be present, the Annual Meeting may be adjourned from time to time until a quorum is obtained.</w:t>
      </w:r>
    </w:p>
    <w:p>
      <w:pPr>
        <w:sectPr>
          <w:pgSz w:w="11900" w:h="16838" w:orient="portrait"/>
          <w:cols w:equalWidth="0" w:num="1">
            <w:col w:w="11260"/>
          </w:cols>
          <w:pgMar w:left="320" w:top="122" w:right="319" w:bottom="1440" w:gutter="0" w:footer="0" w:header="0"/>
        </w:sectPr>
      </w:pP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REQUIRED VOTE AND BOARD RECOMMENDATIONS</w:t>
      </w: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53C072"/>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5481320" cy="3702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81320" cy="370205"/>
                    </a:xfrm>
                    <a:prstGeom prst="rect">
                      <a:avLst/>
                    </a:prstGeom>
                    <a:noFill/>
                  </pic:spPr>
                </pic:pic>
              </a:graphicData>
            </a:graphic>
          </wp:anchor>
        </w:drawing>
      </w:r>
    </w:p>
    <w:p>
      <w:pPr>
        <w:spacing w:after="0" w:line="171" w:lineRule="exact"/>
        <w:rPr>
          <w:sz w:val="20"/>
          <w:szCs w:val="20"/>
          <w:color w:val="auto"/>
        </w:rPr>
      </w:pPr>
    </w:p>
    <w:p>
      <w:pPr>
        <w:ind w:left="860" w:hanging="590"/>
        <w:spacing w:after="0"/>
        <w:tabs>
          <w:tab w:leader="none" w:pos="860" w:val="left"/>
        </w:tabs>
        <w:numPr>
          <w:ilvl w:val="0"/>
          <w:numId w:val="10"/>
        </w:numPr>
        <w:rPr>
          <w:rFonts w:ascii="Arial" w:cs="Arial" w:eastAsia="Arial" w:hAnsi="Arial"/>
          <w:sz w:val="29"/>
          <w:szCs w:val="29"/>
          <w:b w:val="1"/>
          <w:bCs w:val="1"/>
          <w:color w:val="FFFFFE"/>
        </w:rPr>
      </w:pPr>
      <w:r>
        <w:rPr>
          <w:rFonts w:ascii="Arial" w:cs="Arial" w:eastAsia="Arial" w:hAnsi="Arial"/>
          <w:sz w:val="16"/>
          <w:szCs w:val="16"/>
          <w:b w:val="1"/>
          <w:bCs w:val="1"/>
          <w:color w:val="auto"/>
        </w:rPr>
        <w:t>Election of Directors</w:t>
      </w:r>
    </w:p>
    <w:p>
      <w:pPr>
        <w:spacing w:after="0" w:line="200" w:lineRule="exact"/>
        <w:rPr>
          <w:sz w:val="20"/>
          <w:szCs w:val="20"/>
          <w:color w:val="auto"/>
        </w:rPr>
      </w:pPr>
    </w:p>
    <w:p>
      <w:pPr>
        <w:spacing w:after="0" w:line="257" w:lineRule="exact"/>
        <w:rPr>
          <w:sz w:val="20"/>
          <w:szCs w:val="20"/>
          <w:color w:val="auto"/>
        </w:rPr>
      </w:pPr>
    </w:p>
    <w:p>
      <w:pPr>
        <w:ind w:left="820" w:right="3600" w:hanging="550"/>
        <w:spacing w:after="0" w:line="183" w:lineRule="auto"/>
        <w:tabs>
          <w:tab w:leader="none" w:pos="820" w:val="left"/>
        </w:tabs>
        <w:numPr>
          <w:ilvl w:val="0"/>
          <w:numId w:val="11"/>
        </w:numPr>
        <w:rPr>
          <w:rFonts w:ascii="Arial" w:cs="Arial" w:eastAsia="Arial" w:hAnsi="Arial"/>
          <w:sz w:val="33"/>
          <w:szCs w:val="33"/>
          <w:b w:val="1"/>
          <w:bCs w:val="1"/>
          <w:color w:val="FFFFFE"/>
          <w:vertAlign w:val="subscript"/>
        </w:rPr>
      </w:pPr>
      <w:r>
        <w:rPr>
          <w:rFonts w:ascii="Arial" w:cs="Arial" w:eastAsia="Arial" w:hAnsi="Arial"/>
          <w:sz w:val="13"/>
          <w:szCs w:val="13"/>
          <w:b w:val="1"/>
          <w:bCs w:val="1"/>
          <w:color w:val="auto"/>
        </w:rPr>
        <w:t>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-382270</wp:posOffset>
            </wp:positionV>
            <wp:extent cx="5481320" cy="3702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81320" cy="370205"/>
                    </a:xfrm>
                    <a:prstGeom prst="rect">
                      <a:avLst/>
                    </a:prstGeom>
                    <a:noFill/>
                  </pic:spPr>
                </pic:pic>
              </a:graphicData>
            </a:graphic>
          </wp:anchor>
        </w:drawing>
      </w:r>
    </w:p>
    <w:p>
      <w:pPr>
        <w:spacing w:after="0" w:line="341" w:lineRule="exact"/>
        <w:rPr>
          <w:sz w:val="20"/>
          <w:szCs w:val="20"/>
          <w:color w:val="auto"/>
        </w:rPr>
      </w:pPr>
    </w:p>
    <w:p>
      <w:pPr>
        <w:ind w:left="820" w:right="3140" w:hanging="550"/>
        <w:spacing w:after="0" w:line="183" w:lineRule="auto"/>
        <w:tabs>
          <w:tab w:leader="none" w:pos="820" w:val="left"/>
        </w:tabs>
        <w:numPr>
          <w:ilvl w:val="0"/>
          <w:numId w:val="12"/>
        </w:numPr>
        <w:rPr>
          <w:rFonts w:ascii="Arial" w:cs="Arial" w:eastAsia="Arial" w:hAnsi="Arial"/>
          <w:sz w:val="33"/>
          <w:szCs w:val="33"/>
          <w:b w:val="1"/>
          <w:bCs w:val="1"/>
          <w:color w:val="FFFFFE"/>
          <w:vertAlign w:val="subscript"/>
        </w:rPr>
      </w:pPr>
      <w:r>
        <w:rPr>
          <w:rFonts w:ascii="Arial" w:cs="Arial" w:eastAsia="Arial" w:hAnsi="Arial"/>
          <w:sz w:val="13"/>
          <w:szCs w:val="13"/>
          <w:b w:val="1"/>
          <w:bCs w:val="1"/>
          <w:color w:val="auto"/>
        </w:rPr>
        <w:t>Ratification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-382270</wp:posOffset>
            </wp:positionV>
            <wp:extent cx="5481320" cy="3702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81320" cy="370205"/>
                    </a:xfrm>
                    <a:prstGeom prst="rect">
                      <a:avLst/>
                    </a:prstGeom>
                    <a:noFill/>
                  </pic:spPr>
                </pic:pic>
              </a:graphicData>
            </a:graphic>
          </wp:anchor>
        </w:drawing>
      </w:r>
    </w:p>
    <w:p>
      <w:pPr>
        <w:spacing w:after="0" w:line="160"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6</w:t>
      </w:r>
      <w:r>
        <w:rPr>
          <w:sz w:val="20"/>
          <w:szCs w:val="20"/>
          <w:color w:val="auto"/>
        </w:rPr>
        <w:tab/>
      </w:r>
      <w:r>
        <w:rPr>
          <w:rFonts w:ascii="Arial" w:cs="Arial" w:eastAsia="Arial" w:hAnsi="Arial"/>
          <w:sz w:val="23"/>
          <w:szCs w:val="23"/>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118745</wp:posOffset>
            </wp:positionV>
            <wp:extent cx="7151370" cy="20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-163195</wp:posOffset>
            </wp:positionV>
            <wp:extent cx="1664970" cy="1231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53C072"/>
        </w:rPr>
        <w:t>Voting Standard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Majority of votes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cast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Majority of votes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cast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Majority of votes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right="80" w:firstLine="434"/>
        <w:spacing w:after="0" w:line="288" w:lineRule="auto"/>
        <w:rPr>
          <w:sz w:val="20"/>
          <w:szCs w:val="20"/>
          <w:color w:val="auto"/>
        </w:rPr>
      </w:pPr>
      <w:r>
        <w:rPr>
          <w:rFonts w:ascii="Arial" w:cs="Arial" w:eastAsia="Arial" w:hAnsi="Arial"/>
          <w:sz w:val="16"/>
          <w:szCs w:val="16"/>
          <w:b w:val="1"/>
          <w:bCs w:val="1"/>
          <w:color w:val="53C072"/>
        </w:rPr>
        <w:t>Board Page Recommendation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-36195</wp:posOffset>
            </wp:positionV>
            <wp:extent cx="1664970" cy="3702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64970" cy="370205"/>
                    </a:xfrm>
                    <a:prstGeom prst="rect">
                      <a:avLst/>
                    </a:prstGeom>
                    <a:noFill/>
                  </pic:spPr>
                </pic:pic>
              </a:graphicData>
            </a:graphic>
          </wp:anchor>
        </w:drawing>
      </w:r>
    </w:p>
    <w:p>
      <w:pPr>
        <w:spacing w:after="0" w:line="125" w:lineRule="exact"/>
        <w:rPr>
          <w:sz w:val="20"/>
          <w:szCs w:val="20"/>
          <w:color w:val="auto"/>
        </w:rPr>
      </w:pPr>
    </w:p>
    <w:p>
      <w:pPr>
        <w:ind w:left="440"/>
        <w:spacing w:after="0"/>
        <w:tabs>
          <w:tab w:leader="none" w:pos="1900" w:val="left"/>
        </w:tabs>
        <w:rPr>
          <w:sz w:val="20"/>
          <w:szCs w:val="20"/>
          <w:color w:val="auto"/>
        </w:rPr>
      </w:pPr>
      <w:r>
        <w:rPr>
          <w:rFonts w:ascii="Arial" w:cs="Arial" w:eastAsia="Arial" w:hAnsi="Arial"/>
          <w:sz w:val="22"/>
          <w:szCs w:val="22"/>
          <w:b w:val="1"/>
          <w:bCs w:val="1"/>
          <w:color w:val="FFFFFE"/>
        </w:rPr>
        <w:t>FOR</w:t>
      </w:r>
      <w:r>
        <w:rPr>
          <w:sz w:val="20"/>
          <w:szCs w:val="20"/>
          <w:color w:val="auto"/>
        </w:rPr>
        <w:tab/>
      </w:r>
      <w:r>
        <w:rPr>
          <w:rFonts w:ascii="Arial" w:cs="Arial" w:eastAsia="Arial" w:hAnsi="Arial"/>
          <w:sz w:val="16"/>
          <w:szCs w:val="16"/>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195580</wp:posOffset>
            </wp:positionV>
            <wp:extent cx="1664970" cy="3702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64970" cy="37020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440"/>
        <w:spacing w:after="0"/>
        <w:tabs>
          <w:tab w:leader="none" w:pos="1860" w:val="left"/>
        </w:tabs>
        <w:rPr>
          <w:sz w:val="20"/>
          <w:szCs w:val="20"/>
          <w:color w:val="auto"/>
        </w:rPr>
      </w:pPr>
      <w:r>
        <w:rPr>
          <w:rFonts w:ascii="Arial" w:cs="Arial" w:eastAsia="Arial" w:hAnsi="Arial"/>
          <w:sz w:val="22"/>
          <w:szCs w:val="22"/>
          <w:b w:val="1"/>
          <w:bCs w:val="1"/>
          <w:color w:val="FFFFFE"/>
        </w:rPr>
        <w:t>FOR</w:t>
      </w:r>
      <w:r>
        <w:rPr>
          <w:sz w:val="20"/>
          <w:szCs w:val="20"/>
          <w:color w:val="auto"/>
        </w:rPr>
        <w:tab/>
      </w:r>
      <w:r>
        <w:rPr>
          <w:rFonts w:ascii="Arial" w:cs="Arial" w:eastAsia="Arial" w:hAnsi="Arial"/>
          <w:sz w:val="16"/>
          <w:szCs w:val="16"/>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195580</wp:posOffset>
            </wp:positionV>
            <wp:extent cx="1664970" cy="3702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64970" cy="37020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440"/>
        <w:spacing w:after="0"/>
        <w:tabs>
          <w:tab w:leader="none" w:pos="1860" w:val="left"/>
        </w:tabs>
        <w:rPr>
          <w:sz w:val="20"/>
          <w:szCs w:val="20"/>
          <w:color w:val="auto"/>
        </w:rPr>
      </w:pPr>
      <w:r>
        <w:rPr>
          <w:rFonts w:ascii="Arial" w:cs="Arial" w:eastAsia="Arial" w:hAnsi="Arial"/>
          <w:sz w:val="22"/>
          <w:szCs w:val="22"/>
          <w:b w:val="1"/>
          <w:bCs w:val="1"/>
          <w:color w:val="FFFFFE"/>
        </w:rPr>
        <w:t>FOR</w:t>
      </w:r>
      <w:r>
        <w:rPr>
          <w:sz w:val="20"/>
          <w:szCs w:val="20"/>
          <w:color w:val="auto"/>
        </w:rPr>
        <w:tab/>
      </w:r>
      <w:r>
        <w:rPr>
          <w:rFonts w:ascii="Arial" w:cs="Arial" w:eastAsia="Arial" w:hAnsi="Arial"/>
          <w:sz w:val="16"/>
          <w:szCs w:val="16"/>
          <w:b w:val="1"/>
          <w:bCs w:val="1"/>
          <w:color w:val="auto"/>
        </w:rPr>
        <w:t>68</w:t>
      </w:r>
    </w:p>
    <w:p>
      <w:pPr>
        <w:sectPr>
          <w:pgSz w:w="11900" w:h="16838" w:orient="portrait"/>
          <w:cols w:equalWidth="0" w:num="3">
            <w:col w:w="6460" w:space="720"/>
            <w:col w:w="1260" w:space="400"/>
            <w:col w:w="2420"/>
          </w:cols>
          <w:pgMar w:left="320" w:top="122" w:right="31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b w:val="1"/>
          <w:bCs w:val="1"/>
          <w:color w:val="53C072"/>
        </w:rPr>
        <w:t>2020 ANNUAL</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118110</wp:posOffset>
            </wp:positionV>
            <wp:extent cx="7146290" cy="2546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6290" cy="254635"/>
                    </a:xfrm>
                    <a:prstGeom prst="rect">
                      <a:avLst/>
                    </a:prstGeom>
                    <a:noFill/>
                  </pic:spPr>
                </pic:pic>
              </a:graphicData>
            </a:graphic>
          </wp:anchor>
        </w:drawing>
      </w:r>
    </w:p>
    <w:p>
      <w:pPr>
        <w:spacing w:after="0" w:line="190" w:lineRule="exact"/>
        <w:rPr>
          <w:sz w:val="20"/>
          <w:szCs w:val="20"/>
          <w:color w:val="auto"/>
        </w:rPr>
      </w:pPr>
    </w:p>
    <w:p>
      <w:pPr>
        <w:ind w:left="2720"/>
        <w:spacing w:after="0"/>
        <w:rPr>
          <w:sz w:val="20"/>
          <w:szCs w:val="20"/>
          <w:color w:val="auto"/>
        </w:rPr>
      </w:pPr>
      <w:r>
        <w:rPr>
          <w:rFonts w:ascii="Arial" w:cs="Arial" w:eastAsia="Arial" w:hAnsi="Arial"/>
          <w:sz w:val="29"/>
          <w:szCs w:val="29"/>
          <w:b w:val="1"/>
          <w:bCs w:val="1"/>
          <w:color w:val="FFFFFE"/>
        </w:rPr>
        <w:t>PROPOSAL 1: ELECTION OF DIRECTORS</w:t>
      </w:r>
    </w:p>
    <w:p>
      <w:pPr>
        <w:spacing w:after="0" w:line="213" w:lineRule="exact"/>
        <w:rPr>
          <w:sz w:val="20"/>
          <w:szCs w:val="20"/>
          <w:color w:val="auto"/>
        </w:rPr>
      </w:pPr>
    </w:p>
    <w:p>
      <w:pPr>
        <w:spacing w:after="0"/>
        <w:rPr>
          <w:sz w:val="20"/>
          <w:szCs w:val="20"/>
          <w:color w:val="auto"/>
        </w:rPr>
      </w:pPr>
      <w:r>
        <w:rPr>
          <w:sz w:val="1"/>
          <w:szCs w:val="1"/>
          <w:color w:val="auto"/>
        </w:rPr>
        <w:drawing>
          <wp:inline distT="0" distB="0" distL="0" distR="0">
            <wp:extent cx="61595" cy="12319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595" cy="123190"/>
                    </a:xfrm>
                    <a:prstGeom prst="rect">
                      <a:avLst/>
                    </a:prstGeom>
                    <a:noFill/>
                    <a:ln>
                      <a:noFill/>
                    </a:ln>
                  </pic:spPr>
                </pic:pic>
              </a:graphicData>
            </a:graphic>
          </wp:inline>
        </w:drawing>
      </w:r>
      <w:r>
        <w:rPr>
          <w:rFonts w:ascii="Arial" w:cs="Arial" w:eastAsia="Arial" w:hAnsi="Arial"/>
          <w:sz w:val="16"/>
          <w:szCs w:val="16"/>
          <w:b w:val="1"/>
          <w:bCs w:val="1"/>
          <w:color w:val="FFFFFE"/>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-128905</wp:posOffset>
            </wp:positionV>
            <wp:extent cx="7146290" cy="5549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6290" cy="554990"/>
                    </a:xfrm>
                    <a:prstGeom prst="rect">
                      <a:avLst/>
                    </a:prstGeom>
                    <a:noFill/>
                  </pic:spPr>
                </pic:pic>
              </a:graphicData>
            </a:graphic>
          </wp:anchor>
        </w:drawing>
      </w:r>
    </w:p>
    <w:p>
      <w:pPr>
        <w:spacing w:after="0" w:line="194"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auto"/>
        </w:rPr>
        <w:t xml:space="preserve">The Board recommends that shareholders vote </w:t>
      </w:r>
      <w:r>
        <w:rPr>
          <w:rFonts w:ascii="Arial" w:cs="Arial" w:eastAsia="Arial" w:hAnsi="Arial"/>
          <w:sz w:val="16"/>
          <w:szCs w:val="16"/>
          <w:b w:val="1"/>
          <w:bCs w:val="1"/>
          <w:color w:val="53C072"/>
        </w:rPr>
        <w:t>FOR</w:t>
      </w:r>
      <w:r>
        <w:rPr>
          <w:rFonts w:ascii="Arial" w:cs="Arial" w:eastAsia="Arial" w:hAnsi="Arial"/>
          <w:sz w:val="16"/>
          <w:szCs w:val="16"/>
          <w:b w:val="1"/>
          <w:bCs w:val="1"/>
          <w:color w:val="auto"/>
        </w:rPr>
        <w:t xml:space="preserve"> all ten nominees listed below.</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DESCRIPTION OF PROPOSAL</w:t>
      </w:r>
    </w:p>
    <w:p>
      <w:pPr>
        <w:spacing w:after="0" w:line="209"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As permitted by the Company's By-Laws, on August 4, 2020, the Board fixed the size of the Board at ten directors. Rodney C. Adkins, Carlo Bozotti, Michael A. Bradley, Brenda L. Freeman, Jo Ann Jenkins, Oleg Khaykin, James A. Lawrence, Avid Modjtabai, Adalio T. Sanchez and William H. Schumann, III have been nominated for election as Directors at the Annual Meeting, to serve until the next annual meeting of shareholders and until their successors have been elected and qualified.</w:t>
      </w:r>
    </w:p>
    <w:p>
      <w:pPr>
        <w:spacing w:after="0" w:line="156"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All the nominees are presently serving as Directors of the Board. The Corporate Governance Committee recommended all the nominees for re-election. Each nominee has consented to being named herein and to serving if elected.</w:t>
      </w:r>
    </w:p>
    <w:p>
      <w:pPr>
        <w:spacing w:after="0" w:line="137"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In the unanticipated event that any nominee should become unavailable for election, either: (1) the persons named as proxies in the enclosed proxy card will have discretionary authority to vote for a substitute nominee or vote for the remaining nominees and leave a vacancy on the Board of Directors, whereby such vacancy may be filled by a majority vote of the Directors then in office or by the shareholders at a meeting, or (2) the Board may reduce the size of the Board and the number of nominees to eliminate the vacancy.</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REQUIRED VOTE</w:t>
      </w:r>
    </w:p>
    <w:p>
      <w:pPr>
        <w:spacing w:after="0" w:line="209" w:lineRule="exact"/>
        <w:rPr>
          <w:sz w:val="20"/>
          <w:szCs w:val="20"/>
          <w:color w:val="auto"/>
        </w:rPr>
      </w:pPr>
    </w:p>
    <w:p>
      <w:pPr>
        <w:jc w:val="both"/>
        <w:ind w:right="360"/>
        <w:spacing w:after="0" w:line="256" w:lineRule="auto"/>
        <w:rPr>
          <w:sz w:val="20"/>
          <w:szCs w:val="20"/>
          <w:color w:val="auto"/>
        </w:rPr>
      </w:pPr>
      <w:r>
        <w:rPr>
          <w:rFonts w:ascii="Arial" w:cs="Arial" w:eastAsia="Arial" w:hAnsi="Arial"/>
          <w:sz w:val="16"/>
          <w:szCs w:val="16"/>
          <w:color w:val="auto"/>
        </w:rPr>
        <w:t>In order to be elected, provided a quorum is present, each nominee must receive the affirmative vote of a majority of the votes cast with respect to his or her election. A majority of the votes cast means that the number of shares voted "for" a Director nominee must exceed the number of shares voted "against" that Director nominee. Abstentions are not counted in determining the votes cast, and therefore will have no effect on the outcome.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Brokers who hold shares of Common Stock as nominees will not have discretionary authority to vote such shares for a Director nominee.</w:t>
      </w:r>
    </w:p>
    <w:p>
      <w:pPr>
        <w:spacing w:after="0" w:line="192"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If an incumbent nominee is not elected by the requisite vote, he or she must tender his or her resignation, and the Board, excluding such individual, will, within 90 days of the election, decide whether to accept such resignation and will disclose and explain its decision.</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PROXY</w:t>
      </w:r>
    </w:p>
    <w:p>
      <w:pPr>
        <w:spacing w:after="0" w:line="209"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Unless otherwise directed by the shareholder, it is the intention of the persons named as proxies in the enclosed proxy card to vote each properly signed and returned proxy card FOR the election of all ten nominees listed below.</w:t>
      </w:r>
    </w:p>
    <w:p>
      <w:pPr>
        <w:spacing w:after="0" w:line="108" w:lineRule="exact"/>
        <w:rPr>
          <w:sz w:val="20"/>
          <w:szCs w:val="20"/>
          <w:color w:val="auto"/>
        </w:rPr>
      </w:pPr>
    </w:p>
    <w:p>
      <w:pPr>
        <w:jc w:val="both"/>
        <w:ind w:left="10720"/>
        <w:spacing w:after="0"/>
        <w:tabs>
          <w:tab w:leader="none" w:pos="11140" w:val="left"/>
        </w:tabs>
        <w:rPr>
          <w:sz w:val="20"/>
          <w:szCs w:val="20"/>
          <w:color w:val="auto"/>
        </w:rPr>
      </w:pPr>
      <w:r>
        <w:rPr>
          <w:rFonts w:ascii="Arial" w:cs="Arial" w:eastAsia="Arial" w:hAnsi="Arial"/>
          <w:sz w:val="23"/>
          <w:szCs w:val="23"/>
          <w:b w:val="1"/>
          <w:bCs w:val="1"/>
          <w:color w:val="53C072"/>
        </w:rPr>
        <w:t>|</w:t>
      </w:r>
      <w:r>
        <w:rPr>
          <w:sz w:val="20"/>
          <w:szCs w:val="20"/>
          <w:color w:val="auto"/>
        </w:rPr>
        <w:tab/>
      </w: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7151370"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-130175</wp:posOffset>
            </wp:positionV>
            <wp:extent cx="1664970" cy="1231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12" w:name="page13"/>
    <w:bookmarkEnd w:id="12"/>
    <w:tbl>
      <w:tblPr>
        <w:tblLayout w:type="fixed"/>
        <w:tblInd w:w="3" w:type="dxa"/>
        <w:tblCellMar>
          <w:top w:w="0" w:type="dxa"/>
          <w:left w:w="0" w:type="dxa"/>
          <w:bottom w:w="0" w:type="dxa"/>
          <w:right w:w="0" w:type="dxa"/>
        </w:tblCellMar>
      </w:tblPr>
      <w:tr>
        <w:trPr>
          <w:trHeight w:val="213"/>
        </w:trPr>
        <w:tc>
          <w:tcPr>
            <w:tcW w:w="532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5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32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5940" w:type="dxa"/>
            <w:vAlign w:val="bottom"/>
            <w:vMerge w:val="restart"/>
          </w:tcPr>
          <w:p>
            <w:pPr>
              <w:ind w:left="4080"/>
              <w:spacing w:after="0"/>
              <w:rPr>
                <w:sz w:val="20"/>
                <w:szCs w:val="20"/>
                <w:color w:val="auto"/>
              </w:rPr>
            </w:pPr>
            <w:r>
              <w:rPr>
                <w:rFonts w:ascii="Arial" w:cs="Arial" w:eastAsia="Arial" w:hAnsi="Arial"/>
                <w:sz w:val="13"/>
                <w:szCs w:val="13"/>
                <w:color w:val="auto"/>
                <w:w w:val="99"/>
              </w:rPr>
              <w:t>Proposal 1: Election of Directors</w:t>
            </w:r>
          </w:p>
        </w:tc>
        <w:tc>
          <w:tcPr>
            <w:tcW w:w="0" w:type="dxa"/>
            <w:vAlign w:val="bottom"/>
          </w:tcPr>
          <w:p>
            <w:pPr>
              <w:spacing w:after="0"/>
              <w:rPr>
                <w:sz w:val="1"/>
                <w:szCs w:val="1"/>
                <w:color w:val="auto"/>
              </w:rPr>
            </w:pPr>
          </w:p>
        </w:tc>
      </w:tr>
      <w:tr>
        <w:trPr>
          <w:trHeight w:val="102"/>
        </w:trPr>
        <w:tc>
          <w:tcPr>
            <w:tcW w:w="532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5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320" w:type="dxa"/>
            <w:vAlign w:val="bottom"/>
            <w:vMerge w:val="continue"/>
          </w:tcPr>
          <w:p>
            <w:pPr>
              <w:spacing w:after="0"/>
              <w:rPr>
                <w:sz w:val="7"/>
                <w:szCs w:val="7"/>
                <w:color w:val="auto"/>
              </w:rPr>
            </w:pPr>
          </w:p>
        </w:tc>
        <w:tc>
          <w:tcPr>
            <w:tcW w:w="59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53C072"/>
        </w:rPr>
        <w:t>NOMINEES</w:t>
      </w:r>
    </w:p>
    <w:p>
      <w:pPr>
        <w:spacing w:after="0" w:line="209" w:lineRule="exact"/>
        <w:rPr>
          <w:sz w:val="20"/>
          <w:szCs w:val="20"/>
          <w:color w:val="auto"/>
        </w:rPr>
      </w:pPr>
    </w:p>
    <w:p>
      <w:pPr>
        <w:ind w:left="3" w:right="200"/>
        <w:spacing w:after="0" w:line="256" w:lineRule="auto"/>
        <w:rPr>
          <w:sz w:val="20"/>
          <w:szCs w:val="20"/>
          <w:color w:val="auto"/>
        </w:rPr>
      </w:pPr>
      <w:r>
        <w:rPr>
          <w:rFonts w:ascii="Arial" w:cs="Arial" w:eastAsia="Arial" w:hAnsi="Arial"/>
          <w:sz w:val="16"/>
          <w:szCs w:val="16"/>
          <w:color w:val="auto"/>
        </w:rPr>
        <w:t>The following table sets forth the names of and biographical information regarding each of the nominees, including their age as of September 1, 2020, principal occupation, the year they each first became a Director and the experience, qualifications, attributes and skills that have led the Board to conclude that these nominees should serve as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146290" cy="37617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6290" cy="3761740"/>
                    </a:xfrm>
                    <a:prstGeom prst="rect">
                      <a:avLst/>
                    </a:prstGeom>
                    <a:noFill/>
                  </pic:spPr>
                </pic:pic>
              </a:graphicData>
            </a:graphic>
          </wp:anchor>
        </w:drawing>
      </w:r>
    </w:p>
    <w:p>
      <w:pPr>
        <w:sectPr>
          <w:pgSz w:w="11900" w:h="16838" w:orient="portrait"/>
          <w:cols w:equalWidth="0" w:num="1">
            <w:col w:w="11263"/>
          </w:cols>
          <w:pgMar w:left="317" w:top="12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3"/>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2015</w:t>
      </w:r>
    </w:p>
    <w:p>
      <w:pPr>
        <w:spacing w:after="0" w:line="190" w:lineRule="exact"/>
        <w:rPr>
          <w:sz w:val="20"/>
          <w:szCs w:val="20"/>
          <w:color w:val="auto"/>
        </w:rPr>
      </w:pPr>
    </w:p>
    <w:p>
      <w:pPr>
        <w:ind w:left="203"/>
        <w:spacing w:after="0"/>
        <w:rPr>
          <w:sz w:val="20"/>
          <w:szCs w:val="20"/>
          <w:color w:val="auto"/>
        </w:rPr>
      </w:pPr>
      <w:r>
        <w:rPr>
          <w:rFonts w:ascii="Arial" w:cs="Arial" w:eastAsia="Arial" w:hAnsi="Arial"/>
          <w:sz w:val="13"/>
          <w:szCs w:val="13"/>
          <w:b w:val="1"/>
          <w:bCs w:val="1"/>
          <w:color w:val="auto"/>
        </w:rPr>
        <w:t xml:space="preserve">Board Chair Since: </w:t>
      </w:r>
      <w:r>
        <w:rPr>
          <w:rFonts w:ascii="Arial" w:cs="Arial" w:eastAsia="Arial" w:hAnsi="Arial"/>
          <w:sz w:val="13"/>
          <w:szCs w:val="13"/>
          <w:color w:val="auto"/>
        </w:rPr>
        <w:t>2018</w:t>
      </w:r>
    </w:p>
    <w:p>
      <w:pPr>
        <w:spacing w:after="0" w:line="190" w:lineRule="exact"/>
        <w:rPr>
          <w:sz w:val="20"/>
          <w:szCs w:val="20"/>
          <w:color w:val="auto"/>
        </w:rPr>
      </w:pPr>
    </w:p>
    <w:p>
      <w:pPr>
        <w:ind w:left="203"/>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62</w:t>
      </w:r>
    </w:p>
    <w:p>
      <w:pPr>
        <w:spacing w:after="0" w:line="190" w:lineRule="exact"/>
        <w:rPr>
          <w:sz w:val="20"/>
          <w:szCs w:val="20"/>
          <w:color w:val="auto"/>
        </w:rPr>
      </w:pPr>
    </w:p>
    <w:p>
      <w:pPr>
        <w:ind w:left="203"/>
        <w:spacing w:after="0"/>
        <w:rPr>
          <w:sz w:val="20"/>
          <w:szCs w:val="20"/>
          <w:color w:val="auto"/>
        </w:rPr>
      </w:pPr>
      <w:r>
        <w:rPr>
          <w:rFonts w:ascii="Arial" w:cs="Arial" w:eastAsia="Arial" w:hAnsi="Arial"/>
          <w:sz w:val="13"/>
          <w:szCs w:val="13"/>
          <w:b w:val="1"/>
          <w:bCs w:val="1"/>
          <w:color w:val="auto"/>
        </w:rPr>
        <w:t>Independent</w:t>
      </w:r>
    </w:p>
    <w:p>
      <w:pPr>
        <w:spacing w:after="0" w:line="190" w:lineRule="exact"/>
        <w:rPr>
          <w:sz w:val="20"/>
          <w:szCs w:val="20"/>
          <w:color w:val="auto"/>
        </w:rPr>
      </w:pPr>
    </w:p>
    <w:p>
      <w:pPr>
        <w:ind w:left="203" w:right="620"/>
        <w:spacing w:after="0" w:line="287" w:lineRule="auto"/>
        <w:rPr>
          <w:sz w:val="20"/>
          <w:szCs w:val="20"/>
          <w:color w:val="auto"/>
        </w:rPr>
      </w:pPr>
      <w:r>
        <w:rPr>
          <w:rFonts w:ascii="Arial" w:cs="Arial" w:eastAsia="Arial" w:hAnsi="Arial"/>
          <w:sz w:val="13"/>
          <w:szCs w:val="13"/>
          <w:b w:val="1"/>
          <w:bCs w:val="1"/>
          <w:color w:val="auto"/>
        </w:rPr>
        <w:t>Current Committee Memberships:</w:t>
      </w:r>
    </w:p>
    <w:p>
      <w:pPr>
        <w:spacing w:after="0" w:line="118" w:lineRule="exact"/>
        <w:rPr>
          <w:sz w:val="20"/>
          <w:szCs w:val="20"/>
          <w:color w:val="auto"/>
        </w:rPr>
      </w:pPr>
    </w:p>
    <w:p>
      <w:pPr>
        <w:ind w:left="503" w:hanging="297"/>
        <w:spacing w:after="0"/>
        <w:tabs>
          <w:tab w:leader="none" w:pos="503" w:val="left"/>
        </w:tabs>
        <w:numPr>
          <w:ilvl w:val="0"/>
          <w:numId w:val="13"/>
        </w:numPr>
        <w:rPr>
          <w:rFonts w:ascii="Arial" w:cs="Arial" w:eastAsia="Arial" w:hAnsi="Arial"/>
          <w:sz w:val="12"/>
          <w:szCs w:val="12"/>
          <w:color w:val="53C072"/>
        </w:rPr>
      </w:pPr>
      <w:r>
        <w:rPr>
          <w:rFonts w:ascii="Arial" w:cs="Arial" w:eastAsia="Arial" w:hAnsi="Arial"/>
          <w:sz w:val="12"/>
          <w:szCs w:val="12"/>
          <w:color w:val="auto"/>
        </w:rPr>
        <w:t>Compensation Committee</w:t>
      </w:r>
    </w:p>
    <w:p>
      <w:pPr>
        <w:spacing w:after="0" w:line="189" w:lineRule="exact"/>
        <w:rPr>
          <w:rFonts w:ascii="Arial" w:cs="Arial" w:eastAsia="Arial" w:hAnsi="Arial"/>
          <w:sz w:val="12"/>
          <w:szCs w:val="12"/>
          <w:color w:val="53C072"/>
        </w:rPr>
      </w:pPr>
    </w:p>
    <w:p>
      <w:pPr>
        <w:ind w:left="503" w:right="180" w:hanging="297"/>
        <w:spacing w:after="0" w:line="277" w:lineRule="auto"/>
        <w:tabs>
          <w:tab w:leader="none" w:pos="503" w:val="left"/>
        </w:tabs>
        <w:numPr>
          <w:ilvl w:val="0"/>
          <w:numId w:val="13"/>
        </w:numPr>
        <w:rPr>
          <w:rFonts w:ascii="Arial" w:cs="Arial" w:eastAsia="Arial" w:hAnsi="Arial"/>
          <w:sz w:val="12"/>
          <w:szCs w:val="12"/>
          <w:color w:val="53C072"/>
        </w:rPr>
      </w:pPr>
      <w:r>
        <w:rPr>
          <w:rFonts w:ascii="Arial" w:cs="Arial" w:eastAsia="Arial" w:hAnsi="Arial"/>
          <w:sz w:val="12"/>
          <w:szCs w:val="12"/>
          <w:color w:val="auto"/>
        </w:rPr>
        <w:t>Corporate Governance Committee</w:t>
      </w:r>
    </w:p>
    <w:p>
      <w:pPr>
        <w:spacing w:after="0" w:line="142" w:lineRule="exact"/>
        <w:rPr>
          <w:rFonts w:ascii="Arial" w:cs="Arial" w:eastAsia="Arial" w:hAnsi="Arial"/>
          <w:sz w:val="12"/>
          <w:szCs w:val="12"/>
          <w:color w:val="53C072"/>
        </w:rPr>
      </w:pPr>
    </w:p>
    <w:p>
      <w:pPr>
        <w:ind w:left="503" w:right="280" w:hanging="297"/>
        <w:spacing w:after="0" w:line="184" w:lineRule="auto"/>
        <w:tabs>
          <w:tab w:leader="none" w:pos="503" w:val="left"/>
        </w:tabs>
        <w:numPr>
          <w:ilvl w:val="0"/>
          <w:numId w:val="13"/>
        </w:numPr>
        <w:rPr>
          <w:rFonts w:ascii="Arial" w:cs="Arial" w:eastAsia="Arial" w:hAnsi="Arial"/>
          <w:sz w:val="24"/>
          <w:szCs w:val="24"/>
          <w:color w:val="53C072"/>
          <w:vertAlign w:val="subscript"/>
        </w:rPr>
      </w:pPr>
      <w:r>
        <w:rPr>
          <w:rFonts w:ascii="Arial" w:cs="Arial" w:eastAsia="Arial" w:hAnsi="Arial"/>
          <w:sz w:val="12"/>
          <w:szCs w:val="12"/>
          <w:color w:val="auto"/>
        </w:rPr>
        <w:t>Executive Committee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FFFFFE"/>
        </w:rPr>
        <w:t>RODNEY C. ADKINS</w:t>
      </w:r>
    </w:p>
    <w:p>
      <w:pPr>
        <w:spacing w:after="0" w:line="26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53C072"/>
        </w:rPr>
        <w:t>Recent Business Experience:</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color w:val="auto"/>
        </w:rPr>
        <w:t>Mr. Adkins has served as the Company's Chair of the Board since November 2018. He serves as the President of 3RAM</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Group LLC, a privately held company specializing in capital investments, business consulting services and property</w:t>
      </w:r>
    </w:p>
    <w:p>
      <w:pPr>
        <w:ind w:left="20"/>
        <w:spacing w:after="0"/>
        <w:rPr>
          <w:sz w:val="20"/>
          <w:szCs w:val="20"/>
          <w:color w:val="auto"/>
        </w:rPr>
      </w:pPr>
      <w:r>
        <w:rPr>
          <w:rFonts w:ascii="Arial" w:cs="Arial" w:eastAsia="Arial" w:hAnsi="Arial"/>
          <w:sz w:val="15"/>
          <w:szCs w:val="15"/>
          <w:color w:val="auto"/>
        </w:rPr>
        <w:t>management. Mr. Adkins formerly served as Senior Vice President of IBM from 2007 until 2014. In his 33-year career with IBM,</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5"/>
          <w:szCs w:val="15"/>
          <w:color w:val="auto"/>
        </w:rPr>
        <w:t>Mr. Adkins held a number of development and management roles, including Senior Vice President of Corporate Strategy from</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5"/>
          <w:szCs w:val="15"/>
          <w:color w:val="auto"/>
        </w:rPr>
        <w:t>2013 to 2014 and Senior Vice President of Systems and Technology Group from 2009 to 2013. Mr. Adkins currently serves on</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board of directors of United Parcel Service, Inc. (NYSE: UPS); W.W. Grainger, Inc. (NYSE: GWW) and PayPal</w:t>
      </w:r>
    </w:p>
    <w:p>
      <w:pPr>
        <w:ind w:left="20"/>
        <w:spacing w:after="0"/>
        <w:rPr>
          <w:sz w:val="20"/>
          <w:szCs w:val="20"/>
          <w:color w:val="auto"/>
        </w:rPr>
      </w:pPr>
      <w:r>
        <w:rPr>
          <w:rFonts w:ascii="Arial" w:cs="Arial" w:eastAsia="Arial" w:hAnsi="Arial"/>
          <w:sz w:val="15"/>
          <w:szCs w:val="15"/>
          <w:color w:val="auto"/>
        </w:rPr>
        <w:t>Holdings, Inc. (Nasdaq: PYPL). From 2007 to 2013, he served on the board of directors of Pitney Bowes Inc. (NYSE: PBI) and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from 2014 to 2019, he served on board of directors of PPL Corporation (NYSE: PPL).</w:t>
      </w: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53C072"/>
        </w:rPr>
        <w:t>Primary Qualifications and Experience:</w:t>
      </w:r>
    </w:p>
    <w:p>
      <w:pPr>
        <w:spacing w:after="0" w:line="194" w:lineRule="exact"/>
        <w:rPr>
          <w:sz w:val="20"/>
          <w:szCs w:val="20"/>
          <w:color w:val="auto"/>
        </w:rPr>
      </w:pPr>
    </w:p>
    <w:p>
      <w:pPr>
        <w:spacing w:after="0"/>
        <w:tabs>
          <w:tab w:leader="none" w:pos="2780" w:val="left"/>
        </w:tabs>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Senior Leadership</w:t>
      </w:r>
      <w:r>
        <w:rPr>
          <w:sz w:val="20"/>
          <w:szCs w:val="20"/>
          <w:color w:val="auto"/>
        </w:rPr>
        <w:tab/>
      </w:r>
      <w:r>
        <w:rPr>
          <w:rFonts w:ascii="Arial" w:cs="Arial" w:eastAsia="Arial" w:hAnsi="Arial"/>
          <w:sz w:val="15"/>
          <w:szCs w:val="15"/>
          <w:color w:val="53C072"/>
        </w:rPr>
        <w:t xml:space="preserve">• </w:t>
      </w:r>
      <w:r>
        <w:rPr>
          <w:rFonts w:ascii="Arial" w:cs="Arial" w:eastAsia="Arial" w:hAnsi="Arial"/>
          <w:sz w:val="15"/>
          <w:szCs w:val="15"/>
          <w:color w:val="000000"/>
        </w:rPr>
        <w:t>Global Business</w:t>
      </w:r>
    </w:p>
    <w:p>
      <w:pPr>
        <w:spacing w:after="0" w:line="192" w:lineRule="exact"/>
        <w:rPr>
          <w:sz w:val="20"/>
          <w:szCs w:val="20"/>
          <w:color w:val="auto"/>
        </w:rPr>
      </w:pPr>
    </w:p>
    <w:p>
      <w:pPr>
        <w:spacing w:after="0"/>
        <w:tabs>
          <w:tab w:leader="none" w:pos="2900" w:val="left"/>
        </w:tabs>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Distribution</w:t>
      </w:r>
      <w:r>
        <w:rPr>
          <w:sz w:val="20"/>
          <w:szCs w:val="20"/>
          <w:color w:val="auto"/>
        </w:rPr>
        <w:tab/>
      </w:r>
      <w:r>
        <w:rPr>
          <w:rFonts w:ascii="Arial" w:cs="Arial" w:eastAsia="Arial" w:hAnsi="Arial"/>
          <w:sz w:val="15"/>
          <w:szCs w:val="15"/>
          <w:color w:val="53C072"/>
        </w:rPr>
        <w:t xml:space="preserve">• </w:t>
      </w:r>
      <w:r>
        <w:rPr>
          <w:rFonts w:ascii="Arial" w:cs="Arial" w:eastAsia="Arial" w:hAnsi="Arial"/>
          <w:sz w:val="15"/>
          <w:szCs w:val="15"/>
          <w:color w:val="000000"/>
        </w:rPr>
        <w:t>Semiconductor</w:t>
      </w:r>
    </w:p>
    <w:p>
      <w:pPr>
        <w:spacing w:after="0" w:line="192" w:lineRule="exact"/>
        <w:rPr>
          <w:sz w:val="20"/>
          <w:szCs w:val="20"/>
          <w:color w:val="auto"/>
        </w:rPr>
      </w:pPr>
    </w:p>
    <w:p>
      <w:pPr>
        <w:spacing w:after="0"/>
        <w:tabs>
          <w:tab w:leader="none" w:pos="2720" w:val="left"/>
        </w:tabs>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Innovation/Digital/Tech</w:t>
      </w:r>
      <w:r>
        <w:rPr>
          <w:sz w:val="20"/>
          <w:szCs w:val="20"/>
          <w:color w:val="auto"/>
        </w:rPr>
        <w:tab/>
      </w:r>
      <w:r>
        <w:rPr>
          <w:rFonts w:ascii="Arial" w:cs="Arial" w:eastAsia="Arial" w:hAnsi="Arial"/>
          <w:sz w:val="15"/>
          <w:szCs w:val="15"/>
          <w:color w:val="53C072"/>
        </w:rPr>
        <w:t xml:space="preserve">• </w:t>
      </w:r>
      <w:r>
        <w:rPr>
          <w:rFonts w:ascii="Arial" w:cs="Arial" w:eastAsia="Arial" w:hAnsi="Arial"/>
          <w:sz w:val="15"/>
          <w:szCs w:val="15"/>
          <w:color w:val="000000"/>
        </w:rPr>
        <w:t>Sales/Marketing</w:t>
      </w:r>
    </w:p>
    <w:p>
      <w:pPr>
        <w:spacing w:after="0" w:line="192" w:lineRule="exact"/>
        <w:rPr>
          <w:sz w:val="20"/>
          <w:szCs w:val="20"/>
          <w:color w:val="auto"/>
        </w:rPr>
      </w:pPr>
    </w:p>
    <w:p>
      <w:pPr>
        <w:ind w:left="100" w:hanging="93"/>
        <w:spacing w:after="0"/>
        <w:tabs>
          <w:tab w:leader="none" w:pos="100" w:val="left"/>
        </w:tabs>
        <w:numPr>
          <w:ilvl w:val="0"/>
          <w:numId w:val="14"/>
        </w:numPr>
        <w:rPr>
          <w:rFonts w:ascii="Arial" w:cs="Arial" w:eastAsia="Arial" w:hAnsi="Arial"/>
          <w:sz w:val="16"/>
          <w:szCs w:val="16"/>
          <w:color w:val="53C072"/>
        </w:rPr>
      </w:pPr>
      <w:r>
        <w:rPr>
          <w:rFonts w:ascii="Arial" w:cs="Arial" w:eastAsia="Arial" w:hAnsi="Arial"/>
          <w:sz w:val="16"/>
          <w:szCs w:val="16"/>
          <w:color w:val="auto"/>
        </w:rPr>
        <w:t>Risk Oversight/Compliance</w:t>
      </w:r>
    </w:p>
    <w:p>
      <w:pPr>
        <w:spacing w:after="0" w:line="192" w:lineRule="exact"/>
        <w:rPr>
          <w:sz w:val="20"/>
          <w:szCs w:val="20"/>
          <w:color w:val="auto"/>
        </w:rPr>
      </w:pPr>
    </w:p>
    <w:p>
      <w:pPr>
        <w:ind w:left="20" w:right="220"/>
        <w:spacing w:after="0" w:line="256" w:lineRule="auto"/>
        <w:rPr>
          <w:sz w:val="20"/>
          <w:szCs w:val="20"/>
          <w:color w:val="auto"/>
        </w:rPr>
      </w:pPr>
      <w:r>
        <w:rPr>
          <w:rFonts w:ascii="Arial" w:cs="Arial" w:eastAsia="Arial" w:hAnsi="Arial"/>
          <w:sz w:val="16"/>
          <w:szCs w:val="16"/>
          <w:color w:val="auto"/>
        </w:rPr>
        <w:t>The Board benefits from Mr. Adkins' global business experience in the technology industry, including emerging technologies and services, international and emerging markets, and supply chain management. In addition, the Board believes he provides additional experience in the areas of corporate governance and strategy development.</w:t>
      </w:r>
    </w:p>
    <w:p>
      <w:pPr>
        <w:spacing w:after="0" w:line="371" w:lineRule="exact"/>
        <w:rPr>
          <w:sz w:val="20"/>
          <w:szCs w:val="20"/>
          <w:color w:val="auto"/>
        </w:rPr>
      </w:pPr>
    </w:p>
    <w:p>
      <w:pPr>
        <w:sectPr>
          <w:pgSz w:w="11900" w:h="16838" w:orient="portrait"/>
          <w:cols w:equalWidth="0" w:num="2">
            <w:col w:w="2003" w:space="260"/>
            <w:col w:w="9000"/>
          </w:cols>
          <w:pgMar w:left="317" w:top="122" w:right="319" w:bottom="1440" w:gutter="0" w:footer="0" w:header="0"/>
          <w:type w:val="continuous"/>
        </w:sectPr>
      </w:pPr>
    </w:p>
    <w:p>
      <w:pPr>
        <w:spacing w:after="0" w:line="22" w:lineRule="exact"/>
        <w:rPr>
          <w:sz w:val="20"/>
          <w:szCs w:val="20"/>
          <w:color w:val="auto"/>
        </w:rPr>
      </w:pPr>
    </w:p>
    <w:p>
      <w:pPr>
        <w:ind w:left="463" w:hanging="463"/>
        <w:spacing w:after="0"/>
        <w:tabs>
          <w:tab w:leader="none" w:pos="463" w:val="left"/>
        </w:tabs>
        <w:numPr>
          <w:ilvl w:val="0"/>
          <w:numId w:val="15"/>
        </w:numPr>
        <w:rPr>
          <w:rFonts w:ascii="Arial" w:cs="Arial" w:eastAsia="Arial" w:hAnsi="Arial"/>
          <w:sz w:val="15"/>
          <w:szCs w:val="15"/>
          <w:color w:val="auto"/>
        </w:rPr>
      </w:pPr>
      <w:r>
        <w:rPr>
          <w:rFonts w:ascii="Arial" w:cs="Arial" w:eastAsia="Arial" w:hAnsi="Arial"/>
          <w:sz w:val="21"/>
          <w:szCs w:val="21"/>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7151370" cy="20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-148590</wp:posOffset>
            </wp:positionV>
            <wp:extent cx="1664970" cy="1231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3"/>
          </w:cols>
          <w:pgMar w:left="317" w:top="122" w:right="31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13"/>
        </w:trPr>
        <w:tc>
          <w:tcPr>
            <w:tcW w:w="532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5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32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5940" w:type="dxa"/>
            <w:vAlign w:val="bottom"/>
            <w:vMerge w:val="restart"/>
          </w:tcPr>
          <w:p>
            <w:pPr>
              <w:ind w:left="4080"/>
              <w:spacing w:after="0"/>
              <w:rPr>
                <w:sz w:val="20"/>
                <w:szCs w:val="20"/>
                <w:color w:val="auto"/>
              </w:rPr>
            </w:pPr>
            <w:r>
              <w:rPr>
                <w:rFonts w:ascii="Arial" w:cs="Arial" w:eastAsia="Arial" w:hAnsi="Arial"/>
                <w:sz w:val="13"/>
                <w:szCs w:val="13"/>
                <w:color w:val="auto"/>
                <w:w w:val="99"/>
              </w:rPr>
              <w:t>Proposal 1: Election of Directors</w:t>
            </w:r>
          </w:p>
        </w:tc>
        <w:tc>
          <w:tcPr>
            <w:tcW w:w="0" w:type="dxa"/>
            <w:vAlign w:val="bottom"/>
          </w:tcPr>
          <w:p>
            <w:pPr>
              <w:spacing w:after="0"/>
              <w:rPr>
                <w:sz w:val="1"/>
                <w:szCs w:val="1"/>
                <w:color w:val="auto"/>
              </w:rPr>
            </w:pPr>
          </w:p>
        </w:tc>
      </w:tr>
      <w:tr>
        <w:trPr>
          <w:trHeight w:val="102"/>
        </w:trPr>
        <w:tc>
          <w:tcPr>
            <w:tcW w:w="532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5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320" w:type="dxa"/>
            <w:vAlign w:val="bottom"/>
            <w:vMerge w:val="continue"/>
          </w:tcPr>
          <w:p>
            <w:pPr>
              <w:spacing w:after="0"/>
              <w:rPr>
                <w:sz w:val="7"/>
                <w:szCs w:val="7"/>
                <w:color w:val="auto"/>
              </w:rPr>
            </w:pPr>
          </w:p>
        </w:tc>
        <w:tc>
          <w:tcPr>
            <w:tcW w:w="59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tbl>
      <w:tblPr>
        <w:tblLayout w:type="fixed"/>
        <w:tblInd w:w="10" w:type="dxa"/>
        <w:tblCellMar>
          <w:top w:w="0" w:type="dxa"/>
          <w:left w:w="0" w:type="dxa"/>
          <w:bottom w:w="0" w:type="dxa"/>
          <w:right w:w="0" w:type="dxa"/>
        </w:tblCellMar>
      </w:tblPr>
      <w:tr>
        <w:trPr>
          <w:trHeight w:val="425"/>
        </w:trPr>
        <w:tc>
          <w:tcPr>
            <w:tcW w:w="380" w:type="dxa"/>
            <w:vAlign w:val="bottom"/>
            <w:tcBorders>
              <w:top w:val="single" w:sz="8" w:color="53C072"/>
              <w:left w:val="single" w:sz="8" w:color="53C072"/>
            </w:tcBorders>
            <w:shd w:val="clear" w:color="auto" w:fill="CFE9D2"/>
          </w:tcPr>
          <w:p>
            <w:pPr>
              <w:spacing w:after="0"/>
              <w:rPr>
                <w:sz w:val="24"/>
                <w:szCs w:val="24"/>
                <w:color w:val="auto"/>
              </w:rPr>
            </w:pPr>
          </w:p>
        </w:tc>
        <w:tc>
          <w:tcPr>
            <w:tcW w:w="1820" w:type="dxa"/>
            <w:vAlign w:val="bottom"/>
            <w:tcBorders>
              <w:top w:val="single" w:sz="8" w:color="53C072"/>
              <w:right w:val="single" w:sz="8" w:color="53C072"/>
            </w:tcBorders>
            <w:shd w:val="clear" w:color="auto" w:fill="CFE9D2"/>
          </w:tcPr>
          <w:p>
            <w:pPr>
              <w:spacing w:after="0"/>
              <w:rPr>
                <w:sz w:val="24"/>
                <w:szCs w:val="24"/>
                <w:color w:val="auto"/>
              </w:rPr>
            </w:pPr>
          </w:p>
        </w:tc>
        <w:tc>
          <w:tcPr>
            <w:tcW w:w="2660" w:type="dxa"/>
            <w:vAlign w:val="bottom"/>
            <w:tcBorders>
              <w:top w:val="single" w:sz="8" w:color="53C072"/>
            </w:tcBorders>
          </w:tcPr>
          <w:p>
            <w:pPr>
              <w:spacing w:after="0"/>
              <w:rPr>
                <w:sz w:val="24"/>
                <w:szCs w:val="24"/>
                <w:color w:val="auto"/>
              </w:rPr>
            </w:pPr>
          </w:p>
        </w:tc>
        <w:tc>
          <w:tcPr>
            <w:tcW w:w="6400" w:type="dxa"/>
            <w:vAlign w:val="bottom"/>
            <w:tcBorders>
              <w:top w:val="single" w:sz="8" w:color="53C072"/>
              <w:right w:val="single" w:sz="8" w:color="53C072"/>
            </w:tcBorders>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380" w:type="dxa"/>
            <w:vAlign w:val="bottom"/>
            <w:tcBorders>
              <w:left w:val="single" w:sz="8" w:color="53C072"/>
              <w:bottom w:val="single" w:sz="8" w:color="CFE9D2"/>
            </w:tcBorders>
            <w:shd w:val="clear" w:color="auto" w:fill="CFE9D2"/>
          </w:tcPr>
          <w:p>
            <w:pPr>
              <w:spacing w:after="0"/>
              <w:rPr>
                <w:sz w:val="24"/>
                <w:szCs w:val="24"/>
                <w:color w:val="auto"/>
              </w:rPr>
            </w:pPr>
          </w:p>
        </w:tc>
        <w:tc>
          <w:tcPr>
            <w:tcW w:w="1820" w:type="dxa"/>
            <w:vAlign w:val="bottom"/>
            <w:tcBorders>
              <w:bottom w:val="single" w:sz="8" w:color="CFE9D2"/>
              <w:right w:val="single" w:sz="8" w:color="53C072"/>
            </w:tcBorders>
            <w:shd w:val="clear" w:color="auto" w:fill="CFE9D2"/>
          </w:tcPr>
          <w:p>
            <w:pPr>
              <w:spacing w:after="0"/>
              <w:rPr>
                <w:sz w:val="24"/>
                <w:szCs w:val="24"/>
                <w:color w:val="auto"/>
              </w:rPr>
            </w:pPr>
          </w:p>
        </w:tc>
        <w:tc>
          <w:tcPr>
            <w:tcW w:w="2660" w:type="dxa"/>
            <w:vAlign w:val="bottom"/>
            <w:tcBorders>
              <w:bottom w:val="single" w:sz="8" w:color="53C072"/>
            </w:tcBorders>
            <w:shd w:val="clear" w:color="auto" w:fill="53C072"/>
          </w:tcPr>
          <w:p>
            <w:pPr>
              <w:ind w:left="180"/>
              <w:spacing w:after="0"/>
              <w:rPr>
                <w:sz w:val="20"/>
                <w:szCs w:val="20"/>
                <w:color w:val="auto"/>
              </w:rPr>
            </w:pPr>
            <w:r>
              <w:rPr>
                <w:rFonts w:ascii="Arial" w:cs="Arial" w:eastAsia="Arial" w:hAnsi="Arial"/>
                <w:sz w:val="19"/>
                <w:szCs w:val="19"/>
                <w:b w:val="1"/>
                <w:bCs w:val="1"/>
                <w:color w:val="FFFFFE"/>
              </w:rPr>
              <w:t>CARLO BOZOTTI</w:t>
            </w:r>
          </w:p>
        </w:tc>
        <w:tc>
          <w:tcPr>
            <w:tcW w:w="6400" w:type="dxa"/>
            <w:vAlign w:val="bottom"/>
            <w:tcBorders>
              <w:bottom w:val="single" w:sz="8" w:color="53C072"/>
              <w:right w:val="single" w:sz="8" w:color="53C072"/>
            </w:tcBorders>
            <w:shd w:val="clear" w:color="auto" w:fill="53C072"/>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380" w:type="dxa"/>
            <w:vAlign w:val="bottom"/>
            <w:tcBorders>
              <w:left w:val="single" w:sz="8" w:color="53C072"/>
            </w:tcBorders>
            <w:shd w:val="clear" w:color="auto" w:fill="CFE9D2"/>
          </w:tcPr>
          <w:p>
            <w:pPr>
              <w:spacing w:after="0"/>
              <w:rPr>
                <w:sz w:val="24"/>
                <w:szCs w:val="24"/>
                <w:color w:val="auto"/>
              </w:rPr>
            </w:pPr>
          </w:p>
        </w:tc>
        <w:tc>
          <w:tcPr>
            <w:tcW w:w="1820" w:type="dxa"/>
            <w:vAlign w:val="bottom"/>
            <w:tcBorders>
              <w:right w:val="single" w:sz="8" w:color="53C072"/>
            </w:tcBorders>
            <w:shd w:val="clear" w:color="auto" w:fill="CFE9D2"/>
          </w:tcPr>
          <w:p>
            <w:pPr>
              <w:spacing w:after="0"/>
              <w:rPr>
                <w:sz w:val="24"/>
                <w:szCs w:val="24"/>
                <w:color w:val="auto"/>
              </w:rPr>
            </w:pPr>
          </w:p>
        </w:tc>
        <w:tc>
          <w:tcPr>
            <w:tcW w:w="2660" w:type="dxa"/>
            <w:vAlign w:val="bottom"/>
          </w:tcPr>
          <w:p>
            <w:pPr>
              <w:ind w:left="80"/>
              <w:spacing w:after="0"/>
              <w:rPr>
                <w:sz w:val="20"/>
                <w:szCs w:val="20"/>
                <w:color w:val="auto"/>
              </w:rPr>
            </w:pPr>
            <w:r>
              <w:rPr>
                <w:rFonts w:ascii="Arial" w:cs="Arial" w:eastAsia="Arial" w:hAnsi="Arial"/>
                <w:sz w:val="16"/>
                <w:szCs w:val="16"/>
                <w:b w:val="1"/>
                <w:bCs w:val="1"/>
                <w:color w:val="53C072"/>
              </w:rPr>
              <w:t>Recent Business Experience:</w:t>
            </w:r>
          </w:p>
        </w:tc>
        <w:tc>
          <w:tcPr>
            <w:tcW w:w="6400" w:type="dxa"/>
            <w:vAlign w:val="bottom"/>
            <w:tcBorders>
              <w:right w:val="single" w:sz="8" w:color="53C072"/>
            </w:tcBorders>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80" w:type="dxa"/>
            <w:vAlign w:val="bottom"/>
            <w:tcBorders>
              <w:left w:val="single" w:sz="8" w:color="53C072"/>
            </w:tcBorders>
            <w:shd w:val="clear" w:color="auto" w:fill="CFE9D2"/>
          </w:tcPr>
          <w:p>
            <w:pPr>
              <w:spacing w:after="0"/>
              <w:rPr>
                <w:sz w:val="24"/>
                <w:szCs w:val="24"/>
                <w:color w:val="auto"/>
              </w:rPr>
            </w:pPr>
          </w:p>
        </w:tc>
        <w:tc>
          <w:tcPr>
            <w:tcW w:w="1820" w:type="dxa"/>
            <w:vAlign w:val="bottom"/>
            <w:tcBorders>
              <w:right w:val="single" w:sz="8" w:color="53C072"/>
            </w:tcBorders>
            <w:shd w:val="clear" w:color="auto" w:fill="CFE9D2"/>
          </w:tcPr>
          <w:p>
            <w:pPr>
              <w:spacing w:after="0"/>
              <w:rPr>
                <w:sz w:val="24"/>
                <w:szCs w:val="24"/>
                <w:color w:val="auto"/>
              </w:rPr>
            </w:pPr>
          </w:p>
        </w:tc>
        <w:tc>
          <w:tcPr>
            <w:tcW w:w="9060" w:type="dxa"/>
            <w:vAlign w:val="bottom"/>
            <w:tcBorders>
              <w:right w:val="single" w:sz="8" w:color="53C072"/>
            </w:tcBorders>
            <w:gridSpan w:val="2"/>
          </w:tcPr>
          <w:p>
            <w:pPr>
              <w:ind w:left="80"/>
              <w:spacing w:after="0"/>
              <w:rPr>
                <w:sz w:val="20"/>
                <w:szCs w:val="20"/>
                <w:color w:val="auto"/>
              </w:rPr>
            </w:pPr>
            <w:r>
              <w:rPr>
                <w:rFonts w:ascii="Arial" w:cs="Arial" w:eastAsia="Arial" w:hAnsi="Arial"/>
                <w:sz w:val="16"/>
                <w:szCs w:val="16"/>
                <w:color w:val="auto"/>
              </w:rPr>
              <w:t>Mr. Bozotti has been an Industrial Partner of FSI since June 2018. FSI is an independent private equity firm based in Milan,</w:t>
            </w:r>
          </w:p>
        </w:tc>
        <w:tc>
          <w:tcPr>
            <w:tcW w:w="0" w:type="dxa"/>
            <w:vAlign w:val="bottom"/>
          </w:tcPr>
          <w:p>
            <w:pPr>
              <w:spacing w:after="0"/>
              <w:rPr>
                <w:sz w:val="1"/>
                <w:szCs w:val="1"/>
                <w:color w:val="auto"/>
              </w:rPr>
            </w:pPr>
          </w:p>
        </w:tc>
      </w:tr>
      <w:tr>
        <w:trPr>
          <w:trHeight w:val="182"/>
        </w:trPr>
        <w:tc>
          <w:tcPr>
            <w:tcW w:w="380" w:type="dxa"/>
            <w:vAlign w:val="bottom"/>
            <w:tcBorders>
              <w:left w:val="single" w:sz="8" w:color="53C072"/>
            </w:tcBorders>
            <w:shd w:val="clear" w:color="auto" w:fill="CFE9D2"/>
          </w:tcPr>
          <w:p>
            <w:pPr>
              <w:spacing w:after="0"/>
              <w:rPr>
                <w:sz w:val="15"/>
                <w:szCs w:val="15"/>
                <w:color w:val="auto"/>
              </w:rPr>
            </w:pPr>
          </w:p>
        </w:tc>
        <w:tc>
          <w:tcPr>
            <w:tcW w:w="1820" w:type="dxa"/>
            <w:vAlign w:val="bottom"/>
            <w:tcBorders>
              <w:right w:val="single" w:sz="8" w:color="53C072"/>
            </w:tcBorders>
            <w:shd w:val="clear" w:color="auto" w:fill="CFE9D2"/>
          </w:tcPr>
          <w:p>
            <w:pPr>
              <w:spacing w:after="0"/>
              <w:rPr>
                <w:sz w:val="15"/>
                <w:szCs w:val="15"/>
                <w:color w:val="auto"/>
              </w:rPr>
            </w:pPr>
          </w:p>
        </w:tc>
        <w:tc>
          <w:tcPr>
            <w:tcW w:w="9060" w:type="dxa"/>
            <w:vAlign w:val="bottom"/>
            <w:tcBorders>
              <w:right w:val="single" w:sz="8" w:color="53C072"/>
            </w:tcBorders>
            <w:gridSpan w:val="2"/>
          </w:tcPr>
          <w:p>
            <w:pPr>
              <w:ind w:left="80"/>
              <w:spacing w:after="0" w:line="182" w:lineRule="exact"/>
              <w:rPr>
                <w:sz w:val="20"/>
                <w:szCs w:val="20"/>
                <w:color w:val="auto"/>
              </w:rPr>
            </w:pPr>
            <w:r>
              <w:rPr>
                <w:rFonts w:ascii="Arial" w:cs="Arial" w:eastAsia="Arial" w:hAnsi="Arial"/>
                <w:sz w:val="16"/>
                <w:szCs w:val="16"/>
                <w:color w:val="auto"/>
              </w:rPr>
              <w:t>Italy that is currently managing the fund FSI I, one of the largest European country-focused private equity funds. He served as</w:t>
            </w:r>
          </w:p>
        </w:tc>
        <w:tc>
          <w:tcPr>
            <w:tcW w:w="0" w:type="dxa"/>
            <w:vAlign w:val="bottom"/>
          </w:tcPr>
          <w:p>
            <w:pPr>
              <w:spacing w:after="0"/>
              <w:rPr>
                <w:sz w:val="1"/>
                <w:szCs w:val="1"/>
                <w:color w:val="auto"/>
              </w:rPr>
            </w:pPr>
          </w:p>
        </w:tc>
      </w:tr>
      <w:tr>
        <w:trPr>
          <w:trHeight w:val="182"/>
        </w:trPr>
        <w:tc>
          <w:tcPr>
            <w:tcW w:w="380" w:type="dxa"/>
            <w:vAlign w:val="bottom"/>
            <w:tcBorders>
              <w:left w:val="single" w:sz="8" w:color="53C072"/>
            </w:tcBorders>
            <w:shd w:val="clear" w:color="auto" w:fill="CFE9D2"/>
          </w:tcPr>
          <w:p>
            <w:pPr>
              <w:spacing w:after="0"/>
              <w:rPr>
                <w:sz w:val="15"/>
                <w:szCs w:val="15"/>
                <w:color w:val="auto"/>
              </w:rPr>
            </w:pPr>
          </w:p>
        </w:tc>
        <w:tc>
          <w:tcPr>
            <w:tcW w:w="1820" w:type="dxa"/>
            <w:vAlign w:val="bottom"/>
            <w:tcBorders>
              <w:right w:val="single" w:sz="8" w:color="53C072"/>
            </w:tcBorders>
            <w:shd w:val="clear" w:color="auto" w:fill="CFE9D2"/>
          </w:tcPr>
          <w:p>
            <w:pPr>
              <w:spacing w:after="0"/>
              <w:rPr>
                <w:sz w:val="15"/>
                <w:szCs w:val="15"/>
                <w:color w:val="auto"/>
              </w:rPr>
            </w:pPr>
          </w:p>
        </w:tc>
        <w:tc>
          <w:tcPr>
            <w:tcW w:w="9060" w:type="dxa"/>
            <w:vAlign w:val="bottom"/>
            <w:tcBorders>
              <w:right w:val="single" w:sz="8" w:color="53C072"/>
            </w:tcBorders>
            <w:gridSpan w:val="2"/>
          </w:tcPr>
          <w:p>
            <w:pPr>
              <w:ind w:left="80"/>
              <w:spacing w:after="0" w:line="182" w:lineRule="exact"/>
              <w:rPr>
                <w:sz w:val="20"/>
                <w:szCs w:val="20"/>
                <w:color w:val="auto"/>
              </w:rPr>
            </w:pPr>
            <w:r>
              <w:rPr>
                <w:rFonts w:ascii="Arial" w:cs="Arial" w:eastAsia="Arial" w:hAnsi="Arial"/>
                <w:sz w:val="16"/>
                <w:szCs w:val="16"/>
                <w:color w:val="auto"/>
              </w:rPr>
              <w:t>the President and Chief Executive Officer and Sole Member of the Management Board of STMicroelectronics NV</w:t>
            </w:r>
          </w:p>
        </w:tc>
        <w:tc>
          <w:tcPr>
            <w:tcW w:w="0" w:type="dxa"/>
            <w:vAlign w:val="bottom"/>
          </w:tcPr>
          <w:p>
            <w:pPr>
              <w:spacing w:after="0"/>
              <w:rPr>
                <w:sz w:val="1"/>
                <w:szCs w:val="1"/>
                <w:color w:val="auto"/>
              </w:rPr>
            </w:pPr>
          </w:p>
        </w:tc>
      </w:tr>
      <w:tr>
        <w:trPr>
          <w:trHeight w:val="182"/>
        </w:trPr>
        <w:tc>
          <w:tcPr>
            <w:tcW w:w="380" w:type="dxa"/>
            <w:vAlign w:val="bottom"/>
            <w:tcBorders>
              <w:left w:val="single" w:sz="8" w:color="53C072"/>
            </w:tcBorders>
            <w:shd w:val="clear" w:color="auto" w:fill="CFE9D2"/>
          </w:tcPr>
          <w:p>
            <w:pPr>
              <w:spacing w:after="0"/>
              <w:rPr>
                <w:sz w:val="15"/>
                <w:szCs w:val="15"/>
                <w:color w:val="auto"/>
              </w:rPr>
            </w:pPr>
          </w:p>
        </w:tc>
        <w:tc>
          <w:tcPr>
            <w:tcW w:w="1820" w:type="dxa"/>
            <w:vAlign w:val="bottom"/>
            <w:tcBorders>
              <w:right w:val="single" w:sz="8" w:color="53C072"/>
            </w:tcBorders>
            <w:shd w:val="clear" w:color="auto" w:fill="CFE9D2"/>
          </w:tcPr>
          <w:p>
            <w:pPr>
              <w:spacing w:after="0"/>
              <w:rPr>
                <w:sz w:val="15"/>
                <w:szCs w:val="15"/>
                <w:color w:val="auto"/>
              </w:rPr>
            </w:pPr>
          </w:p>
        </w:tc>
        <w:tc>
          <w:tcPr>
            <w:tcW w:w="9060" w:type="dxa"/>
            <w:vAlign w:val="bottom"/>
            <w:tcBorders>
              <w:right w:val="single" w:sz="8" w:color="53C072"/>
            </w:tcBorders>
            <w:gridSpan w:val="2"/>
          </w:tcPr>
          <w:p>
            <w:pPr>
              <w:ind w:left="80"/>
              <w:spacing w:after="0" w:line="182" w:lineRule="exact"/>
              <w:rPr>
                <w:sz w:val="20"/>
                <w:szCs w:val="20"/>
                <w:color w:val="auto"/>
              </w:rPr>
            </w:pPr>
            <w:r>
              <w:rPr>
                <w:rFonts w:ascii="Arial" w:cs="Arial" w:eastAsia="Arial" w:hAnsi="Arial"/>
                <w:sz w:val="16"/>
                <w:szCs w:val="16"/>
                <w:color w:val="auto"/>
              </w:rPr>
              <w:t>(ENXTPA: STM), a global semiconductor company, from 2005 until his retirement in May 2018. Prior to that, he had served in</w:t>
            </w:r>
          </w:p>
        </w:tc>
        <w:tc>
          <w:tcPr>
            <w:tcW w:w="0" w:type="dxa"/>
            <w:vAlign w:val="bottom"/>
          </w:tcPr>
          <w:p>
            <w:pPr>
              <w:spacing w:after="0"/>
              <w:rPr>
                <w:sz w:val="1"/>
                <w:szCs w:val="1"/>
                <w:color w:val="auto"/>
              </w:rPr>
            </w:pPr>
          </w:p>
        </w:tc>
      </w:tr>
      <w:tr>
        <w:trPr>
          <w:trHeight w:val="182"/>
        </w:trPr>
        <w:tc>
          <w:tcPr>
            <w:tcW w:w="380" w:type="dxa"/>
            <w:vAlign w:val="bottom"/>
            <w:tcBorders>
              <w:left w:val="single" w:sz="8" w:color="53C072"/>
            </w:tcBorders>
            <w:shd w:val="clear" w:color="auto" w:fill="CFE9D2"/>
          </w:tcPr>
          <w:p>
            <w:pPr>
              <w:spacing w:after="0"/>
              <w:rPr>
                <w:sz w:val="15"/>
                <w:szCs w:val="15"/>
                <w:color w:val="auto"/>
              </w:rPr>
            </w:pPr>
          </w:p>
        </w:tc>
        <w:tc>
          <w:tcPr>
            <w:tcW w:w="1820" w:type="dxa"/>
            <w:vAlign w:val="bottom"/>
            <w:tcBorders>
              <w:right w:val="single" w:sz="8" w:color="53C072"/>
            </w:tcBorders>
            <w:shd w:val="clear" w:color="auto" w:fill="CFE9D2"/>
          </w:tcPr>
          <w:p>
            <w:pPr>
              <w:spacing w:after="0"/>
              <w:rPr>
                <w:sz w:val="15"/>
                <w:szCs w:val="15"/>
                <w:color w:val="auto"/>
              </w:rPr>
            </w:pPr>
          </w:p>
        </w:tc>
        <w:tc>
          <w:tcPr>
            <w:tcW w:w="9060" w:type="dxa"/>
            <w:vAlign w:val="bottom"/>
            <w:tcBorders>
              <w:right w:val="single" w:sz="8" w:color="53C072"/>
            </w:tcBorders>
            <w:gridSpan w:val="2"/>
          </w:tcPr>
          <w:p>
            <w:pPr>
              <w:ind w:left="80"/>
              <w:spacing w:after="0" w:line="182" w:lineRule="exact"/>
              <w:rPr>
                <w:sz w:val="20"/>
                <w:szCs w:val="20"/>
                <w:color w:val="auto"/>
              </w:rPr>
            </w:pPr>
            <w:r>
              <w:rPr>
                <w:rFonts w:ascii="Arial" w:cs="Arial" w:eastAsia="Arial" w:hAnsi="Arial"/>
                <w:sz w:val="16"/>
                <w:szCs w:val="16"/>
                <w:color w:val="auto"/>
              </w:rPr>
              <w:t>various roles with STMicroelectronics since 1977, including senior executive officer and global general management roles.</w:t>
            </w:r>
          </w:p>
        </w:tc>
        <w:tc>
          <w:tcPr>
            <w:tcW w:w="0" w:type="dxa"/>
            <w:vAlign w:val="bottom"/>
          </w:tcPr>
          <w:p>
            <w:pPr>
              <w:spacing w:after="0"/>
              <w:rPr>
                <w:sz w:val="1"/>
                <w:szCs w:val="1"/>
                <w:color w:val="auto"/>
              </w:rPr>
            </w:pPr>
          </w:p>
        </w:tc>
      </w:tr>
      <w:tr>
        <w:trPr>
          <w:trHeight w:val="182"/>
        </w:trPr>
        <w:tc>
          <w:tcPr>
            <w:tcW w:w="380" w:type="dxa"/>
            <w:vAlign w:val="bottom"/>
            <w:tcBorders>
              <w:left w:val="single" w:sz="8" w:color="53C072"/>
            </w:tcBorders>
            <w:shd w:val="clear" w:color="auto" w:fill="CFE9D2"/>
          </w:tcPr>
          <w:p>
            <w:pPr>
              <w:spacing w:after="0"/>
              <w:rPr>
                <w:sz w:val="15"/>
                <w:szCs w:val="15"/>
                <w:color w:val="auto"/>
              </w:rPr>
            </w:pPr>
          </w:p>
        </w:tc>
        <w:tc>
          <w:tcPr>
            <w:tcW w:w="1820" w:type="dxa"/>
            <w:vAlign w:val="bottom"/>
            <w:tcBorders>
              <w:right w:val="single" w:sz="8" w:color="53C072"/>
            </w:tcBorders>
            <w:shd w:val="clear" w:color="auto" w:fill="CFE9D2"/>
          </w:tcPr>
          <w:p>
            <w:pPr>
              <w:spacing w:after="0"/>
              <w:rPr>
                <w:sz w:val="15"/>
                <w:szCs w:val="15"/>
                <w:color w:val="auto"/>
              </w:rPr>
            </w:pPr>
          </w:p>
        </w:tc>
        <w:tc>
          <w:tcPr>
            <w:tcW w:w="9060" w:type="dxa"/>
            <w:vAlign w:val="bottom"/>
            <w:tcBorders>
              <w:right w:val="single" w:sz="8" w:color="53C072"/>
            </w:tcBorders>
            <w:gridSpan w:val="2"/>
          </w:tcPr>
          <w:p>
            <w:pPr>
              <w:ind w:left="80"/>
              <w:spacing w:after="0" w:line="182" w:lineRule="exact"/>
              <w:rPr>
                <w:sz w:val="20"/>
                <w:szCs w:val="20"/>
                <w:color w:val="auto"/>
              </w:rPr>
            </w:pPr>
            <w:r>
              <w:rPr>
                <w:rFonts w:ascii="Arial" w:cs="Arial" w:eastAsia="Arial" w:hAnsi="Arial"/>
                <w:sz w:val="16"/>
                <w:szCs w:val="16"/>
                <w:color w:val="auto"/>
              </w:rPr>
              <w:t>From 2008 to 2010, Mr. Bozotti also served as Chairman of Numonyx, a memory products joint venture between Intel and</w:t>
            </w:r>
          </w:p>
        </w:tc>
        <w:tc>
          <w:tcPr>
            <w:tcW w:w="0" w:type="dxa"/>
            <w:vAlign w:val="bottom"/>
          </w:tcPr>
          <w:p>
            <w:pPr>
              <w:spacing w:after="0"/>
              <w:rPr>
                <w:sz w:val="1"/>
                <w:szCs w:val="1"/>
                <w:color w:val="auto"/>
              </w:rPr>
            </w:pPr>
          </w:p>
        </w:tc>
      </w:tr>
      <w:tr>
        <w:trPr>
          <w:trHeight w:val="182"/>
        </w:trPr>
        <w:tc>
          <w:tcPr>
            <w:tcW w:w="380" w:type="dxa"/>
            <w:vAlign w:val="bottom"/>
            <w:tcBorders>
              <w:left w:val="single" w:sz="8" w:color="53C072"/>
            </w:tcBorders>
            <w:shd w:val="clear" w:color="auto" w:fill="CFE9D2"/>
          </w:tcPr>
          <w:p>
            <w:pPr>
              <w:spacing w:after="0"/>
              <w:rPr>
                <w:sz w:val="15"/>
                <w:szCs w:val="15"/>
                <w:color w:val="auto"/>
              </w:rPr>
            </w:pPr>
          </w:p>
        </w:tc>
        <w:tc>
          <w:tcPr>
            <w:tcW w:w="1820" w:type="dxa"/>
            <w:vAlign w:val="bottom"/>
            <w:tcBorders>
              <w:right w:val="single" w:sz="8" w:color="53C072"/>
            </w:tcBorders>
            <w:shd w:val="clear" w:color="auto" w:fill="CFE9D2"/>
          </w:tcPr>
          <w:p>
            <w:pPr>
              <w:spacing w:after="0"/>
              <w:rPr>
                <w:sz w:val="15"/>
                <w:szCs w:val="15"/>
                <w:color w:val="auto"/>
              </w:rPr>
            </w:pPr>
          </w:p>
        </w:tc>
        <w:tc>
          <w:tcPr>
            <w:tcW w:w="9060" w:type="dxa"/>
            <w:vAlign w:val="bottom"/>
            <w:tcBorders>
              <w:right w:val="single" w:sz="8" w:color="53C072"/>
            </w:tcBorders>
            <w:gridSpan w:val="2"/>
          </w:tcPr>
          <w:p>
            <w:pPr>
              <w:ind w:left="80"/>
              <w:spacing w:after="0" w:line="182" w:lineRule="exact"/>
              <w:rPr>
                <w:sz w:val="20"/>
                <w:szCs w:val="20"/>
                <w:color w:val="auto"/>
              </w:rPr>
            </w:pPr>
            <w:r>
              <w:rPr>
                <w:rFonts w:ascii="Arial" w:cs="Arial" w:eastAsia="Arial" w:hAnsi="Arial"/>
                <w:sz w:val="16"/>
                <w:szCs w:val="16"/>
                <w:color w:val="auto"/>
              </w:rPr>
              <w:t>STMicroelectronics. He had been a member of the European Round Table of Industrialists, an advocacy group in the</w:t>
            </w:r>
          </w:p>
        </w:tc>
        <w:tc>
          <w:tcPr>
            <w:tcW w:w="0" w:type="dxa"/>
            <w:vAlign w:val="bottom"/>
          </w:tcPr>
          <w:p>
            <w:pPr>
              <w:spacing w:after="0"/>
              <w:rPr>
                <w:sz w:val="1"/>
                <w:szCs w:val="1"/>
                <w:color w:val="auto"/>
              </w:rPr>
            </w:pPr>
          </w:p>
        </w:tc>
      </w:tr>
      <w:tr>
        <w:trPr>
          <w:trHeight w:val="182"/>
        </w:trPr>
        <w:tc>
          <w:tcPr>
            <w:tcW w:w="380" w:type="dxa"/>
            <w:vAlign w:val="bottom"/>
            <w:tcBorders>
              <w:left w:val="single" w:sz="8" w:color="53C072"/>
            </w:tcBorders>
            <w:shd w:val="clear" w:color="auto" w:fill="CFE9D2"/>
          </w:tcPr>
          <w:p>
            <w:pPr>
              <w:spacing w:after="0"/>
              <w:rPr>
                <w:sz w:val="15"/>
                <w:szCs w:val="15"/>
                <w:color w:val="auto"/>
              </w:rPr>
            </w:pPr>
          </w:p>
        </w:tc>
        <w:tc>
          <w:tcPr>
            <w:tcW w:w="1820" w:type="dxa"/>
            <w:vAlign w:val="bottom"/>
            <w:tcBorders>
              <w:right w:val="single" w:sz="8" w:color="53C072"/>
            </w:tcBorders>
            <w:shd w:val="clear" w:color="auto" w:fill="CFE9D2"/>
          </w:tcPr>
          <w:p>
            <w:pPr>
              <w:spacing w:after="0"/>
              <w:rPr>
                <w:sz w:val="15"/>
                <w:szCs w:val="15"/>
                <w:color w:val="auto"/>
              </w:rPr>
            </w:pPr>
          </w:p>
        </w:tc>
        <w:tc>
          <w:tcPr>
            <w:tcW w:w="9060" w:type="dxa"/>
            <w:vAlign w:val="bottom"/>
            <w:tcBorders>
              <w:right w:val="single" w:sz="8" w:color="53C072"/>
            </w:tcBorders>
            <w:gridSpan w:val="2"/>
          </w:tcPr>
          <w:p>
            <w:pPr>
              <w:ind w:left="80"/>
              <w:spacing w:after="0" w:line="182" w:lineRule="exact"/>
              <w:rPr>
                <w:sz w:val="20"/>
                <w:szCs w:val="20"/>
                <w:color w:val="auto"/>
              </w:rPr>
            </w:pPr>
            <w:r>
              <w:rPr>
                <w:rFonts w:ascii="Arial" w:cs="Arial" w:eastAsia="Arial" w:hAnsi="Arial"/>
                <w:sz w:val="16"/>
                <w:szCs w:val="16"/>
                <w:color w:val="auto"/>
              </w:rPr>
              <w:t>European Union consisting of approximately 50 European industrial leaders, from 2005 to 2018. Currently, he serves as a</w:t>
            </w:r>
          </w:p>
        </w:tc>
        <w:tc>
          <w:tcPr>
            <w:tcW w:w="0" w:type="dxa"/>
            <w:vAlign w:val="bottom"/>
          </w:tcPr>
          <w:p>
            <w:pPr>
              <w:spacing w:after="0"/>
              <w:rPr>
                <w:sz w:val="1"/>
                <w:szCs w:val="1"/>
                <w:color w:val="auto"/>
              </w:rPr>
            </w:pPr>
          </w:p>
        </w:tc>
      </w:tr>
      <w:tr>
        <w:trPr>
          <w:trHeight w:val="182"/>
        </w:trPr>
        <w:tc>
          <w:tcPr>
            <w:tcW w:w="2200" w:type="dxa"/>
            <w:vAlign w:val="bottom"/>
            <w:tcBorders>
              <w:left w:val="single" w:sz="8" w:color="53C072"/>
              <w:right w:val="single" w:sz="8" w:color="53C072"/>
            </w:tcBorders>
            <w:gridSpan w:val="2"/>
            <w:vMerge w:val="restart"/>
            <w:shd w:val="clear" w:color="auto" w:fill="CFE9D2"/>
          </w:tcPr>
          <w:p>
            <w:pPr>
              <w:ind w:left="200"/>
              <w:spacing w:after="0"/>
              <w:rPr>
                <w:sz w:val="20"/>
                <w:szCs w:val="20"/>
                <w:color w:val="auto"/>
              </w:rPr>
            </w:pPr>
            <w:r>
              <w:rPr>
                <w:rFonts w:ascii="Arial" w:cs="Arial" w:eastAsia="Arial" w:hAnsi="Arial"/>
                <w:sz w:val="13"/>
                <w:szCs w:val="13"/>
                <w:b w:val="1"/>
                <w:bCs w:val="1"/>
                <w:color w:val="auto"/>
              </w:rPr>
              <w:t>Director Since: 2019</w:t>
            </w:r>
          </w:p>
        </w:tc>
        <w:tc>
          <w:tcPr>
            <w:tcW w:w="9060" w:type="dxa"/>
            <w:vAlign w:val="bottom"/>
            <w:tcBorders>
              <w:right w:val="single" w:sz="8" w:color="53C072"/>
            </w:tcBorders>
            <w:gridSpan w:val="2"/>
          </w:tcPr>
          <w:p>
            <w:pPr>
              <w:ind w:left="80"/>
              <w:spacing w:after="0" w:line="182" w:lineRule="exact"/>
              <w:rPr>
                <w:sz w:val="20"/>
                <w:szCs w:val="20"/>
                <w:color w:val="auto"/>
              </w:rPr>
            </w:pPr>
            <w:r>
              <w:rPr>
                <w:rFonts w:ascii="Arial" w:cs="Arial" w:eastAsia="Arial" w:hAnsi="Arial"/>
                <w:sz w:val="16"/>
                <w:szCs w:val="16"/>
                <w:color w:val="auto"/>
              </w:rPr>
              <w:t>member of the Supervisory Board of BE Semiconductor Industries NV, known as Besi (AMS: BESI), a leading supplier of</w:t>
            </w:r>
          </w:p>
        </w:tc>
        <w:tc>
          <w:tcPr>
            <w:tcW w:w="0" w:type="dxa"/>
            <w:vAlign w:val="bottom"/>
          </w:tcPr>
          <w:p>
            <w:pPr>
              <w:spacing w:after="0"/>
              <w:rPr>
                <w:sz w:val="1"/>
                <w:szCs w:val="1"/>
                <w:color w:val="auto"/>
              </w:rPr>
            </w:pPr>
          </w:p>
        </w:tc>
      </w:tr>
      <w:tr>
        <w:trPr>
          <w:trHeight w:val="213"/>
        </w:trPr>
        <w:tc>
          <w:tcPr>
            <w:tcW w:w="2200" w:type="dxa"/>
            <w:vAlign w:val="bottom"/>
            <w:tcBorders>
              <w:left w:val="single" w:sz="8" w:color="53C072"/>
              <w:right w:val="single" w:sz="8" w:color="53C072"/>
            </w:tcBorders>
            <w:gridSpan w:val="2"/>
            <w:vMerge w:val="continue"/>
            <w:shd w:val="clear" w:color="auto" w:fill="CFE9D2"/>
          </w:tcPr>
          <w:p>
            <w:pPr>
              <w:spacing w:after="0"/>
              <w:rPr>
                <w:sz w:val="18"/>
                <w:szCs w:val="18"/>
                <w:color w:val="auto"/>
              </w:rPr>
            </w:pPr>
          </w:p>
        </w:tc>
        <w:tc>
          <w:tcPr>
            <w:tcW w:w="9060" w:type="dxa"/>
            <w:vAlign w:val="bottom"/>
            <w:tcBorders>
              <w:right w:val="single" w:sz="8" w:color="53C072"/>
            </w:tcBorders>
            <w:gridSpan w:val="2"/>
          </w:tcPr>
          <w:p>
            <w:pPr>
              <w:ind w:left="80"/>
              <w:spacing w:after="0"/>
              <w:rPr>
                <w:sz w:val="20"/>
                <w:szCs w:val="20"/>
                <w:color w:val="auto"/>
              </w:rPr>
            </w:pPr>
            <w:r>
              <w:rPr>
                <w:rFonts w:ascii="Arial" w:cs="Arial" w:eastAsia="Arial" w:hAnsi="Arial"/>
                <w:sz w:val="16"/>
                <w:szCs w:val="16"/>
                <w:color w:val="auto"/>
              </w:rPr>
              <w:t>assembly equipment for global semiconductor and electronics industries.</w:t>
            </w:r>
          </w:p>
        </w:tc>
        <w:tc>
          <w:tcPr>
            <w:tcW w:w="0" w:type="dxa"/>
            <w:vAlign w:val="bottom"/>
          </w:tcPr>
          <w:p>
            <w:pPr>
              <w:spacing w:after="0"/>
              <w:rPr>
                <w:sz w:val="1"/>
                <w:szCs w:val="1"/>
                <w:color w:val="auto"/>
              </w:rPr>
            </w:pPr>
          </w:p>
        </w:tc>
      </w:tr>
      <w:tr>
        <w:trPr>
          <w:trHeight w:val="185"/>
        </w:trPr>
        <w:tc>
          <w:tcPr>
            <w:tcW w:w="2200" w:type="dxa"/>
            <w:vAlign w:val="bottom"/>
            <w:tcBorders>
              <w:left w:val="single" w:sz="8" w:color="53C072"/>
              <w:bottom w:val="single" w:sz="8" w:color="CFE9D2"/>
              <w:right w:val="single" w:sz="8" w:color="53C072"/>
            </w:tcBorders>
            <w:gridSpan w:val="2"/>
            <w:vMerge w:val="restart"/>
            <w:shd w:val="clear" w:color="auto" w:fill="CFE9D2"/>
          </w:tcPr>
          <w:p>
            <w:pPr>
              <w:ind w:left="200"/>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67</w:t>
            </w:r>
          </w:p>
        </w:tc>
        <w:tc>
          <w:tcPr>
            <w:tcW w:w="2660" w:type="dxa"/>
            <w:vAlign w:val="bottom"/>
            <w:tcBorders>
              <w:bottom w:val="single" w:sz="8" w:color="53C072"/>
            </w:tcBorders>
          </w:tcPr>
          <w:p>
            <w:pPr>
              <w:spacing w:after="0"/>
              <w:rPr>
                <w:sz w:val="16"/>
                <w:szCs w:val="16"/>
                <w:color w:val="auto"/>
              </w:rPr>
            </w:pPr>
          </w:p>
        </w:tc>
        <w:tc>
          <w:tcPr>
            <w:tcW w:w="6400" w:type="dxa"/>
            <w:vAlign w:val="bottom"/>
            <w:tcBorders>
              <w:bottom w:val="single" w:sz="8" w:color="53C072"/>
              <w:right w:val="single" w:sz="8" w:color="53C072"/>
            </w:tcBorders>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200" w:type="dxa"/>
            <w:vAlign w:val="bottom"/>
            <w:tcBorders>
              <w:left w:val="single" w:sz="8" w:color="53C072"/>
              <w:right w:val="single" w:sz="8" w:color="53C072"/>
            </w:tcBorders>
            <w:gridSpan w:val="2"/>
            <w:vMerge w:val="continue"/>
            <w:shd w:val="clear" w:color="auto" w:fill="CFE9D2"/>
          </w:tcPr>
          <w:p>
            <w:pPr>
              <w:spacing w:after="0"/>
              <w:rPr>
                <w:sz w:val="8"/>
                <w:szCs w:val="8"/>
                <w:color w:val="auto"/>
              </w:rPr>
            </w:pPr>
          </w:p>
        </w:tc>
        <w:tc>
          <w:tcPr>
            <w:tcW w:w="9060" w:type="dxa"/>
            <w:vAlign w:val="bottom"/>
            <w:tcBorders>
              <w:right w:val="single" w:sz="8" w:color="53C072"/>
            </w:tcBorders>
            <w:gridSpan w:val="2"/>
            <w:vMerge w:val="restart"/>
          </w:tcPr>
          <w:p>
            <w:pPr>
              <w:ind w:left="80"/>
              <w:spacing w:after="0"/>
              <w:rPr>
                <w:sz w:val="20"/>
                <w:szCs w:val="20"/>
                <w:color w:val="auto"/>
              </w:rPr>
            </w:pPr>
            <w:r>
              <w:rPr>
                <w:rFonts w:ascii="Arial" w:cs="Arial" w:eastAsia="Arial" w:hAnsi="Arial"/>
                <w:sz w:val="16"/>
                <w:szCs w:val="16"/>
                <w:b w:val="1"/>
                <w:bCs w:val="1"/>
                <w:color w:val="53C072"/>
              </w:rPr>
              <w:t>Primary Qualifications and Experience:</w:t>
            </w:r>
          </w:p>
        </w:tc>
        <w:tc>
          <w:tcPr>
            <w:tcW w:w="0" w:type="dxa"/>
            <w:vAlign w:val="bottom"/>
          </w:tcPr>
          <w:p>
            <w:pPr>
              <w:spacing w:after="0"/>
              <w:rPr>
                <w:sz w:val="1"/>
                <w:szCs w:val="1"/>
                <w:color w:val="auto"/>
              </w:rPr>
            </w:pPr>
          </w:p>
        </w:tc>
      </w:tr>
      <w:tr>
        <w:trPr>
          <w:trHeight w:val="350"/>
        </w:trPr>
        <w:tc>
          <w:tcPr>
            <w:tcW w:w="2200" w:type="dxa"/>
            <w:vAlign w:val="bottom"/>
            <w:tcBorders>
              <w:left w:val="single" w:sz="8" w:color="53C072"/>
              <w:right w:val="single" w:sz="8" w:color="53C072"/>
            </w:tcBorders>
            <w:gridSpan w:val="2"/>
            <w:shd w:val="clear" w:color="auto" w:fill="CFE9D2"/>
          </w:tcPr>
          <w:p>
            <w:pPr>
              <w:ind w:left="200"/>
              <w:spacing w:after="0"/>
              <w:rPr>
                <w:sz w:val="20"/>
                <w:szCs w:val="20"/>
                <w:color w:val="auto"/>
              </w:rPr>
            </w:pPr>
            <w:r>
              <w:rPr>
                <w:rFonts w:ascii="Arial" w:cs="Arial" w:eastAsia="Arial" w:hAnsi="Arial"/>
                <w:sz w:val="13"/>
                <w:szCs w:val="13"/>
                <w:b w:val="1"/>
                <w:bCs w:val="1"/>
                <w:color w:val="auto"/>
              </w:rPr>
              <w:t>Independent</w:t>
            </w:r>
          </w:p>
        </w:tc>
        <w:tc>
          <w:tcPr>
            <w:tcW w:w="9060" w:type="dxa"/>
            <w:vAlign w:val="bottom"/>
            <w:tcBorders>
              <w:right w:val="single" w:sz="8" w:color="53C072"/>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200" w:type="dxa"/>
            <w:vAlign w:val="bottom"/>
            <w:tcBorders>
              <w:left w:val="single" w:sz="8" w:color="53C072"/>
              <w:right w:val="single" w:sz="8" w:color="53C072"/>
            </w:tcBorders>
            <w:gridSpan w:val="2"/>
            <w:shd w:val="clear" w:color="auto" w:fill="CFE9D2"/>
          </w:tcPr>
          <w:p>
            <w:pPr>
              <w:ind w:left="200"/>
              <w:spacing w:after="0"/>
              <w:rPr>
                <w:sz w:val="20"/>
                <w:szCs w:val="20"/>
                <w:color w:val="auto"/>
              </w:rPr>
            </w:pPr>
            <w:r>
              <w:rPr>
                <w:rFonts w:ascii="Arial" w:cs="Arial" w:eastAsia="Arial" w:hAnsi="Arial"/>
                <w:sz w:val="13"/>
                <w:szCs w:val="13"/>
                <w:b w:val="1"/>
                <w:bCs w:val="1"/>
                <w:color w:val="auto"/>
              </w:rPr>
              <w:t>Current Committee</w:t>
            </w:r>
          </w:p>
        </w:tc>
        <w:tc>
          <w:tcPr>
            <w:tcW w:w="2660" w:type="dxa"/>
            <w:vAlign w:val="bottom"/>
          </w:tcPr>
          <w:p>
            <w:pPr>
              <w:ind w:left="6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CEO</w:t>
            </w:r>
          </w:p>
        </w:tc>
        <w:tc>
          <w:tcPr>
            <w:tcW w:w="6400" w:type="dxa"/>
            <w:vAlign w:val="bottom"/>
            <w:tcBorders>
              <w:right w:val="single" w:sz="8" w:color="53C072"/>
            </w:tcBorders>
          </w:tcPr>
          <w:p>
            <w:pPr>
              <w:ind w:left="34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Semiconductor</w:t>
            </w:r>
          </w:p>
        </w:tc>
        <w:tc>
          <w:tcPr>
            <w:tcW w:w="0" w:type="dxa"/>
            <w:vAlign w:val="bottom"/>
          </w:tcPr>
          <w:p>
            <w:pPr>
              <w:spacing w:after="0"/>
              <w:rPr>
                <w:sz w:val="1"/>
                <w:szCs w:val="1"/>
                <w:color w:val="auto"/>
              </w:rPr>
            </w:pPr>
          </w:p>
        </w:tc>
      </w:tr>
      <w:tr>
        <w:trPr>
          <w:trHeight w:val="183"/>
        </w:trPr>
        <w:tc>
          <w:tcPr>
            <w:tcW w:w="2200" w:type="dxa"/>
            <w:vAlign w:val="bottom"/>
            <w:tcBorders>
              <w:left w:val="single" w:sz="8" w:color="53C072"/>
              <w:right w:val="single" w:sz="8" w:color="53C072"/>
            </w:tcBorders>
            <w:gridSpan w:val="2"/>
            <w:shd w:val="clear" w:color="auto" w:fill="CFE9D2"/>
          </w:tcPr>
          <w:p>
            <w:pPr>
              <w:ind w:left="200"/>
              <w:spacing w:after="0"/>
              <w:rPr>
                <w:sz w:val="20"/>
                <w:szCs w:val="20"/>
                <w:color w:val="auto"/>
              </w:rPr>
            </w:pPr>
            <w:r>
              <w:rPr>
                <w:rFonts w:ascii="Arial" w:cs="Arial" w:eastAsia="Arial" w:hAnsi="Arial"/>
                <w:sz w:val="13"/>
                <w:szCs w:val="13"/>
                <w:b w:val="1"/>
                <w:bCs w:val="1"/>
                <w:color w:val="auto"/>
              </w:rPr>
              <w:t>Memberships:</w:t>
            </w:r>
          </w:p>
        </w:tc>
        <w:tc>
          <w:tcPr>
            <w:tcW w:w="2660" w:type="dxa"/>
            <w:vAlign w:val="bottom"/>
          </w:tcPr>
          <w:p>
            <w:pPr>
              <w:spacing w:after="0"/>
              <w:rPr>
                <w:sz w:val="15"/>
                <w:szCs w:val="15"/>
                <w:color w:val="auto"/>
              </w:rPr>
            </w:pPr>
          </w:p>
        </w:tc>
        <w:tc>
          <w:tcPr>
            <w:tcW w:w="6400" w:type="dxa"/>
            <w:vAlign w:val="bottom"/>
            <w:tcBorders>
              <w:right w:val="single" w:sz="8" w:color="53C072"/>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0" w:type="dxa"/>
            <w:vAlign w:val="bottom"/>
            <w:tcBorders>
              <w:left w:val="single" w:sz="8" w:color="53C072"/>
            </w:tcBorders>
            <w:vMerge w:val="restart"/>
            <w:shd w:val="clear" w:color="auto" w:fill="CFE9D2"/>
          </w:tcPr>
          <w:p>
            <w:pPr>
              <w:ind w:left="200"/>
              <w:spacing w:after="0"/>
              <w:rPr>
                <w:sz w:val="20"/>
                <w:szCs w:val="20"/>
                <w:color w:val="auto"/>
              </w:rPr>
            </w:pPr>
            <w:r>
              <w:rPr>
                <w:rFonts w:ascii="Arial" w:cs="Arial" w:eastAsia="Arial" w:hAnsi="Arial"/>
                <w:sz w:val="13"/>
                <w:szCs w:val="13"/>
                <w:color w:val="53C072"/>
              </w:rPr>
              <w:t>•</w:t>
            </w:r>
          </w:p>
        </w:tc>
        <w:tc>
          <w:tcPr>
            <w:tcW w:w="1820" w:type="dxa"/>
            <w:vAlign w:val="bottom"/>
            <w:tcBorders>
              <w:right w:val="single" w:sz="8" w:color="53C072"/>
            </w:tcBorders>
            <w:vMerge w:val="restart"/>
            <w:shd w:val="clear" w:color="auto" w:fill="CFE9D2"/>
          </w:tcPr>
          <w:p>
            <w:pPr>
              <w:ind w:left="120"/>
              <w:spacing w:after="0"/>
              <w:rPr>
                <w:sz w:val="20"/>
                <w:szCs w:val="20"/>
                <w:color w:val="auto"/>
              </w:rPr>
            </w:pPr>
            <w:r>
              <w:rPr>
                <w:rFonts w:ascii="Arial" w:cs="Arial" w:eastAsia="Arial" w:hAnsi="Arial"/>
                <w:sz w:val="13"/>
                <w:szCs w:val="13"/>
                <w:color w:val="auto"/>
              </w:rPr>
              <w:t>Audit Committee</w:t>
            </w:r>
          </w:p>
        </w:tc>
        <w:tc>
          <w:tcPr>
            <w:tcW w:w="2660" w:type="dxa"/>
            <w:vAlign w:val="bottom"/>
          </w:tcPr>
          <w:p>
            <w:pPr>
              <w:ind w:left="6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Finance</w:t>
            </w:r>
          </w:p>
        </w:tc>
        <w:tc>
          <w:tcPr>
            <w:tcW w:w="6400" w:type="dxa"/>
            <w:vAlign w:val="bottom"/>
            <w:tcBorders>
              <w:right w:val="single" w:sz="8" w:color="53C072"/>
            </w:tcBorders>
          </w:tcPr>
          <w:p>
            <w:pPr>
              <w:spacing w:after="0"/>
              <w:rPr>
                <w:sz w:val="21"/>
                <w:szCs w:val="21"/>
                <w:color w:val="auto"/>
              </w:rPr>
            </w:pPr>
          </w:p>
        </w:tc>
        <w:tc>
          <w:tcPr>
            <w:tcW w:w="0" w:type="dxa"/>
            <w:vAlign w:val="bottom"/>
          </w:tcPr>
          <w:p>
            <w:pPr>
              <w:spacing w:after="0"/>
              <w:rPr>
                <w:sz w:val="1"/>
                <w:szCs w:val="1"/>
                <w:color w:val="auto"/>
              </w:rPr>
            </w:pPr>
          </w:p>
        </w:tc>
      </w:tr>
      <w:tr>
        <w:trPr>
          <w:trHeight w:val="63"/>
        </w:trPr>
        <w:tc>
          <w:tcPr>
            <w:tcW w:w="380" w:type="dxa"/>
            <w:vAlign w:val="bottom"/>
            <w:tcBorders>
              <w:left w:val="single" w:sz="8" w:color="53C072"/>
            </w:tcBorders>
            <w:vMerge w:val="continue"/>
            <w:shd w:val="clear" w:color="auto" w:fill="CFE9D2"/>
          </w:tcPr>
          <w:p>
            <w:pPr>
              <w:spacing w:after="0"/>
              <w:rPr>
                <w:sz w:val="5"/>
                <w:szCs w:val="5"/>
                <w:color w:val="auto"/>
              </w:rPr>
            </w:pPr>
          </w:p>
        </w:tc>
        <w:tc>
          <w:tcPr>
            <w:tcW w:w="1820" w:type="dxa"/>
            <w:vAlign w:val="bottom"/>
            <w:tcBorders>
              <w:right w:val="single" w:sz="8" w:color="53C072"/>
            </w:tcBorders>
            <w:vMerge w:val="continue"/>
            <w:shd w:val="clear" w:color="auto" w:fill="CFE9D2"/>
          </w:tcPr>
          <w:p>
            <w:pPr>
              <w:spacing w:after="0"/>
              <w:rPr>
                <w:sz w:val="5"/>
                <w:szCs w:val="5"/>
                <w:color w:val="auto"/>
              </w:rPr>
            </w:pPr>
          </w:p>
        </w:tc>
        <w:tc>
          <w:tcPr>
            <w:tcW w:w="2660" w:type="dxa"/>
            <w:vAlign w:val="bottom"/>
          </w:tcPr>
          <w:p>
            <w:pPr>
              <w:spacing w:after="0"/>
              <w:rPr>
                <w:sz w:val="5"/>
                <w:szCs w:val="5"/>
                <w:color w:val="auto"/>
              </w:rPr>
            </w:pPr>
          </w:p>
        </w:tc>
        <w:tc>
          <w:tcPr>
            <w:tcW w:w="6400" w:type="dxa"/>
            <w:vAlign w:val="bottom"/>
            <w:tcBorders>
              <w:right w:val="single" w:sz="8" w:color="53C072"/>
            </w:tcBorders>
          </w:tcPr>
          <w:p>
            <w:pPr>
              <w:spacing w:after="0"/>
              <w:rPr>
                <w:sz w:val="5"/>
                <w:szCs w:val="5"/>
                <w:color w:val="auto"/>
              </w:rPr>
            </w:pPr>
          </w:p>
        </w:tc>
        <w:tc>
          <w:tcPr>
            <w:tcW w:w="0" w:type="dxa"/>
            <w:vAlign w:val="bottom"/>
          </w:tcPr>
          <w:p>
            <w:pPr>
              <w:spacing w:after="0"/>
              <w:rPr>
                <w:sz w:val="1"/>
                <w:szCs w:val="1"/>
                <w:color w:val="auto"/>
              </w:rPr>
            </w:pPr>
          </w:p>
        </w:tc>
      </w:tr>
      <w:tr>
        <w:trPr>
          <w:trHeight w:val="288"/>
        </w:trPr>
        <w:tc>
          <w:tcPr>
            <w:tcW w:w="380" w:type="dxa"/>
            <w:vAlign w:val="bottom"/>
            <w:tcBorders>
              <w:left w:val="single" w:sz="8" w:color="53C072"/>
            </w:tcBorders>
            <w:shd w:val="clear" w:color="auto" w:fill="CFE9D2"/>
          </w:tcPr>
          <w:p>
            <w:pPr>
              <w:ind w:left="200"/>
              <w:spacing w:after="0"/>
              <w:rPr>
                <w:sz w:val="20"/>
                <w:szCs w:val="20"/>
                <w:color w:val="auto"/>
              </w:rPr>
            </w:pPr>
            <w:r>
              <w:rPr>
                <w:rFonts w:ascii="Arial" w:cs="Arial" w:eastAsia="Arial" w:hAnsi="Arial"/>
                <w:sz w:val="13"/>
                <w:szCs w:val="13"/>
                <w:color w:val="53C072"/>
              </w:rPr>
              <w:t>•</w:t>
            </w:r>
          </w:p>
        </w:tc>
        <w:tc>
          <w:tcPr>
            <w:tcW w:w="1820" w:type="dxa"/>
            <w:vAlign w:val="bottom"/>
            <w:tcBorders>
              <w:right w:val="single" w:sz="8" w:color="53C072"/>
            </w:tcBorders>
            <w:shd w:val="clear" w:color="auto" w:fill="CFE9D2"/>
          </w:tcPr>
          <w:p>
            <w:pPr>
              <w:ind w:left="120"/>
              <w:spacing w:after="0"/>
              <w:rPr>
                <w:sz w:val="20"/>
                <w:szCs w:val="20"/>
                <w:color w:val="auto"/>
              </w:rPr>
            </w:pPr>
            <w:r>
              <w:rPr>
                <w:rFonts w:ascii="Arial" w:cs="Arial" w:eastAsia="Arial" w:hAnsi="Arial"/>
                <w:sz w:val="13"/>
                <w:szCs w:val="13"/>
                <w:color w:val="auto"/>
              </w:rPr>
              <w:t>Corporate Governance</w:t>
            </w:r>
          </w:p>
        </w:tc>
        <w:tc>
          <w:tcPr>
            <w:tcW w:w="9060" w:type="dxa"/>
            <w:vAlign w:val="bottom"/>
            <w:tcBorders>
              <w:right w:val="single" w:sz="8" w:color="53C072"/>
            </w:tcBorders>
            <w:gridSpan w:val="2"/>
          </w:tcPr>
          <w:p>
            <w:pPr>
              <w:ind w:left="80"/>
              <w:spacing w:after="0"/>
              <w:rPr>
                <w:sz w:val="20"/>
                <w:szCs w:val="20"/>
                <w:color w:val="auto"/>
              </w:rPr>
            </w:pPr>
            <w:r>
              <w:rPr>
                <w:rFonts w:ascii="Arial" w:cs="Arial" w:eastAsia="Arial" w:hAnsi="Arial"/>
                <w:sz w:val="16"/>
                <w:szCs w:val="16"/>
                <w:color w:val="auto"/>
              </w:rPr>
              <w:t>The Board benefits from Mr. Bozotti's extensive experience in the semiconductor industry as well as his strong experience in</w:t>
            </w:r>
          </w:p>
        </w:tc>
        <w:tc>
          <w:tcPr>
            <w:tcW w:w="0" w:type="dxa"/>
            <w:vAlign w:val="bottom"/>
          </w:tcPr>
          <w:p>
            <w:pPr>
              <w:spacing w:after="0"/>
              <w:rPr>
                <w:sz w:val="1"/>
                <w:szCs w:val="1"/>
                <w:color w:val="auto"/>
              </w:rPr>
            </w:pPr>
          </w:p>
        </w:tc>
      </w:tr>
      <w:tr>
        <w:trPr>
          <w:trHeight w:val="177"/>
        </w:trPr>
        <w:tc>
          <w:tcPr>
            <w:tcW w:w="380" w:type="dxa"/>
            <w:vAlign w:val="bottom"/>
            <w:tcBorders>
              <w:left w:val="single" w:sz="8" w:color="53C072"/>
            </w:tcBorders>
            <w:shd w:val="clear" w:color="auto" w:fill="CFE9D2"/>
          </w:tcPr>
          <w:p>
            <w:pPr>
              <w:spacing w:after="0"/>
              <w:rPr>
                <w:sz w:val="15"/>
                <w:szCs w:val="15"/>
                <w:color w:val="auto"/>
              </w:rPr>
            </w:pPr>
          </w:p>
        </w:tc>
        <w:tc>
          <w:tcPr>
            <w:tcW w:w="1820" w:type="dxa"/>
            <w:vAlign w:val="bottom"/>
            <w:tcBorders>
              <w:right w:val="single" w:sz="8" w:color="53C072"/>
            </w:tcBorders>
            <w:shd w:val="clear" w:color="auto" w:fill="CFE9D2"/>
          </w:tcPr>
          <w:p>
            <w:pPr>
              <w:ind w:left="120"/>
              <w:spacing w:after="0"/>
              <w:rPr>
                <w:sz w:val="20"/>
                <w:szCs w:val="20"/>
                <w:color w:val="auto"/>
              </w:rPr>
            </w:pPr>
            <w:r>
              <w:rPr>
                <w:rFonts w:ascii="Arial" w:cs="Arial" w:eastAsia="Arial" w:hAnsi="Arial"/>
                <w:sz w:val="13"/>
                <w:szCs w:val="13"/>
                <w:color w:val="auto"/>
              </w:rPr>
              <w:t>Committee</w:t>
            </w:r>
          </w:p>
        </w:tc>
        <w:tc>
          <w:tcPr>
            <w:tcW w:w="9060" w:type="dxa"/>
            <w:vAlign w:val="bottom"/>
            <w:tcBorders>
              <w:right w:val="single" w:sz="8" w:color="53C072"/>
            </w:tcBorders>
            <w:gridSpan w:val="2"/>
          </w:tcPr>
          <w:p>
            <w:pPr>
              <w:ind w:left="80"/>
              <w:spacing w:after="0" w:line="178" w:lineRule="exact"/>
              <w:rPr>
                <w:sz w:val="20"/>
                <w:szCs w:val="20"/>
                <w:color w:val="auto"/>
              </w:rPr>
            </w:pPr>
            <w:r>
              <w:rPr>
                <w:rFonts w:ascii="Arial" w:cs="Arial" w:eastAsia="Arial" w:hAnsi="Arial"/>
                <w:sz w:val="16"/>
                <w:szCs w:val="16"/>
                <w:color w:val="auto"/>
              </w:rPr>
              <w:t>technology and innovation, finance, global business, corporate leadership and management, sales and marketing, and risk</w:t>
            </w:r>
          </w:p>
        </w:tc>
        <w:tc>
          <w:tcPr>
            <w:tcW w:w="0" w:type="dxa"/>
            <w:vAlign w:val="bottom"/>
          </w:tcPr>
          <w:p>
            <w:pPr>
              <w:spacing w:after="0"/>
              <w:rPr>
                <w:sz w:val="1"/>
                <w:szCs w:val="1"/>
                <w:color w:val="auto"/>
              </w:rPr>
            </w:pPr>
          </w:p>
        </w:tc>
      </w:tr>
      <w:tr>
        <w:trPr>
          <w:trHeight w:val="213"/>
        </w:trPr>
        <w:tc>
          <w:tcPr>
            <w:tcW w:w="380" w:type="dxa"/>
            <w:vAlign w:val="bottom"/>
            <w:tcBorders>
              <w:left w:val="single" w:sz="8" w:color="53C072"/>
            </w:tcBorders>
            <w:shd w:val="clear" w:color="auto" w:fill="CFE9D2"/>
          </w:tcPr>
          <w:p>
            <w:pPr>
              <w:spacing w:after="0"/>
              <w:rPr>
                <w:sz w:val="18"/>
                <w:szCs w:val="18"/>
                <w:color w:val="auto"/>
              </w:rPr>
            </w:pPr>
          </w:p>
        </w:tc>
        <w:tc>
          <w:tcPr>
            <w:tcW w:w="1820" w:type="dxa"/>
            <w:vAlign w:val="bottom"/>
            <w:tcBorders>
              <w:right w:val="single" w:sz="8" w:color="53C072"/>
            </w:tcBorders>
            <w:shd w:val="clear" w:color="auto" w:fill="CFE9D2"/>
          </w:tcPr>
          <w:p>
            <w:pPr>
              <w:spacing w:after="0"/>
              <w:rPr>
                <w:sz w:val="18"/>
                <w:szCs w:val="18"/>
                <w:color w:val="auto"/>
              </w:rPr>
            </w:pPr>
          </w:p>
        </w:tc>
        <w:tc>
          <w:tcPr>
            <w:tcW w:w="2660" w:type="dxa"/>
            <w:vAlign w:val="bottom"/>
          </w:tcPr>
          <w:p>
            <w:pPr>
              <w:ind w:left="80"/>
              <w:spacing w:after="0"/>
              <w:rPr>
                <w:sz w:val="20"/>
                <w:szCs w:val="20"/>
                <w:color w:val="auto"/>
              </w:rPr>
            </w:pPr>
            <w:r>
              <w:rPr>
                <w:rFonts w:ascii="Arial" w:cs="Arial" w:eastAsia="Arial" w:hAnsi="Arial"/>
                <w:sz w:val="16"/>
                <w:szCs w:val="16"/>
                <w:color w:val="auto"/>
              </w:rPr>
              <w:t>oversight.</w:t>
            </w:r>
          </w:p>
        </w:tc>
        <w:tc>
          <w:tcPr>
            <w:tcW w:w="6400" w:type="dxa"/>
            <w:vAlign w:val="bottom"/>
            <w:tcBorders>
              <w:right w:val="single" w:sz="8" w:color="53C072"/>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80" w:type="dxa"/>
            <w:vAlign w:val="bottom"/>
            <w:tcBorders>
              <w:left w:val="single" w:sz="8" w:color="53C072"/>
              <w:bottom w:val="single" w:sz="8" w:color="53C072"/>
            </w:tcBorders>
            <w:shd w:val="clear" w:color="auto" w:fill="CFE9D2"/>
          </w:tcPr>
          <w:p>
            <w:pPr>
              <w:spacing w:after="0"/>
              <w:rPr>
                <w:sz w:val="16"/>
                <w:szCs w:val="16"/>
                <w:color w:val="auto"/>
              </w:rPr>
            </w:pPr>
          </w:p>
        </w:tc>
        <w:tc>
          <w:tcPr>
            <w:tcW w:w="1820" w:type="dxa"/>
            <w:vAlign w:val="bottom"/>
            <w:tcBorders>
              <w:bottom w:val="single" w:sz="8" w:color="53C072"/>
              <w:right w:val="single" w:sz="8" w:color="53C072"/>
            </w:tcBorders>
            <w:shd w:val="clear" w:color="auto" w:fill="CFE9D2"/>
          </w:tcPr>
          <w:p>
            <w:pPr>
              <w:spacing w:after="0"/>
              <w:rPr>
                <w:sz w:val="16"/>
                <w:szCs w:val="16"/>
                <w:color w:val="auto"/>
              </w:rPr>
            </w:pPr>
          </w:p>
        </w:tc>
        <w:tc>
          <w:tcPr>
            <w:tcW w:w="2660" w:type="dxa"/>
            <w:vAlign w:val="bottom"/>
            <w:tcBorders>
              <w:bottom w:val="single" w:sz="8" w:color="53C072"/>
            </w:tcBorders>
          </w:tcPr>
          <w:p>
            <w:pPr>
              <w:spacing w:after="0"/>
              <w:rPr>
                <w:sz w:val="16"/>
                <w:szCs w:val="16"/>
                <w:color w:val="auto"/>
              </w:rPr>
            </w:pPr>
          </w:p>
        </w:tc>
        <w:tc>
          <w:tcPr>
            <w:tcW w:w="6400" w:type="dxa"/>
            <w:vAlign w:val="bottom"/>
            <w:tcBorders>
              <w:bottom w:val="single" w:sz="8" w:color="53C072"/>
              <w:right w:val="single" w:sz="8" w:color="53C072"/>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-3237230</wp:posOffset>
            </wp:positionV>
            <wp:extent cx="1156335" cy="16186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56335" cy="161861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tbl>
      <w:tblPr>
        <w:tblLayout w:type="fixed"/>
        <w:tblInd w:w="10" w:type="dxa"/>
        <w:tblCellMar>
          <w:top w:w="0" w:type="dxa"/>
          <w:left w:w="0" w:type="dxa"/>
          <w:bottom w:w="0" w:type="dxa"/>
          <w:right w:w="0" w:type="dxa"/>
        </w:tblCellMar>
      </w:tblPr>
      <w:tr>
        <w:trPr>
          <w:trHeight w:val="425"/>
        </w:trPr>
        <w:tc>
          <w:tcPr>
            <w:tcW w:w="380" w:type="dxa"/>
            <w:vAlign w:val="bottom"/>
            <w:tcBorders>
              <w:top w:val="single" w:sz="8" w:color="53C072"/>
              <w:left w:val="single" w:sz="8" w:color="53C072"/>
            </w:tcBorders>
            <w:shd w:val="clear" w:color="auto" w:fill="CFE9D2"/>
          </w:tcPr>
          <w:p>
            <w:pPr>
              <w:spacing w:after="0"/>
              <w:rPr>
                <w:sz w:val="24"/>
                <w:szCs w:val="24"/>
                <w:color w:val="auto"/>
              </w:rPr>
            </w:pPr>
          </w:p>
        </w:tc>
        <w:tc>
          <w:tcPr>
            <w:tcW w:w="1820" w:type="dxa"/>
            <w:vAlign w:val="bottom"/>
            <w:tcBorders>
              <w:top w:val="single" w:sz="8" w:color="53C072"/>
              <w:right w:val="single" w:sz="8" w:color="53C072"/>
            </w:tcBorders>
            <w:shd w:val="clear" w:color="auto" w:fill="CFE9D2"/>
          </w:tcPr>
          <w:p>
            <w:pPr>
              <w:spacing w:after="0"/>
              <w:rPr>
                <w:sz w:val="24"/>
                <w:szCs w:val="24"/>
                <w:color w:val="auto"/>
              </w:rPr>
            </w:pPr>
          </w:p>
        </w:tc>
        <w:tc>
          <w:tcPr>
            <w:tcW w:w="2600" w:type="dxa"/>
            <w:vAlign w:val="bottom"/>
            <w:tcBorders>
              <w:top w:val="single" w:sz="8" w:color="53C072"/>
            </w:tcBorders>
          </w:tcPr>
          <w:p>
            <w:pPr>
              <w:spacing w:after="0"/>
              <w:rPr>
                <w:sz w:val="24"/>
                <w:szCs w:val="24"/>
                <w:color w:val="auto"/>
              </w:rPr>
            </w:pPr>
          </w:p>
        </w:tc>
        <w:tc>
          <w:tcPr>
            <w:tcW w:w="6280" w:type="dxa"/>
            <w:vAlign w:val="bottom"/>
            <w:tcBorders>
              <w:top w:val="single" w:sz="8" w:color="53C072"/>
            </w:tcBorders>
          </w:tcPr>
          <w:p>
            <w:pPr>
              <w:spacing w:after="0"/>
              <w:rPr>
                <w:sz w:val="24"/>
                <w:szCs w:val="24"/>
                <w:color w:val="auto"/>
              </w:rPr>
            </w:pPr>
          </w:p>
        </w:tc>
        <w:tc>
          <w:tcPr>
            <w:tcW w:w="180" w:type="dxa"/>
            <w:vAlign w:val="bottom"/>
            <w:tcBorders>
              <w:top w:val="single" w:sz="8" w:color="53C072"/>
              <w:right w:val="single" w:sz="8" w:color="53C072"/>
            </w:tcBorders>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380" w:type="dxa"/>
            <w:vAlign w:val="bottom"/>
            <w:tcBorders>
              <w:left w:val="single" w:sz="8" w:color="53C072"/>
              <w:bottom w:val="single" w:sz="8" w:color="CFE9D2"/>
            </w:tcBorders>
            <w:shd w:val="clear" w:color="auto" w:fill="CFE9D2"/>
          </w:tcPr>
          <w:p>
            <w:pPr>
              <w:spacing w:after="0"/>
              <w:rPr>
                <w:sz w:val="24"/>
                <w:szCs w:val="24"/>
                <w:color w:val="auto"/>
              </w:rPr>
            </w:pPr>
          </w:p>
        </w:tc>
        <w:tc>
          <w:tcPr>
            <w:tcW w:w="1820" w:type="dxa"/>
            <w:vAlign w:val="bottom"/>
            <w:tcBorders>
              <w:bottom w:val="single" w:sz="8" w:color="CFE9D2"/>
              <w:right w:val="single" w:sz="8" w:color="53C072"/>
            </w:tcBorders>
            <w:shd w:val="clear" w:color="auto" w:fill="CFE9D2"/>
          </w:tcPr>
          <w:p>
            <w:pPr>
              <w:spacing w:after="0"/>
              <w:rPr>
                <w:sz w:val="24"/>
                <w:szCs w:val="24"/>
                <w:color w:val="auto"/>
              </w:rPr>
            </w:pPr>
          </w:p>
        </w:tc>
        <w:tc>
          <w:tcPr>
            <w:tcW w:w="2600" w:type="dxa"/>
            <w:vAlign w:val="bottom"/>
            <w:tcBorders>
              <w:bottom w:val="single" w:sz="8" w:color="53C072"/>
            </w:tcBorders>
            <w:shd w:val="clear" w:color="auto" w:fill="53C072"/>
          </w:tcPr>
          <w:p>
            <w:pPr>
              <w:ind w:left="180"/>
              <w:spacing w:after="0"/>
              <w:rPr>
                <w:sz w:val="20"/>
                <w:szCs w:val="20"/>
                <w:color w:val="auto"/>
              </w:rPr>
            </w:pPr>
            <w:r>
              <w:rPr>
                <w:rFonts w:ascii="Arial" w:cs="Arial" w:eastAsia="Arial" w:hAnsi="Arial"/>
                <w:sz w:val="19"/>
                <w:szCs w:val="19"/>
                <w:b w:val="1"/>
                <w:bCs w:val="1"/>
                <w:color w:val="FFFFFE"/>
              </w:rPr>
              <w:t>MICHAEL A. BRADLEY</w:t>
            </w:r>
          </w:p>
        </w:tc>
        <w:tc>
          <w:tcPr>
            <w:tcW w:w="6280" w:type="dxa"/>
            <w:vAlign w:val="bottom"/>
            <w:tcBorders>
              <w:bottom w:val="single" w:sz="8" w:color="53C072"/>
            </w:tcBorders>
            <w:shd w:val="clear" w:color="auto" w:fill="53C072"/>
          </w:tcPr>
          <w:p>
            <w:pPr>
              <w:spacing w:after="0"/>
              <w:rPr>
                <w:sz w:val="24"/>
                <w:szCs w:val="24"/>
                <w:color w:val="auto"/>
              </w:rPr>
            </w:pPr>
          </w:p>
        </w:tc>
        <w:tc>
          <w:tcPr>
            <w:tcW w:w="180" w:type="dxa"/>
            <w:vAlign w:val="bottom"/>
            <w:tcBorders>
              <w:bottom w:val="single" w:sz="8" w:color="53C072"/>
              <w:right w:val="single" w:sz="8" w:color="53C072"/>
            </w:tcBorders>
            <w:shd w:val="clear" w:color="auto" w:fill="53C072"/>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380" w:type="dxa"/>
            <w:vAlign w:val="bottom"/>
            <w:tcBorders>
              <w:left w:val="single" w:sz="8" w:color="53C072"/>
            </w:tcBorders>
            <w:shd w:val="clear" w:color="auto" w:fill="CFE9D2"/>
          </w:tcPr>
          <w:p>
            <w:pPr>
              <w:spacing w:after="0"/>
              <w:rPr>
                <w:sz w:val="24"/>
                <w:szCs w:val="24"/>
                <w:color w:val="auto"/>
              </w:rPr>
            </w:pPr>
          </w:p>
        </w:tc>
        <w:tc>
          <w:tcPr>
            <w:tcW w:w="1820" w:type="dxa"/>
            <w:vAlign w:val="bottom"/>
            <w:tcBorders>
              <w:right w:val="single" w:sz="8" w:color="53C072"/>
            </w:tcBorders>
            <w:shd w:val="clear" w:color="auto" w:fill="CFE9D2"/>
          </w:tcPr>
          <w:p>
            <w:pPr>
              <w:spacing w:after="0"/>
              <w:rPr>
                <w:sz w:val="24"/>
                <w:szCs w:val="24"/>
                <w:color w:val="auto"/>
              </w:rPr>
            </w:pPr>
          </w:p>
        </w:tc>
        <w:tc>
          <w:tcPr>
            <w:tcW w:w="2600" w:type="dxa"/>
            <w:vAlign w:val="bottom"/>
          </w:tcPr>
          <w:p>
            <w:pPr>
              <w:ind w:left="80"/>
              <w:spacing w:after="0"/>
              <w:rPr>
                <w:sz w:val="20"/>
                <w:szCs w:val="20"/>
                <w:color w:val="auto"/>
              </w:rPr>
            </w:pPr>
            <w:r>
              <w:rPr>
                <w:rFonts w:ascii="Arial" w:cs="Arial" w:eastAsia="Arial" w:hAnsi="Arial"/>
                <w:sz w:val="16"/>
                <w:szCs w:val="16"/>
                <w:b w:val="1"/>
                <w:bCs w:val="1"/>
                <w:color w:val="53C072"/>
              </w:rPr>
              <w:t>Recent Business Experience:</w:t>
            </w:r>
          </w:p>
        </w:tc>
        <w:tc>
          <w:tcPr>
            <w:tcW w:w="6280" w:type="dxa"/>
            <w:vAlign w:val="bottom"/>
          </w:tcPr>
          <w:p>
            <w:pPr>
              <w:spacing w:after="0"/>
              <w:rPr>
                <w:sz w:val="24"/>
                <w:szCs w:val="24"/>
                <w:color w:val="auto"/>
              </w:rPr>
            </w:pPr>
          </w:p>
        </w:tc>
        <w:tc>
          <w:tcPr>
            <w:tcW w:w="180" w:type="dxa"/>
            <w:vAlign w:val="bottom"/>
            <w:tcBorders>
              <w:right w:val="single" w:sz="8" w:color="53C072"/>
            </w:tcBorders>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80" w:type="dxa"/>
            <w:vAlign w:val="bottom"/>
            <w:tcBorders>
              <w:left w:val="single" w:sz="8" w:color="53C072"/>
            </w:tcBorders>
            <w:shd w:val="clear" w:color="auto" w:fill="CFE9D2"/>
          </w:tcPr>
          <w:p>
            <w:pPr>
              <w:spacing w:after="0"/>
              <w:rPr>
                <w:sz w:val="24"/>
                <w:szCs w:val="24"/>
                <w:color w:val="auto"/>
              </w:rPr>
            </w:pPr>
          </w:p>
        </w:tc>
        <w:tc>
          <w:tcPr>
            <w:tcW w:w="1820" w:type="dxa"/>
            <w:vAlign w:val="bottom"/>
            <w:tcBorders>
              <w:right w:val="single" w:sz="8" w:color="53C072"/>
            </w:tcBorders>
            <w:shd w:val="clear" w:color="auto" w:fill="CFE9D2"/>
          </w:tcPr>
          <w:p>
            <w:pPr>
              <w:spacing w:after="0"/>
              <w:rPr>
                <w:sz w:val="24"/>
                <w:szCs w:val="24"/>
                <w:color w:val="auto"/>
              </w:rPr>
            </w:pPr>
          </w:p>
        </w:tc>
        <w:tc>
          <w:tcPr>
            <w:tcW w:w="8880" w:type="dxa"/>
            <w:vAlign w:val="bottom"/>
            <w:gridSpan w:val="2"/>
          </w:tcPr>
          <w:p>
            <w:pPr>
              <w:ind w:left="80"/>
              <w:spacing w:after="0"/>
              <w:rPr>
                <w:sz w:val="20"/>
                <w:szCs w:val="20"/>
                <w:color w:val="auto"/>
              </w:rPr>
            </w:pPr>
            <w:r>
              <w:rPr>
                <w:rFonts w:ascii="Arial" w:cs="Arial" w:eastAsia="Arial" w:hAnsi="Arial"/>
                <w:sz w:val="16"/>
                <w:szCs w:val="16"/>
                <w:color w:val="auto"/>
              </w:rPr>
              <w:t>Mr. Bradley served as Chief Executive Officer of Teradyne, Inc. (NYSE: TER) from 2004 until 2014 and has served as a</w:t>
            </w:r>
          </w:p>
        </w:tc>
        <w:tc>
          <w:tcPr>
            <w:tcW w:w="180" w:type="dxa"/>
            <w:vAlign w:val="bottom"/>
            <w:tcBorders>
              <w:right w:val="single" w:sz="8" w:color="53C072"/>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53C072"/>
            </w:tcBorders>
            <w:shd w:val="clear" w:color="auto" w:fill="CFE9D2"/>
          </w:tcPr>
          <w:p>
            <w:pPr>
              <w:spacing w:after="0"/>
              <w:rPr>
                <w:sz w:val="15"/>
                <w:szCs w:val="15"/>
                <w:color w:val="auto"/>
              </w:rPr>
            </w:pPr>
          </w:p>
        </w:tc>
        <w:tc>
          <w:tcPr>
            <w:tcW w:w="1820" w:type="dxa"/>
            <w:vAlign w:val="bottom"/>
            <w:tcBorders>
              <w:right w:val="single" w:sz="8" w:color="53C072"/>
            </w:tcBorders>
            <w:shd w:val="clear" w:color="auto" w:fill="CFE9D2"/>
          </w:tcPr>
          <w:p>
            <w:pPr>
              <w:spacing w:after="0"/>
              <w:rPr>
                <w:sz w:val="15"/>
                <w:szCs w:val="15"/>
                <w:color w:val="auto"/>
              </w:rPr>
            </w:pPr>
          </w:p>
        </w:tc>
        <w:tc>
          <w:tcPr>
            <w:tcW w:w="8880" w:type="dxa"/>
            <w:vAlign w:val="bottom"/>
            <w:gridSpan w:val="2"/>
          </w:tcPr>
          <w:p>
            <w:pPr>
              <w:ind w:left="80"/>
              <w:spacing w:after="0" w:line="182" w:lineRule="exact"/>
              <w:rPr>
                <w:sz w:val="20"/>
                <w:szCs w:val="20"/>
                <w:color w:val="auto"/>
              </w:rPr>
            </w:pPr>
            <w:r>
              <w:rPr>
                <w:rFonts w:ascii="Arial" w:cs="Arial" w:eastAsia="Arial" w:hAnsi="Arial"/>
                <w:sz w:val="16"/>
                <w:szCs w:val="16"/>
                <w:color w:val="auto"/>
              </w:rPr>
              <w:t>director since 2004. Previously, he served in various positions at Teradyne: President from 2003 to 2013, President of the</w:t>
            </w:r>
          </w:p>
        </w:tc>
        <w:tc>
          <w:tcPr>
            <w:tcW w:w="180" w:type="dxa"/>
            <w:vAlign w:val="bottom"/>
            <w:tcBorders>
              <w:right w:val="single" w:sz="8" w:color="53C072"/>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53C072"/>
            </w:tcBorders>
            <w:shd w:val="clear" w:color="auto" w:fill="CFE9D2"/>
          </w:tcPr>
          <w:p>
            <w:pPr>
              <w:spacing w:after="0"/>
              <w:rPr>
                <w:sz w:val="15"/>
                <w:szCs w:val="15"/>
                <w:color w:val="auto"/>
              </w:rPr>
            </w:pPr>
          </w:p>
        </w:tc>
        <w:tc>
          <w:tcPr>
            <w:tcW w:w="1820" w:type="dxa"/>
            <w:vAlign w:val="bottom"/>
            <w:tcBorders>
              <w:right w:val="single" w:sz="8" w:color="53C072"/>
            </w:tcBorders>
            <w:shd w:val="clear" w:color="auto" w:fill="CFE9D2"/>
          </w:tcPr>
          <w:p>
            <w:pPr>
              <w:spacing w:after="0"/>
              <w:rPr>
                <w:sz w:val="15"/>
                <w:szCs w:val="15"/>
                <w:color w:val="auto"/>
              </w:rPr>
            </w:pPr>
          </w:p>
        </w:tc>
        <w:tc>
          <w:tcPr>
            <w:tcW w:w="8880" w:type="dxa"/>
            <w:vAlign w:val="bottom"/>
            <w:gridSpan w:val="2"/>
          </w:tcPr>
          <w:p>
            <w:pPr>
              <w:ind w:left="80"/>
              <w:spacing w:after="0" w:line="182" w:lineRule="exact"/>
              <w:rPr>
                <w:sz w:val="20"/>
                <w:szCs w:val="20"/>
                <w:color w:val="auto"/>
              </w:rPr>
            </w:pPr>
            <w:r>
              <w:rPr>
                <w:rFonts w:ascii="Arial" w:cs="Arial" w:eastAsia="Arial" w:hAnsi="Arial"/>
                <w:sz w:val="16"/>
                <w:szCs w:val="16"/>
                <w:color w:val="auto"/>
              </w:rPr>
              <w:t>Semiconductor Test Division from 2001 to 2003 and Chief Financial Officer from 1999 to 2001. Mr. Bradley has served as a</w:t>
            </w:r>
          </w:p>
        </w:tc>
        <w:tc>
          <w:tcPr>
            <w:tcW w:w="180" w:type="dxa"/>
            <w:vAlign w:val="bottom"/>
            <w:tcBorders>
              <w:right w:val="single" w:sz="8" w:color="53C072"/>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80" w:type="dxa"/>
            <w:vAlign w:val="bottom"/>
            <w:tcBorders>
              <w:left w:val="single" w:sz="8" w:color="53C072"/>
            </w:tcBorders>
            <w:shd w:val="clear" w:color="auto" w:fill="CFE9D2"/>
          </w:tcPr>
          <w:p>
            <w:pPr>
              <w:spacing w:after="0"/>
              <w:rPr>
                <w:sz w:val="18"/>
                <w:szCs w:val="18"/>
                <w:color w:val="auto"/>
              </w:rPr>
            </w:pPr>
          </w:p>
        </w:tc>
        <w:tc>
          <w:tcPr>
            <w:tcW w:w="1820" w:type="dxa"/>
            <w:vAlign w:val="bottom"/>
            <w:tcBorders>
              <w:right w:val="single" w:sz="8" w:color="53C072"/>
            </w:tcBorders>
            <w:shd w:val="clear" w:color="auto" w:fill="CFE9D2"/>
          </w:tcPr>
          <w:p>
            <w:pPr>
              <w:spacing w:after="0"/>
              <w:rPr>
                <w:sz w:val="18"/>
                <w:szCs w:val="18"/>
                <w:color w:val="auto"/>
              </w:rPr>
            </w:pPr>
          </w:p>
        </w:tc>
        <w:tc>
          <w:tcPr>
            <w:tcW w:w="8880" w:type="dxa"/>
            <w:vAlign w:val="bottom"/>
            <w:gridSpan w:val="2"/>
          </w:tcPr>
          <w:p>
            <w:pPr>
              <w:ind w:left="80"/>
              <w:spacing w:after="0"/>
              <w:rPr>
                <w:sz w:val="20"/>
                <w:szCs w:val="20"/>
                <w:color w:val="auto"/>
              </w:rPr>
            </w:pPr>
            <w:r>
              <w:rPr>
                <w:rFonts w:ascii="Arial" w:cs="Arial" w:eastAsia="Arial" w:hAnsi="Arial"/>
                <w:sz w:val="16"/>
                <w:szCs w:val="16"/>
                <w:color w:val="auto"/>
              </w:rPr>
              <w:t>director of Entegris, Inc. (Nasdaq: ENTG) and its predecessor company, Mykrolis Corporation, since 2001.</w:t>
            </w:r>
          </w:p>
        </w:tc>
        <w:tc>
          <w:tcPr>
            <w:tcW w:w="180" w:type="dxa"/>
            <w:vAlign w:val="bottom"/>
            <w:tcBorders>
              <w:right w:val="single" w:sz="8" w:color="53C072"/>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80" w:type="dxa"/>
            <w:vAlign w:val="bottom"/>
            <w:tcBorders>
              <w:left w:val="single" w:sz="8" w:color="53C072"/>
              <w:bottom w:val="single" w:sz="8" w:color="CFE9D2"/>
            </w:tcBorders>
            <w:shd w:val="clear" w:color="auto" w:fill="CFE9D2"/>
          </w:tcPr>
          <w:p>
            <w:pPr>
              <w:spacing w:after="0"/>
              <w:rPr>
                <w:sz w:val="16"/>
                <w:szCs w:val="16"/>
                <w:color w:val="auto"/>
              </w:rPr>
            </w:pPr>
          </w:p>
        </w:tc>
        <w:tc>
          <w:tcPr>
            <w:tcW w:w="1820" w:type="dxa"/>
            <w:vAlign w:val="bottom"/>
            <w:tcBorders>
              <w:bottom w:val="single" w:sz="8" w:color="CFE9D2"/>
              <w:right w:val="single" w:sz="8" w:color="53C072"/>
            </w:tcBorders>
            <w:shd w:val="clear" w:color="auto" w:fill="CFE9D2"/>
          </w:tcPr>
          <w:p>
            <w:pPr>
              <w:spacing w:after="0"/>
              <w:rPr>
                <w:sz w:val="16"/>
                <w:szCs w:val="16"/>
                <w:color w:val="auto"/>
              </w:rPr>
            </w:pPr>
          </w:p>
        </w:tc>
        <w:tc>
          <w:tcPr>
            <w:tcW w:w="8880" w:type="dxa"/>
            <w:vAlign w:val="bottom"/>
            <w:tcBorders>
              <w:bottom w:val="single" w:sz="8" w:color="53C072"/>
            </w:tcBorders>
            <w:gridSpan w:val="2"/>
          </w:tcPr>
          <w:p>
            <w:pPr>
              <w:spacing w:after="0"/>
              <w:rPr>
                <w:sz w:val="16"/>
                <w:szCs w:val="16"/>
                <w:color w:val="auto"/>
              </w:rPr>
            </w:pPr>
          </w:p>
        </w:tc>
        <w:tc>
          <w:tcPr>
            <w:tcW w:w="180" w:type="dxa"/>
            <w:vAlign w:val="bottom"/>
            <w:tcBorders>
              <w:bottom w:val="single" w:sz="8" w:color="53C072"/>
              <w:right w:val="single" w:sz="8" w:color="53C072"/>
            </w:tcBorders>
          </w:tcPr>
          <w:p>
            <w:pPr>
              <w:spacing w:after="0"/>
              <w:rPr>
                <w:sz w:val="16"/>
                <w:szCs w:val="16"/>
                <w:color w:val="auto"/>
              </w:rPr>
            </w:pPr>
          </w:p>
        </w:tc>
        <w:tc>
          <w:tcPr>
            <w:tcW w:w="0" w:type="dxa"/>
            <w:vAlign w:val="bottom"/>
          </w:tcPr>
          <w:p>
            <w:pPr>
              <w:spacing w:after="0"/>
              <w:rPr>
                <w:sz w:val="1"/>
                <w:szCs w:val="1"/>
                <w:color w:val="auto"/>
              </w:rPr>
            </w:pPr>
          </w:p>
        </w:tc>
      </w:tr>
      <w:tr>
        <w:trPr>
          <w:trHeight w:val="446"/>
        </w:trPr>
        <w:tc>
          <w:tcPr>
            <w:tcW w:w="380" w:type="dxa"/>
            <w:vAlign w:val="bottom"/>
            <w:tcBorders>
              <w:left w:val="single" w:sz="8" w:color="53C072"/>
            </w:tcBorders>
            <w:shd w:val="clear" w:color="auto" w:fill="CFE9D2"/>
          </w:tcPr>
          <w:p>
            <w:pPr>
              <w:spacing w:after="0"/>
              <w:rPr>
                <w:sz w:val="24"/>
                <w:szCs w:val="24"/>
                <w:color w:val="auto"/>
              </w:rPr>
            </w:pPr>
          </w:p>
        </w:tc>
        <w:tc>
          <w:tcPr>
            <w:tcW w:w="1820" w:type="dxa"/>
            <w:vAlign w:val="bottom"/>
            <w:tcBorders>
              <w:right w:val="single" w:sz="8" w:color="53C072"/>
            </w:tcBorders>
            <w:shd w:val="clear" w:color="auto" w:fill="CFE9D2"/>
          </w:tcPr>
          <w:p>
            <w:pPr>
              <w:spacing w:after="0"/>
              <w:rPr>
                <w:sz w:val="24"/>
                <w:szCs w:val="24"/>
                <w:color w:val="auto"/>
              </w:rPr>
            </w:pPr>
          </w:p>
        </w:tc>
        <w:tc>
          <w:tcPr>
            <w:tcW w:w="8880" w:type="dxa"/>
            <w:vAlign w:val="bottom"/>
            <w:gridSpan w:val="2"/>
          </w:tcPr>
          <w:p>
            <w:pPr>
              <w:ind w:left="80"/>
              <w:spacing w:after="0"/>
              <w:rPr>
                <w:sz w:val="20"/>
                <w:szCs w:val="20"/>
                <w:color w:val="auto"/>
              </w:rPr>
            </w:pPr>
            <w:r>
              <w:rPr>
                <w:rFonts w:ascii="Arial" w:cs="Arial" w:eastAsia="Arial" w:hAnsi="Arial"/>
                <w:sz w:val="16"/>
                <w:szCs w:val="16"/>
                <w:b w:val="1"/>
                <w:bCs w:val="1"/>
                <w:color w:val="53C072"/>
              </w:rPr>
              <w:t>Primary Qualifications and Experience:</w:t>
            </w:r>
          </w:p>
        </w:tc>
        <w:tc>
          <w:tcPr>
            <w:tcW w:w="180" w:type="dxa"/>
            <w:vAlign w:val="bottom"/>
            <w:tcBorders>
              <w:right w:val="single" w:sz="8" w:color="53C072"/>
            </w:tcBorders>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2200" w:type="dxa"/>
            <w:vAlign w:val="bottom"/>
            <w:tcBorders>
              <w:left w:val="single" w:sz="8" w:color="53C072"/>
              <w:right w:val="single" w:sz="8" w:color="53C072"/>
            </w:tcBorders>
            <w:gridSpan w:val="2"/>
            <w:shd w:val="clear" w:color="auto" w:fill="CFE9D2"/>
          </w:tcPr>
          <w:p>
            <w:pPr>
              <w:ind w:left="200"/>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2012</w:t>
            </w:r>
          </w:p>
        </w:tc>
        <w:tc>
          <w:tcPr>
            <w:tcW w:w="2600" w:type="dxa"/>
            <w:vAlign w:val="bottom"/>
          </w:tcPr>
          <w:p>
            <w:pPr>
              <w:ind w:left="6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CEO</w:t>
            </w:r>
          </w:p>
        </w:tc>
        <w:tc>
          <w:tcPr>
            <w:tcW w:w="6280" w:type="dxa"/>
            <w:vAlign w:val="bottom"/>
          </w:tcPr>
          <w:p>
            <w:pPr>
              <w:jc w:val="right"/>
              <w:ind w:right="4413"/>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Senior Leadership</w:t>
            </w:r>
          </w:p>
        </w:tc>
        <w:tc>
          <w:tcPr>
            <w:tcW w:w="180" w:type="dxa"/>
            <w:vAlign w:val="bottom"/>
            <w:tcBorders>
              <w:right w:val="single" w:sz="8" w:color="53C072"/>
            </w:tcBorders>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200" w:type="dxa"/>
            <w:vAlign w:val="bottom"/>
            <w:tcBorders>
              <w:left w:val="single" w:sz="8" w:color="53C072"/>
              <w:right w:val="single" w:sz="8" w:color="53C072"/>
            </w:tcBorders>
            <w:gridSpan w:val="2"/>
            <w:shd w:val="clear" w:color="auto" w:fill="CFE9D2"/>
          </w:tcPr>
          <w:p>
            <w:pPr>
              <w:ind w:left="200"/>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71</w:t>
            </w:r>
          </w:p>
        </w:tc>
        <w:tc>
          <w:tcPr>
            <w:tcW w:w="2600" w:type="dxa"/>
            <w:vAlign w:val="bottom"/>
          </w:tcPr>
          <w:p>
            <w:pPr>
              <w:ind w:left="6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Global Business</w:t>
            </w:r>
          </w:p>
        </w:tc>
        <w:tc>
          <w:tcPr>
            <w:tcW w:w="6280" w:type="dxa"/>
            <w:vAlign w:val="bottom"/>
          </w:tcPr>
          <w:p>
            <w:pPr>
              <w:jc w:val="right"/>
              <w:ind w:right="4753"/>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Semiconductor</w:t>
            </w:r>
          </w:p>
        </w:tc>
        <w:tc>
          <w:tcPr>
            <w:tcW w:w="180" w:type="dxa"/>
            <w:vAlign w:val="bottom"/>
            <w:tcBorders>
              <w:right w:val="single" w:sz="8" w:color="53C072"/>
            </w:tcBorders>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2200" w:type="dxa"/>
            <w:vAlign w:val="bottom"/>
            <w:tcBorders>
              <w:left w:val="single" w:sz="8" w:color="53C072"/>
              <w:right w:val="single" w:sz="8" w:color="53C072"/>
            </w:tcBorders>
            <w:gridSpan w:val="2"/>
            <w:shd w:val="clear" w:color="auto" w:fill="CFE9D2"/>
          </w:tcPr>
          <w:p>
            <w:pPr>
              <w:ind w:left="200"/>
              <w:spacing w:after="0"/>
              <w:rPr>
                <w:sz w:val="20"/>
                <w:szCs w:val="20"/>
                <w:color w:val="auto"/>
              </w:rPr>
            </w:pPr>
            <w:r>
              <w:rPr>
                <w:rFonts w:ascii="Arial" w:cs="Arial" w:eastAsia="Arial" w:hAnsi="Arial"/>
                <w:sz w:val="13"/>
                <w:szCs w:val="13"/>
                <w:b w:val="1"/>
                <w:bCs w:val="1"/>
                <w:color w:val="auto"/>
              </w:rPr>
              <w:t>Independent</w:t>
            </w:r>
          </w:p>
        </w:tc>
        <w:tc>
          <w:tcPr>
            <w:tcW w:w="2600" w:type="dxa"/>
            <w:vAlign w:val="bottom"/>
          </w:tcPr>
          <w:p>
            <w:pPr>
              <w:ind w:left="6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Sales/Marketing</w:t>
            </w:r>
          </w:p>
        </w:tc>
        <w:tc>
          <w:tcPr>
            <w:tcW w:w="6280" w:type="dxa"/>
            <w:vAlign w:val="bottom"/>
          </w:tcPr>
          <w:p>
            <w:pPr>
              <w:jc w:val="right"/>
              <w:ind w:right="3853"/>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Risk Oversight/Compliance</w:t>
            </w:r>
          </w:p>
        </w:tc>
        <w:tc>
          <w:tcPr>
            <w:tcW w:w="180" w:type="dxa"/>
            <w:vAlign w:val="bottom"/>
            <w:tcBorders>
              <w:right w:val="single" w:sz="8" w:color="53C072"/>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200" w:type="dxa"/>
            <w:vAlign w:val="bottom"/>
            <w:tcBorders>
              <w:left w:val="single" w:sz="8" w:color="53C072"/>
              <w:right w:val="single" w:sz="8" w:color="53C072"/>
            </w:tcBorders>
            <w:gridSpan w:val="2"/>
            <w:shd w:val="clear" w:color="auto" w:fill="CFE9D2"/>
          </w:tcPr>
          <w:p>
            <w:pPr>
              <w:ind w:left="200"/>
              <w:spacing w:after="0"/>
              <w:rPr>
                <w:sz w:val="20"/>
                <w:szCs w:val="20"/>
                <w:color w:val="auto"/>
              </w:rPr>
            </w:pPr>
            <w:r>
              <w:rPr>
                <w:rFonts w:ascii="Arial" w:cs="Arial" w:eastAsia="Arial" w:hAnsi="Arial"/>
                <w:sz w:val="13"/>
                <w:szCs w:val="13"/>
                <w:b w:val="1"/>
                <w:bCs w:val="1"/>
                <w:color w:val="auto"/>
              </w:rPr>
              <w:t>Current Committee</w:t>
            </w:r>
          </w:p>
        </w:tc>
        <w:tc>
          <w:tcPr>
            <w:tcW w:w="2600" w:type="dxa"/>
            <w:vAlign w:val="bottom"/>
            <w:vMerge w:val="restart"/>
          </w:tcPr>
          <w:p>
            <w:pPr>
              <w:ind w:left="6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Finance</w:t>
            </w:r>
          </w:p>
        </w:tc>
        <w:tc>
          <w:tcPr>
            <w:tcW w:w="6280" w:type="dxa"/>
            <w:vAlign w:val="bottom"/>
          </w:tcPr>
          <w:p>
            <w:pPr>
              <w:spacing w:after="0"/>
              <w:rPr>
                <w:sz w:val="20"/>
                <w:szCs w:val="20"/>
                <w:color w:val="auto"/>
              </w:rPr>
            </w:pPr>
          </w:p>
        </w:tc>
        <w:tc>
          <w:tcPr>
            <w:tcW w:w="180" w:type="dxa"/>
            <w:vAlign w:val="bottom"/>
            <w:tcBorders>
              <w:right w:val="single" w:sz="8" w:color="53C072"/>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200" w:type="dxa"/>
            <w:vAlign w:val="bottom"/>
            <w:tcBorders>
              <w:left w:val="single" w:sz="8" w:color="53C072"/>
              <w:right w:val="single" w:sz="8" w:color="53C072"/>
            </w:tcBorders>
            <w:gridSpan w:val="2"/>
            <w:shd w:val="clear" w:color="auto" w:fill="CFE9D2"/>
          </w:tcPr>
          <w:p>
            <w:pPr>
              <w:ind w:left="200"/>
              <w:spacing w:after="0"/>
              <w:rPr>
                <w:sz w:val="20"/>
                <w:szCs w:val="20"/>
                <w:color w:val="auto"/>
              </w:rPr>
            </w:pPr>
            <w:r>
              <w:rPr>
                <w:rFonts w:ascii="Arial" w:cs="Arial" w:eastAsia="Arial" w:hAnsi="Arial"/>
                <w:sz w:val="13"/>
                <w:szCs w:val="13"/>
                <w:b w:val="1"/>
                <w:bCs w:val="1"/>
                <w:color w:val="auto"/>
              </w:rPr>
              <w:t>Memberships:</w:t>
            </w:r>
          </w:p>
        </w:tc>
        <w:tc>
          <w:tcPr>
            <w:tcW w:w="2600" w:type="dxa"/>
            <w:vAlign w:val="bottom"/>
            <w:vMerge w:val="continue"/>
          </w:tcPr>
          <w:p>
            <w:pPr>
              <w:spacing w:after="0"/>
              <w:rPr>
                <w:sz w:val="15"/>
                <w:szCs w:val="15"/>
                <w:color w:val="auto"/>
              </w:rPr>
            </w:pPr>
          </w:p>
        </w:tc>
        <w:tc>
          <w:tcPr>
            <w:tcW w:w="6280" w:type="dxa"/>
            <w:vAlign w:val="bottom"/>
          </w:tcPr>
          <w:p>
            <w:pPr>
              <w:spacing w:after="0"/>
              <w:rPr>
                <w:sz w:val="15"/>
                <w:szCs w:val="15"/>
                <w:color w:val="auto"/>
              </w:rPr>
            </w:pPr>
          </w:p>
        </w:tc>
        <w:tc>
          <w:tcPr>
            <w:tcW w:w="180" w:type="dxa"/>
            <w:vAlign w:val="bottom"/>
            <w:tcBorders>
              <w:right w:val="single" w:sz="8" w:color="53C072"/>
            </w:tcBorders>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380" w:type="dxa"/>
            <w:vAlign w:val="bottom"/>
            <w:tcBorders>
              <w:left w:val="single" w:sz="8" w:color="53C072"/>
            </w:tcBorders>
            <w:shd w:val="clear" w:color="auto" w:fill="CFE9D2"/>
          </w:tcPr>
          <w:p>
            <w:pPr>
              <w:ind w:left="200"/>
              <w:spacing w:after="0"/>
              <w:rPr>
                <w:sz w:val="20"/>
                <w:szCs w:val="20"/>
                <w:color w:val="auto"/>
              </w:rPr>
            </w:pPr>
            <w:r>
              <w:rPr>
                <w:rFonts w:ascii="Arial" w:cs="Arial" w:eastAsia="Arial" w:hAnsi="Arial"/>
                <w:sz w:val="13"/>
                <w:szCs w:val="13"/>
                <w:color w:val="53C072"/>
              </w:rPr>
              <w:t>•</w:t>
            </w:r>
          </w:p>
        </w:tc>
        <w:tc>
          <w:tcPr>
            <w:tcW w:w="1820" w:type="dxa"/>
            <w:vAlign w:val="bottom"/>
            <w:tcBorders>
              <w:right w:val="single" w:sz="8" w:color="53C072"/>
            </w:tcBorders>
            <w:shd w:val="clear" w:color="auto" w:fill="CFE9D2"/>
          </w:tcPr>
          <w:p>
            <w:pPr>
              <w:ind w:left="120"/>
              <w:spacing w:after="0"/>
              <w:rPr>
                <w:sz w:val="20"/>
                <w:szCs w:val="20"/>
                <w:color w:val="auto"/>
              </w:rPr>
            </w:pPr>
            <w:r>
              <w:rPr>
                <w:rFonts w:ascii="Arial" w:cs="Arial" w:eastAsia="Arial" w:hAnsi="Arial"/>
                <w:sz w:val="13"/>
                <w:szCs w:val="13"/>
                <w:color w:val="auto"/>
              </w:rPr>
              <w:t>Audit Committee (Chair)</w:t>
            </w:r>
          </w:p>
        </w:tc>
        <w:tc>
          <w:tcPr>
            <w:tcW w:w="8880" w:type="dxa"/>
            <w:vAlign w:val="bottom"/>
            <w:gridSpan w:val="2"/>
          </w:tcPr>
          <w:p>
            <w:pPr>
              <w:ind w:left="80"/>
              <w:spacing w:after="0"/>
              <w:rPr>
                <w:sz w:val="20"/>
                <w:szCs w:val="20"/>
                <w:color w:val="auto"/>
              </w:rPr>
            </w:pPr>
            <w:r>
              <w:rPr>
                <w:rFonts w:ascii="Arial" w:cs="Arial" w:eastAsia="Arial" w:hAnsi="Arial"/>
                <w:sz w:val="16"/>
                <w:szCs w:val="16"/>
                <w:color w:val="auto"/>
                <w:w w:val="99"/>
              </w:rPr>
              <w:t>The Board benefits from Mr. Bradley's extensive experience in the semiconductor industry and from his experience in running</w:t>
            </w:r>
          </w:p>
        </w:tc>
        <w:tc>
          <w:tcPr>
            <w:tcW w:w="180" w:type="dxa"/>
            <w:vAlign w:val="bottom"/>
            <w:tcBorders>
              <w:right w:val="single" w:sz="8" w:color="53C072"/>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53C072"/>
            </w:tcBorders>
            <w:vMerge w:val="restart"/>
            <w:shd w:val="clear" w:color="auto" w:fill="CFE9D2"/>
          </w:tcPr>
          <w:p>
            <w:pPr>
              <w:ind w:left="200"/>
              <w:spacing w:after="0"/>
              <w:rPr>
                <w:sz w:val="20"/>
                <w:szCs w:val="20"/>
                <w:color w:val="auto"/>
              </w:rPr>
            </w:pPr>
            <w:r>
              <w:rPr>
                <w:rFonts w:ascii="Arial" w:cs="Arial" w:eastAsia="Arial" w:hAnsi="Arial"/>
                <w:sz w:val="13"/>
                <w:szCs w:val="13"/>
                <w:color w:val="53C072"/>
              </w:rPr>
              <w:t>•</w:t>
            </w:r>
          </w:p>
        </w:tc>
        <w:tc>
          <w:tcPr>
            <w:tcW w:w="1820" w:type="dxa"/>
            <w:vAlign w:val="bottom"/>
            <w:tcBorders>
              <w:right w:val="single" w:sz="8" w:color="53C072"/>
            </w:tcBorders>
            <w:vMerge w:val="restart"/>
            <w:shd w:val="clear" w:color="auto" w:fill="CFE9D2"/>
          </w:tcPr>
          <w:p>
            <w:pPr>
              <w:ind w:left="120"/>
              <w:spacing w:after="0"/>
              <w:rPr>
                <w:sz w:val="20"/>
                <w:szCs w:val="20"/>
                <w:color w:val="auto"/>
              </w:rPr>
            </w:pPr>
            <w:r>
              <w:rPr>
                <w:rFonts w:ascii="Arial" w:cs="Arial" w:eastAsia="Arial" w:hAnsi="Arial"/>
                <w:sz w:val="13"/>
                <w:szCs w:val="13"/>
                <w:color w:val="auto"/>
              </w:rPr>
              <w:t>Finance Committee</w:t>
            </w:r>
          </w:p>
        </w:tc>
        <w:tc>
          <w:tcPr>
            <w:tcW w:w="8880" w:type="dxa"/>
            <w:vAlign w:val="bottom"/>
            <w:gridSpan w:val="2"/>
          </w:tcPr>
          <w:p>
            <w:pPr>
              <w:ind w:left="80"/>
              <w:spacing w:after="0" w:line="182" w:lineRule="exact"/>
              <w:rPr>
                <w:sz w:val="20"/>
                <w:szCs w:val="20"/>
                <w:color w:val="auto"/>
              </w:rPr>
            </w:pPr>
            <w:r>
              <w:rPr>
                <w:rFonts w:ascii="Arial" w:cs="Arial" w:eastAsia="Arial" w:hAnsi="Arial"/>
                <w:sz w:val="16"/>
                <w:szCs w:val="16"/>
                <w:color w:val="auto"/>
              </w:rPr>
              <w:t>a global technology operation. The Board believes he provides additional perspective in the areas of corporate governance</w:t>
            </w:r>
          </w:p>
        </w:tc>
        <w:tc>
          <w:tcPr>
            <w:tcW w:w="180" w:type="dxa"/>
            <w:vAlign w:val="bottom"/>
            <w:tcBorders>
              <w:right w:val="single" w:sz="8" w:color="53C072"/>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80" w:type="dxa"/>
            <w:vAlign w:val="bottom"/>
            <w:tcBorders>
              <w:left w:val="single" w:sz="8" w:color="53C072"/>
            </w:tcBorders>
            <w:vMerge w:val="continue"/>
            <w:shd w:val="clear" w:color="auto" w:fill="CFE9D2"/>
          </w:tcPr>
          <w:p>
            <w:pPr>
              <w:spacing w:after="0"/>
              <w:rPr>
                <w:sz w:val="18"/>
                <w:szCs w:val="18"/>
                <w:color w:val="auto"/>
              </w:rPr>
            </w:pPr>
          </w:p>
        </w:tc>
        <w:tc>
          <w:tcPr>
            <w:tcW w:w="1820" w:type="dxa"/>
            <w:vAlign w:val="bottom"/>
            <w:tcBorders>
              <w:right w:val="single" w:sz="8" w:color="53C072"/>
            </w:tcBorders>
            <w:vMerge w:val="continue"/>
            <w:shd w:val="clear" w:color="auto" w:fill="CFE9D2"/>
          </w:tcPr>
          <w:p>
            <w:pPr>
              <w:spacing w:after="0"/>
              <w:rPr>
                <w:sz w:val="18"/>
                <w:szCs w:val="18"/>
                <w:color w:val="auto"/>
              </w:rPr>
            </w:pPr>
          </w:p>
        </w:tc>
        <w:tc>
          <w:tcPr>
            <w:tcW w:w="2600" w:type="dxa"/>
            <w:vAlign w:val="bottom"/>
          </w:tcPr>
          <w:p>
            <w:pPr>
              <w:ind w:left="80"/>
              <w:spacing w:after="0"/>
              <w:rPr>
                <w:sz w:val="20"/>
                <w:szCs w:val="20"/>
                <w:color w:val="auto"/>
              </w:rPr>
            </w:pPr>
            <w:r>
              <w:rPr>
                <w:rFonts w:ascii="Arial" w:cs="Arial" w:eastAsia="Arial" w:hAnsi="Arial"/>
                <w:sz w:val="16"/>
                <w:szCs w:val="16"/>
                <w:color w:val="auto"/>
              </w:rPr>
              <w:t>and financial reporting.</w:t>
            </w:r>
          </w:p>
        </w:tc>
        <w:tc>
          <w:tcPr>
            <w:tcW w:w="6280" w:type="dxa"/>
            <w:vAlign w:val="bottom"/>
          </w:tcPr>
          <w:p>
            <w:pPr>
              <w:spacing w:after="0"/>
              <w:rPr>
                <w:sz w:val="18"/>
                <w:szCs w:val="18"/>
                <w:color w:val="auto"/>
              </w:rPr>
            </w:pPr>
          </w:p>
        </w:tc>
        <w:tc>
          <w:tcPr>
            <w:tcW w:w="180" w:type="dxa"/>
            <w:vAlign w:val="bottom"/>
            <w:tcBorders>
              <w:right w:val="single" w:sz="8" w:color="53C072"/>
            </w:tcBorders>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80" w:type="dxa"/>
            <w:vAlign w:val="bottom"/>
            <w:tcBorders>
              <w:left w:val="single" w:sz="8" w:color="53C072"/>
              <w:bottom w:val="single" w:sz="8" w:color="53C072"/>
            </w:tcBorders>
            <w:shd w:val="clear" w:color="auto" w:fill="CFE9D2"/>
          </w:tcPr>
          <w:p>
            <w:pPr>
              <w:ind w:left="200"/>
              <w:spacing w:after="0"/>
              <w:rPr>
                <w:sz w:val="20"/>
                <w:szCs w:val="20"/>
                <w:color w:val="auto"/>
              </w:rPr>
            </w:pPr>
            <w:r>
              <w:rPr>
                <w:rFonts w:ascii="Arial" w:cs="Arial" w:eastAsia="Arial" w:hAnsi="Arial"/>
                <w:sz w:val="13"/>
                <w:szCs w:val="13"/>
                <w:color w:val="53C072"/>
              </w:rPr>
              <w:t>•</w:t>
            </w:r>
          </w:p>
        </w:tc>
        <w:tc>
          <w:tcPr>
            <w:tcW w:w="1820" w:type="dxa"/>
            <w:vAlign w:val="bottom"/>
            <w:tcBorders>
              <w:bottom w:val="single" w:sz="8" w:color="53C072"/>
              <w:right w:val="single" w:sz="8" w:color="53C072"/>
            </w:tcBorders>
            <w:shd w:val="clear" w:color="auto" w:fill="CFE9D2"/>
          </w:tcPr>
          <w:p>
            <w:pPr>
              <w:ind w:left="120"/>
              <w:spacing w:after="0"/>
              <w:rPr>
                <w:sz w:val="20"/>
                <w:szCs w:val="20"/>
                <w:color w:val="auto"/>
              </w:rPr>
            </w:pPr>
            <w:r>
              <w:rPr>
                <w:rFonts w:ascii="Arial" w:cs="Arial" w:eastAsia="Arial" w:hAnsi="Arial"/>
                <w:sz w:val="13"/>
                <w:szCs w:val="13"/>
                <w:color w:val="auto"/>
              </w:rPr>
              <w:t>Executive Committee</w:t>
            </w:r>
          </w:p>
        </w:tc>
        <w:tc>
          <w:tcPr>
            <w:tcW w:w="2600" w:type="dxa"/>
            <w:vAlign w:val="bottom"/>
            <w:tcBorders>
              <w:bottom w:val="single" w:sz="8" w:color="53C072"/>
            </w:tcBorders>
          </w:tcPr>
          <w:p>
            <w:pPr>
              <w:spacing w:after="0"/>
              <w:rPr>
                <w:sz w:val="21"/>
                <w:szCs w:val="21"/>
                <w:color w:val="auto"/>
              </w:rPr>
            </w:pPr>
          </w:p>
        </w:tc>
        <w:tc>
          <w:tcPr>
            <w:tcW w:w="6280" w:type="dxa"/>
            <w:vAlign w:val="bottom"/>
            <w:tcBorders>
              <w:bottom w:val="single" w:sz="8" w:color="53C072"/>
            </w:tcBorders>
          </w:tcPr>
          <w:p>
            <w:pPr>
              <w:spacing w:after="0"/>
              <w:rPr>
                <w:sz w:val="21"/>
                <w:szCs w:val="21"/>
                <w:color w:val="auto"/>
              </w:rPr>
            </w:pPr>
          </w:p>
        </w:tc>
        <w:tc>
          <w:tcPr>
            <w:tcW w:w="180" w:type="dxa"/>
            <w:vAlign w:val="bottom"/>
            <w:tcBorders>
              <w:bottom w:val="single" w:sz="8" w:color="53C072"/>
              <w:right w:val="single" w:sz="8" w:color="53C072"/>
            </w:tcBorders>
          </w:tcPr>
          <w:p>
            <w:pPr>
              <w:spacing w:after="0"/>
              <w:rPr>
                <w:sz w:val="21"/>
                <w:szCs w:val="21"/>
                <w:color w:val="auto"/>
              </w:rPr>
            </w:pPr>
          </w:p>
        </w:tc>
        <w:tc>
          <w:tcPr>
            <w:tcW w:w="0" w:type="dxa"/>
            <w:vAlign w:val="bottom"/>
          </w:tcPr>
          <w:p>
            <w:pPr>
              <w:spacing w:after="0"/>
              <w:rPr>
                <w:sz w:val="1"/>
                <w:szCs w:val="1"/>
                <w:color w:val="auto"/>
              </w:rPr>
            </w:pPr>
          </w:p>
        </w:tc>
      </w:tr>
      <w:tr>
        <w:trPr>
          <w:trHeight w:val="521"/>
        </w:trPr>
        <w:tc>
          <w:tcPr>
            <w:tcW w:w="3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280" w:type="dxa"/>
            <w:vAlign w:val="bottom"/>
          </w:tcPr>
          <w:p>
            <w:pPr>
              <w:jc w:val="right"/>
              <w:ind w:right="213"/>
              <w:spacing w:after="0"/>
              <w:rPr>
                <w:sz w:val="20"/>
                <w:szCs w:val="20"/>
                <w:color w:val="auto"/>
              </w:rPr>
            </w:pPr>
            <w:r>
              <w:rPr>
                <w:rFonts w:ascii="Arial" w:cs="Arial" w:eastAsia="Arial" w:hAnsi="Arial"/>
                <w:sz w:val="23"/>
                <w:szCs w:val="23"/>
                <w:b w:val="1"/>
                <w:bCs w:val="1"/>
                <w:color w:val="53C072"/>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43"/>
        </w:trPr>
        <w:tc>
          <w:tcPr>
            <w:tcW w:w="380" w:type="dxa"/>
            <w:vAlign w:val="bottom"/>
            <w:tcBorders>
              <w:bottom w:val="single" w:sz="8" w:color="808080"/>
            </w:tcBorders>
          </w:tcPr>
          <w:p>
            <w:pPr>
              <w:spacing w:after="0"/>
              <w:rPr>
                <w:sz w:val="12"/>
                <w:szCs w:val="12"/>
                <w:color w:val="auto"/>
              </w:rPr>
            </w:pPr>
          </w:p>
        </w:tc>
        <w:tc>
          <w:tcPr>
            <w:tcW w:w="1820" w:type="dxa"/>
            <w:vAlign w:val="bottom"/>
            <w:tcBorders>
              <w:bottom w:val="single" w:sz="8" w:color="808080"/>
            </w:tcBorders>
          </w:tcPr>
          <w:p>
            <w:pPr>
              <w:spacing w:after="0"/>
              <w:rPr>
                <w:sz w:val="12"/>
                <w:szCs w:val="12"/>
                <w:color w:val="auto"/>
              </w:rPr>
            </w:pPr>
          </w:p>
        </w:tc>
        <w:tc>
          <w:tcPr>
            <w:tcW w:w="2600" w:type="dxa"/>
            <w:vAlign w:val="bottom"/>
            <w:tcBorders>
              <w:bottom w:val="single" w:sz="8" w:color="808080"/>
            </w:tcBorders>
          </w:tcPr>
          <w:p>
            <w:pPr>
              <w:spacing w:after="0"/>
              <w:rPr>
                <w:sz w:val="12"/>
                <w:szCs w:val="12"/>
                <w:color w:val="auto"/>
              </w:rPr>
            </w:pPr>
          </w:p>
        </w:tc>
        <w:tc>
          <w:tcPr>
            <w:tcW w:w="628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-13335</wp:posOffset>
            </wp:positionV>
            <wp:extent cx="1270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128905</wp:posOffset>
            </wp:positionH>
            <wp:positionV relativeFrom="paragraph">
              <wp:posOffset>-3517265</wp:posOffset>
            </wp:positionV>
            <wp:extent cx="1156335" cy="16186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56335" cy="16186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-302260</wp:posOffset>
            </wp:positionV>
            <wp:extent cx="1664970" cy="1231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3"/>
        </w:trPr>
        <w:tc>
          <w:tcPr>
            <w:tcW w:w="532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5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32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5940" w:type="dxa"/>
            <w:vAlign w:val="bottom"/>
            <w:vMerge w:val="restart"/>
          </w:tcPr>
          <w:p>
            <w:pPr>
              <w:ind w:left="4080"/>
              <w:spacing w:after="0"/>
              <w:rPr>
                <w:sz w:val="20"/>
                <w:szCs w:val="20"/>
                <w:color w:val="auto"/>
              </w:rPr>
            </w:pPr>
            <w:r>
              <w:rPr>
                <w:rFonts w:ascii="Arial" w:cs="Arial" w:eastAsia="Arial" w:hAnsi="Arial"/>
                <w:sz w:val="13"/>
                <w:szCs w:val="13"/>
                <w:color w:val="auto"/>
                <w:w w:val="99"/>
              </w:rPr>
              <w:t>Proposal 1: Election of Directors</w:t>
            </w:r>
          </w:p>
        </w:tc>
        <w:tc>
          <w:tcPr>
            <w:tcW w:w="0" w:type="dxa"/>
            <w:vAlign w:val="bottom"/>
          </w:tcPr>
          <w:p>
            <w:pPr>
              <w:spacing w:after="0"/>
              <w:rPr>
                <w:sz w:val="1"/>
                <w:szCs w:val="1"/>
                <w:color w:val="auto"/>
              </w:rPr>
            </w:pPr>
          </w:p>
        </w:tc>
      </w:tr>
      <w:tr>
        <w:trPr>
          <w:trHeight w:val="102"/>
        </w:trPr>
        <w:tc>
          <w:tcPr>
            <w:tcW w:w="532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5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320" w:type="dxa"/>
            <w:vAlign w:val="bottom"/>
            <w:vMerge w:val="continue"/>
          </w:tcPr>
          <w:p>
            <w:pPr>
              <w:spacing w:after="0"/>
              <w:rPr>
                <w:sz w:val="7"/>
                <w:szCs w:val="7"/>
                <w:color w:val="auto"/>
              </w:rPr>
            </w:pPr>
          </w:p>
        </w:tc>
        <w:tc>
          <w:tcPr>
            <w:tcW w:w="59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tbl>
      <w:tblPr>
        <w:tblLayout w:type="fixed"/>
        <w:tblInd w:w="10" w:type="dxa"/>
        <w:tblCellMar>
          <w:top w:w="0" w:type="dxa"/>
          <w:left w:w="0" w:type="dxa"/>
          <w:bottom w:w="0" w:type="dxa"/>
          <w:right w:w="0" w:type="dxa"/>
        </w:tblCellMar>
      </w:tblPr>
      <w:tr>
        <w:trPr>
          <w:trHeight w:val="425"/>
        </w:trPr>
        <w:tc>
          <w:tcPr>
            <w:tcW w:w="380" w:type="dxa"/>
            <w:vAlign w:val="bottom"/>
            <w:tcBorders>
              <w:top w:val="single" w:sz="8" w:color="53C072"/>
              <w:left w:val="single" w:sz="8" w:color="53C072"/>
            </w:tcBorders>
            <w:shd w:val="clear" w:color="auto" w:fill="CFE9D2"/>
          </w:tcPr>
          <w:p>
            <w:pPr>
              <w:spacing w:after="0"/>
              <w:rPr>
                <w:sz w:val="24"/>
                <w:szCs w:val="24"/>
                <w:color w:val="auto"/>
              </w:rPr>
            </w:pPr>
          </w:p>
        </w:tc>
        <w:tc>
          <w:tcPr>
            <w:tcW w:w="1820" w:type="dxa"/>
            <w:vAlign w:val="bottom"/>
            <w:tcBorders>
              <w:top w:val="single" w:sz="8" w:color="53C072"/>
              <w:right w:val="single" w:sz="8" w:color="53C072"/>
            </w:tcBorders>
            <w:shd w:val="clear" w:color="auto" w:fill="CFE9D2"/>
          </w:tcPr>
          <w:p>
            <w:pPr>
              <w:spacing w:after="0"/>
              <w:rPr>
                <w:sz w:val="24"/>
                <w:szCs w:val="24"/>
                <w:color w:val="auto"/>
              </w:rPr>
            </w:pPr>
          </w:p>
        </w:tc>
        <w:tc>
          <w:tcPr>
            <w:tcW w:w="2160" w:type="dxa"/>
            <w:vAlign w:val="bottom"/>
            <w:tcBorders>
              <w:top w:val="single" w:sz="8" w:color="53C072"/>
            </w:tcBorders>
          </w:tcPr>
          <w:p>
            <w:pPr>
              <w:spacing w:after="0"/>
              <w:rPr>
                <w:sz w:val="24"/>
                <w:szCs w:val="24"/>
                <w:color w:val="auto"/>
              </w:rPr>
            </w:pPr>
          </w:p>
        </w:tc>
        <w:tc>
          <w:tcPr>
            <w:tcW w:w="6900" w:type="dxa"/>
            <w:vAlign w:val="bottom"/>
            <w:tcBorders>
              <w:top w:val="single" w:sz="8" w:color="53C072"/>
              <w:right w:val="single" w:sz="8" w:color="53C072"/>
            </w:tcBorders>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380" w:type="dxa"/>
            <w:vAlign w:val="bottom"/>
            <w:tcBorders>
              <w:left w:val="single" w:sz="8" w:color="53C072"/>
              <w:bottom w:val="single" w:sz="8" w:color="CFE9D2"/>
            </w:tcBorders>
            <w:shd w:val="clear" w:color="auto" w:fill="CFE9D2"/>
          </w:tcPr>
          <w:p>
            <w:pPr>
              <w:spacing w:after="0"/>
              <w:rPr>
                <w:sz w:val="24"/>
                <w:szCs w:val="24"/>
                <w:color w:val="auto"/>
              </w:rPr>
            </w:pPr>
          </w:p>
        </w:tc>
        <w:tc>
          <w:tcPr>
            <w:tcW w:w="1820" w:type="dxa"/>
            <w:vAlign w:val="bottom"/>
            <w:tcBorders>
              <w:bottom w:val="single" w:sz="8" w:color="CFE9D2"/>
              <w:right w:val="single" w:sz="8" w:color="53C072"/>
            </w:tcBorders>
            <w:shd w:val="clear" w:color="auto" w:fill="CFE9D2"/>
          </w:tcPr>
          <w:p>
            <w:pPr>
              <w:spacing w:after="0"/>
              <w:rPr>
                <w:sz w:val="24"/>
                <w:szCs w:val="24"/>
                <w:color w:val="auto"/>
              </w:rPr>
            </w:pPr>
          </w:p>
        </w:tc>
        <w:tc>
          <w:tcPr>
            <w:tcW w:w="9060" w:type="dxa"/>
            <w:vAlign w:val="bottom"/>
            <w:tcBorders>
              <w:bottom w:val="single" w:sz="8" w:color="53C072"/>
              <w:right w:val="single" w:sz="8" w:color="53C072"/>
            </w:tcBorders>
            <w:gridSpan w:val="2"/>
            <w:shd w:val="clear" w:color="auto" w:fill="53C072"/>
          </w:tcPr>
          <w:p>
            <w:pPr>
              <w:ind w:left="180"/>
              <w:spacing w:after="0"/>
              <w:rPr>
                <w:sz w:val="20"/>
                <w:szCs w:val="20"/>
                <w:color w:val="auto"/>
              </w:rPr>
            </w:pPr>
            <w:r>
              <w:rPr>
                <w:rFonts w:ascii="Arial" w:cs="Arial" w:eastAsia="Arial" w:hAnsi="Arial"/>
                <w:sz w:val="19"/>
                <w:szCs w:val="19"/>
                <w:b w:val="1"/>
                <w:bCs w:val="1"/>
                <w:color w:val="FFFFFE"/>
              </w:rPr>
              <w:t>BRENDA L. FREEMAN</w:t>
            </w:r>
          </w:p>
        </w:tc>
        <w:tc>
          <w:tcPr>
            <w:tcW w:w="0" w:type="dxa"/>
            <w:vAlign w:val="bottom"/>
          </w:tcPr>
          <w:p>
            <w:pPr>
              <w:spacing w:after="0"/>
              <w:rPr>
                <w:sz w:val="1"/>
                <w:szCs w:val="1"/>
                <w:color w:val="auto"/>
              </w:rPr>
            </w:pPr>
          </w:p>
        </w:tc>
      </w:tr>
      <w:tr>
        <w:trPr>
          <w:trHeight w:val="398"/>
        </w:trPr>
        <w:tc>
          <w:tcPr>
            <w:tcW w:w="380" w:type="dxa"/>
            <w:vAlign w:val="bottom"/>
            <w:tcBorders>
              <w:left w:val="single" w:sz="8" w:color="53C072"/>
            </w:tcBorders>
            <w:shd w:val="clear" w:color="auto" w:fill="CFE9D2"/>
          </w:tcPr>
          <w:p>
            <w:pPr>
              <w:spacing w:after="0"/>
              <w:rPr>
                <w:sz w:val="24"/>
                <w:szCs w:val="24"/>
                <w:color w:val="auto"/>
              </w:rPr>
            </w:pPr>
          </w:p>
        </w:tc>
        <w:tc>
          <w:tcPr>
            <w:tcW w:w="1820" w:type="dxa"/>
            <w:vAlign w:val="bottom"/>
            <w:tcBorders>
              <w:right w:val="single" w:sz="8" w:color="53C072"/>
            </w:tcBorders>
            <w:shd w:val="clear" w:color="auto" w:fill="CFE9D2"/>
          </w:tcPr>
          <w:p>
            <w:pPr>
              <w:spacing w:after="0"/>
              <w:rPr>
                <w:sz w:val="24"/>
                <w:szCs w:val="24"/>
                <w:color w:val="auto"/>
              </w:rPr>
            </w:pPr>
          </w:p>
        </w:tc>
        <w:tc>
          <w:tcPr>
            <w:tcW w:w="9060" w:type="dxa"/>
            <w:vAlign w:val="bottom"/>
            <w:tcBorders>
              <w:right w:val="single" w:sz="8" w:color="53C072"/>
            </w:tcBorders>
            <w:gridSpan w:val="2"/>
          </w:tcPr>
          <w:p>
            <w:pPr>
              <w:ind w:left="80"/>
              <w:spacing w:after="0"/>
              <w:rPr>
                <w:sz w:val="20"/>
                <w:szCs w:val="20"/>
                <w:color w:val="auto"/>
              </w:rPr>
            </w:pPr>
            <w:r>
              <w:rPr>
                <w:rFonts w:ascii="Arial" w:cs="Arial" w:eastAsia="Arial" w:hAnsi="Arial"/>
                <w:sz w:val="16"/>
                <w:szCs w:val="16"/>
                <w:b w:val="1"/>
                <w:bCs w:val="1"/>
                <w:color w:val="53C072"/>
              </w:rPr>
              <w:t>Recent Business Experience:</w:t>
            </w:r>
          </w:p>
        </w:tc>
        <w:tc>
          <w:tcPr>
            <w:tcW w:w="0" w:type="dxa"/>
            <w:vAlign w:val="bottom"/>
          </w:tcPr>
          <w:p>
            <w:pPr>
              <w:spacing w:after="0"/>
              <w:rPr>
                <w:sz w:val="1"/>
                <w:szCs w:val="1"/>
                <w:color w:val="auto"/>
              </w:rPr>
            </w:pPr>
          </w:p>
        </w:tc>
      </w:tr>
      <w:tr>
        <w:trPr>
          <w:trHeight w:val="338"/>
        </w:trPr>
        <w:tc>
          <w:tcPr>
            <w:tcW w:w="380" w:type="dxa"/>
            <w:vAlign w:val="bottom"/>
            <w:tcBorders>
              <w:left w:val="single" w:sz="8" w:color="53C072"/>
            </w:tcBorders>
            <w:shd w:val="clear" w:color="auto" w:fill="CFE9D2"/>
          </w:tcPr>
          <w:p>
            <w:pPr>
              <w:spacing w:after="0"/>
              <w:rPr>
                <w:sz w:val="24"/>
                <w:szCs w:val="24"/>
                <w:color w:val="auto"/>
              </w:rPr>
            </w:pPr>
          </w:p>
        </w:tc>
        <w:tc>
          <w:tcPr>
            <w:tcW w:w="1820" w:type="dxa"/>
            <w:vAlign w:val="bottom"/>
            <w:tcBorders>
              <w:right w:val="single" w:sz="8" w:color="53C072"/>
            </w:tcBorders>
            <w:shd w:val="clear" w:color="auto" w:fill="CFE9D2"/>
          </w:tcPr>
          <w:p>
            <w:pPr>
              <w:spacing w:after="0"/>
              <w:rPr>
                <w:sz w:val="24"/>
                <w:szCs w:val="24"/>
                <w:color w:val="auto"/>
              </w:rPr>
            </w:pPr>
          </w:p>
        </w:tc>
        <w:tc>
          <w:tcPr>
            <w:tcW w:w="9060" w:type="dxa"/>
            <w:vAlign w:val="bottom"/>
            <w:tcBorders>
              <w:right w:val="single" w:sz="8" w:color="53C072"/>
            </w:tcBorders>
            <w:gridSpan w:val="2"/>
          </w:tcPr>
          <w:p>
            <w:pPr>
              <w:ind w:left="80"/>
              <w:spacing w:after="0"/>
              <w:rPr>
                <w:sz w:val="20"/>
                <w:szCs w:val="20"/>
                <w:color w:val="auto"/>
              </w:rPr>
            </w:pPr>
            <w:r>
              <w:rPr>
                <w:rFonts w:ascii="Arial" w:cs="Arial" w:eastAsia="Arial" w:hAnsi="Arial"/>
                <w:sz w:val="16"/>
                <w:szCs w:val="16"/>
                <w:color w:val="auto"/>
              </w:rPr>
              <w:t>Ms. Freeman has served as the Chief Executive Officer and a Director of Arteza, a direct-to-consumer arts and crafts supplies</w:t>
            </w:r>
          </w:p>
        </w:tc>
        <w:tc>
          <w:tcPr>
            <w:tcW w:w="0" w:type="dxa"/>
            <w:vAlign w:val="bottom"/>
          </w:tcPr>
          <w:p>
            <w:pPr>
              <w:spacing w:after="0"/>
              <w:rPr>
                <w:sz w:val="1"/>
                <w:szCs w:val="1"/>
                <w:color w:val="auto"/>
              </w:rPr>
            </w:pPr>
          </w:p>
        </w:tc>
      </w:tr>
      <w:tr>
        <w:trPr>
          <w:trHeight w:val="182"/>
        </w:trPr>
        <w:tc>
          <w:tcPr>
            <w:tcW w:w="380" w:type="dxa"/>
            <w:vAlign w:val="bottom"/>
            <w:tcBorders>
              <w:left w:val="single" w:sz="8" w:color="53C072"/>
            </w:tcBorders>
            <w:shd w:val="clear" w:color="auto" w:fill="CFE9D2"/>
          </w:tcPr>
          <w:p>
            <w:pPr>
              <w:spacing w:after="0"/>
              <w:rPr>
                <w:sz w:val="15"/>
                <w:szCs w:val="15"/>
                <w:color w:val="auto"/>
              </w:rPr>
            </w:pPr>
          </w:p>
        </w:tc>
        <w:tc>
          <w:tcPr>
            <w:tcW w:w="1820" w:type="dxa"/>
            <w:vAlign w:val="bottom"/>
            <w:tcBorders>
              <w:right w:val="single" w:sz="8" w:color="53C072"/>
            </w:tcBorders>
            <w:shd w:val="clear" w:color="auto" w:fill="CFE9D2"/>
          </w:tcPr>
          <w:p>
            <w:pPr>
              <w:spacing w:after="0"/>
              <w:rPr>
                <w:sz w:val="15"/>
                <w:szCs w:val="15"/>
                <w:color w:val="auto"/>
              </w:rPr>
            </w:pPr>
          </w:p>
        </w:tc>
        <w:tc>
          <w:tcPr>
            <w:tcW w:w="9060" w:type="dxa"/>
            <w:vAlign w:val="bottom"/>
            <w:tcBorders>
              <w:right w:val="single" w:sz="8" w:color="53C072"/>
            </w:tcBorders>
            <w:gridSpan w:val="2"/>
          </w:tcPr>
          <w:p>
            <w:pPr>
              <w:ind w:left="80"/>
              <w:spacing w:after="0" w:line="182" w:lineRule="exact"/>
              <w:rPr>
                <w:sz w:val="20"/>
                <w:szCs w:val="20"/>
                <w:color w:val="auto"/>
              </w:rPr>
            </w:pPr>
            <w:r>
              <w:rPr>
                <w:rFonts w:ascii="Arial" w:cs="Arial" w:eastAsia="Arial" w:hAnsi="Arial"/>
                <w:sz w:val="16"/>
                <w:szCs w:val="16"/>
                <w:color w:val="auto"/>
              </w:rPr>
              <w:t>company, since February 2020. In 2019, she founded the marketing consulting company Joyeux Marketing Group. She is a</w:t>
            </w:r>
          </w:p>
        </w:tc>
        <w:tc>
          <w:tcPr>
            <w:tcW w:w="0" w:type="dxa"/>
            <w:vAlign w:val="bottom"/>
          </w:tcPr>
          <w:p>
            <w:pPr>
              <w:spacing w:after="0"/>
              <w:rPr>
                <w:sz w:val="1"/>
                <w:szCs w:val="1"/>
                <w:color w:val="auto"/>
              </w:rPr>
            </w:pPr>
          </w:p>
        </w:tc>
      </w:tr>
      <w:tr>
        <w:trPr>
          <w:trHeight w:val="182"/>
        </w:trPr>
        <w:tc>
          <w:tcPr>
            <w:tcW w:w="380" w:type="dxa"/>
            <w:vAlign w:val="bottom"/>
            <w:tcBorders>
              <w:left w:val="single" w:sz="8" w:color="53C072"/>
            </w:tcBorders>
            <w:shd w:val="clear" w:color="auto" w:fill="CFE9D2"/>
          </w:tcPr>
          <w:p>
            <w:pPr>
              <w:spacing w:after="0"/>
              <w:rPr>
                <w:sz w:val="15"/>
                <w:szCs w:val="15"/>
                <w:color w:val="auto"/>
              </w:rPr>
            </w:pPr>
          </w:p>
        </w:tc>
        <w:tc>
          <w:tcPr>
            <w:tcW w:w="1820" w:type="dxa"/>
            <w:vAlign w:val="bottom"/>
            <w:tcBorders>
              <w:right w:val="single" w:sz="8" w:color="53C072"/>
            </w:tcBorders>
            <w:shd w:val="clear" w:color="auto" w:fill="CFE9D2"/>
          </w:tcPr>
          <w:p>
            <w:pPr>
              <w:spacing w:after="0"/>
              <w:rPr>
                <w:sz w:val="15"/>
                <w:szCs w:val="15"/>
                <w:color w:val="auto"/>
              </w:rPr>
            </w:pPr>
          </w:p>
        </w:tc>
        <w:tc>
          <w:tcPr>
            <w:tcW w:w="9060" w:type="dxa"/>
            <w:vAlign w:val="bottom"/>
            <w:tcBorders>
              <w:right w:val="single" w:sz="8" w:color="53C072"/>
            </w:tcBorders>
            <w:gridSpan w:val="2"/>
          </w:tcPr>
          <w:p>
            <w:pPr>
              <w:ind w:left="80"/>
              <w:spacing w:after="0" w:line="182" w:lineRule="exact"/>
              <w:rPr>
                <w:sz w:val="20"/>
                <w:szCs w:val="20"/>
                <w:color w:val="auto"/>
              </w:rPr>
            </w:pPr>
            <w:r>
              <w:rPr>
                <w:rFonts w:ascii="Arial" w:cs="Arial" w:eastAsia="Arial" w:hAnsi="Arial"/>
                <w:sz w:val="16"/>
                <w:szCs w:val="16"/>
                <w:color w:val="auto"/>
              </w:rPr>
              <w:t>veteran marketing executive and digital disruptor advising early-stage start-ups and Fortune 500 companies. She served as</w:t>
            </w:r>
          </w:p>
        </w:tc>
        <w:tc>
          <w:tcPr>
            <w:tcW w:w="0" w:type="dxa"/>
            <w:vAlign w:val="bottom"/>
          </w:tcPr>
          <w:p>
            <w:pPr>
              <w:spacing w:after="0"/>
              <w:rPr>
                <w:sz w:val="1"/>
                <w:szCs w:val="1"/>
                <w:color w:val="auto"/>
              </w:rPr>
            </w:pPr>
          </w:p>
        </w:tc>
      </w:tr>
      <w:tr>
        <w:trPr>
          <w:trHeight w:val="182"/>
        </w:trPr>
        <w:tc>
          <w:tcPr>
            <w:tcW w:w="380" w:type="dxa"/>
            <w:vAlign w:val="bottom"/>
            <w:tcBorders>
              <w:left w:val="single" w:sz="8" w:color="53C072"/>
            </w:tcBorders>
            <w:shd w:val="clear" w:color="auto" w:fill="CFE9D2"/>
          </w:tcPr>
          <w:p>
            <w:pPr>
              <w:spacing w:after="0"/>
              <w:rPr>
                <w:sz w:val="15"/>
                <w:szCs w:val="15"/>
                <w:color w:val="auto"/>
              </w:rPr>
            </w:pPr>
          </w:p>
        </w:tc>
        <w:tc>
          <w:tcPr>
            <w:tcW w:w="1820" w:type="dxa"/>
            <w:vAlign w:val="bottom"/>
            <w:tcBorders>
              <w:right w:val="single" w:sz="8" w:color="53C072"/>
            </w:tcBorders>
            <w:shd w:val="clear" w:color="auto" w:fill="CFE9D2"/>
          </w:tcPr>
          <w:p>
            <w:pPr>
              <w:spacing w:after="0"/>
              <w:rPr>
                <w:sz w:val="15"/>
                <w:szCs w:val="15"/>
                <w:color w:val="auto"/>
              </w:rPr>
            </w:pPr>
          </w:p>
        </w:tc>
        <w:tc>
          <w:tcPr>
            <w:tcW w:w="9060" w:type="dxa"/>
            <w:vAlign w:val="bottom"/>
            <w:tcBorders>
              <w:right w:val="single" w:sz="8" w:color="53C072"/>
            </w:tcBorders>
            <w:gridSpan w:val="2"/>
          </w:tcPr>
          <w:p>
            <w:pPr>
              <w:ind w:left="80"/>
              <w:spacing w:after="0" w:line="182" w:lineRule="exact"/>
              <w:rPr>
                <w:sz w:val="20"/>
                <w:szCs w:val="20"/>
                <w:color w:val="auto"/>
              </w:rPr>
            </w:pPr>
            <w:r>
              <w:rPr>
                <w:rFonts w:ascii="Arial" w:cs="Arial" w:eastAsia="Arial" w:hAnsi="Arial"/>
                <w:sz w:val="16"/>
                <w:szCs w:val="16"/>
                <w:color w:val="auto"/>
              </w:rPr>
              <w:t>Chief Marketing Officer of Magic Leap, Inc., a private company focused on virtual retinal displays, from 2016 to 2018. Prior to</w:t>
            </w:r>
          </w:p>
        </w:tc>
        <w:tc>
          <w:tcPr>
            <w:tcW w:w="0" w:type="dxa"/>
            <w:vAlign w:val="bottom"/>
          </w:tcPr>
          <w:p>
            <w:pPr>
              <w:spacing w:after="0"/>
              <w:rPr>
                <w:sz w:val="1"/>
                <w:szCs w:val="1"/>
                <w:color w:val="auto"/>
              </w:rPr>
            </w:pPr>
          </w:p>
        </w:tc>
      </w:tr>
      <w:tr>
        <w:trPr>
          <w:trHeight w:val="182"/>
        </w:trPr>
        <w:tc>
          <w:tcPr>
            <w:tcW w:w="380" w:type="dxa"/>
            <w:vAlign w:val="bottom"/>
            <w:tcBorders>
              <w:left w:val="single" w:sz="8" w:color="53C072"/>
            </w:tcBorders>
            <w:shd w:val="clear" w:color="auto" w:fill="CFE9D2"/>
          </w:tcPr>
          <w:p>
            <w:pPr>
              <w:spacing w:after="0"/>
              <w:rPr>
                <w:sz w:val="15"/>
                <w:szCs w:val="15"/>
                <w:color w:val="auto"/>
              </w:rPr>
            </w:pPr>
          </w:p>
        </w:tc>
        <w:tc>
          <w:tcPr>
            <w:tcW w:w="1820" w:type="dxa"/>
            <w:vAlign w:val="bottom"/>
            <w:tcBorders>
              <w:right w:val="single" w:sz="8" w:color="53C072"/>
            </w:tcBorders>
            <w:shd w:val="clear" w:color="auto" w:fill="CFE9D2"/>
          </w:tcPr>
          <w:p>
            <w:pPr>
              <w:spacing w:after="0"/>
              <w:rPr>
                <w:sz w:val="15"/>
                <w:szCs w:val="15"/>
                <w:color w:val="auto"/>
              </w:rPr>
            </w:pPr>
          </w:p>
        </w:tc>
        <w:tc>
          <w:tcPr>
            <w:tcW w:w="9060" w:type="dxa"/>
            <w:vAlign w:val="bottom"/>
            <w:tcBorders>
              <w:right w:val="single" w:sz="8" w:color="53C072"/>
            </w:tcBorders>
            <w:gridSpan w:val="2"/>
          </w:tcPr>
          <w:p>
            <w:pPr>
              <w:ind w:left="80"/>
              <w:spacing w:after="0" w:line="182" w:lineRule="exact"/>
              <w:rPr>
                <w:sz w:val="20"/>
                <w:szCs w:val="20"/>
                <w:color w:val="auto"/>
              </w:rPr>
            </w:pPr>
            <w:r>
              <w:rPr>
                <w:rFonts w:ascii="Arial" w:cs="Arial" w:eastAsia="Arial" w:hAnsi="Arial"/>
                <w:sz w:val="16"/>
                <w:szCs w:val="16"/>
                <w:color w:val="auto"/>
              </w:rPr>
              <w:t>that, she served as Chief Marketing Officer at the National Geographic Channel from 2015 to 2016; Vice President, Television</w:t>
            </w:r>
          </w:p>
        </w:tc>
        <w:tc>
          <w:tcPr>
            <w:tcW w:w="0" w:type="dxa"/>
            <w:vAlign w:val="bottom"/>
          </w:tcPr>
          <w:p>
            <w:pPr>
              <w:spacing w:after="0"/>
              <w:rPr>
                <w:sz w:val="1"/>
                <w:szCs w:val="1"/>
                <w:color w:val="auto"/>
              </w:rPr>
            </w:pPr>
          </w:p>
        </w:tc>
      </w:tr>
      <w:tr>
        <w:trPr>
          <w:trHeight w:val="182"/>
        </w:trPr>
        <w:tc>
          <w:tcPr>
            <w:tcW w:w="380" w:type="dxa"/>
            <w:vAlign w:val="bottom"/>
            <w:tcBorders>
              <w:left w:val="single" w:sz="8" w:color="53C072"/>
            </w:tcBorders>
            <w:shd w:val="clear" w:color="auto" w:fill="CFE9D2"/>
          </w:tcPr>
          <w:p>
            <w:pPr>
              <w:spacing w:after="0"/>
              <w:rPr>
                <w:sz w:val="15"/>
                <w:szCs w:val="15"/>
                <w:color w:val="auto"/>
              </w:rPr>
            </w:pPr>
          </w:p>
        </w:tc>
        <w:tc>
          <w:tcPr>
            <w:tcW w:w="1820" w:type="dxa"/>
            <w:vAlign w:val="bottom"/>
            <w:tcBorders>
              <w:right w:val="single" w:sz="8" w:color="53C072"/>
            </w:tcBorders>
            <w:shd w:val="clear" w:color="auto" w:fill="CFE9D2"/>
          </w:tcPr>
          <w:p>
            <w:pPr>
              <w:spacing w:after="0"/>
              <w:rPr>
                <w:sz w:val="15"/>
                <w:szCs w:val="15"/>
                <w:color w:val="auto"/>
              </w:rPr>
            </w:pPr>
          </w:p>
        </w:tc>
        <w:tc>
          <w:tcPr>
            <w:tcW w:w="9060" w:type="dxa"/>
            <w:vAlign w:val="bottom"/>
            <w:tcBorders>
              <w:right w:val="single" w:sz="8" w:color="53C072"/>
            </w:tcBorders>
            <w:gridSpan w:val="2"/>
          </w:tcPr>
          <w:p>
            <w:pPr>
              <w:ind w:left="80"/>
              <w:spacing w:after="0" w:line="182" w:lineRule="exact"/>
              <w:rPr>
                <w:sz w:val="20"/>
                <w:szCs w:val="20"/>
                <w:color w:val="auto"/>
              </w:rPr>
            </w:pPr>
            <w:r>
              <w:rPr>
                <w:rFonts w:ascii="Arial" w:cs="Arial" w:eastAsia="Arial" w:hAnsi="Arial"/>
                <w:sz w:val="16"/>
                <w:szCs w:val="16"/>
                <w:color w:val="auto"/>
              </w:rPr>
              <w:t>Marketing at DreamWorks Animation SKG Inc. from 2014 to 2015; Chief Marketing Officer, Turner Animation, Young Adults</w:t>
            </w:r>
          </w:p>
        </w:tc>
        <w:tc>
          <w:tcPr>
            <w:tcW w:w="0" w:type="dxa"/>
            <w:vAlign w:val="bottom"/>
          </w:tcPr>
          <w:p>
            <w:pPr>
              <w:spacing w:after="0"/>
              <w:rPr>
                <w:sz w:val="1"/>
                <w:szCs w:val="1"/>
                <w:color w:val="auto"/>
              </w:rPr>
            </w:pPr>
          </w:p>
        </w:tc>
      </w:tr>
      <w:tr>
        <w:trPr>
          <w:trHeight w:val="182"/>
        </w:trPr>
        <w:tc>
          <w:tcPr>
            <w:tcW w:w="380" w:type="dxa"/>
            <w:vAlign w:val="bottom"/>
            <w:tcBorders>
              <w:left w:val="single" w:sz="8" w:color="53C072"/>
            </w:tcBorders>
            <w:shd w:val="clear" w:color="auto" w:fill="CFE9D2"/>
          </w:tcPr>
          <w:p>
            <w:pPr>
              <w:spacing w:after="0"/>
              <w:rPr>
                <w:sz w:val="15"/>
                <w:szCs w:val="15"/>
                <w:color w:val="auto"/>
              </w:rPr>
            </w:pPr>
          </w:p>
        </w:tc>
        <w:tc>
          <w:tcPr>
            <w:tcW w:w="1820" w:type="dxa"/>
            <w:vAlign w:val="bottom"/>
            <w:tcBorders>
              <w:right w:val="single" w:sz="8" w:color="53C072"/>
            </w:tcBorders>
            <w:shd w:val="clear" w:color="auto" w:fill="CFE9D2"/>
          </w:tcPr>
          <w:p>
            <w:pPr>
              <w:spacing w:after="0"/>
              <w:rPr>
                <w:sz w:val="15"/>
                <w:szCs w:val="15"/>
                <w:color w:val="auto"/>
              </w:rPr>
            </w:pPr>
          </w:p>
        </w:tc>
        <w:tc>
          <w:tcPr>
            <w:tcW w:w="9060" w:type="dxa"/>
            <w:vAlign w:val="bottom"/>
            <w:tcBorders>
              <w:right w:val="single" w:sz="8" w:color="53C072"/>
            </w:tcBorders>
            <w:gridSpan w:val="2"/>
          </w:tcPr>
          <w:p>
            <w:pPr>
              <w:ind w:left="80"/>
              <w:spacing w:after="0" w:line="182" w:lineRule="exact"/>
              <w:rPr>
                <w:sz w:val="20"/>
                <w:szCs w:val="20"/>
                <w:color w:val="auto"/>
              </w:rPr>
            </w:pPr>
            <w:r>
              <w:rPr>
                <w:rFonts w:ascii="Arial" w:cs="Arial" w:eastAsia="Arial" w:hAnsi="Arial"/>
                <w:sz w:val="16"/>
                <w:szCs w:val="16"/>
                <w:color w:val="auto"/>
              </w:rPr>
              <w:t>and Kids Media at Turner Broadcasting Systems, Inc. from 2008 to 2014; and Senior Vice President, Integrated Marketing and</w:t>
            </w:r>
          </w:p>
        </w:tc>
        <w:tc>
          <w:tcPr>
            <w:tcW w:w="0" w:type="dxa"/>
            <w:vAlign w:val="bottom"/>
          </w:tcPr>
          <w:p>
            <w:pPr>
              <w:spacing w:after="0"/>
              <w:rPr>
                <w:sz w:val="1"/>
                <w:szCs w:val="1"/>
                <w:color w:val="auto"/>
              </w:rPr>
            </w:pPr>
          </w:p>
        </w:tc>
      </w:tr>
      <w:tr>
        <w:trPr>
          <w:trHeight w:val="182"/>
        </w:trPr>
        <w:tc>
          <w:tcPr>
            <w:tcW w:w="380" w:type="dxa"/>
            <w:vAlign w:val="bottom"/>
            <w:tcBorders>
              <w:left w:val="single" w:sz="8" w:color="53C072"/>
            </w:tcBorders>
            <w:shd w:val="clear" w:color="auto" w:fill="CFE9D2"/>
          </w:tcPr>
          <w:p>
            <w:pPr>
              <w:spacing w:after="0"/>
              <w:rPr>
                <w:sz w:val="15"/>
                <w:szCs w:val="15"/>
                <w:color w:val="auto"/>
              </w:rPr>
            </w:pPr>
          </w:p>
        </w:tc>
        <w:tc>
          <w:tcPr>
            <w:tcW w:w="1820" w:type="dxa"/>
            <w:vAlign w:val="bottom"/>
            <w:tcBorders>
              <w:right w:val="single" w:sz="8" w:color="53C072"/>
            </w:tcBorders>
            <w:shd w:val="clear" w:color="auto" w:fill="CFE9D2"/>
          </w:tcPr>
          <w:p>
            <w:pPr>
              <w:spacing w:after="0"/>
              <w:rPr>
                <w:sz w:val="15"/>
                <w:szCs w:val="15"/>
                <w:color w:val="auto"/>
              </w:rPr>
            </w:pPr>
          </w:p>
        </w:tc>
        <w:tc>
          <w:tcPr>
            <w:tcW w:w="9060" w:type="dxa"/>
            <w:vAlign w:val="bottom"/>
            <w:tcBorders>
              <w:right w:val="single" w:sz="8" w:color="53C072"/>
            </w:tcBorders>
            <w:gridSpan w:val="2"/>
          </w:tcPr>
          <w:p>
            <w:pPr>
              <w:ind w:left="80"/>
              <w:spacing w:after="0" w:line="182" w:lineRule="exact"/>
              <w:rPr>
                <w:sz w:val="20"/>
                <w:szCs w:val="20"/>
                <w:color w:val="auto"/>
              </w:rPr>
            </w:pPr>
            <w:r>
              <w:rPr>
                <w:rFonts w:ascii="Arial" w:cs="Arial" w:eastAsia="Arial" w:hAnsi="Arial"/>
                <w:sz w:val="16"/>
                <w:szCs w:val="16"/>
                <w:color w:val="auto"/>
              </w:rPr>
              <w:t>Partnerships, Nickelodeon at MTV Networks Company from 2005 to 2008. She has also served in other leadership roles for</w:t>
            </w:r>
          </w:p>
        </w:tc>
        <w:tc>
          <w:tcPr>
            <w:tcW w:w="0" w:type="dxa"/>
            <w:vAlign w:val="bottom"/>
          </w:tcPr>
          <w:p>
            <w:pPr>
              <w:spacing w:after="0"/>
              <w:rPr>
                <w:sz w:val="1"/>
                <w:szCs w:val="1"/>
                <w:color w:val="auto"/>
              </w:rPr>
            </w:pPr>
          </w:p>
        </w:tc>
      </w:tr>
      <w:tr>
        <w:trPr>
          <w:trHeight w:val="182"/>
        </w:trPr>
        <w:tc>
          <w:tcPr>
            <w:tcW w:w="2200" w:type="dxa"/>
            <w:vAlign w:val="bottom"/>
            <w:tcBorders>
              <w:left w:val="single" w:sz="8" w:color="53C072"/>
              <w:right w:val="single" w:sz="8" w:color="53C072"/>
            </w:tcBorders>
            <w:gridSpan w:val="2"/>
            <w:vMerge w:val="restart"/>
            <w:shd w:val="clear" w:color="auto" w:fill="CFE9D2"/>
          </w:tcPr>
          <w:p>
            <w:pPr>
              <w:ind w:left="200"/>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2018</w:t>
            </w:r>
          </w:p>
        </w:tc>
        <w:tc>
          <w:tcPr>
            <w:tcW w:w="9060" w:type="dxa"/>
            <w:vAlign w:val="bottom"/>
            <w:tcBorders>
              <w:right w:val="single" w:sz="8" w:color="53C072"/>
            </w:tcBorders>
            <w:gridSpan w:val="2"/>
          </w:tcPr>
          <w:p>
            <w:pPr>
              <w:ind w:left="80"/>
              <w:spacing w:after="0" w:line="182" w:lineRule="exact"/>
              <w:rPr>
                <w:sz w:val="20"/>
                <w:szCs w:val="20"/>
                <w:color w:val="auto"/>
              </w:rPr>
            </w:pPr>
            <w:r>
              <w:rPr>
                <w:rFonts w:ascii="Arial" w:cs="Arial" w:eastAsia="Arial" w:hAnsi="Arial"/>
                <w:sz w:val="16"/>
                <w:szCs w:val="16"/>
                <w:color w:val="auto"/>
              </w:rPr>
              <w:t>MTV Networks Company, VH1, ABC Radio Networks, and PepsiCo, Inc. (Nasdaq: PEP). Ms. Freeman has served on the</w:t>
            </w:r>
          </w:p>
        </w:tc>
        <w:tc>
          <w:tcPr>
            <w:tcW w:w="0" w:type="dxa"/>
            <w:vAlign w:val="bottom"/>
          </w:tcPr>
          <w:p>
            <w:pPr>
              <w:spacing w:after="0"/>
              <w:rPr>
                <w:sz w:val="1"/>
                <w:szCs w:val="1"/>
                <w:color w:val="auto"/>
              </w:rPr>
            </w:pPr>
          </w:p>
        </w:tc>
      </w:tr>
      <w:tr>
        <w:trPr>
          <w:trHeight w:val="182"/>
        </w:trPr>
        <w:tc>
          <w:tcPr>
            <w:tcW w:w="2200" w:type="dxa"/>
            <w:vAlign w:val="bottom"/>
            <w:tcBorders>
              <w:left w:val="single" w:sz="8" w:color="53C072"/>
              <w:right w:val="single" w:sz="8" w:color="53C072"/>
            </w:tcBorders>
            <w:gridSpan w:val="2"/>
            <w:vMerge w:val="continue"/>
            <w:shd w:val="clear" w:color="auto" w:fill="CFE9D2"/>
          </w:tcPr>
          <w:p>
            <w:pPr>
              <w:spacing w:after="0"/>
              <w:rPr>
                <w:sz w:val="15"/>
                <w:szCs w:val="15"/>
                <w:color w:val="auto"/>
              </w:rPr>
            </w:pPr>
          </w:p>
        </w:tc>
        <w:tc>
          <w:tcPr>
            <w:tcW w:w="2160" w:type="dxa"/>
            <w:vAlign w:val="bottom"/>
          </w:tcPr>
          <w:p>
            <w:pPr>
              <w:ind w:left="80"/>
              <w:spacing w:after="0" w:line="182" w:lineRule="exact"/>
              <w:rPr>
                <w:sz w:val="20"/>
                <w:szCs w:val="20"/>
                <w:color w:val="auto"/>
              </w:rPr>
            </w:pPr>
            <w:r>
              <w:rPr>
                <w:rFonts w:ascii="Arial" w:cs="Arial" w:eastAsia="Arial" w:hAnsi="Arial"/>
                <w:sz w:val="16"/>
                <w:szCs w:val="16"/>
                <w:color w:val="auto"/>
                <w:w w:val="99"/>
              </w:rPr>
              <w:t>board of directors at Caleres,</w:t>
            </w:r>
          </w:p>
        </w:tc>
        <w:tc>
          <w:tcPr>
            <w:tcW w:w="6900" w:type="dxa"/>
            <w:vAlign w:val="bottom"/>
            <w:tcBorders>
              <w:right w:val="single" w:sz="8" w:color="53C072"/>
            </w:tcBorders>
          </w:tcPr>
          <w:p>
            <w:pPr>
              <w:ind w:left="40"/>
              <w:spacing w:after="0" w:line="182" w:lineRule="exact"/>
              <w:rPr>
                <w:sz w:val="20"/>
                <w:szCs w:val="20"/>
                <w:color w:val="auto"/>
              </w:rPr>
            </w:pPr>
            <w:r>
              <w:rPr>
                <w:rFonts w:ascii="Arial" w:cs="Arial" w:eastAsia="Arial" w:hAnsi="Arial"/>
                <w:sz w:val="16"/>
                <w:szCs w:val="16"/>
                <w:color w:val="auto"/>
              </w:rPr>
              <w:t>Inc. (NYSE: CAL) since April 2017 and Herman Miller, Inc. (Nasdaq: MLHR) since 2016. From</w:t>
            </w:r>
          </w:p>
        </w:tc>
        <w:tc>
          <w:tcPr>
            <w:tcW w:w="0" w:type="dxa"/>
            <w:vAlign w:val="bottom"/>
          </w:tcPr>
          <w:p>
            <w:pPr>
              <w:spacing w:after="0"/>
              <w:rPr>
                <w:sz w:val="1"/>
                <w:szCs w:val="1"/>
                <w:color w:val="auto"/>
              </w:rPr>
            </w:pPr>
          </w:p>
        </w:tc>
      </w:tr>
      <w:tr>
        <w:trPr>
          <w:trHeight w:val="213"/>
        </w:trPr>
        <w:tc>
          <w:tcPr>
            <w:tcW w:w="2200" w:type="dxa"/>
            <w:vAlign w:val="bottom"/>
            <w:tcBorders>
              <w:left w:val="single" w:sz="8" w:color="53C072"/>
              <w:right w:val="single" w:sz="8" w:color="53C072"/>
            </w:tcBorders>
            <w:gridSpan w:val="2"/>
            <w:vMerge w:val="restart"/>
            <w:shd w:val="clear" w:color="auto" w:fill="CFE9D2"/>
          </w:tcPr>
          <w:p>
            <w:pPr>
              <w:ind w:left="200"/>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56</w:t>
            </w:r>
          </w:p>
        </w:tc>
        <w:tc>
          <w:tcPr>
            <w:tcW w:w="9060" w:type="dxa"/>
            <w:vAlign w:val="bottom"/>
            <w:tcBorders>
              <w:right w:val="single" w:sz="8" w:color="53C072"/>
            </w:tcBorders>
            <w:gridSpan w:val="2"/>
          </w:tcPr>
          <w:p>
            <w:pPr>
              <w:ind w:left="80"/>
              <w:spacing w:after="0"/>
              <w:rPr>
                <w:sz w:val="20"/>
                <w:szCs w:val="20"/>
                <w:color w:val="auto"/>
              </w:rPr>
            </w:pPr>
            <w:r>
              <w:rPr>
                <w:rFonts w:ascii="Arial" w:cs="Arial" w:eastAsia="Arial" w:hAnsi="Arial"/>
                <w:sz w:val="16"/>
                <w:szCs w:val="16"/>
                <w:color w:val="auto"/>
              </w:rPr>
              <w:t>2012 to 2013, she had served on the board of directors of Under Armour, Inc. (NYSE: UA).</w:t>
            </w:r>
          </w:p>
        </w:tc>
        <w:tc>
          <w:tcPr>
            <w:tcW w:w="0" w:type="dxa"/>
            <w:vAlign w:val="bottom"/>
          </w:tcPr>
          <w:p>
            <w:pPr>
              <w:spacing w:after="0"/>
              <w:rPr>
                <w:sz w:val="1"/>
                <w:szCs w:val="1"/>
                <w:color w:val="auto"/>
              </w:rPr>
            </w:pPr>
          </w:p>
        </w:tc>
      </w:tr>
      <w:tr>
        <w:trPr>
          <w:trHeight w:val="119"/>
        </w:trPr>
        <w:tc>
          <w:tcPr>
            <w:tcW w:w="2200" w:type="dxa"/>
            <w:vAlign w:val="bottom"/>
            <w:tcBorders>
              <w:left w:val="single" w:sz="8" w:color="53C072"/>
              <w:right w:val="single" w:sz="8" w:color="53C072"/>
            </w:tcBorders>
            <w:gridSpan w:val="2"/>
            <w:vMerge w:val="continue"/>
            <w:shd w:val="clear" w:color="auto" w:fill="CFE9D2"/>
          </w:tcPr>
          <w:p>
            <w:pPr>
              <w:spacing w:after="0"/>
              <w:rPr>
                <w:sz w:val="10"/>
                <w:szCs w:val="10"/>
                <w:color w:val="auto"/>
              </w:rPr>
            </w:pPr>
          </w:p>
        </w:tc>
        <w:tc>
          <w:tcPr>
            <w:tcW w:w="2160" w:type="dxa"/>
            <w:vAlign w:val="bottom"/>
          </w:tcPr>
          <w:p>
            <w:pPr>
              <w:spacing w:after="0"/>
              <w:rPr>
                <w:sz w:val="10"/>
                <w:szCs w:val="10"/>
                <w:color w:val="auto"/>
              </w:rPr>
            </w:pPr>
          </w:p>
        </w:tc>
        <w:tc>
          <w:tcPr>
            <w:tcW w:w="6900" w:type="dxa"/>
            <w:vAlign w:val="bottom"/>
            <w:tcBorders>
              <w:right w:val="single" w:sz="8" w:color="53C072"/>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200" w:type="dxa"/>
            <w:vAlign w:val="bottom"/>
            <w:tcBorders>
              <w:left w:val="single" w:sz="8" w:color="53C072"/>
              <w:bottom w:val="single" w:sz="8" w:color="CFE9D2"/>
              <w:right w:val="single" w:sz="8" w:color="53C072"/>
            </w:tcBorders>
            <w:gridSpan w:val="2"/>
            <w:vMerge w:val="restart"/>
            <w:shd w:val="clear" w:color="auto" w:fill="CFE9D2"/>
          </w:tcPr>
          <w:p>
            <w:pPr>
              <w:ind w:left="200"/>
              <w:spacing w:after="0"/>
              <w:rPr>
                <w:sz w:val="20"/>
                <w:szCs w:val="20"/>
                <w:color w:val="auto"/>
              </w:rPr>
            </w:pPr>
            <w:r>
              <w:rPr>
                <w:rFonts w:ascii="Arial" w:cs="Arial" w:eastAsia="Arial" w:hAnsi="Arial"/>
                <w:sz w:val="13"/>
                <w:szCs w:val="13"/>
                <w:b w:val="1"/>
                <w:bCs w:val="1"/>
                <w:color w:val="auto"/>
              </w:rPr>
              <w:t>Independent</w:t>
            </w:r>
          </w:p>
        </w:tc>
        <w:tc>
          <w:tcPr>
            <w:tcW w:w="2160" w:type="dxa"/>
            <w:vAlign w:val="bottom"/>
            <w:tcBorders>
              <w:bottom w:val="single" w:sz="8" w:color="53C072"/>
            </w:tcBorders>
          </w:tcPr>
          <w:p>
            <w:pPr>
              <w:spacing w:after="0"/>
              <w:rPr>
                <w:sz w:val="5"/>
                <w:szCs w:val="5"/>
                <w:color w:val="auto"/>
              </w:rPr>
            </w:pPr>
          </w:p>
        </w:tc>
        <w:tc>
          <w:tcPr>
            <w:tcW w:w="6900" w:type="dxa"/>
            <w:vAlign w:val="bottom"/>
            <w:tcBorders>
              <w:bottom w:val="single" w:sz="8" w:color="53C072"/>
              <w:right w:val="single" w:sz="8" w:color="53C072"/>
            </w:tcBorders>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200" w:type="dxa"/>
            <w:vAlign w:val="bottom"/>
            <w:tcBorders>
              <w:left w:val="single" w:sz="8" w:color="53C072"/>
              <w:right w:val="single" w:sz="8" w:color="53C072"/>
            </w:tcBorders>
            <w:gridSpan w:val="2"/>
            <w:vMerge w:val="continue"/>
            <w:shd w:val="clear" w:color="auto" w:fill="CFE9D2"/>
          </w:tcPr>
          <w:p>
            <w:pPr>
              <w:spacing w:after="0"/>
              <w:rPr>
                <w:sz w:val="22"/>
                <w:szCs w:val="22"/>
                <w:color w:val="auto"/>
              </w:rPr>
            </w:pPr>
          </w:p>
        </w:tc>
        <w:tc>
          <w:tcPr>
            <w:tcW w:w="9060" w:type="dxa"/>
            <w:vAlign w:val="bottom"/>
            <w:tcBorders>
              <w:right w:val="single" w:sz="8" w:color="53C072"/>
            </w:tcBorders>
            <w:gridSpan w:val="2"/>
            <w:vMerge w:val="restart"/>
          </w:tcPr>
          <w:p>
            <w:pPr>
              <w:ind w:left="80"/>
              <w:spacing w:after="0"/>
              <w:rPr>
                <w:sz w:val="20"/>
                <w:szCs w:val="20"/>
                <w:color w:val="auto"/>
              </w:rPr>
            </w:pPr>
            <w:r>
              <w:rPr>
                <w:rFonts w:ascii="Arial" w:cs="Arial" w:eastAsia="Arial" w:hAnsi="Arial"/>
                <w:sz w:val="16"/>
                <w:szCs w:val="16"/>
                <w:b w:val="1"/>
                <w:bCs w:val="1"/>
                <w:color w:val="53C072"/>
              </w:rPr>
              <w:t>Primary Qualifications and Experience:</w:t>
            </w:r>
          </w:p>
        </w:tc>
        <w:tc>
          <w:tcPr>
            <w:tcW w:w="0" w:type="dxa"/>
            <w:vAlign w:val="bottom"/>
          </w:tcPr>
          <w:p>
            <w:pPr>
              <w:spacing w:after="0"/>
              <w:rPr>
                <w:sz w:val="1"/>
                <w:szCs w:val="1"/>
                <w:color w:val="auto"/>
              </w:rPr>
            </w:pPr>
          </w:p>
        </w:tc>
      </w:tr>
      <w:tr>
        <w:trPr>
          <w:trHeight w:val="204"/>
        </w:trPr>
        <w:tc>
          <w:tcPr>
            <w:tcW w:w="2200" w:type="dxa"/>
            <w:vAlign w:val="bottom"/>
            <w:tcBorders>
              <w:left w:val="single" w:sz="8" w:color="53C072"/>
              <w:right w:val="single" w:sz="8" w:color="53C072"/>
            </w:tcBorders>
            <w:gridSpan w:val="2"/>
            <w:vMerge w:val="restart"/>
            <w:shd w:val="clear" w:color="auto" w:fill="CFE9D2"/>
          </w:tcPr>
          <w:p>
            <w:pPr>
              <w:ind w:left="200"/>
              <w:spacing w:after="0"/>
              <w:rPr>
                <w:sz w:val="20"/>
                <w:szCs w:val="20"/>
                <w:color w:val="auto"/>
              </w:rPr>
            </w:pPr>
            <w:r>
              <w:rPr>
                <w:rFonts w:ascii="Arial" w:cs="Arial" w:eastAsia="Arial" w:hAnsi="Arial"/>
                <w:sz w:val="13"/>
                <w:szCs w:val="13"/>
                <w:b w:val="1"/>
                <w:bCs w:val="1"/>
                <w:color w:val="auto"/>
              </w:rPr>
              <w:t>Current Committee</w:t>
            </w:r>
          </w:p>
        </w:tc>
        <w:tc>
          <w:tcPr>
            <w:tcW w:w="9060" w:type="dxa"/>
            <w:vAlign w:val="bottom"/>
            <w:tcBorders>
              <w:right w:val="single" w:sz="8" w:color="53C072"/>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2200" w:type="dxa"/>
            <w:vAlign w:val="bottom"/>
            <w:tcBorders>
              <w:left w:val="single" w:sz="8" w:color="53C072"/>
              <w:right w:val="single" w:sz="8" w:color="53C072"/>
            </w:tcBorders>
            <w:gridSpan w:val="2"/>
            <w:vMerge w:val="continue"/>
            <w:shd w:val="clear" w:color="auto" w:fill="CFE9D2"/>
          </w:tcPr>
          <w:p>
            <w:pPr>
              <w:spacing w:after="0"/>
              <w:rPr>
                <w:sz w:val="8"/>
                <w:szCs w:val="8"/>
                <w:color w:val="auto"/>
              </w:rPr>
            </w:pPr>
          </w:p>
        </w:tc>
        <w:tc>
          <w:tcPr>
            <w:tcW w:w="2160" w:type="dxa"/>
            <w:vAlign w:val="bottom"/>
          </w:tcPr>
          <w:p>
            <w:pPr>
              <w:spacing w:after="0"/>
              <w:rPr>
                <w:sz w:val="8"/>
                <w:szCs w:val="8"/>
                <w:color w:val="auto"/>
              </w:rPr>
            </w:pPr>
          </w:p>
        </w:tc>
        <w:tc>
          <w:tcPr>
            <w:tcW w:w="6900" w:type="dxa"/>
            <w:vAlign w:val="bottom"/>
            <w:tcBorders>
              <w:right w:val="single" w:sz="8" w:color="53C072"/>
            </w:tcBorders>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2200" w:type="dxa"/>
            <w:vAlign w:val="bottom"/>
            <w:tcBorders>
              <w:left w:val="single" w:sz="8" w:color="53C072"/>
              <w:right w:val="single" w:sz="8" w:color="53C072"/>
            </w:tcBorders>
            <w:gridSpan w:val="2"/>
            <w:shd w:val="clear" w:color="auto" w:fill="CFE9D2"/>
          </w:tcPr>
          <w:p>
            <w:pPr>
              <w:ind w:left="200"/>
              <w:spacing w:after="0"/>
              <w:rPr>
                <w:sz w:val="20"/>
                <w:szCs w:val="20"/>
                <w:color w:val="auto"/>
              </w:rPr>
            </w:pPr>
            <w:r>
              <w:rPr>
                <w:rFonts w:ascii="Arial" w:cs="Arial" w:eastAsia="Arial" w:hAnsi="Arial"/>
                <w:sz w:val="13"/>
                <w:szCs w:val="13"/>
                <w:b w:val="1"/>
                <w:bCs w:val="1"/>
                <w:color w:val="auto"/>
              </w:rPr>
              <w:t>Memberships:</w:t>
            </w:r>
          </w:p>
        </w:tc>
        <w:tc>
          <w:tcPr>
            <w:tcW w:w="2160" w:type="dxa"/>
            <w:vAlign w:val="bottom"/>
            <w:vMerge w:val="restart"/>
          </w:tcPr>
          <w:p>
            <w:pPr>
              <w:ind w:left="6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CEO</w:t>
            </w:r>
          </w:p>
        </w:tc>
        <w:tc>
          <w:tcPr>
            <w:tcW w:w="6900" w:type="dxa"/>
            <w:vAlign w:val="bottom"/>
            <w:tcBorders>
              <w:right w:val="single" w:sz="8" w:color="53C072"/>
            </w:tcBorders>
            <w:vMerge w:val="restart"/>
          </w:tcPr>
          <w:p>
            <w:pPr>
              <w:ind w:left="84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Senior Leadership</w:t>
            </w:r>
          </w:p>
        </w:tc>
        <w:tc>
          <w:tcPr>
            <w:tcW w:w="0" w:type="dxa"/>
            <w:vAlign w:val="bottom"/>
          </w:tcPr>
          <w:p>
            <w:pPr>
              <w:spacing w:after="0"/>
              <w:rPr>
                <w:sz w:val="1"/>
                <w:szCs w:val="1"/>
                <w:color w:val="auto"/>
              </w:rPr>
            </w:pPr>
          </w:p>
        </w:tc>
      </w:tr>
      <w:tr>
        <w:trPr>
          <w:trHeight w:val="87"/>
        </w:trPr>
        <w:tc>
          <w:tcPr>
            <w:tcW w:w="380" w:type="dxa"/>
            <w:vAlign w:val="bottom"/>
            <w:tcBorders>
              <w:left w:val="single" w:sz="8" w:color="53C072"/>
            </w:tcBorders>
            <w:shd w:val="clear" w:color="auto" w:fill="CFE9D2"/>
          </w:tcPr>
          <w:p>
            <w:pPr>
              <w:spacing w:after="0"/>
              <w:rPr>
                <w:sz w:val="7"/>
                <w:szCs w:val="7"/>
                <w:color w:val="auto"/>
              </w:rPr>
            </w:pPr>
          </w:p>
        </w:tc>
        <w:tc>
          <w:tcPr>
            <w:tcW w:w="1820" w:type="dxa"/>
            <w:vAlign w:val="bottom"/>
            <w:tcBorders>
              <w:right w:val="single" w:sz="8" w:color="53C072"/>
            </w:tcBorders>
            <w:shd w:val="clear" w:color="auto" w:fill="CFE9D2"/>
          </w:tcPr>
          <w:p>
            <w:pPr>
              <w:spacing w:after="0"/>
              <w:rPr>
                <w:sz w:val="7"/>
                <w:szCs w:val="7"/>
                <w:color w:val="auto"/>
              </w:rPr>
            </w:pPr>
          </w:p>
        </w:tc>
        <w:tc>
          <w:tcPr>
            <w:tcW w:w="2160" w:type="dxa"/>
            <w:vAlign w:val="bottom"/>
            <w:vMerge w:val="continue"/>
          </w:tcPr>
          <w:p>
            <w:pPr>
              <w:spacing w:after="0"/>
              <w:rPr>
                <w:sz w:val="7"/>
                <w:szCs w:val="7"/>
                <w:color w:val="auto"/>
              </w:rPr>
            </w:pPr>
          </w:p>
        </w:tc>
        <w:tc>
          <w:tcPr>
            <w:tcW w:w="6900" w:type="dxa"/>
            <w:vAlign w:val="bottom"/>
            <w:tcBorders>
              <w:right w:val="single" w:sz="8" w:color="53C072"/>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380" w:type="dxa"/>
            <w:vAlign w:val="bottom"/>
            <w:tcBorders>
              <w:left w:val="single" w:sz="8" w:color="53C072"/>
            </w:tcBorders>
            <w:shd w:val="clear" w:color="auto" w:fill="CFE9D2"/>
          </w:tcPr>
          <w:p>
            <w:pPr>
              <w:ind w:left="200"/>
              <w:spacing w:after="0"/>
              <w:rPr>
                <w:sz w:val="20"/>
                <w:szCs w:val="20"/>
                <w:color w:val="auto"/>
              </w:rPr>
            </w:pPr>
            <w:r>
              <w:rPr>
                <w:rFonts w:ascii="Arial" w:cs="Arial" w:eastAsia="Arial" w:hAnsi="Arial"/>
                <w:sz w:val="13"/>
                <w:szCs w:val="13"/>
                <w:color w:val="53C072"/>
              </w:rPr>
              <w:t>•</w:t>
            </w:r>
          </w:p>
        </w:tc>
        <w:tc>
          <w:tcPr>
            <w:tcW w:w="1820" w:type="dxa"/>
            <w:vAlign w:val="bottom"/>
            <w:tcBorders>
              <w:right w:val="single" w:sz="8" w:color="53C072"/>
            </w:tcBorders>
            <w:shd w:val="clear" w:color="auto" w:fill="CFE9D2"/>
          </w:tcPr>
          <w:p>
            <w:pPr>
              <w:ind w:left="120"/>
              <w:spacing w:after="0"/>
              <w:rPr>
                <w:sz w:val="20"/>
                <w:szCs w:val="20"/>
                <w:color w:val="auto"/>
              </w:rPr>
            </w:pPr>
            <w:r>
              <w:rPr>
                <w:rFonts w:ascii="Arial" w:cs="Arial" w:eastAsia="Arial" w:hAnsi="Arial"/>
                <w:sz w:val="13"/>
                <w:szCs w:val="13"/>
                <w:color w:val="auto"/>
              </w:rPr>
              <w:t>Audit Committee</w:t>
            </w:r>
          </w:p>
        </w:tc>
        <w:tc>
          <w:tcPr>
            <w:tcW w:w="2160" w:type="dxa"/>
            <w:vAlign w:val="bottom"/>
            <w:vMerge w:val="restart"/>
          </w:tcPr>
          <w:p>
            <w:pPr>
              <w:ind w:left="6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Innovation/Digital/Tech</w:t>
            </w:r>
          </w:p>
        </w:tc>
        <w:tc>
          <w:tcPr>
            <w:tcW w:w="6900" w:type="dxa"/>
            <w:vAlign w:val="bottom"/>
            <w:tcBorders>
              <w:right w:val="single" w:sz="8" w:color="53C072"/>
            </w:tcBorders>
            <w:vMerge w:val="restart"/>
          </w:tcPr>
          <w:p>
            <w:pPr>
              <w:ind w:left="64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Sales/Marketing</w:t>
            </w:r>
          </w:p>
        </w:tc>
        <w:tc>
          <w:tcPr>
            <w:tcW w:w="0" w:type="dxa"/>
            <w:vAlign w:val="bottom"/>
          </w:tcPr>
          <w:p>
            <w:pPr>
              <w:spacing w:after="0"/>
              <w:rPr>
                <w:sz w:val="1"/>
                <w:szCs w:val="1"/>
                <w:color w:val="auto"/>
              </w:rPr>
            </w:pPr>
          </w:p>
        </w:tc>
      </w:tr>
      <w:tr>
        <w:trPr>
          <w:trHeight w:val="131"/>
        </w:trPr>
        <w:tc>
          <w:tcPr>
            <w:tcW w:w="380" w:type="dxa"/>
            <w:vAlign w:val="bottom"/>
            <w:tcBorders>
              <w:left w:val="single" w:sz="8" w:color="53C072"/>
            </w:tcBorders>
            <w:shd w:val="clear" w:color="auto" w:fill="CFE9D2"/>
          </w:tcPr>
          <w:p>
            <w:pPr>
              <w:spacing w:after="0"/>
              <w:rPr>
                <w:sz w:val="11"/>
                <w:szCs w:val="11"/>
                <w:color w:val="auto"/>
              </w:rPr>
            </w:pPr>
          </w:p>
        </w:tc>
        <w:tc>
          <w:tcPr>
            <w:tcW w:w="1820" w:type="dxa"/>
            <w:vAlign w:val="bottom"/>
            <w:tcBorders>
              <w:right w:val="single" w:sz="8" w:color="53C072"/>
            </w:tcBorders>
            <w:shd w:val="clear" w:color="auto" w:fill="CFE9D2"/>
          </w:tcPr>
          <w:p>
            <w:pPr>
              <w:spacing w:after="0"/>
              <w:rPr>
                <w:sz w:val="11"/>
                <w:szCs w:val="11"/>
                <w:color w:val="auto"/>
              </w:rPr>
            </w:pPr>
          </w:p>
        </w:tc>
        <w:tc>
          <w:tcPr>
            <w:tcW w:w="2160" w:type="dxa"/>
            <w:vAlign w:val="bottom"/>
            <w:vMerge w:val="continue"/>
          </w:tcPr>
          <w:p>
            <w:pPr>
              <w:spacing w:after="0"/>
              <w:rPr>
                <w:sz w:val="11"/>
                <w:szCs w:val="11"/>
                <w:color w:val="auto"/>
              </w:rPr>
            </w:pPr>
          </w:p>
        </w:tc>
        <w:tc>
          <w:tcPr>
            <w:tcW w:w="6900" w:type="dxa"/>
            <w:vAlign w:val="bottom"/>
            <w:tcBorders>
              <w:right w:val="single" w:sz="8" w:color="53C072"/>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80" w:type="dxa"/>
            <w:vAlign w:val="bottom"/>
            <w:tcBorders>
              <w:left w:val="single" w:sz="8" w:color="53C072"/>
            </w:tcBorders>
            <w:shd w:val="clear" w:color="auto" w:fill="CFE9D2"/>
          </w:tcPr>
          <w:p>
            <w:pPr>
              <w:ind w:left="200"/>
              <w:spacing w:after="0"/>
              <w:rPr>
                <w:sz w:val="20"/>
                <w:szCs w:val="20"/>
                <w:color w:val="auto"/>
              </w:rPr>
            </w:pPr>
            <w:r>
              <w:rPr>
                <w:rFonts w:ascii="Arial" w:cs="Arial" w:eastAsia="Arial" w:hAnsi="Arial"/>
                <w:sz w:val="13"/>
                <w:szCs w:val="13"/>
                <w:color w:val="53C072"/>
              </w:rPr>
              <w:t>•</w:t>
            </w:r>
          </w:p>
        </w:tc>
        <w:tc>
          <w:tcPr>
            <w:tcW w:w="1820" w:type="dxa"/>
            <w:vAlign w:val="bottom"/>
            <w:tcBorders>
              <w:right w:val="single" w:sz="8" w:color="53C072"/>
            </w:tcBorders>
            <w:shd w:val="clear" w:color="auto" w:fill="CFE9D2"/>
          </w:tcPr>
          <w:p>
            <w:pPr>
              <w:ind w:left="120"/>
              <w:spacing w:after="0"/>
              <w:rPr>
                <w:sz w:val="20"/>
                <w:szCs w:val="20"/>
                <w:color w:val="auto"/>
              </w:rPr>
            </w:pPr>
            <w:r>
              <w:rPr>
                <w:rFonts w:ascii="Arial" w:cs="Arial" w:eastAsia="Arial" w:hAnsi="Arial"/>
                <w:sz w:val="13"/>
                <w:szCs w:val="13"/>
                <w:color w:val="auto"/>
              </w:rPr>
              <w:t>Finance Committee</w:t>
            </w:r>
          </w:p>
        </w:tc>
        <w:tc>
          <w:tcPr>
            <w:tcW w:w="9060" w:type="dxa"/>
            <w:vAlign w:val="bottom"/>
            <w:tcBorders>
              <w:right w:val="single" w:sz="8" w:color="53C072"/>
            </w:tcBorders>
            <w:gridSpan w:val="2"/>
            <w:vMerge w:val="restart"/>
          </w:tcPr>
          <w:p>
            <w:pPr>
              <w:ind w:left="80"/>
              <w:spacing w:after="0"/>
              <w:rPr>
                <w:sz w:val="20"/>
                <w:szCs w:val="20"/>
                <w:color w:val="auto"/>
              </w:rPr>
            </w:pPr>
            <w:r>
              <w:rPr>
                <w:rFonts w:ascii="Arial" w:cs="Arial" w:eastAsia="Arial" w:hAnsi="Arial"/>
                <w:sz w:val="16"/>
                <w:szCs w:val="16"/>
                <w:color w:val="auto"/>
              </w:rPr>
              <w:t>The Board benefits from Ms. Freeman's experience in corporate leadership, serving on other boards and her strong</w:t>
            </w:r>
          </w:p>
        </w:tc>
        <w:tc>
          <w:tcPr>
            <w:tcW w:w="0" w:type="dxa"/>
            <w:vAlign w:val="bottom"/>
          </w:tcPr>
          <w:p>
            <w:pPr>
              <w:spacing w:after="0"/>
              <w:rPr>
                <w:sz w:val="1"/>
                <w:szCs w:val="1"/>
                <w:color w:val="auto"/>
              </w:rPr>
            </w:pPr>
          </w:p>
        </w:tc>
      </w:tr>
      <w:tr>
        <w:trPr>
          <w:trHeight w:val="149"/>
        </w:trPr>
        <w:tc>
          <w:tcPr>
            <w:tcW w:w="380" w:type="dxa"/>
            <w:vAlign w:val="bottom"/>
            <w:tcBorders>
              <w:left w:val="single" w:sz="8" w:color="53C072"/>
            </w:tcBorders>
            <w:shd w:val="clear" w:color="auto" w:fill="CFE9D2"/>
          </w:tcPr>
          <w:p>
            <w:pPr>
              <w:spacing w:after="0"/>
              <w:rPr>
                <w:sz w:val="12"/>
                <w:szCs w:val="12"/>
                <w:color w:val="auto"/>
              </w:rPr>
            </w:pPr>
          </w:p>
        </w:tc>
        <w:tc>
          <w:tcPr>
            <w:tcW w:w="1820" w:type="dxa"/>
            <w:vAlign w:val="bottom"/>
            <w:tcBorders>
              <w:right w:val="single" w:sz="8" w:color="53C072"/>
            </w:tcBorders>
            <w:shd w:val="clear" w:color="auto" w:fill="CFE9D2"/>
          </w:tcPr>
          <w:p>
            <w:pPr>
              <w:spacing w:after="0"/>
              <w:rPr>
                <w:sz w:val="12"/>
                <w:szCs w:val="12"/>
                <w:color w:val="auto"/>
              </w:rPr>
            </w:pPr>
          </w:p>
        </w:tc>
        <w:tc>
          <w:tcPr>
            <w:tcW w:w="9060" w:type="dxa"/>
            <w:vAlign w:val="bottom"/>
            <w:tcBorders>
              <w:right w:val="single" w:sz="8" w:color="53C072"/>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80" w:type="dxa"/>
            <w:vAlign w:val="bottom"/>
            <w:tcBorders>
              <w:left w:val="single" w:sz="8" w:color="53C072"/>
            </w:tcBorders>
            <w:shd w:val="clear" w:color="auto" w:fill="CFE9D2"/>
          </w:tcPr>
          <w:p>
            <w:pPr>
              <w:spacing w:after="0"/>
              <w:rPr>
                <w:sz w:val="18"/>
                <w:szCs w:val="18"/>
                <w:color w:val="auto"/>
              </w:rPr>
            </w:pPr>
          </w:p>
        </w:tc>
        <w:tc>
          <w:tcPr>
            <w:tcW w:w="1820" w:type="dxa"/>
            <w:vAlign w:val="bottom"/>
            <w:tcBorders>
              <w:right w:val="single" w:sz="8" w:color="53C072"/>
            </w:tcBorders>
            <w:shd w:val="clear" w:color="auto" w:fill="CFE9D2"/>
          </w:tcPr>
          <w:p>
            <w:pPr>
              <w:spacing w:after="0"/>
              <w:rPr>
                <w:sz w:val="18"/>
                <w:szCs w:val="18"/>
                <w:color w:val="auto"/>
              </w:rPr>
            </w:pPr>
          </w:p>
        </w:tc>
        <w:tc>
          <w:tcPr>
            <w:tcW w:w="9060" w:type="dxa"/>
            <w:vAlign w:val="bottom"/>
            <w:tcBorders>
              <w:right w:val="single" w:sz="8" w:color="53C072"/>
            </w:tcBorders>
            <w:gridSpan w:val="2"/>
          </w:tcPr>
          <w:p>
            <w:pPr>
              <w:ind w:left="80"/>
              <w:spacing w:after="0"/>
              <w:rPr>
                <w:sz w:val="20"/>
                <w:szCs w:val="20"/>
                <w:color w:val="auto"/>
              </w:rPr>
            </w:pPr>
            <w:r>
              <w:rPr>
                <w:rFonts w:ascii="Arial" w:cs="Arial" w:eastAsia="Arial" w:hAnsi="Arial"/>
                <w:sz w:val="16"/>
                <w:szCs w:val="16"/>
                <w:color w:val="auto"/>
              </w:rPr>
              <w:t>background in marketing, technology, digital commerce and digital transformation.</w:t>
            </w:r>
          </w:p>
        </w:tc>
        <w:tc>
          <w:tcPr>
            <w:tcW w:w="0" w:type="dxa"/>
            <w:vAlign w:val="bottom"/>
          </w:tcPr>
          <w:p>
            <w:pPr>
              <w:spacing w:after="0"/>
              <w:rPr>
                <w:sz w:val="1"/>
                <w:szCs w:val="1"/>
                <w:color w:val="auto"/>
              </w:rPr>
            </w:pPr>
          </w:p>
        </w:tc>
      </w:tr>
      <w:tr>
        <w:trPr>
          <w:trHeight w:val="185"/>
        </w:trPr>
        <w:tc>
          <w:tcPr>
            <w:tcW w:w="380" w:type="dxa"/>
            <w:vAlign w:val="bottom"/>
            <w:tcBorders>
              <w:left w:val="single" w:sz="8" w:color="53C072"/>
              <w:bottom w:val="single" w:sz="8" w:color="53C072"/>
            </w:tcBorders>
            <w:shd w:val="clear" w:color="auto" w:fill="CFE9D2"/>
          </w:tcPr>
          <w:p>
            <w:pPr>
              <w:spacing w:after="0"/>
              <w:rPr>
                <w:sz w:val="16"/>
                <w:szCs w:val="16"/>
                <w:color w:val="auto"/>
              </w:rPr>
            </w:pPr>
          </w:p>
        </w:tc>
        <w:tc>
          <w:tcPr>
            <w:tcW w:w="1820" w:type="dxa"/>
            <w:vAlign w:val="bottom"/>
            <w:tcBorders>
              <w:bottom w:val="single" w:sz="8" w:color="53C072"/>
              <w:right w:val="single" w:sz="8" w:color="53C072"/>
            </w:tcBorders>
            <w:shd w:val="clear" w:color="auto" w:fill="CFE9D2"/>
          </w:tcPr>
          <w:p>
            <w:pPr>
              <w:spacing w:after="0"/>
              <w:rPr>
                <w:sz w:val="16"/>
                <w:szCs w:val="16"/>
                <w:color w:val="auto"/>
              </w:rPr>
            </w:pPr>
          </w:p>
        </w:tc>
        <w:tc>
          <w:tcPr>
            <w:tcW w:w="2160" w:type="dxa"/>
            <w:vAlign w:val="bottom"/>
            <w:tcBorders>
              <w:bottom w:val="single" w:sz="8" w:color="53C072"/>
            </w:tcBorders>
          </w:tcPr>
          <w:p>
            <w:pPr>
              <w:spacing w:after="0"/>
              <w:rPr>
                <w:sz w:val="16"/>
                <w:szCs w:val="16"/>
                <w:color w:val="auto"/>
              </w:rPr>
            </w:pPr>
          </w:p>
        </w:tc>
        <w:tc>
          <w:tcPr>
            <w:tcW w:w="6900" w:type="dxa"/>
            <w:vAlign w:val="bottom"/>
            <w:tcBorders>
              <w:bottom w:val="single" w:sz="8" w:color="53C072"/>
              <w:right w:val="single" w:sz="8" w:color="53C072"/>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-3244850</wp:posOffset>
            </wp:positionV>
            <wp:extent cx="1156335" cy="16186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56335" cy="161861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tbl>
      <w:tblPr>
        <w:tblLayout w:type="fixed"/>
        <w:tblInd w:w="10" w:type="dxa"/>
        <w:tblCellMar>
          <w:top w:w="0" w:type="dxa"/>
          <w:left w:w="0" w:type="dxa"/>
          <w:bottom w:w="0" w:type="dxa"/>
          <w:right w:w="0" w:type="dxa"/>
        </w:tblCellMar>
      </w:tblPr>
      <w:tr>
        <w:trPr>
          <w:trHeight w:val="425"/>
        </w:trPr>
        <w:tc>
          <w:tcPr>
            <w:tcW w:w="360" w:type="dxa"/>
            <w:vAlign w:val="bottom"/>
            <w:tcBorders>
              <w:top w:val="single" w:sz="8" w:color="53C072"/>
              <w:left w:val="single" w:sz="8" w:color="53C072"/>
            </w:tcBorders>
            <w:shd w:val="clear" w:color="auto" w:fill="CFE9D2"/>
          </w:tcPr>
          <w:p>
            <w:pPr>
              <w:spacing w:after="0"/>
              <w:rPr>
                <w:sz w:val="24"/>
                <w:szCs w:val="24"/>
                <w:color w:val="auto"/>
              </w:rPr>
            </w:pPr>
          </w:p>
        </w:tc>
        <w:tc>
          <w:tcPr>
            <w:tcW w:w="1840" w:type="dxa"/>
            <w:vAlign w:val="bottom"/>
            <w:tcBorders>
              <w:top w:val="single" w:sz="8" w:color="53C072"/>
              <w:right w:val="single" w:sz="8" w:color="53C072"/>
            </w:tcBorders>
            <w:shd w:val="clear" w:color="auto" w:fill="CFE9D2"/>
          </w:tcPr>
          <w:p>
            <w:pPr>
              <w:spacing w:after="0"/>
              <w:rPr>
                <w:sz w:val="24"/>
                <w:szCs w:val="24"/>
                <w:color w:val="auto"/>
              </w:rPr>
            </w:pPr>
          </w:p>
        </w:tc>
        <w:tc>
          <w:tcPr>
            <w:tcW w:w="2860" w:type="dxa"/>
            <w:vAlign w:val="bottom"/>
            <w:tcBorders>
              <w:top w:val="single" w:sz="8" w:color="53C072"/>
            </w:tcBorders>
          </w:tcPr>
          <w:p>
            <w:pPr>
              <w:spacing w:after="0"/>
              <w:rPr>
                <w:sz w:val="24"/>
                <w:szCs w:val="24"/>
                <w:color w:val="auto"/>
              </w:rPr>
            </w:pPr>
          </w:p>
        </w:tc>
        <w:tc>
          <w:tcPr>
            <w:tcW w:w="6200" w:type="dxa"/>
            <w:vAlign w:val="bottom"/>
            <w:tcBorders>
              <w:top w:val="single" w:sz="8" w:color="53C072"/>
              <w:right w:val="single" w:sz="8" w:color="53C072"/>
            </w:tcBorders>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360" w:type="dxa"/>
            <w:vAlign w:val="bottom"/>
            <w:tcBorders>
              <w:left w:val="single" w:sz="8" w:color="53C072"/>
              <w:bottom w:val="single" w:sz="8" w:color="CFE9D2"/>
            </w:tcBorders>
            <w:shd w:val="clear" w:color="auto" w:fill="CFE9D2"/>
          </w:tcPr>
          <w:p>
            <w:pPr>
              <w:spacing w:after="0"/>
              <w:rPr>
                <w:sz w:val="24"/>
                <w:szCs w:val="24"/>
                <w:color w:val="auto"/>
              </w:rPr>
            </w:pPr>
          </w:p>
        </w:tc>
        <w:tc>
          <w:tcPr>
            <w:tcW w:w="1840" w:type="dxa"/>
            <w:vAlign w:val="bottom"/>
            <w:tcBorders>
              <w:bottom w:val="single" w:sz="8" w:color="CFE9D2"/>
              <w:right w:val="single" w:sz="8" w:color="53C072"/>
            </w:tcBorders>
            <w:shd w:val="clear" w:color="auto" w:fill="CFE9D2"/>
          </w:tcPr>
          <w:p>
            <w:pPr>
              <w:spacing w:after="0"/>
              <w:rPr>
                <w:sz w:val="24"/>
                <w:szCs w:val="24"/>
                <w:color w:val="auto"/>
              </w:rPr>
            </w:pPr>
          </w:p>
        </w:tc>
        <w:tc>
          <w:tcPr>
            <w:tcW w:w="2860" w:type="dxa"/>
            <w:vAlign w:val="bottom"/>
            <w:tcBorders>
              <w:bottom w:val="single" w:sz="8" w:color="53C072"/>
            </w:tcBorders>
            <w:shd w:val="clear" w:color="auto" w:fill="53C072"/>
          </w:tcPr>
          <w:p>
            <w:pPr>
              <w:ind w:left="180"/>
              <w:spacing w:after="0"/>
              <w:rPr>
                <w:sz w:val="20"/>
                <w:szCs w:val="20"/>
                <w:color w:val="auto"/>
              </w:rPr>
            </w:pPr>
            <w:r>
              <w:rPr>
                <w:rFonts w:ascii="Arial" w:cs="Arial" w:eastAsia="Arial" w:hAnsi="Arial"/>
                <w:sz w:val="19"/>
                <w:szCs w:val="19"/>
                <w:b w:val="1"/>
                <w:bCs w:val="1"/>
                <w:color w:val="FFFFFE"/>
              </w:rPr>
              <w:t>JO ANN JENKINS</w:t>
            </w:r>
          </w:p>
        </w:tc>
        <w:tc>
          <w:tcPr>
            <w:tcW w:w="6200" w:type="dxa"/>
            <w:vAlign w:val="bottom"/>
            <w:tcBorders>
              <w:bottom w:val="single" w:sz="8" w:color="53C072"/>
              <w:right w:val="single" w:sz="8" w:color="53C072"/>
            </w:tcBorders>
            <w:shd w:val="clear" w:color="auto" w:fill="53C072"/>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360" w:type="dxa"/>
            <w:vAlign w:val="bottom"/>
            <w:tcBorders>
              <w:left w:val="single" w:sz="8" w:color="53C072"/>
            </w:tcBorders>
            <w:shd w:val="clear" w:color="auto" w:fill="CFE9D2"/>
          </w:tcPr>
          <w:p>
            <w:pPr>
              <w:spacing w:after="0"/>
              <w:rPr>
                <w:sz w:val="24"/>
                <w:szCs w:val="24"/>
                <w:color w:val="auto"/>
              </w:rPr>
            </w:pPr>
          </w:p>
        </w:tc>
        <w:tc>
          <w:tcPr>
            <w:tcW w:w="1840" w:type="dxa"/>
            <w:vAlign w:val="bottom"/>
            <w:tcBorders>
              <w:right w:val="single" w:sz="8" w:color="53C072"/>
            </w:tcBorders>
            <w:shd w:val="clear" w:color="auto" w:fill="CFE9D2"/>
          </w:tcPr>
          <w:p>
            <w:pPr>
              <w:spacing w:after="0"/>
              <w:rPr>
                <w:sz w:val="24"/>
                <w:szCs w:val="24"/>
                <w:color w:val="auto"/>
              </w:rPr>
            </w:pPr>
          </w:p>
        </w:tc>
        <w:tc>
          <w:tcPr>
            <w:tcW w:w="2860" w:type="dxa"/>
            <w:vAlign w:val="bottom"/>
          </w:tcPr>
          <w:p>
            <w:pPr>
              <w:ind w:left="80"/>
              <w:spacing w:after="0"/>
              <w:rPr>
                <w:sz w:val="20"/>
                <w:szCs w:val="20"/>
                <w:color w:val="auto"/>
              </w:rPr>
            </w:pPr>
            <w:r>
              <w:rPr>
                <w:rFonts w:ascii="Arial" w:cs="Arial" w:eastAsia="Arial" w:hAnsi="Arial"/>
                <w:sz w:val="16"/>
                <w:szCs w:val="16"/>
                <w:b w:val="1"/>
                <w:bCs w:val="1"/>
                <w:color w:val="53C072"/>
              </w:rPr>
              <w:t>Recent Business Experience:</w:t>
            </w:r>
          </w:p>
        </w:tc>
        <w:tc>
          <w:tcPr>
            <w:tcW w:w="6200" w:type="dxa"/>
            <w:vAlign w:val="bottom"/>
            <w:tcBorders>
              <w:right w:val="single" w:sz="8" w:color="53C072"/>
            </w:tcBorders>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60" w:type="dxa"/>
            <w:vAlign w:val="bottom"/>
            <w:tcBorders>
              <w:left w:val="single" w:sz="8" w:color="53C072"/>
            </w:tcBorders>
            <w:shd w:val="clear" w:color="auto" w:fill="CFE9D2"/>
          </w:tcPr>
          <w:p>
            <w:pPr>
              <w:spacing w:after="0"/>
              <w:rPr>
                <w:sz w:val="24"/>
                <w:szCs w:val="24"/>
                <w:color w:val="auto"/>
              </w:rPr>
            </w:pPr>
          </w:p>
        </w:tc>
        <w:tc>
          <w:tcPr>
            <w:tcW w:w="1840" w:type="dxa"/>
            <w:vAlign w:val="bottom"/>
            <w:tcBorders>
              <w:right w:val="single" w:sz="8" w:color="53C072"/>
            </w:tcBorders>
            <w:shd w:val="clear" w:color="auto" w:fill="CFE9D2"/>
          </w:tcPr>
          <w:p>
            <w:pPr>
              <w:spacing w:after="0"/>
              <w:rPr>
                <w:sz w:val="24"/>
                <w:szCs w:val="24"/>
                <w:color w:val="auto"/>
              </w:rPr>
            </w:pPr>
          </w:p>
        </w:tc>
        <w:tc>
          <w:tcPr>
            <w:tcW w:w="9060" w:type="dxa"/>
            <w:vAlign w:val="bottom"/>
            <w:tcBorders>
              <w:right w:val="single" w:sz="8" w:color="53C072"/>
            </w:tcBorders>
            <w:gridSpan w:val="2"/>
          </w:tcPr>
          <w:p>
            <w:pPr>
              <w:ind w:left="80"/>
              <w:spacing w:after="0"/>
              <w:rPr>
                <w:sz w:val="20"/>
                <w:szCs w:val="20"/>
                <w:color w:val="auto"/>
              </w:rPr>
            </w:pPr>
            <w:r>
              <w:rPr>
                <w:rFonts w:ascii="Arial" w:cs="Arial" w:eastAsia="Arial" w:hAnsi="Arial"/>
                <w:sz w:val="16"/>
                <w:szCs w:val="16"/>
                <w:color w:val="auto"/>
              </w:rPr>
              <w:t>Ms. Jenkins has served as the Chief Executive Officer of AARP, the nation's largest nonprofit, nonpartisan organization</w:t>
            </w:r>
          </w:p>
        </w:tc>
        <w:tc>
          <w:tcPr>
            <w:tcW w:w="0" w:type="dxa"/>
            <w:vAlign w:val="bottom"/>
          </w:tcPr>
          <w:p>
            <w:pPr>
              <w:spacing w:after="0"/>
              <w:rPr>
                <w:sz w:val="1"/>
                <w:szCs w:val="1"/>
                <w:color w:val="auto"/>
              </w:rPr>
            </w:pPr>
          </w:p>
        </w:tc>
      </w:tr>
      <w:tr>
        <w:trPr>
          <w:trHeight w:val="182"/>
        </w:trPr>
        <w:tc>
          <w:tcPr>
            <w:tcW w:w="360" w:type="dxa"/>
            <w:vAlign w:val="bottom"/>
            <w:tcBorders>
              <w:left w:val="single" w:sz="8" w:color="53C072"/>
            </w:tcBorders>
            <w:shd w:val="clear" w:color="auto" w:fill="CFE9D2"/>
          </w:tcPr>
          <w:p>
            <w:pPr>
              <w:spacing w:after="0"/>
              <w:rPr>
                <w:sz w:val="15"/>
                <w:szCs w:val="15"/>
                <w:color w:val="auto"/>
              </w:rPr>
            </w:pPr>
          </w:p>
        </w:tc>
        <w:tc>
          <w:tcPr>
            <w:tcW w:w="1840" w:type="dxa"/>
            <w:vAlign w:val="bottom"/>
            <w:tcBorders>
              <w:right w:val="single" w:sz="8" w:color="53C072"/>
            </w:tcBorders>
            <w:shd w:val="clear" w:color="auto" w:fill="CFE9D2"/>
          </w:tcPr>
          <w:p>
            <w:pPr>
              <w:spacing w:after="0"/>
              <w:rPr>
                <w:sz w:val="15"/>
                <w:szCs w:val="15"/>
                <w:color w:val="auto"/>
              </w:rPr>
            </w:pPr>
          </w:p>
        </w:tc>
        <w:tc>
          <w:tcPr>
            <w:tcW w:w="9060" w:type="dxa"/>
            <w:vAlign w:val="bottom"/>
            <w:tcBorders>
              <w:right w:val="single" w:sz="8" w:color="53C072"/>
            </w:tcBorders>
            <w:gridSpan w:val="2"/>
          </w:tcPr>
          <w:p>
            <w:pPr>
              <w:ind w:left="80"/>
              <w:spacing w:after="0" w:line="182" w:lineRule="exact"/>
              <w:rPr>
                <w:sz w:val="20"/>
                <w:szCs w:val="20"/>
                <w:color w:val="auto"/>
              </w:rPr>
            </w:pPr>
            <w:r>
              <w:rPr>
                <w:rFonts w:ascii="Arial" w:cs="Arial" w:eastAsia="Arial" w:hAnsi="Arial"/>
                <w:sz w:val="16"/>
                <w:szCs w:val="16"/>
                <w:color w:val="auto"/>
              </w:rPr>
              <w:t>dedicated to empowering people 50 and older to choose how they live and age, since 2014. Previously, she served as the</w:t>
            </w:r>
          </w:p>
        </w:tc>
        <w:tc>
          <w:tcPr>
            <w:tcW w:w="0" w:type="dxa"/>
            <w:vAlign w:val="bottom"/>
          </w:tcPr>
          <w:p>
            <w:pPr>
              <w:spacing w:after="0"/>
              <w:rPr>
                <w:sz w:val="1"/>
                <w:szCs w:val="1"/>
                <w:color w:val="auto"/>
              </w:rPr>
            </w:pPr>
          </w:p>
        </w:tc>
      </w:tr>
      <w:tr>
        <w:trPr>
          <w:trHeight w:val="182"/>
        </w:trPr>
        <w:tc>
          <w:tcPr>
            <w:tcW w:w="360" w:type="dxa"/>
            <w:vAlign w:val="bottom"/>
            <w:tcBorders>
              <w:left w:val="single" w:sz="8" w:color="53C072"/>
            </w:tcBorders>
            <w:shd w:val="clear" w:color="auto" w:fill="CFE9D2"/>
          </w:tcPr>
          <w:p>
            <w:pPr>
              <w:spacing w:after="0"/>
              <w:rPr>
                <w:sz w:val="15"/>
                <w:szCs w:val="15"/>
                <w:color w:val="auto"/>
              </w:rPr>
            </w:pPr>
          </w:p>
        </w:tc>
        <w:tc>
          <w:tcPr>
            <w:tcW w:w="1840" w:type="dxa"/>
            <w:vAlign w:val="bottom"/>
            <w:tcBorders>
              <w:right w:val="single" w:sz="8" w:color="53C072"/>
            </w:tcBorders>
            <w:shd w:val="clear" w:color="auto" w:fill="CFE9D2"/>
          </w:tcPr>
          <w:p>
            <w:pPr>
              <w:spacing w:after="0"/>
              <w:rPr>
                <w:sz w:val="15"/>
                <w:szCs w:val="15"/>
                <w:color w:val="auto"/>
              </w:rPr>
            </w:pPr>
          </w:p>
        </w:tc>
        <w:tc>
          <w:tcPr>
            <w:tcW w:w="9060" w:type="dxa"/>
            <w:vAlign w:val="bottom"/>
            <w:tcBorders>
              <w:right w:val="single" w:sz="8" w:color="53C072"/>
            </w:tcBorders>
            <w:gridSpan w:val="2"/>
          </w:tcPr>
          <w:p>
            <w:pPr>
              <w:ind w:left="80"/>
              <w:spacing w:after="0" w:line="182" w:lineRule="exact"/>
              <w:rPr>
                <w:sz w:val="20"/>
                <w:szCs w:val="20"/>
                <w:color w:val="auto"/>
              </w:rPr>
            </w:pPr>
            <w:r>
              <w:rPr>
                <w:rFonts w:ascii="Arial" w:cs="Arial" w:eastAsia="Arial" w:hAnsi="Arial"/>
                <w:sz w:val="16"/>
                <w:szCs w:val="16"/>
                <w:color w:val="auto"/>
              </w:rPr>
              <w:t>Executive Vice President and Chief Operating Officer of AARP from 2013 to 2014 and President of the AARP Foundation from</w:t>
            </w:r>
          </w:p>
        </w:tc>
        <w:tc>
          <w:tcPr>
            <w:tcW w:w="0" w:type="dxa"/>
            <w:vAlign w:val="bottom"/>
          </w:tcPr>
          <w:p>
            <w:pPr>
              <w:spacing w:after="0"/>
              <w:rPr>
                <w:sz w:val="1"/>
                <w:szCs w:val="1"/>
                <w:color w:val="auto"/>
              </w:rPr>
            </w:pPr>
          </w:p>
        </w:tc>
      </w:tr>
      <w:tr>
        <w:trPr>
          <w:trHeight w:val="182"/>
        </w:trPr>
        <w:tc>
          <w:tcPr>
            <w:tcW w:w="360" w:type="dxa"/>
            <w:vAlign w:val="bottom"/>
            <w:tcBorders>
              <w:left w:val="single" w:sz="8" w:color="53C072"/>
            </w:tcBorders>
            <w:shd w:val="clear" w:color="auto" w:fill="CFE9D2"/>
          </w:tcPr>
          <w:p>
            <w:pPr>
              <w:spacing w:after="0"/>
              <w:rPr>
                <w:sz w:val="15"/>
                <w:szCs w:val="15"/>
                <w:color w:val="auto"/>
              </w:rPr>
            </w:pPr>
          </w:p>
        </w:tc>
        <w:tc>
          <w:tcPr>
            <w:tcW w:w="1840" w:type="dxa"/>
            <w:vAlign w:val="bottom"/>
            <w:tcBorders>
              <w:right w:val="single" w:sz="8" w:color="53C072"/>
            </w:tcBorders>
            <w:shd w:val="clear" w:color="auto" w:fill="CFE9D2"/>
          </w:tcPr>
          <w:p>
            <w:pPr>
              <w:spacing w:after="0"/>
              <w:rPr>
                <w:sz w:val="15"/>
                <w:szCs w:val="15"/>
                <w:color w:val="auto"/>
              </w:rPr>
            </w:pPr>
          </w:p>
        </w:tc>
        <w:tc>
          <w:tcPr>
            <w:tcW w:w="9060" w:type="dxa"/>
            <w:vAlign w:val="bottom"/>
            <w:tcBorders>
              <w:right w:val="single" w:sz="8" w:color="53C072"/>
            </w:tcBorders>
            <w:gridSpan w:val="2"/>
          </w:tcPr>
          <w:p>
            <w:pPr>
              <w:ind w:left="80"/>
              <w:spacing w:after="0" w:line="182" w:lineRule="exact"/>
              <w:rPr>
                <w:sz w:val="20"/>
                <w:szCs w:val="20"/>
                <w:color w:val="auto"/>
              </w:rPr>
            </w:pPr>
            <w:r>
              <w:rPr>
                <w:rFonts w:ascii="Arial" w:cs="Arial" w:eastAsia="Arial" w:hAnsi="Arial"/>
                <w:sz w:val="16"/>
                <w:szCs w:val="16"/>
                <w:color w:val="auto"/>
              </w:rPr>
              <w:t>2010 to 2013. Prior to that, Ms. Jenkins held various positions at the Library of Congress from 1994 to 2010, including Chief</w:t>
            </w:r>
          </w:p>
        </w:tc>
        <w:tc>
          <w:tcPr>
            <w:tcW w:w="0" w:type="dxa"/>
            <w:vAlign w:val="bottom"/>
          </w:tcPr>
          <w:p>
            <w:pPr>
              <w:spacing w:after="0"/>
              <w:rPr>
                <w:sz w:val="1"/>
                <w:szCs w:val="1"/>
                <w:color w:val="auto"/>
              </w:rPr>
            </w:pPr>
          </w:p>
        </w:tc>
      </w:tr>
      <w:tr>
        <w:trPr>
          <w:trHeight w:val="182"/>
        </w:trPr>
        <w:tc>
          <w:tcPr>
            <w:tcW w:w="360" w:type="dxa"/>
            <w:vAlign w:val="bottom"/>
            <w:tcBorders>
              <w:left w:val="single" w:sz="8" w:color="53C072"/>
            </w:tcBorders>
            <w:shd w:val="clear" w:color="auto" w:fill="CFE9D2"/>
          </w:tcPr>
          <w:p>
            <w:pPr>
              <w:spacing w:after="0"/>
              <w:rPr>
                <w:sz w:val="15"/>
                <w:szCs w:val="15"/>
                <w:color w:val="auto"/>
              </w:rPr>
            </w:pPr>
          </w:p>
        </w:tc>
        <w:tc>
          <w:tcPr>
            <w:tcW w:w="1840" w:type="dxa"/>
            <w:vAlign w:val="bottom"/>
            <w:tcBorders>
              <w:right w:val="single" w:sz="8" w:color="53C072"/>
            </w:tcBorders>
            <w:shd w:val="clear" w:color="auto" w:fill="CFE9D2"/>
          </w:tcPr>
          <w:p>
            <w:pPr>
              <w:spacing w:after="0"/>
              <w:rPr>
                <w:sz w:val="15"/>
                <w:szCs w:val="15"/>
                <w:color w:val="auto"/>
              </w:rPr>
            </w:pPr>
          </w:p>
        </w:tc>
        <w:tc>
          <w:tcPr>
            <w:tcW w:w="9060" w:type="dxa"/>
            <w:vAlign w:val="bottom"/>
            <w:tcBorders>
              <w:right w:val="single" w:sz="8" w:color="53C072"/>
            </w:tcBorders>
            <w:gridSpan w:val="2"/>
          </w:tcPr>
          <w:p>
            <w:pPr>
              <w:ind w:left="80"/>
              <w:spacing w:after="0" w:line="182" w:lineRule="exact"/>
              <w:rPr>
                <w:sz w:val="20"/>
                <w:szCs w:val="20"/>
                <w:color w:val="auto"/>
              </w:rPr>
            </w:pPr>
            <w:r>
              <w:rPr>
                <w:rFonts w:ascii="Arial" w:cs="Arial" w:eastAsia="Arial" w:hAnsi="Arial"/>
                <w:sz w:val="16"/>
                <w:szCs w:val="16"/>
                <w:color w:val="auto"/>
                <w:w w:val="99"/>
              </w:rPr>
              <w:t>Operating Officer from 2007 to 2010. Ms. Jenkins has served on the board of directors of General Mills, Inc. (NYSE: GIS) since</w:t>
            </w:r>
          </w:p>
        </w:tc>
        <w:tc>
          <w:tcPr>
            <w:tcW w:w="0" w:type="dxa"/>
            <w:vAlign w:val="bottom"/>
          </w:tcPr>
          <w:p>
            <w:pPr>
              <w:spacing w:after="0"/>
              <w:rPr>
                <w:sz w:val="1"/>
                <w:szCs w:val="1"/>
                <w:color w:val="auto"/>
              </w:rPr>
            </w:pPr>
          </w:p>
        </w:tc>
      </w:tr>
      <w:tr>
        <w:trPr>
          <w:trHeight w:val="213"/>
        </w:trPr>
        <w:tc>
          <w:tcPr>
            <w:tcW w:w="360" w:type="dxa"/>
            <w:vAlign w:val="bottom"/>
            <w:tcBorders>
              <w:left w:val="single" w:sz="8" w:color="53C072"/>
            </w:tcBorders>
            <w:shd w:val="clear" w:color="auto" w:fill="CFE9D2"/>
          </w:tcPr>
          <w:p>
            <w:pPr>
              <w:spacing w:after="0"/>
              <w:rPr>
                <w:sz w:val="18"/>
                <w:szCs w:val="18"/>
                <w:color w:val="auto"/>
              </w:rPr>
            </w:pPr>
          </w:p>
        </w:tc>
        <w:tc>
          <w:tcPr>
            <w:tcW w:w="1840" w:type="dxa"/>
            <w:vAlign w:val="bottom"/>
            <w:tcBorders>
              <w:right w:val="single" w:sz="8" w:color="53C072"/>
            </w:tcBorders>
            <w:shd w:val="clear" w:color="auto" w:fill="CFE9D2"/>
          </w:tcPr>
          <w:p>
            <w:pPr>
              <w:spacing w:after="0"/>
              <w:rPr>
                <w:sz w:val="18"/>
                <w:szCs w:val="18"/>
                <w:color w:val="auto"/>
              </w:rPr>
            </w:pPr>
          </w:p>
        </w:tc>
        <w:tc>
          <w:tcPr>
            <w:tcW w:w="2860" w:type="dxa"/>
            <w:vAlign w:val="bottom"/>
          </w:tcPr>
          <w:p>
            <w:pPr>
              <w:ind w:left="80"/>
              <w:spacing w:after="0"/>
              <w:rPr>
                <w:sz w:val="20"/>
                <w:szCs w:val="20"/>
                <w:color w:val="auto"/>
              </w:rPr>
            </w:pPr>
            <w:r>
              <w:rPr>
                <w:rFonts w:ascii="Arial" w:cs="Arial" w:eastAsia="Arial" w:hAnsi="Arial"/>
                <w:sz w:val="16"/>
                <w:szCs w:val="16"/>
                <w:color w:val="auto"/>
              </w:rPr>
              <w:t>January 2020.</w:t>
            </w:r>
          </w:p>
        </w:tc>
        <w:tc>
          <w:tcPr>
            <w:tcW w:w="6200" w:type="dxa"/>
            <w:vAlign w:val="bottom"/>
            <w:tcBorders>
              <w:right w:val="single" w:sz="8" w:color="53C072"/>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200" w:type="dxa"/>
            <w:vAlign w:val="bottom"/>
            <w:tcBorders>
              <w:left w:val="single" w:sz="8" w:color="53C072"/>
              <w:bottom w:val="single" w:sz="8" w:color="CFE9D2"/>
              <w:right w:val="single" w:sz="8" w:color="53C072"/>
            </w:tcBorders>
            <w:gridSpan w:val="2"/>
            <w:shd w:val="clear" w:color="auto" w:fill="CFE9D2"/>
          </w:tcPr>
          <w:p>
            <w:pPr>
              <w:spacing w:after="0"/>
              <w:rPr>
                <w:sz w:val="16"/>
                <w:szCs w:val="16"/>
                <w:color w:val="auto"/>
              </w:rPr>
            </w:pPr>
          </w:p>
        </w:tc>
        <w:tc>
          <w:tcPr>
            <w:tcW w:w="9060" w:type="dxa"/>
            <w:vAlign w:val="bottom"/>
            <w:tcBorders>
              <w:bottom w:val="single" w:sz="8" w:color="53C072"/>
              <w:right w:val="single" w:sz="8" w:color="53C072"/>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485"/>
        </w:trPr>
        <w:tc>
          <w:tcPr>
            <w:tcW w:w="2200" w:type="dxa"/>
            <w:vAlign w:val="bottom"/>
            <w:tcBorders>
              <w:left w:val="single" w:sz="8" w:color="53C072"/>
              <w:right w:val="single" w:sz="8" w:color="53C072"/>
            </w:tcBorders>
            <w:gridSpan w:val="2"/>
            <w:shd w:val="clear" w:color="auto" w:fill="CFE9D2"/>
          </w:tcPr>
          <w:p>
            <w:pPr>
              <w:ind w:left="200"/>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2018</w:t>
            </w:r>
          </w:p>
        </w:tc>
        <w:tc>
          <w:tcPr>
            <w:tcW w:w="9060" w:type="dxa"/>
            <w:vAlign w:val="bottom"/>
            <w:tcBorders>
              <w:right w:val="single" w:sz="8" w:color="53C072"/>
            </w:tcBorders>
            <w:gridSpan w:val="2"/>
          </w:tcPr>
          <w:p>
            <w:pPr>
              <w:ind w:left="80"/>
              <w:spacing w:after="0"/>
              <w:rPr>
                <w:sz w:val="20"/>
                <w:szCs w:val="20"/>
                <w:color w:val="auto"/>
              </w:rPr>
            </w:pPr>
            <w:r>
              <w:rPr>
                <w:rFonts w:ascii="Arial" w:cs="Arial" w:eastAsia="Arial" w:hAnsi="Arial"/>
                <w:sz w:val="16"/>
                <w:szCs w:val="16"/>
                <w:b w:val="1"/>
                <w:bCs w:val="1"/>
                <w:color w:val="53C072"/>
              </w:rPr>
              <w:t>Primary Qualifications and Experience:</w:t>
            </w:r>
          </w:p>
        </w:tc>
        <w:tc>
          <w:tcPr>
            <w:tcW w:w="0" w:type="dxa"/>
            <w:vAlign w:val="bottom"/>
          </w:tcPr>
          <w:p>
            <w:pPr>
              <w:spacing w:after="0"/>
              <w:rPr>
                <w:sz w:val="1"/>
                <w:szCs w:val="1"/>
                <w:color w:val="auto"/>
              </w:rPr>
            </w:pPr>
          </w:p>
        </w:tc>
      </w:tr>
      <w:tr>
        <w:trPr>
          <w:trHeight w:val="340"/>
        </w:trPr>
        <w:tc>
          <w:tcPr>
            <w:tcW w:w="2200" w:type="dxa"/>
            <w:vAlign w:val="bottom"/>
            <w:tcBorders>
              <w:left w:val="single" w:sz="8" w:color="53C072"/>
              <w:right w:val="single" w:sz="8" w:color="53C072"/>
            </w:tcBorders>
            <w:gridSpan w:val="2"/>
            <w:shd w:val="clear" w:color="auto" w:fill="CFE9D2"/>
          </w:tcPr>
          <w:p>
            <w:pPr>
              <w:ind w:left="200"/>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62</w:t>
            </w:r>
          </w:p>
        </w:tc>
        <w:tc>
          <w:tcPr>
            <w:tcW w:w="2860" w:type="dxa"/>
            <w:vAlign w:val="bottom"/>
          </w:tcPr>
          <w:p>
            <w:pPr>
              <w:ind w:left="6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CEO</w:t>
            </w:r>
          </w:p>
        </w:tc>
        <w:tc>
          <w:tcPr>
            <w:tcW w:w="6200" w:type="dxa"/>
            <w:vAlign w:val="bottom"/>
            <w:tcBorders>
              <w:right w:val="single" w:sz="8" w:color="53C072"/>
            </w:tcBorders>
          </w:tcPr>
          <w:p>
            <w:pPr>
              <w:ind w:left="14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Senior Leadership</w:t>
            </w:r>
          </w:p>
        </w:tc>
        <w:tc>
          <w:tcPr>
            <w:tcW w:w="0" w:type="dxa"/>
            <w:vAlign w:val="bottom"/>
          </w:tcPr>
          <w:p>
            <w:pPr>
              <w:spacing w:after="0"/>
              <w:rPr>
                <w:sz w:val="1"/>
                <w:szCs w:val="1"/>
                <w:color w:val="auto"/>
              </w:rPr>
            </w:pPr>
          </w:p>
        </w:tc>
      </w:tr>
      <w:tr>
        <w:trPr>
          <w:trHeight w:val="366"/>
        </w:trPr>
        <w:tc>
          <w:tcPr>
            <w:tcW w:w="2200" w:type="dxa"/>
            <w:vAlign w:val="bottom"/>
            <w:tcBorders>
              <w:left w:val="single" w:sz="8" w:color="53C072"/>
              <w:right w:val="single" w:sz="8" w:color="53C072"/>
            </w:tcBorders>
            <w:gridSpan w:val="2"/>
            <w:shd w:val="clear" w:color="auto" w:fill="CFE9D2"/>
          </w:tcPr>
          <w:p>
            <w:pPr>
              <w:ind w:left="200"/>
              <w:spacing w:after="0"/>
              <w:rPr>
                <w:sz w:val="20"/>
                <w:szCs w:val="20"/>
                <w:color w:val="auto"/>
              </w:rPr>
            </w:pPr>
            <w:r>
              <w:rPr>
                <w:rFonts w:ascii="Arial" w:cs="Arial" w:eastAsia="Arial" w:hAnsi="Arial"/>
                <w:sz w:val="13"/>
                <w:szCs w:val="13"/>
                <w:b w:val="1"/>
                <w:bCs w:val="1"/>
                <w:color w:val="auto"/>
              </w:rPr>
              <w:t>Independent</w:t>
            </w:r>
          </w:p>
        </w:tc>
        <w:tc>
          <w:tcPr>
            <w:tcW w:w="2860" w:type="dxa"/>
            <w:vAlign w:val="bottom"/>
          </w:tcPr>
          <w:p>
            <w:pPr>
              <w:ind w:left="6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Environmental Social &amp; Governance</w:t>
            </w:r>
          </w:p>
        </w:tc>
        <w:tc>
          <w:tcPr>
            <w:tcW w:w="6200" w:type="dxa"/>
            <w:vAlign w:val="bottom"/>
            <w:tcBorders>
              <w:right w:val="single" w:sz="8" w:color="53C072"/>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00" w:type="dxa"/>
            <w:vAlign w:val="bottom"/>
            <w:tcBorders>
              <w:left w:val="single" w:sz="8" w:color="53C072"/>
              <w:right w:val="single" w:sz="8" w:color="53C072"/>
            </w:tcBorders>
            <w:gridSpan w:val="2"/>
            <w:shd w:val="clear" w:color="auto" w:fill="CFE9D2"/>
          </w:tcPr>
          <w:p>
            <w:pPr>
              <w:ind w:left="200"/>
              <w:spacing w:after="0"/>
              <w:rPr>
                <w:sz w:val="20"/>
                <w:szCs w:val="20"/>
                <w:color w:val="auto"/>
              </w:rPr>
            </w:pPr>
            <w:r>
              <w:rPr>
                <w:rFonts w:ascii="Arial" w:cs="Arial" w:eastAsia="Arial" w:hAnsi="Arial"/>
                <w:sz w:val="13"/>
                <w:szCs w:val="13"/>
                <w:b w:val="1"/>
                <w:bCs w:val="1"/>
                <w:color w:val="auto"/>
              </w:rPr>
              <w:t>Current Committee</w:t>
            </w:r>
          </w:p>
        </w:tc>
        <w:tc>
          <w:tcPr>
            <w:tcW w:w="9060" w:type="dxa"/>
            <w:vAlign w:val="bottom"/>
            <w:tcBorders>
              <w:right w:val="single" w:sz="8" w:color="53C072"/>
            </w:tcBorders>
            <w:gridSpan w:val="2"/>
          </w:tcPr>
          <w:p>
            <w:pPr>
              <w:ind w:left="80"/>
              <w:spacing w:after="0"/>
              <w:rPr>
                <w:sz w:val="20"/>
                <w:szCs w:val="20"/>
                <w:color w:val="auto"/>
              </w:rPr>
            </w:pPr>
            <w:r>
              <w:rPr>
                <w:rFonts w:ascii="Arial" w:cs="Arial" w:eastAsia="Arial" w:hAnsi="Arial"/>
                <w:sz w:val="16"/>
                <w:szCs w:val="16"/>
                <w:color w:val="auto"/>
              </w:rPr>
              <w:t>The Board benefits from Ms. Jenkins's experience in corporate leadership and management, government affairs and</w:t>
            </w:r>
          </w:p>
        </w:tc>
        <w:tc>
          <w:tcPr>
            <w:tcW w:w="0" w:type="dxa"/>
            <w:vAlign w:val="bottom"/>
          </w:tcPr>
          <w:p>
            <w:pPr>
              <w:spacing w:after="0"/>
              <w:rPr>
                <w:sz w:val="1"/>
                <w:szCs w:val="1"/>
                <w:color w:val="auto"/>
              </w:rPr>
            </w:pPr>
          </w:p>
        </w:tc>
      </w:tr>
      <w:tr>
        <w:trPr>
          <w:trHeight w:val="201"/>
        </w:trPr>
        <w:tc>
          <w:tcPr>
            <w:tcW w:w="2200" w:type="dxa"/>
            <w:vAlign w:val="bottom"/>
            <w:tcBorders>
              <w:left w:val="single" w:sz="8" w:color="53C072"/>
              <w:right w:val="single" w:sz="8" w:color="53C072"/>
            </w:tcBorders>
            <w:gridSpan w:val="2"/>
            <w:shd w:val="clear" w:color="auto" w:fill="CFE9D2"/>
          </w:tcPr>
          <w:p>
            <w:pPr>
              <w:ind w:left="200"/>
              <w:spacing w:after="0"/>
              <w:rPr>
                <w:sz w:val="20"/>
                <w:szCs w:val="20"/>
                <w:color w:val="auto"/>
              </w:rPr>
            </w:pPr>
            <w:r>
              <w:rPr>
                <w:rFonts w:ascii="Arial" w:cs="Arial" w:eastAsia="Arial" w:hAnsi="Arial"/>
                <w:sz w:val="13"/>
                <w:szCs w:val="13"/>
                <w:b w:val="1"/>
                <w:bCs w:val="1"/>
                <w:color w:val="auto"/>
              </w:rPr>
              <w:t>Memberships:</w:t>
            </w:r>
          </w:p>
        </w:tc>
        <w:tc>
          <w:tcPr>
            <w:tcW w:w="9060" w:type="dxa"/>
            <w:vAlign w:val="bottom"/>
            <w:tcBorders>
              <w:right w:val="single" w:sz="8" w:color="53C072"/>
            </w:tcBorders>
            <w:gridSpan w:val="2"/>
          </w:tcPr>
          <w:p>
            <w:pPr>
              <w:ind w:left="80"/>
              <w:spacing w:after="0"/>
              <w:rPr>
                <w:sz w:val="20"/>
                <w:szCs w:val="20"/>
                <w:color w:val="auto"/>
              </w:rPr>
            </w:pPr>
            <w:r>
              <w:rPr>
                <w:rFonts w:ascii="Arial" w:cs="Arial" w:eastAsia="Arial" w:hAnsi="Arial"/>
                <w:sz w:val="16"/>
                <w:szCs w:val="16"/>
                <w:color w:val="auto"/>
              </w:rPr>
              <w:t>community relations, and innovation and strategic transformation, including development and implementation of diversity</w:t>
            </w:r>
          </w:p>
        </w:tc>
        <w:tc>
          <w:tcPr>
            <w:tcW w:w="0" w:type="dxa"/>
            <w:vAlign w:val="bottom"/>
          </w:tcPr>
          <w:p>
            <w:pPr>
              <w:spacing w:after="0"/>
              <w:rPr>
                <w:sz w:val="1"/>
                <w:szCs w:val="1"/>
                <w:color w:val="auto"/>
              </w:rPr>
            </w:pPr>
          </w:p>
        </w:tc>
      </w:tr>
      <w:tr>
        <w:trPr>
          <w:trHeight w:val="213"/>
        </w:trPr>
        <w:tc>
          <w:tcPr>
            <w:tcW w:w="360" w:type="dxa"/>
            <w:vAlign w:val="bottom"/>
            <w:tcBorders>
              <w:left w:val="single" w:sz="8" w:color="53C072"/>
            </w:tcBorders>
            <w:vMerge w:val="restart"/>
            <w:shd w:val="clear" w:color="auto" w:fill="CFE9D2"/>
          </w:tcPr>
          <w:p>
            <w:pPr>
              <w:ind w:left="200"/>
              <w:spacing w:after="0"/>
              <w:rPr>
                <w:sz w:val="20"/>
                <w:szCs w:val="20"/>
                <w:color w:val="auto"/>
              </w:rPr>
            </w:pPr>
            <w:r>
              <w:rPr>
                <w:rFonts w:ascii="Arial" w:cs="Arial" w:eastAsia="Arial" w:hAnsi="Arial"/>
                <w:sz w:val="13"/>
                <w:szCs w:val="13"/>
                <w:color w:val="53C072"/>
              </w:rPr>
              <w:t>•</w:t>
            </w:r>
          </w:p>
        </w:tc>
        <w:tc>
          <w:tcPr>
            <w:tcW w:w="1840" w:type="dxa"/>
            <w:vAlign w:val="bottom"/>
            <w:tcBorders>
              <w:right w:val="single" w:sz="8" w:color="53C072"/>
            </w:tcBorders>
            <w:vMerge w:val="restart"/>
            <w:shd w:val="clear" w:color="auto" w:fill="CFE9D2"/>
          </w:tcPr>
          <w:p>
            <w:pPr>
              <w:ind w:left="140"/>
              <w:spacing w:after="0"/>
              <w:rPr>
                <w:sz w:val="20"/>
                <w:szCs w:val="20"/>
                <w:color w:val="auto"/>
              </w:rPr>
            </w:pPr>
            <w:r>
              <w:rPr>
                <w:rFonts w:ascii="Arial" w:cs="Arial" w:eastAsia="Arial" w:hAnsi="Arial"/>
                <w:sz w:val="13"/>
                <w:szCs w:val="13"/>
                <w:color w:val="auto"/>
              </w:rPr>
              <w:t>Compensation Committee</w:t>
            </w:r>
          </w:p>
        </w:tc>
        <w:tc>
          <w:tcPr>
            <w:tcW w:w="2860" w:type="dxa"/>
            <w:vAlign w:val="bottom"/>
          </w:tcPr>
          <w:p>
            <w:pPr>
              <w:ind w:left="80"/>
              <w:spacing w:after="0"/>
              <w:rPr>
                <w:sz w:val="20"/>
                <w:szCs w:val="20"/>
                <w:color w:val="auto"/>
              </w:rPr>
            </w:pPr>
            <w:r>
              <w:rPr>
                <w:rFonts w:ascii="Arial" w:cs="Arial" w:eastAsia="Arial" w:hAnsi="Arial"/>
                <w:sz w:val="16"/>
                <w:szCs w:val="16"/>
                <w:color w:val="auto"/>
              </w:rPr>
              <w:t>strategies.</w:t>
            </w:r>
          </w:p>
        </w:tc>
        <w:tc>
          <w:tcPr>
            <w:tcW w:w="6200" w:type="dxa"/>
            <w:vAlign w:val="bottom"/>
            <w:tcBorders>
              <w:right w:val="single" w:sz="8" w:color="53C072"/>
            </w:tcBorders>
          </w:tcPr>
          <w:p>
            <w:pPr>
              <w:spacing w:after="0"/>
              <w:rPr>
                <w:sz w:val="18"/>
                <w:szCs w:val="18"/>
                <w:color w:val="auto"/>
              </w:rPr>
            </w:pPr>
          </w:p>
        </w:tc>
        <w:tc>
          <w:tcPr>
            <w:tcW w:w="0" w:type="dxa"/>
            <w:vAlign w:val="bottom"/>
          </w:tcPr>
          <w:p>
            <w:pPr>
              <w:spacing w:after="0"/>
              <w:rPr>
                <w:sz w:val="1"/>
                <w:szCs w:val="1"/>
                <w:color w:val="auto"/>
              </w:rPr>
            </w:pPr>
          </w:p>
        </w:tc>
      </w:tr>
      <w:tr>
        <w:trPr>
          <w:trHeight w:val="51"/>
        </w:trPr>
        <w:tc>
          <w:tcPr>
            <w:tcW w:w="360" w:type="dxa"/>
            <w:vAlign w:val="bottom"/>
            <w:tcBorders>
              <w:left w:val="single" w:sz="8" w:color="53C072"/>
            </w:tcBorders>
            <w:vMerge w:val="continue"/>
            <w:shd w:val="clear" w:color="auto" w:fill="CFE9D2"/>
          </w:tcPr>
          <w:p>
            <w:pPr>
              <w:spacing w:after="0"/>
              <w:rPr>
                <w:sz w:val="4"/>
                <w:szCs w:val="4"/>
                <w:color w:val="auto"/>
              </w:rPr>
            </w:pPr>
          </w:p>
        </w:tc>
        <w:tc>
          <w:tcPr>
            <w:tcW w:w="1840" w:type="dxa"/>
            <w:vAlign w:val="bottom"/>
            <w:tcBorders>
              <w:right w:val="single" w:sz="8" w:color="53C072"/>
            </w:tcBorders>
            <w:vMerge w:val="continue"/>
            <w:shd w:val="clear" w:color="auto" w:fill="CFE9D2"/>
          </w:tcPr>
          <w:p>
            <w:pPr>
              <w:spacing w:after="0"/>
              <w:rPr>
                <w:sz w:val="4"/>
                <w:szCs w:val="4"/>
                <w:color w:val="auto"/>
              </w:rPr>
            </w:pPr>
          </w:p>
        </w:tc>
        <w:tc>
          <w:tcPr>
            <w:tcW w:w="2860" w:type="dxa"/>
            <w:vAlign w:val="bottom"/>
          </w:tcPr>
          <w:p>
            <w:pPr>
              <w:spacing w:after="0"/>
              <w:rPr>
                <w:sz w:val="4"/>
                <w:szCs w:val="4"/>
                <w:color w:val="auto"/>
              </w:rPr>
            </w:pPr>
          </w:p>
        </w:tc>
        <w:tc>
          <w:tcPr>
            <w:tcW w:w="6200" w:type="dxa"/>
            <w:vAlign w:val="bottom"/>
            <w:tcBorders>
              <w:right w:val="single" w:sz="8" w:color="53C072"/>
            </w:tcBorders>
          </w:tcPr>
          <w:p>
            <w:pPr>
              <w:spacing w:after="0"/>
              <w:rPr>
                <w:sz w:val="4"/>
                <w:szCs w:val="4"/>
                <w:color w:val="auto"/>
              </w:rPr>
            </w:pPr>
          </w:p>
        </w:tc>
        <w:tc>
          <w:tcPr>
            <w:tcW w:w="0" w:type="dxa"/>
            <w:vAlign w:val="bottom"/>
          </w:tcPr>
          <w:p>
            <w:pPr>
              <w:spacing w:after="0"/>
              <w:rPr>
                <w:sz w:val="1"/>
                <w:szCs w:val="1"/>
                <w:color w:val="auto"/>
              </w:rPr>
            </w:pPr>
          </w:p>
        </w:tc>
      </w:tr>
      <w:tr>
        <w:trPr>
          <w:trHeight w:val="288"/>
        </w:trPr>
        <w:tc>
          <w:tcPr>
            <w:tcW w:w="360" w:type="dxa"/>
            <w:vAlign w:val="bottom"/>
            <w:tcBorders>
              <w:left w:val="single" w:sz="8" w:color="53C072"/>
            </w:tcBorders>
            <w:shd w:val="clear" w:color="auto" w:fill="CFE9D2"/>
          </w:tcPr>
          <w:p>
            <w:pPr>
              <w:ind w:left="200"/>
              <w:spacing w:after="0"/>
              <w:rPr>
                <w:sz w:val="20"/>
                <w:szCs w:val="20"/>
                <w:color w:val="auto"/>
              </w:rPr>
            </w:pPr>
            <w:r>
              <w:rPr>
                <w:rFonts w:ascii="Arial" w:cs="Arial" w:eastAsia="Arial" w:hAnsi="Arial"/>
                <w:sz w:val="13"/>
                <w:szCs w:val="13"/>
                <w:color w:val="53C072"/>
              </w:rPr>
              <w:t>•</w:t>
            </w:r>
          </w:p>
        </w:tc>
        <w:tc>
          <w:tcPr>
            <w:tcW w:w="1840" w:type="dxa"/>
            <w:vAlign w:val="bottom"/>
            <w:tcBorders>
              <w:right w:val="single" w:sz="8" w:color="53C072"/>
            </w:tcBorders>
            <w:shd w:val="clear" w:color="auto" w:fill="CFE9D2"/>
          </w:tcPr>
          <w:p>
            <w:pPr>
              <w:ind w:left="140"/>
              <w:spacing w:after="0"/>
              <w:rPr>
                <w:sz w:val="20"/>
                <w:szCs w:val="20"/>
                <w:color w:val="auto"/>
              </w:rPr>
            </w:pPr>
            <w:r>
              <w:rPr>
                <w:rFonts w:ascii="Arial" w:cs="Arial" w:eastAsia="Arial" w:hAnsi="Arial"/>
                <w:sz w:val="13"/>
                <w:szCs w:val="13"/>
                <w:color w:val="auto"/>
              </w:rPr>
              <w:t>Corporate Governance</w:t>
            </w:r>
          </w:p>
        </w:tc>
        <w:tc>
          <w:tcPr>
            <w:tcW w:w="2860" w:type="dxa"/>
            <w:vAlign w:val="bottom"/>
          </w:tcPr>
          <w:p>
            <w:pPr>
              <w:spacing w:after="0"/>
              <w:rPr>
                <w:sz w:val="24"/>
                <w:szCs w:val="24"/>
                <w:color w:val="auto"/>
              </w:rPr>
            </w:pPr>
          </w:p>
        </w:tc>
        <w:tc>
          <w:tcPr>
            <w:tcW w:w="6200" w:type="dxa"/>
            <w:vAlign w:val="bottom"/>
            <w:tcBorders>
              <w:right w:val="single" w:sz="8" w:color="53C072"/>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360" w:type="dxa"/>
            <w:vAlign w:val="bottom"/>
            <w:tcBorders>
              <w:left w:val="single" w:sz="8" w:color="53C072"/>
              <w:bottom w:val="single" w:sz="8" w:color="53C072"/>
            </w:tcBorders>
            <w:shd w:val="clear" w:color="auto" w:fill="CFE9D2"/>
          </w:tcPr>
          <w:p>
            <w:pPr>
              <w:spacing w:after="0"/>
              <w:rPr>
                <w:sz w:val="13"/>
                <w:szCs w:val="13"/>
                <w:color w:val="auto"/>
              </w:rPr>
            </w:pPr>
          </w:p>
        </w:tc>
        <w:tc>
          <w:tcPr>
            <w:tcW w:w="1840" w:type="dxa"/>
            <w:vAlign w:val="bottom"/>
            <w:tcBorders>
              <w:bottom w:val="single" w:sz="8" w:color="53C072"/>
              <w:right w:val="single" w:sz="8" w:color="53C072"/>
            </w:tcBorders>
            <w:shd w:val="clear" w:color="auto" w:fill="CFE9D2"/>
          </w:tcPr>
          <w:p>
            <w:pPr>
              <w:ind w:left="140"/>
              <w:spacing w:after="0" w:line="146" w:lineRule="exact"/>
              <w:rPr>
                <w:sz w:val="20"/>
                <w:szCs w:val="20"/>
                <w:color w:val="auto"/>
              </w:rPr>
            </w:pPr>
            <w:r>
              <w:rPr>
                <w:rFonts w:ascii="Arial" w:cs="Arial" w:eastAsia="Arial" w:hAnsi="Arial"/>
                <w:sz w:val="13"/>
                <w:szCs w:val="13"/>
                <w:color w:val="auto"/>
              </w:rPr>
              <w:t>Committee</w:t>
            </w:r>
          </w:p>
        </w:tc>
        <w:tc>
          <w:tcPr>
            <w:tcW w:w="2860" w:type="dxa"/>
            <w:vAlign w:val="bottom"/>
            <w:tcBorders>
              <w:bottom w:val="single" w:sz="8" w:color="53C072"/>
            </w:tcBorders>
          </w:tcPr>
          <w:p>
            <w:pPr>
              <w:spacing w:after="0"/>
              <w:rPr>
                <w:sz w:val="13"/>
                <w:szCs w:val="13"/>
                <w:color w:val="auto"/>
              </w:rPr>
            </w:pPr>
          </w:p>
        </w:tc>
        <w:tc>
          <w:tcPr>
            <w:tcW w:w="6200" w:type="dxa"/>
            <w:vAlign w:val="bottom"/>
            <w:tcBorders>
              <w:bottom w:val="single" w:sz="8" w:color="53C072"/>
              <w:right w:val="single" w:sz="8" w:color="53C072"/>
            </w:tcBorders>
          </w:tcPr>
          <w:p>
            <w:pPr>
              <w:spacing w:after="0"/>
              <w:rPr>
                <w:sz w:val="13"/>
                <w:szCs w:val="13"/>
                <w:color w:val="auto"/>
              </w:rPr>
            </w:pPr>
          </w:p>
        </w:tc>
        <w:tc>
          <w:tcPr>
            <w:tcW w:w="0" w:type="dxa"/>
            <w:vAlign w:val="bottom"/>
          </w:tcPr>
          <w:p>
            <w:pPr>
              <w:spacing w:after="0"/>
              <w:rPr>
                <w:sz w:val="1"/>
                <w:szCs w:val="1"/>
                <w:color w:val="auto"/>
              </w:rPr>
            </w:pPr>
          </w:p>
        </w:tc>
      </w:tr>
      <w:tr>
        <w:trPr>
          <w:trHeight w:val="521"/>
        </w:trPr>
        <w:tc>
          <w:tcPr>
            <w:tcW w:w="360" w:type="dxa"/>
            <w:vAlign w:val="bottom"/>
          </w:tcPr>
          <w:p>
            <w:pPr>
              <w:spacing w:after="0"/>
              <w:rPr>
                <w:sz w:val="20"/>
                <w:szCs w:val="20"/>
                <w:color w:val="auto"/>
              </w:rPr>
            </w:pPr>
            <w:r>
              <w:rPr>
                <w:rFonts w:ascii="Arial" w:cs="Arial" w:eastAsia="Arial" w:hAnsi="Arial"/>
                <w:sz w:val="16"/>
                <w:szCs w:val="16"/>
                <w:color w:val="auto"/>
              </w:rPr>
              <w:t>10</w:t>
            </w:r>
          </w:p>
        </w:tc>
        <w:tc>
          <w:tcPr>
            <w:tcW w:w="1840" w:type="dxa"/>
            <w:vAlign w:val="bottom"/>
          </w:tcPr>
          <w:p>
            <w:pPr>
              <w:jc w:val="right"/>
              <w:ind w:right="1603"/>
              <w:spacing w:after="0"/>
              <w:rPr>
                <w:sz w:val="20"/>
                <w:szCs w:val="20"/>
                <w:color w:val="auto"/>
              </w:rPr>
            </w:pPr>
            <w:r>
              <w:rPr>
                <w:rFonts w:ascii="Arial" w:cs="Arial" w:eastAsia="Arial" w:hAnsi="Arial"/>
                <w:sz w:val="23"/>
                <w:szCs w:val="23"/>
                <w:b w:val="1"/>
                <w:bCs w:val="1"/>
                <w:color w:val="53C072"/>
              </w:rPr>
              <w:t>|</w:t>
            </w:r>
          </w:p>
        </w:tc>
        <w:tc>
          <w:tcPr>
            <w:tcW w:w="286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60" w:type="dxa"/>
            <w:vAlign w:val="bottom"/>
            <w:tcBorders>
              <w:bottom w:val="single" w:sz="8" w:color="808080"/>
            </w:tcBorders>
          </w:tcPr>
          <w:p>
            <w:pPr>
              <w:spacing w:after="0"/>
              <w:rPr>
                <w:sz w:val="12"/>
                <w:szCs w:val="12"/>
                <w:color w:val="auto"/>
              </w:rPr>
            </w:pPr>
          </w:p>
        </w:tc>
        <w:tc>
          <w:tcPr>
            <w:tcW w:w="1840" w:type="dxa"/>
            <w:vAlign w:val="bottom"/>
            <w:tcBorders>
              <w:bottom w:val="single" w:sz="8" w:color="808080"/>
            </w:tcBorders>
          </w:tcPr>
          <w:p>
            <w:pPr>
              <w:spacing w:after="0"/>
              <w:rPr>
                <w:sz w:val="12"/>
                <w:szCs w:val="12"/>
                <w:color w:val="auto"/>
              </w:rPr>
            </w:pPr>
          </w:p>
        </w:tc>
        <w:tc>
          <w:tcPr>
            <w:tcW w:w="2860" w:type="dxa"/>
            <w:vAlign w:val="bottom"/>
            <w:tcBorders>
              <w:bottom w:val="single" w:sz="8" w:color="808080"/>
            </w:tcBorders>
          </w:tcPr>
          <w:p>
            <w:pPr>
              <w:spacing w:after="0"/>
              <w:rPr>
                <w:sz w:val="12"/>
                <w:szCs w:val="12"/>
                <w:color w:val="auto"/>
              </w:rPr>
            </w:pPr>
          </w:p>
        </w:tc>
        <w:tc>
          <w:tcPr>
            <w:tcW w:w="620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-13335</wp:posOffset>
            </wp:positionV>
            <wp:extent cx="1270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128905</wp:posOffset>
            </wp:positionH>
            <wp:positionV relativeFrom="paragraph">
              <wp:posOffset>-3401695</wp:posOffset>
            </wp:positionV>
            <wp:extent cx="1156335" cy="16186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56335" cy="1618615"/>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-302260</wp:posOffset>
            </wp:positionV>
            <wp:extent cx="1664970" cy="1231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3"/>
        </w:trPr>
        <w:tc>
          <w:tcPr>
            <w:tcW w:w="532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5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32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5940" w:type="dxa"/>
            <w:vAlign w:val="bottom"/>
            <w:vMerge w:val="restart"/>
          </w:tcPr>
          <w:p>
            <w:pPr>
              <w:ind w:left="4080"/>
              <w:spacing w:after="0"/>
              <w:rPr>
                <w:sz w:val="20"/>
                <w:szCs w:val="20"/>
                <w:color w:val="auto"/>
              </w:rPr>
            </w:pPr>
            <w:r>
              <w:rPr>
                <w:rFonts w:ascii="Arial" w:cs="Arial" w:eastAsia="Arial" w:hAnsi="Arial"/>
                <w:sz w:val="13"/>
                <w:szCs w:val="13"/>
                <w:color w:val="auto"/>
                <w:w w:val="99"/>
              </w:rPr>
              <w:t>Proposal 1: Election of Directors</w:t>
            </w:r>
          </w:p>
        </w:tc>
        <w:tc>
          <w:tcPr>
            <w:tcW w:w="0" w:type="dxa"/>
            <w:vAlign w:val="bottom"/>
          </w:tcPr>
          <w:p>
            <w:pPr>
              <w:spacing w:after="0"/>
              <w:rPr>
                <w:sz w:val="1"/>
                <w:szCs w:val="1"/>
                <w:color w:val="auto"/>
              </w:rPr>
            </w:pPr>
          </w:p>
        </w:tc>
      </w:tr>
      <w:tr>
        <w:trPr>
          <w:trHeight w:val="102"/>
        </w:trPr>
        <w:tc>
          <w:tcPr>
            <w:tcW w:w="532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5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320" w:type="dxa"/>
            <w:vAlign w:val="bottom"/>
            <w:vMerge w:val="continue"/>
          </w:tcPr>
          <w:p>
            <w:pPr>
              <w:spacing w:after="0"/>
              <w:rPr>
                <w:sz w:val="7"/>
                <w:szCs w:val="7"/>
                <w:color w:val="auto"/>
              </w:rPr>
            </w:pPr>
          </w:p>
        </w:tc>
        <w:tc>
          <w:tcPr>
            <w:tcW w:w="59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347345</wp:posOffset>
            </wp:positionV>
            <wp:extent cx="7146290" cy="36385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6290" cy="363855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2018</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55</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Independent</w:t>
      </w:r>
    </w:p>
    <w:p>
      <w:pPr>
        <w:spacing w:after="0" w:line="190" w:lineRule="exact"/>
        <w:rPr>
          <w:sz w:val="20"/>
          <w:szCs w:val="20"/>
          <w:color w:val="auto"/>
        </w:rPr>
      </w:pPr>
    </w:p>
    <w:p>
      <w:pPr>
        <w:ind w:left="200" w:right="240"/>
        <w:spacing w:after="0" w:line="287" w:lineRule="auto"/>
        <w:rPr>
          <w:sz w:val="20"/>
          <w:szCs w:val="20"/>
          <w:color w:val="auto"/>
        </w:rPr>
      </w:pPr>
      <w:r>
        <w:rPr>
          <w:rFonts w:ascii="Arial" w:cs="Arial" w:eastAsia="Arial" w:hAnsi="Arial"/>
          <w:sz w:val="13"/>
          <w:szCs w:val="13"/>
          <w:b w:val="1"/>
          <w:bCs w:val="1"/>
          <w:color w:val="auto"/>
        </w:rPr>
        <w:t>Current Committee Memberships:</w:t>
      </w:r>
    </w:p>
    <w:p>
      <w:pPr>
        <w:spacing w:after="0" w:line="118" w:lineRule="exact"/>
        <w:rPr>
          <w:sz w:val="20"/>
          <w:szCs w:val="20"/>
          <w:color w:val="auto"/>
        </w:rPr>
      </w:pPr>
    </w:p>
    <w:p>
      <w:pPr>
        <w:ind w:left="500" w:hanging="297"/>
        <w:spacing w:after="0"/>
        <w:tabs>
          <w:tab w:leader="none" w:pos="500" w:val="left"/>
        </w:tabs>
        <w:numPr>
          <w:ilvl w:val="0"/>
          <w:numId w:val="16"/>
        </w:numPr>
        <w:rPr>
          <w:rFonts w:ascii="Arial" w:cs="Arial" w:eastAsia="Arial" w:hAnsi="Arial"/>
          <w:sz w:val="13"/>
          <w:szCs w:val="13"/>
          <w:color w:val="53C072"/>
        </w:rPr>
      </w:pPr>
      <w:r>
        <w:rPr>
          <w:rFonts w:ascii="Arial" w:cs="Arial" w:eastAsia="Arial" w:hAnsi="Arial"/>
          <w:sz w:val="13"/>
          <w:szCs w:val="13"/>
          <w:color w:val="auto"/>
        </w:rPr>
        <w:t>Audit Committee</w:t>
      </w:r>
    </w:p>
    <w:p>
      <w:pPr>
        <w:spacing w:after="0" w:line="178" w:lineRule="exact"/>
        <w:rPr>
          <w:rFonts w:ascii="Arial" w:cs="Arial" w:eastAsia="Arial" w:hAnsi="Arial"/>
          <w:sz w:val="13"/>
          <w:szCs w:val="13"/>
          <w:color w:val="53C072"/>
        </w:rPr>
      </w:pPr>
    </w:p>
    <w:p>
      <w:pPr>
        <w:ind w:left="500" w:hanging="297"/>
        <w:spacing w:after="0"/>
        <w:tabs>
          <w:tab w:leader="none" w:pos="500" w:val="left"/>
        </w:tabs>
        <w:numPr>
          <w:ilvl w:val="0"/>
          <w:numId w:val="16"/>
        </w:numPr>
        <w:rPr>
          <w:rFonts w:ascii="Arial" w:cs="Arial" w:eastAsia="Arial" w:hAnsi="Arial"/>
          <w:sz w:val="12"/>
          <w:szCs w:val="12"/>
          <w:color w:val="53C072"/>
        </w:rPr>
      </w:pPr>
      <w:r>
        <w:rPr>
          <w:rFonts w:ascii="Arial" w:cs="Arial" w:eastAsia="Arial" w:hAnsi="Arial"/>
          <w:sz w:val="12"/>
          <w:szCs w:val="12"/>
          <w:color w:val="auto"/>
        </w:rPr>
        <w:t>Finance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FFFFFE"/>
        </w:rPr>
        <w:t>OLEG KHAYKIN</w:t>
      </w:r>
    </w:p>
    <w:p>
      <w:pPr>
        <w:spacing w:after="0" w:line="26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53C072"/>
        </w:rPr>
        <w:t>Recent Business Experience:</w:t>
      </w:r>
    </w:p>
    <w:p>
      <w:pPr>
        <w:spacing w:after="0" w:line="194" w:lineRule="exact"/>
        <w:rPr>
          <w:sz w:val="20"/>
          <w:szCs w:val="20"/>
          <w:color w:val="auto"/>
        </w:rPr>
      </w:pPr>
    </w:p>
    <w:p>
      <w:pPr>
        <w:ind w:left="20" w:right="120"/>
        <w:spacing w:after="0" w:line="242" w:lineRule="auto"/>
        <w:rPr>
          <w:sz w:val="20"/>
          <w:szCs w:val="20"/>
          <w:color w:val="auto"/>
        </w:rPr>
      </w:pPr>
      <w:r>
        <w:rPr>
          <w:rFonts w:ascii="Arial" w:cs="Arial" w:eastAsia="Arial" w:hAnsi="Arial"/>
          <w:sz w:val="16"/>
          <w:szCs w:val="16"/>
          <w:color w:val="auto"/>
        </w:rPr>
        <w:t>Mr. Khaykin has served as the President and Chief Executive Officer and member of the board of directors of Viavi Solutions Inc. (Nasdaq: VIAV), a provider of network and service enablement solutions, since February 2016. From 2015 to 2016, he served as a Senior Advisor at Silver Lake Partners. Prior to that, Mr. Khaykin served as President and Chief Executive Officer and a member of the board of directors of International Rectifier, a maker of power semiconductors, from 2008 until its acquisition by Infineon AG in 2015. From 2003 to 2008, he served as Chief Operating Officer of Amkor Technology, Inc. (Nasdaq: AMKR), and from 1999 to 2003 as Vice President of Strategy &amp; Business Development at Conexant Systems, Inc. (Nasdaq: CNXT) and Mindspeed Technologies, Inc. (Nasdaq: MSPD). Mr. Khaykin had previously served on the boards of directors of Marvell Technology Group (Nasdaq: MRVL) from 2016 to July 2020 and Newport Corporation from 2010 until its acquisition by MKS Instruments in 2016.</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53C072"/>
        </w:rPr>
        <w:t>Primary Qualifications and Experience:</w:t>
      </w:r>
    </w:p>
    <w:p>
      <w:pPr>
        <w:spacing w:after="0" w:line="194" w:lineRule="exact"/>
        <w:rPr>
          <w:sz w:val="20"/>
          <w:szCs w:val="20"/>
          <w:color w:val="auto"/>
        </w:rPr>
      </w:pPr>
    </w:p>
    <w:p>
      <w:pPr>
        <w:spacing w:after="0"/>
        <w:tabs>
          <w:tab w:leader="none" w:pos="2920" w:val="left"/>
        </w:tabs>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CEO</w:t>
      </w:r>
      <w:r>
        <w:rPr>
          <w:sz w:val="20"/>
          <w:szCs w:val="20"/>
          <w:color w:val="auto"/>
        </w:rPr>
        <w:tab/>
      </w:r>
      <w:r>
        <w:rPr>
          <w:rFonts w:ascii="Arial" w:cs="Arial" w:eastAsia="Arial" w:hAnsi="Arial"/>
          <w:sz w:val="15"/>
          <w:szCs w:val="15"/>
          <w:color w:val="53C072"/>
        </w:rPr>
        <w:t xml:space="preserve">• </w:t>
      </w:r>
      <w:r>
        <w:rPr>
          <w:rFonts w:ascii="Arial" w:cs="Arial" w:eastAsia="Arial" w:hAnsi="Arial"/>
          <w:sz w:val="15"/>
          <w:szCs w:val="15"/>
          <w:color w:val="000000"/>
        </w:rPr>
        <w:t>Senior Leadership</w:t>
      </w:r>
    </w:p>
    <w:p>
      <w:pPr>
        <w:spacing w:after="0" w:line="192" w:lineRule="exact"/>
        <w:rPr>
          <w:sz w:val="20"/>
          <w:szCs w:val="20"/>
          <w:color w:val="auto"/>
        </w:rPr>
      </w:pPr>
    </w:p>
    <w:p>
      <w:pPr>
        <w:spacing w:after="0"/>
        <w:tabs>
          <w:tab w:leader="none" w:pos="2800" w:val="left"/>
        </w:tabs>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Global Business</w:t>
      </w:r>
      <w:r>
        <w:rPr>
          <w:sz w:val="20"/>
          <w:szCs w:val="20"/>
          <w:color w:val="auto"/>
        </w:rPr>
        <w:tab/>
      </w:r>
      <w:r>
        <w:rPr>
          <w:rFonts w:ascii="Arial" w:cs="Arial" w:eastAsia="Arial" w:hAnsi="Arial"/>
          <w:sz w:val="15"/>
          <w:szCs w:val="15"/>
          <w:color w:val="53C072"/>
        </w:rPr>
        <w:t xml:space="preserve">• </w:t>
      </w:r>
      <w:r>
        <w:rPr>
          <w:rFonts w:ascii="Arial" w:cs="Arial" w:eastAsia="Arial" w:hAnsi="Arial"/>
          <w:sz w:val="15"/>
          <w:szCs w:val="15"/>
          <w:color w:val="000000"/>
        </w:rPr>
        <w:t>Semiconductor</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Finance</w:t>
      </w:r>
    </w:p>
    <w:p>
      <w:pPr>
        <w:spacing w:after="0" w:line="192" w:lineRule="exact"/>
        <w:rPr>
          <w:sz w:val="20"/>
          <w:szCs w:val="20"/>
          <w:color w:val="auto"/>
        </w:rPr>
      </w:pPr>
    </w:p>
    <w:p>
      <w:pPr>
        <w:ind w:left="20" w:right="160"/>
        <w:spacing w:after="0" w:line="256" w:lineRule="auto"/>
        <w:rPr>
          <w:sz w:val="20"/>
          <w:szCs w:val="20"/>
          <w:color w:val="auto"/>
        </w:rPr>
      </w:pPr>
      <w:r>
        <w:rPr>
          <w:rFonts w:ascii="Arial" w:cs="Arial" w:eastAsia="Arial" w:hAnsi="Arial"/>
          <w:sz w:val="16"/>
          <w:szCs w:val="16"/>
          <w:color w:val="auto"/>
        </w:rPr>
        <w:t>The Board benefits from Mr. Khaykin's significant corporate leadership and management experience and extensive experience in the semiconductor industry. His experience with technology companies, and as both a prior customer and supplier to the Company, brings valuable insights to the Board, including in regards to the Company's transformation.</w:t>
      </w:r>
    </w:p>
    <w:p>
      <w:pPr>
        <w:spacing w:after="0" w:line="200" w:lineRule="exact"/>
        <w:rPr>
          <w:sz w:val="20"/>
          <w:szCs w:val="20"/>
          <w:color w:val="auto"/>
        </w:rPr>
      </w:pPr>
    </w:p>
    <w:p>
      <w:pPr>
        <w:sectPr>
          <w:pgSz w:w="11900" w:h="16838" w:orient="portrait"/>
          <w:cols w:equalWidth="0" w:num="2">
            <w:col w:w="1620" w:space="640"/>
            <w:col w:w="9000"/>
          </w:cols>
          <w:pgMar w:left="320" w:top="122" w:right="319" w:bottom="1440" w:gutter="0" w:footer="0" w:header="0"/>
          <w:type w:val="continuous"/>
        </w:sectPr>
      </w:pPr>
    </w:p>
    <w:p>
      <w:pPr>
        <w:spacing w:after="0" w:line="204" w:lineRule="exact"/>
        <w:rPr>
          <w:sz w:val="20"/>
          <w:szCs w:val="20"/>
          <w:color w:val="auto"/>
        </w:rPr>
      </w:pPr>
    </w:p>
    <w:p>
      <w:pPr>
        <w:ind w:left="11080" w:hanging="354"/>
        <w:spacing w:after="0"/>
        <w:tabs>
          <w:tab w:leader="none" w:pos="11080" w:val="left"/>
        </w:tabs>
        <w:numPr>
          <w:ilvl w:val="0"/>
          <w:numId w:val="17"/>
        </w:numPr>
        <w:rPr>
          <w:rFonts w:ascii="Arial" w:cs="Arial" w:eastAsia="Arial" w:hAnsi="Arial"/>
          <w:sz w:val="23"/>
          <w:szCs w:val="23"/>
          <w:b w:val="1"/>
          <w:bCs w:val="1"/>
          <w:color w:val="53C072"/>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112395</wp:posOffset>
            </wp:positionV>
            <wp:extent cx="7151370" cy="20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-170180</wp:posOffset>
            </wp:positionV>
            <wp:extent cx="1664970" cy="1231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13"/>
        </w:trPr>
        <w:tc>
          <w:tcPr>
            <w:tcW w:w="532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5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32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5940" w:type="dxa"/>
            <w:vAlign w:val="bottom"/>
            <w:vMerge w:val="restart"/>
          </w:tcPr>
          <w:p>
            <w:pPr>
              <w:ind w:left="4080"/>
              <w:spacing w:after="0"/>
              <w:rPr>
                <w:sz w:val="20"/>
                <w:szCs w:val="20"/>
                <w:color w:val="auto"/>
              </w:rPr>
            </w:pPr>
            <w:r>
              <w:rPr>
                <w:rFonts w:ascii="Arial" w:cs="Arial" w:eastAsia="Arial" w:hAnsi="Arial"/>
                <w:sz w:val="13"/>
                <w:szCs w:val="13"/>
                <w:color w:val="auto"/>
                <w:w w:val="99"/>
              </w:rPr>
              <w:t>Proposal 1: Election of Directors</w:t>
            </w:r>
          </w:p>
        </w:tc>
        <w:tc>
          <w:tcPr>
            <w:tcW w:w="0" w:type="dxa"/>
            <w:vAlign w:val="bottom"/>
          </w:tcPr>
          <w:p>
            <w:pPr>
              <w:spacing w:after="0"/>
              <w:rPr>
                <w:sz w:val="1"/>
                <w:szCs w:val="1"/>
                <w:color w:val="auto"/>
              </w:rPr>
            </w:pPr>
          </w:p>
        </w:tc>
      </w:tr>
      <w:tr>
        <w:trPr>
          <w:trHeight w:val="102"/>
        </w:trPr>
        <w:tc>
          <w:tcPr>
            <w:tcW w:w="532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5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320" w:type="dxa"/>
            <w:vAlign w:val="bottom"/>
            <w:vMerge w:val="continue"/>
          </w:tcPr>
          <w:p>
            <w:pPr>
              <w:spacing w:after="0"/>
              <w:rPr>
                <w:sz w:val="7"/>
                <w:szCs w:val="7"/>
                <w:color w:val="auto"/>
              </w:rPr>
            </w:pPr>
          </w:p>
        </w:tc>
        <w:tc>
          <w:tcPr>
            <w:tcW w:w="59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347345</wp:posOffset>
            </wp:positionV>
            <wp:extent cx="7146290" cy="69691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6290" cy="696912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425"/>
        </w:trPr>
        <w:tc>
          <w:tcPr>
            <w:tcW w:w="380" w:type="dxa"/>
            <w:vAlign w:val="bottom"/>
            <w:shd w:val="clear" w:color="auto" w:fill="CFE9D2"/>
          </w:tcPr>
          <w:p>
            <w:pPr>
              <w:spacing w:after="0"/>
              <w:rPr>
                <w:sz w:val="24"/>
                <w:szCs w:val="24"/>
                <w:color w:val="auto"/>
              </w:rPr>
            </w:pPr>
          </w:p>
        </w:tc>
        <w:tc>
          <w:tcPr>
            <w:tcW w:w="1800" w:type="dxa"/>
            <w:vAlign w:val="bottom"/>
            <w:shd w:val="clear" w:color="auto" w:fill="CFE9D2"/>
          </w:tcPr>
          <w:p>
            <w:pPr>
              <w:spacing w:after="0"/>
              <w:rPr>
                <w:sz w:val="24"/>
                <w:szCs w:val="24"/>
                <w:color w:val="auto"/>
              </w:rPr>
            </w:pPr>
          </w:p>
        </w:tc>
        <w:tc>
          <w:tcPr>
            <w:tcW w:w="25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380" w:type="dxa"/>
            <w:vAlign w:val="bottom"/>
            <w:tcBorders>
              <w:bottom w:val="single" w:sz="8" w:color="CFE9D2"/>
            </w:tcBorders>
            <w:shd w:val="clear" w:color="auto" w:fill="CFE9D2"/>
          </w:tcPr>
          <w:p>
            <w:pPr>
              <w:spacing w:after="0"/>
              <w:rPr>
                <w:sz w:val="24"/>
                <w:szCs w:val="24"/>
                <w:color w:val="auto"/>
              </w:rPr>
            </w:pPr>
          </w:p>
        </w:tc>
        <w:tc>
          <w:tcPr>
            <w:tcW w:w="1800" w:type="dxa"/>
            <w:vAlign w:val="bottom"/>
            <w:tcBorders>
              <w:bottom w:val="single" w:sz="8" w:color="CFE9D2"/>
            </w:tcBorders>
            <w:shd w:val="clear" w:color="auto" w:fill="CFE9D2"/>
          </w:tcPr>
          <w:p>
            <w:pPr>
              <w:spacing w:after="0"/>
              <w:rPr>
                <w:sz w:val="24"/>
                <w:szCs w:val="24"/>
                <w:color w:val="auto"/>
              </w:rPr>
            </w:pPr>
          </w:p>
        </w:tc>
        <w:tc>
          <w:tcPr>
            <w:tcW w:w="2560" w:type="dxa"/>
            <w:vAlign w:val="bottom"/>
            <w:tcBorders>
              <w:bottom w:val="single" w:sz="8" w:color="53C072"/>
            </w:tcBorders>
            <w:shd w:val="clear" w:color="auto" w:fill="53C072"/>
          </w:tcPr>
          <w:p>
            <w:pPr>
              <w:ind w:left="200"/>
              <w:spacing w:after="0"/>
              <w:rPr>
                <w:sz w:val="20"/>
                <w:szCs w:val="20"/>
                <w:color w:val="auto"/>
              </w:rPr>
            </w:pPr>
            <w:r>
              <w:rPr>
                <w:rFonts w:ascii="Arial" w:cs="Arial" w:eastAsia="Arial" w:hAnsi="Arial"/>
                <w:sz w:val="19"/>
                <w:szCs w:val="19"/>
                <w:b w:val="1"/>
                <w:bCs w:val="1"/>
                <w:color w:val="FFFFFE"/>
              </w:rPr>
              <w:t>JAMES A. LAWRENCE</w:t>
            </w:r>
          </w:p>
        </w:tc>
        <w:tc>
          <w:tcPr>
            <w:tcW w:w="6500" w:type="dxa"/>
            <w:vAlign w:val="bottom"/>
            <w:tcBorders>
              <w:bottom w:val="single" w:sz="8" w:color="53C072"/>
            </w:tcBorders>
            <w:shd w:val="clear" w:color="auto" w:fill="53C07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380" w:type="dxa"/>
            <w:vAlign w:val="bottom"/>
            <w:shd w:val="clear" w:color="auto" w:fill="CFE9D2"/>
          </w:tcPr>
          <w:p>
            <w:pPr>
              <w:spacing w:after="0"/>
              <w:rPr>
                <w:sz w:val="24"/>
                <w:szCs w:val="24"/>
                <w:color w:val="auto"/>
              </w:rPr>
            </w:pPr>
          </w:p>
        </w:tc>
        <w:tc>
          <w:tcPr>
            <w:tcW w:w="1800" w:type="dxa"/>
            <w:vAlign w:val="bottom"/>
            <w:shd w:val="clear" w:color="auto" w:fill="CFE9D2"/>
          </w:tcPr>
          <w:p>
            <w:pPr>
              <w:spacing w:after="0"/>
              <w:rPr>
                <w:sz w:val="24"/>
                <w:szCs w:val="24"/>
                <w:color w:val="auto"/>
              </w:rPr>
            </w:pPr>
          </w:p>
        </w:tc>
        <w:tc>
          <w:tcPr>
            <w:tcW w:w="2560" w:type="dxa"/>
            <w:vAlign w:val="bottom"/>
          </w:tcPr>
          <w:p>
            <w:pPr>
              <w:ind w:left="100"/>
              <w:spacing w:after="0"/>
              <w:rPr>
                <w:sz w:val="20"/>
                <w:szCs w:val="20"/>
                <w:color w:val="auto"/>
              </w:rPr>
            </w:pPr>
            <w:r>
              <w:rPr>
                <w:rFonts w:ascii="Arial" w:cs="Arial" w:eastAsia="Arial" w:hAnsi="Arial"/>
                <w:sz w:val="16"/>
                <w:szCs w:val="16"/>
                <w:b w:val="1"/>
                <w:bCs w:val="1"/>
                <w:color w:val="53C072"/>
              </w:rPr>
              <w:t>Recent Business Experience:</w:t>
            </w:r>
          </w:p>
        </w:tc>
        <w:tc>
          <w:tcPr>
            <w:tcW w:w="6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80" w:type="dxa"/>
            <w:vAlign w:val="bottom"/>
            <w:shd w:val="clear" w:color="auto" w:fill="CFE9D2"/>
          </w:tcPr>
          <w:p>
            <w:pPr>
              <w:spacing w:after="0"/>
              <w:rPr>
                <w:sz w:val="24"/>
                <w:szCs w:val="24"/>
                <w:color w:val="auto"/>
              </w:rPr>
            </w:pPr>
          </w:p>
        </w:tc>
        <w:tc>
          <w:tcPr>
            <w:tcW w:w="1800" w:type="dxa"/>
            <w:vAlign w:val="bottom"/>
            <w:shd w:val="clear" w:color="auto" w:fill="CFE9D2"/>
          </w:tcPr>
          <w:p>
            <w:pPr>
              <w:spacing w:after="0"/>
              <w:rPr>
                <w:sz w:val="24"/>
                <w:szCs w:val="24"/>
                <w:color w:val="auto"/>
              </w:rPr>
            </w:pPr>
          </w:p>
        </w:tc>
        <w:tc>
          <w:tcPr>
            <w:tcW w:w="9060" w:type="dxa"/>
            <w:vAlign w:val="bottom"/>
            <w:gridSpan w:val="2"/>
          </w:tcPr>
          <w:p>
            <w:pPr>
              <w:ind w:left="100"/>
              <w:spacing w:after="0"/>
              <w:rPr>
                <w:sz w:val="20"/>
                <w:szCs w:val="20"/>
                <w:color w:val="auto"/>
              </w:rPr>
            </w:pPr>
            <w:r>
              <w:rPr>
                <w:rFonts w:ascii="Arial" w:cs="Arial" w:eastAsia="Arial" w:hAnsi="Arial"/>
                <w:sz w:val="16"/>
                <w:szCs w:val="16"/>
                <w:color w:val="auto"/>
              </w:rPr>
              <w:t>Mr. Lawrence serves as the Chairman of Lake Harriet Capital, LLC. He previously served as Chairman of Great North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80" w:type="dxa"/>
            <w:vAlign w:val="bottom"/>
            <w:shd w:val="clear" w:color="auto" w:fill="CFE9D2"/>
          </w:tcPr>
          <w:p>
            <w:pPr>
              <w:spacing w:after="0"/>
              <w:rPr>
                <w:sz w:val="15"/>
                <w:szCs w:val="15"/>
                <w:color w:val="auto"/>
              </w:rPr>
            </w:pPr>
          </w:p>
        </w:tc>
        <w:tc>
          <w:tcPr>
            <w:tcW w:w="1800" w:type="dxa"/>
            <w:vAlign w:val="bottom"/>
            <w:shd w:val="clear" w:color="auto" w:fill="CFE9D2"/>
          </w:tcPr>
          <w:p>
            <w:pPr>
              <w:spacing w:after="0"/>
              <w:rPr>
                <w:sz w:val="15"/>
                <w:szCs w:val="15"/>
                <w:color w:val="auto"/>
              </w:rPr>
            </w:pPr>
          </w:p>
        </w:tc>
        <w:tc>
          <w:tcPr>
            <w:tcW w:w="9060" w:type="dxa"/>
            <w:vAlign w:val="bottom"/>
            <w:gridSpan w:val="2"/>
          </w:tcPr>
          <w:p>
            <w:pPr>
              <w:ind w:left="100"/>
              <w:spacing w:after="0" w:line="182" w:lineRule="exact"/>
              <w:rPr>
                <w:sz w:val="20"/>
                <w:szCs w:val="20"/>
                <w:color w:val="auto"/>
              </w:rPr>
            </w:pPr>
            <w:r>
              <w:rPr>
                <w:rFonts w:ascii="Arial" w:cs="Arial" w:eastAsia="Arial" w:hAnsi="Arial"/>
                <w:sz w:val="16"/>
                <w:szCs w:val="16"/>
                <w:color w:val="auto"/>
              </w:rPr>
              <w:t>Star LLC from 2015 to 2017, Chairman of Rothschild North America from 2012 to 2015, and Chief Executive Officer of</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0" w:type="dxa"/>
            <w:vAlign w:val="bottom"/>
            <w:shd w:val="clear" w:color="auto" w:fill="CFE9D2"/>
          </w:tcPr>
          <w:p>
            <w:pPr>
              <w:spacing w:after="0"/>
              <w:rPr>
                <w:sz w:val="15"/>
                <w:szCs w:val="15"/>
                <w:color w:val="auto"/>
              </w:rPr>
            </w:pPr>
          </w:p>
        </w:tc>
        <w:tc>
          <w:tcPr>
            <w:tcW w:w="1800" w:type="dxa"/>
            <w:vAlign w:val="bottom"/>
            <w:shd w:val="clear" w:color="auto" w:fill="CFE9D2"/>
          </w:tcPr>
          <w:p>
            <w:pPr>
              <w:spacing w:after="0"/>
              <w:rPr>
                <w:sz w:val="15"/>
                <w:szCs w:val="15"/>
                <w:color w:val="auto"/>
              </w:rPr>
            </w:pPr>
          </w:p>
        </w:tc>
        <w:tc>
          <w:tcPr>
            <w:tcW w:w="9060" w:type="dxa"/>
            <w:vAlign w:val="bottom"/>
            <w:gridSpan w:val="2"/>
          </w:tcPr>
          <w:p>
            <w:pPr>
              <w:ind w:left="100"/>
              <w:spacing w:after="0" w:line="182" w:lineRule="exact"/>
              <w:rPr>
                <w:sz w:val="20"/>
                <w:szCs w:val="20"/>
                <w:color w:val="auto"/>
              </w:rPr>
            </w:pPr>
            <w:r>
              <w:rPr>
                <w:rFonts w:ascii="Arial" w:cs="Arial" w:eastAsia="Arial" w:hAnsi="Arial"/>
                <w:sz w:val="16"/>
                <w:szCs w:val="16"/>
                <w:color w:val="auto"/>
              </w:rPr>
              <w:t>Rothschild North America and as co-head of global investment banking from 2010 to 2012. Prior to that, he served as Chief</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0" w:type="dxa"/>
            <w:vAlign w:val="bottom"/>
            <w:shd w:val="clear" w:color="auto" w:fill="CFE9D2"/>
          </w:tcPr>
          <w:p>
            <w:pPr>
              <w:spacing w:after="0"/>
              <w:rPr>
                <w:sz w:val="15"/>
                <w:szCs w:val="15"/>
                <w:color w:val="auto"/>
              </w:rPr>
            </w:pPr>
          </w:p>
        </w:tc>
        <w:tc>
          <w:tcPr>
            <w:tcW w:w="1800" w:type="dxa"/>
            <w:vAlign w:val="bottom"/>
            <w:shd w:val="clear" w:color="auto" w:fill="CFE9D2"/>
          </w:tcPr>
          <w:p>
            <w:pPr>
              <w:spacing w:after="0"/>
              <w:rPr>
                <w:sz w:val="15"/>
                <w:szCs w:val="15"/>
                <w:color w:val="auto"/>
              </w:rPr>
            </w:pPr>
          </w:p>
        </w:tc>
        <w:tc>
          <w:tcPr>
            <w:tcW w:w="9060" w:type="dxa"/>
            <w:vAlign w:val="bottom"/>
            <w:gridSpan w:val="2"/>
          </w:tcPr>
          <w:p>
            <w:pPr>
              <w:ind w:left="100"/>
              <w:spacing w:after="0" w:line="182" w:lineRule="exact"/>
              <w:rPr>
                <w:sz w:val="20"/>
                <w:szCs w:val="20"/>
                <w:color w:val="auto"/>
              </w:rPr>
            </w:pPr>
            <w:r>
              <w:rPr>
                <w:rFonts w:ascii="Arial" w:cs="Arial" w:eastAsia="Arial" w:hAnsi="Arial"/>
                <w:sz w:val="16"/>
                <w:szCs w:val="16"/>
                <w:color w:val="auto"/>
              </w:rPr>
              <w:t>Financial Officer of Unilever PLC (LON: ULVR) from 2007 to 2009, Vice Chairman and Chief Financial Officer of General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0" w:type="dxa"/>
            <w:vAlign w:val="bottom"/>
            <w:shd w:val="clear" w:color="auto" w:fill="CFE9D2"/>
          </w:tcPr>
          <w:p>
            <w:pPr>
              <w:spacing w:after="0"/>
              <w:rPr>
                <w:sz w:val="15"/>
                <w:szCs w:val="15"/>
                <w:color w:val="auto"/>
              </w:rPr>
            </w:pPr>
          </w:p>
        </w:tc>
        <w:tc>
          <w:tcPr>
            <w:tcW w:w="1800" w:type="dxa"/>
            <w:vAlign w:val="bottom"/>
            <w:shd w:val="clear" w:color="auto" w:fill="CFE9D2"/>
          </w:tcPr>
          <w:p>
            <w:pPr>
              <w:spacing w:after="0"/>
              <w:rPr>
                <w:sz w:val="15"/>
                <w:szCs w:val="15"/>
                <w:color w:val="auto"/>
              </w:rPr>
            </w:pPr>
          </w:p>
        </w:tc>
        <w:tc>
          <w:tcPr>
            <w:tcW w:w="9060" w:type="dxa"/>
            <w:vAlign w:val="bottom"/>
            <w:gridSpan w:val="2"/>
          </w:tcPr>
          <w:p>
            <w:pPr>
              <w:ind w:left="100"/>
              <w:spacing w:after="0" w:line="182" w:lineRule="exact"/>
              <w:rPr>
                <w:sz w:val="20"/>
                <w:szCs w:val="20"/>
                <w:color w:val="auto"/>
              </w:rPr>
            </w:pPr>
            <w:r>
              <w:rPr>
                <w:rFonts w:ascii="Arial" w:cs="Arial" w:eastAsia="Arial" w:hAnsi="Arial"/>
                <w:sz w:val="16"/>
                <w:szCs w:val="16"/>
                <w:color w:val="auto"/>
              </w:rPr>
              <w:t>Mills, Inc. (NYSE: GIS) from 1998 to 2007, Executive Vice President and Chief Financial Officer of Northwest Airlines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0" w:type="dxa"/>
            <w:vAlign w:val="bottom"/>
            <w:shd w:val="clear" w:color="auto" w:fill="CFE9D2"/>
          </w:tcPr>
          <w:p>
            <w:pPr>
              <w:spacing w:after="0"/>
              <w:rPr>
                <w:sz w:val="15"/>
                <w:szCs w:val="15"/>
                <w:color w:val="auto"/>
              </w:rPr>
            </w:pPr>
          </w:p>
        </w:tc>
        <w:tc>
          <w:tcPr>
            <w:tcW w:w="1800" w:type="dxa"/>
            <w:vAlign w:val="bottom"/>
            <w:shd w:val="clear" w:color="auto" w:fill="CFE9D2"/>
          </w:tcPr>
          <w:p>
            <w:pPr>
              <w:spacing w:after="0"/>
              <w:rPr>
                <w:sz w:val="15"/>
                <w:szCs w:val="15"/>
                <w:color w:val="auto"/>
              </w:rPr>
            </w:pPr>
          </w:p>
        </w:tc>
        <w:tc>
          <w:tcPr>
            <w:tcW w:w="9060" w:type="dxa"/>
            <w:vAlign w:val="bottom"/>
            <w:gridSpan w:val="2"/>
          </w:tcPr>
          <w:p>
            <w:pPr>
              <w:ind w:left="100"/>
              <w:spacing w:after="0" w:line="182" w:lineRule="exact"/>
              <w:rPr>
                <w:sz w:val="20"/>
                <w:szCs w:val="20"/>
                <w:color w:val="auto"/>
              </w:rPr>
            </w:pPr>
            <w:r>
              <w:rPr>
                <w:rFonts w:ascii="Arial" w:cs="Arial" w:eastAsia="Arial" w:hAnsi="Arial"/>
                <w:sz w:val="16"/>
                <w:szCs w:val="16"/>
                <w:color w:val="auto"/>
              </w:rPr>
              <w:t>(Nasdaq: NWAC) from 1996 to 1998, and Chief Executive Officer of Pepsi-Cola Asia Middle East Africa Group from 1992 to</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0" w:type="dxa"/>
            <w:vAlign w:val="bottom"/>
            <w:shd w:val="clear" w:color="auto" w:fill="CFE9D2"/>
          </w:tcPr>
          <w:p>
            <w:pPr>
              <w:spacing w:after="0"/>
              <w:rPr>
                <w:sz w:val="15"/>
                <w:szCs w:val="15"/>
                <w:color w:val="auto"/>
              </w:rPr>
            </w:pPr>
          </w:p>
        </w:tc>
        <w:tc>
          <w:tcPr>
            <w:tcW w:w="1800" w:type="dxa"/>
            <w:vAlign w:val="bottom"/>
            <w:shd w:val="clear" w:color="auto" w:fill="CFE9D2"/>
          </w:tcPr>
          <w:p>
            <w:pPr>
              <w:spacing w:after="0"/>
              <w:rPr>
                <w:sz w:val="15"/>
                <w:szCs w:val="15"/>
                <w:color w:val="auto"/>
              </w:rPr>
            </w:pPr>
          </w:p>
        </w:tc>
        <w:tc>
          <w:tcPr>
            <w:tcW w:w="9060" w:type="dxa"/>
            <w:vAlign w:val="bottom"/>
            <w:gridSpan w:val="2"/>
          </w:tcPr>
          <w:p>
            <w:pPr>
              <w:ind w:left="100"/>
              <w:spacing w:after="0" w:line="182" w:lineRule="exact"/>
              <w:rPr>
                <w:sz w:val="20"/>
                <w:szCs w:val="20"/>
                <w:color w:val="auto"/>
              </w:rPr>
            </w:pPr>
            <w:r>
              <w:rPr>
                <w:rFonts w:ascii="Arial" w:cs="Arial" w:eastAsia="Arial" w:hAnsi="Arial"/>
                <w:sz w:val="16"/>
                <w:szCs w:val="16"/>
                <w:color w:val="auto"/>
              </w:rPr>
              <w:t>1996. Mr. Lawrence has served on the board of directors of International Airlines Group (LON: IAG) since 2010, Smurfit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80" w:type="dxa"/>
            <w:vAlign w:val="bottom"/>
            <w:shd w:val="clear" w:color="auto" w:fill="CFE9D2"/>
          </w:tcPr>
          <w:p>
            <w:pPr>
              <w:spacing w:after="0"/>
              <w:rPr>
                <w:sz w:val="18"/>
                <w:szCs w:val="18"/>
                <w:color w:val="auto"/>
              </w:rPr>
            </w:pPr>
          </w:p>
        </w:tc>
        <w:tc>
          <w:tcPr>
            <w:tcW w:w="1800" w:type="dxa"/>
            <w:vAlign w:val="bottom"/>
            <w:shd w:val="clear" w:color="auto" w:fill="CFE9D2"/>
          </w:tcPr>
          <w:p>
            <w:pPr>
              <w:spacing w:after="0"/>
              <w:rPr>
                <w:sz w:val="18"/>
                <w:szCs w:val="18"/>
                <w:color w:val="auto"/>
              </w:rPr>
            </w:pPr>
          </w:p>
        </w:tc>
        <w:tc>
          <w:tcPr>
            <w:tcW w:w="9060" w:type="dxa"/>
            <w:vAlign w:val="bottom"/>
            <w:gridSpan w:val="2"/>
          </w:tcPr>
          <w:p>
            <w:pPr>
              <w:ind w:left="100"/>
              <w:spacing w:after="0"/>
              <w:rPr>
                <w:sz w:val="20"/>
                <w:szCs w:val="20"/>
                <w:color w:val="auto"/>
              </w:rPr>
            </w:pPr>
            <w:r>
              <w:rPr>
                <w:rFonts w:ascii="Arial" w:cs="Arial" w:eastAsia="Arial" w:hAnsi="Arial"/>
                <w:sz w:val="16"/>
                <w:szCs w:val="16"/>
                <w:color w:val="auto"/>
              </w:rPr>
              <w:t>Kappa, Dublin (LON: SKG) since 2015 and AerCap Holdings, N.V. (NYSE: AER) since 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180" w:type="dxa"/>
            <w:vAlign w:val="bottom"/>
            <w:tcBorders>
              <w:bottom w:val="single" w:sz="8" w:color="CFE9D2"/>
            </w:tcBorders>
            <w:gridSpan w:val="2"/>
            <w:vMerge w:val="restart"/>
            <w:shd w:val="clear" w:color="auto" w:fill="CFE9D2"/>
          </w:tcPr>
          <w:p>
            <w:pPr>
              <w:ind w:left="200"/>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2011</w:t>
            </w:r>
          </w:p>
        </w:tc>
        <w:tc>
          <w:tcPr>
            <w:tcW w:w="2560" w:type="dxa"/>
            <w:vAlign w:val="bottom"/>
            <w:tcBorders>
              <w:bottom w:val="single" w:sz="8" w:color="53C072"/>
            </w:tcBorders>
          </w:tcPr>
          <w:p>
            <w:pPr>
              <w:spacing w:after="0"/>
              <w:rPr>
                <w:sz w:val="16"/>
                <w:szCs w:val="16"/>
                <w:color w:val="auto"/>
              </w:rPr>
            </w:pPr>
          </w:p>
        </w:tc>
        <w:tc>
          <w:tcPr>
            <w:tcW w:w="6500" w:type="dxa"/>
            <w:vAlign w:val="bottom"/>
            <w:tcBorders>
              <w:bottom w:val="single" w:sz="8" w:color="53C072"/>
            </w:tcBorders>
          </w:tcPr>
          <w:p>
            <w:pPr>
              <w:spacing w:after="0"/>
              <w:rPr>
                <w:sz w:val="16"/>
                <w:szCs w:val="16"/>
                <w:color w:val="auto"/>
              </w:rPr>
            </w:pPr>
          </w:p>
        </w:tc>
        <w:tc>
          <w:tcPr>
            <w:tcW w:w="20" w:type="dxa"/>
            <w:vAlign w:val="bottom"/>
            <w:tcBorders>
              <w:bottom w:val="single" w:sz="8" w:color="53C072"/>
            </w:tcBorders>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180" w:type="dxa"/>
            <w:vAlign w:val="bottom"/>
            <w:gridSpan w:val="2"/>
            <w:vMerge w:val="continue"/>
            <w:shd w:val="clear" w:color="auto" w:fill="CFE9D2"/>
          </w:tcPr>
          <w:p>
            <w:pPr>
              <w:spacing w:after="0"/>
              <w:rPr>
                <w:sz w:val="10"/>
                <w:szCs w:val="10"/>
                <w:color w:val="auto"/>
              </w:rPr>
            </w:pPr>
          </w:p>
        </w:tc>
        <w:tc>
          <w:tcPr>
            <w:tcW w:w="90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53C072"/>
              </w:rPr>
              <w:t>Primary Qualifications and Experience: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0"/>
        </w:trPr>
        <w:tc>
          <w:tcPr>
            <w:tcW w:w="2180" w:type="dxa"/>
            <w:vAlign w:val="bottom"/>
            <w:gridSpan w:val="2"/>
            <w:shd w:val="clear" w:color="auto" w:fill="CFE9D2"/>
          </w:tcPr>
          <w:p>
            <w:pPr>
              <w:ind w:left="200"/>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67</w:t>
            </w:r>
          </w:p>
        </w:tc>
        <w:tc>
          <w:tcPr>
            <w:tcW w:w="90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180" w:type="dxa"/>
            <w:vAlign w:val="bottom"/>
            <w:gridSpan w:val="2"/>
            <w:shd w:val="clear" w:color="auto" w:fill="CFE9D2"/>
          </w:tcPr>
          <w:p>
            <w:pPr>
              <w:ind w:left="200"/>
              <w:spacing w:after="0"/>
              <w:rPr>
                <w:sz w:val="20"/>
                <w:szCs w:val="20"/>
                <w:color w:val="auto"/>
              </w:rPr>
            </w:pPr>
            <w:r>
              <w:rPr>
                <w:rFonts w:ascii="Arial" w:cs="Arial" w:eastAsia="Arial" w:hAnsi="Arial"/>
                <w:sz w:val="13"/>
                <w:szCs w:val="13"/>
                <w:b w:val="1"/>
                <w:bCs w:val="1"/>
                <w:color w:val="auto"/>
              </w:rPr>
              <w:t>Independent</w:t>
            </w:r>
          </w:p>
        </w:tc>
        <w:tc>
          <w:tcPr>
            <w:tcW w:w="2560" w:type="dxa"/>
            <w:vAlign w:val="bottom"/>
          </w:tcPr>
          <w:p>
            <w:pPr>
              <w:ind w:left="8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CEO</w:t>
            </w:r>
          </w:p>
        </w:tc>
        <w:tc>
          <w:tcPr>
            <w:tcW w:w="6500" w:type="dxa"/>
            <w:vAlign w:val="bottom"/>
          </w:tcPr>
          <w:p>
            <w:pPr>
              <w:ind w:left="46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Senior Leadership</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180" w:type="dxa"/>
            <w:vAlign w:val="bottom"/>
            <w:gridSpan w:val="2"/>
            <w:shd w:val="clear" w:color="auto" w:fill="CFE9D2"/>
          </w:tcPr>
          <w:p>
            <w:pPr>
              <w:ind w:left="200"/>
              <w:spacing w:after="0"/>
              <w:rPr>
                <w:sz w:val="20"/>
                <w:szCs w:val="20"/>
                <w:color w:val="auto"/>
              </w:rPr>
            </w:pPr>
            <w:r>
              <w:rPr>
                <w:rFonts w:ascii="Arial" w:cs="Arial" w:eastAsia="Arial" w:hAnsi="Arial"/>
                <w:sz w:val="13"/>
                <w:szCs w:val="13"/>
                <w:b w:val="1"/>
                <w:bCs w:val="1"/>
                <w:color w:val="auto"/>
              </w:rPr>
              <w:t>Current Committee</w:t>
            </w:r>
          </w:p>
        </w:tc>
        <w:tc>
          <w:tcPr>
            <w:tcW w:w="2560" w:type="dxa"/>
            <w:vAlign w:val="bottom"/>
          </w:tcPr>
          <w:p>
            <w:pPr>
              <w:ind w:left="8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Global Business</w:t>
            </w:r>
          </w:p>
        </w:tc>
        <w:tc>
          <w:tcPr>
            <w:tcW w:w="6500" w:type="dxa"/>
            <w:vAlign w:val="bottom"/>
          </w:tcPr>
          <w:p>
            <w:pPr>
              <w:ind w:left="34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Sales/Marketing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180" w:type="dxa"/>
            <w:vAlign w:val="bottom"/>
            <w:gridSpan w:val="2"/>
            <w:shd w:val="clear" w:color="auto" w:fill="CFE9D2"/>
          </w:tcPr>
          <w:p>
            <w:pPr>
              <w:ind w:left="200"/>
              <w:spacing w:after="0"/>
              <w:rPr>
                <w:sz w:val="20"/>
                <w:szCs w:val="20"/>
                <w:color w:val="auto"/>
              </w:rPr>
            </w:pPr>
            <w:r>
              <w:rPr>
                <w:rFonts w:ascii="Arial" w:cs="Arial" w:eastAsia="Arial" w:hAnsi="Arial"/>
                <w:sz w:val="13"/>
                <w:szCs w:val="13"/>
                <w:b w:val="1"/>
                <w:bCs w:val="1"/>
                <w:color w:val="auto"/>
              </w:rPr>
              <w:t>Memberships:</w:t>
            </w:r>
          </w:p>
        </w:tc>
        <w:tc>
          <w:tcPr>
            <w:tcW w:w="256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80" w:type="dxa"/>
            <w:vAlign w:val="bottom"/>
            <w:shd w:val="clear" w:color="auto" w:fill="CFE9D2"/>
          </w:tcPr>
          <w:p>
            <w:pPr>
              <w:ind w:left="200"/>
              <w:spacing w:after="0"/>
              <w:rPr>
                <w:sz w:val="20"/>
                <w:szCs w:val="20"/>
                <w:color w:val="auto"/>
              </w:rPr>
            </w:pPr>
            <w:r>
              <w:rPr>
                <w:rFonts w:ascii="Arial" w:cs="Arial" w:eastAsia="Arial" w:hAnsi="Arial"/>
                <w:sz w:val="13"/>
                <w:szCs w:val="13"/>
                <w:color w:val="53C072"/>
              </w:rPr>
              <w:t>•</w:t>
            </w:r>
          </w:p>
        </w:tc>
        <w:tc>
          <w:tcPr>
            <w:tcW w:w="1800" w:type="dxa"/>
            <w:vAlign w:val="bottom"/>
            <w:shd w:val="clear" w:color="auto" w:fill="CFE9D2"/>
          </w:tcPr>
          <w:p>
            <w:pPr>
              <w:ind w:left="120"/>
              <w:spacing w:after="0"/>
              <w:rPr>
                <w:sz w:val="20"/>
                <w:szCs w:val="20"/>
                <w:color w:val="auto"/>
              </w:rPr>
            </w:pPr>
            <w:r>
              <w:rPr>
                <w:rFonts w:ascii="Arial" w:cs="Arial" w:eastAsia="Arial" w:hAnsi="Arial"/>
                <w:sz w:val="13"/>
                <w:szCs w:val="13"/>
                <w:color w:val="auto"/>
              </w:rPr>
              <w:t>Compensation Committee</w:t>
            </w:r>
          </w:p>
        </w:tc>
        <w:tc>
          <w:tcPr>
            <w:tcW w:w="2560" w:type="dxa"/>
            <w:vAlign w:val="bottom"/>
          </w:tcPr>
          <w:p>
            <w:pPr>
              <w:ind w:left="8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Legal &amp; Regulatory Oversight</w:t>
            </w:r>
          </w:p>
        </w:tc>
        <w:tc>
          <w:tcPr>
            <w:tcW w:w="6500" w:type="dxa"/>
            <w:vAlign w:val="bottom"/>
          </w:tcPr>
          <w:p>
            <w:pPr>
              <w:ind w:left="26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Risk Oversight/Compliance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380" w:type="dxa"/>
            <w:vAlign w:val="bottom"/>
            <w:shd w:val="clear" w:color="auto" w:fill="CFE9D2"/>
          </w:tcPr>
          <w:p>
            <w:pPr>
              <w:spacing w:after="0"/>
              <w:rPr>
                <w:sz w:val="15"/>
                <w:szCs w:val="15"/>
                <w:color w:val="auto"/>
              </w:rPr>
            </w:pPr>
          </w:p>
        </w:tc>
        <w:tc>
          <w:tcPr>
            <w:tcW w:w="1800" w:type="dxa"/>
            <w:vAlign w:val="bottom"/>
            <w:shd w:val="clear" w:color="auto" w:fill="CFE9D2"/>
          </w:tcPr>
          <w:p>
            <w:pPr>
              <w:ind w:left="120"/>
              <w:spacing w:after="0"/>
              <w:rPr>
                <w:sz w:val="20"/>
                <w:szCs w:val="20"/>
                <w:color w:val="auto"/>
              </w:rPr>
            </w:pPr>
            <w:r>
              <w:rPr>
                <w:rFonts w:ascii="Arial" w:cs="Arial" w:eastAsia="Arial" w:hAnsi="Arial"/>
                <w:sz w:val="13"/>
                <w:szCs w:val="13"/>
                <w:color w:val="auto"/>
              </w:rPr>
              <w:t>(Chair)</w:t>
            </w:r>
          </w:p>
        </w:tc>
        <w:tc>
          <w:tcPr>
            <w:tcW w:w="9060" w:type="dxa"/>
            <w:vAlign w:val="bottom"/>
            <w:gridSpan w:val="2"/>
            <w:vMerge w:val="restart"/>
          </w:tcPr>
          <w:p>
            <w:pPr>
              <w:ind w:left="100"/>
              <w:spacing w:after="0"/>
              <w:rPr>
                <w:sz w:val="20"/>
                <w:szCs w:val="20"/>
                <w:color w:val="auto"/>
              </w:rPr>
            </w:pPr>
            <w:r>
              <w:rPr>
                <w:rFonts w:ascii="Arial" w:cs="Arial" w:eastAsia="Arial" w:hAnsi="Arial"/>
                <w:sz w:val="16"/>
                <w:szCs w:val="16"/>
                <w:color w:val="auto"/>
              </w:rPr>
              <w:t>The Board benefits from Mr. Lawrence's breadth of global business experience, including strategy development and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80" w:type="dxa"/>
            <w:vAlign w:val="bottom"/>
            <w:vMerge w:val="restart"/>
            <w:shd w:val="clear" w:color="auto" w:fill="CFE9D2"/>
          </w:tcPr>
          <w:p>
            <w:pPr>
              <w:ind w:left="200"/>
              <w:spacing w:after="0"/>
              <w:rPr>
                <w:sz w:val="20"/>
                <w:szCs w:val="20"/>
                <w:color w:val="auto"/>
              </w:rPr>
            </w:pPr>
            <w:r>
              <w:rPr>
                <w:rFonts w:ascii="Arial" w:cs="Arial" w:eastAsia="Arial" w:hAnsi="Arial"/>
                <w:sz w:val="13"/>
                <w:szCs w:val="13"/>
                <w:color w:val="53C072"/>
              </w:rPr>
              <w:t>•</w:t>
            </w:r>
          </w:p>
        </w:tc>
        <w:tc>
          <w:tcPr>
            <w:tcW w:w="1800" w:type="dxa"/>
            <w:vAlign w:val="bottom"/>
            <w:vMerge w:val="restart"/>
            <w:shd w:val="clear" w:color="auto" w:fill="CFE9D2"/>
          </w:tcPr>
          <w:p>
            <w:pPr>
              <w:ind w:left="120"/>
              <w:spacing w:after="0"/>
              <w:rPr>
                <w:sz w:val="20"/>
                <w:szCs w:val="20"/>
                <w:color w:val="auto"/>
              </w:rPr>
            </w:pPr>
            <w:r>
              <w:rPr>
                <w:rFonts w:ascii="Arial" w:cs="Arial" w:eastAsia="Arial" w:hAnsi="Arial"/>
                <w:sz w:val="13"/>
                <w:szCs w:val="13"/>
                <w:color w:val="auto"/>
              </w:rPr>
              <w:t>Finance Committee</w:t>
            </w:r>
          </w:p>
        </w:tc>
        <w:tc>
          <w:tcPr>
            <w:tcW w:w="90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0" w:type="dxa"/>
            <w:vAlign w:val="bottom"/>
            <w:vMerge w:val="continue"/>
            <w:shd w:val="clear" w:color="auto" w:fill="CFE9D2"/>
          </w:tcPr>
          <w:p>
            <w:pPr>
              <w:spacing w:after="0"/>
              <w:rPr>
                <w:sz w:val="15"/>
                <w:szCs w:val="15"/>
                <w:color w:val="auto"/>
              </w:rPr>
            </w:pPr>
          </w:p>
        </w:tc>
        <w:tc>
          <w:tcPr>
            <w:tcW w:w="1800" w:type="dxa"/>
            <w:vAlign w:val="bottom"/>
            <w:vMerge w:val="continue"/>
            <w:shd w:val="clear" w:color="auto" w:fill="CFE9D2"/>
          </w:tcPr>
          <w:p>
            <w:pPr>
              <w:spacing w:after="0"/>
              <w:rPr>
                <w:sz w:val="15"/>
                <w:szCs w:val="15"/>
                <w:color w:val="auto"/>
              </w:rPr>
            </w:pPr>
          </w:p>
        </w:tc>
        <w:tc>
          <w:tcPr>
            <w:tcW w:w="9060" w:type="dxa"/>
            <w:vAlign w:val="bottom"/>
            <w:gridSpan w:val="2"/>
          </w:tcPr>
          <w:p>
            <w:pPr>
              <w:ind w:left="100"/>
              <w:spacing w:after="0" w:line="182" w:lineRule="exact"/>
              <w:rPr>
                <w:sz w:val="20"/>
                <w:szCs w:val="20"/>
                <w:color w:val="auto"/>
              </w:rPr>
            </w:pPr>
            <w:r>
              <w:rPr>
                <w:rFonts w:ascii="Arial" w:cs="Arial" w:eastAsia="Arial" w:hAnsi="Arial"/>
                <w:sz w:val="16"/>
                <w:szCs w:val="16"/>
                <w:color w:val="auto"/>
              </w:rPr>
              <w:t>compliance. Additionally, as a former Chief Financial Officer for multiple public companies, Mr. Lawrence has extensive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80" w:type="dxa"/>
            <w:vAlign w:val="bottom"/>
            <w:vMerge w:val="restart"/>
            <w:shd w:val="clear" w:color="auto" w:fill="CFE9D2"/>
          </w:tcPr>
          <w:p>
            <w:pPr>
              <w:ind w:left="200"/>
              <w:spacing w:after="0"/>
              <w:rPr>
                <w:sz w:val="20"/>
                <w:szCs w:val="20"/>
                <w:color w:val="auto"/>
              </w:rPr>
            </w:pPr>
            <w:r>
              <w:rPr>
                <w:rFonts w:ascii="Arial" w:cs="Arial" w:eastAsia="Arial" w:hAnsi="Arial"/>
                <w:sz w:val="13"/>
                <w:szCs w:val="13"/>
                <w:color w:val="53C072"/>
              </w:rPr>
              <w:t>•</w:t>
            </w:r>
          </w:p>
        </w:tc>
        <w:tc>
          <w:tcPr>
            <w:tcW w:w="1800" w:type="dxa"/>
            <w:vAlign w:val="bottom"/>
            <w:vMerge w:val="restart"/>
            <w:shd w:val="clear" w:color="auto" w:fill="CFE9D2"/>
          </w:tcPr>
          <w:p>
            <w:pPr>
              <w:ind w:left="120"/>
              <w:spacing w:after="0"/>
              <w:rPr>
                <w:sz w:val="20"/>
                <w:szCs w:val="20"/>
                <w:color w:val="auto"/>
              </w:rPr>
            </w:pPr>
            <w:r>
              <w:rPr>
                <w:rFonts w:ascii="Arial" w:cs="Arial" w:eastAsia="Arial" w:hAnsi="Arial"/>
                <w:sz w:val="13"/>
                <w:szCs w:val="13"/>
                <w:color w:val="auto"/>
              </w:rPr>
              <w:t>Executive Committee</w:t>
            </w:r>
          </w:p>
        </w:tc>
        <w:tc>
          <w:tcPr>
            <w:tcW w:w="9060" w:type="dxa"/>
            <w:vAlign w:val="bottom"/>
            <w:gridSpan w:val="2"/>
          </w:tcPr>
          <w:p>
            <w:pPr>
              <w:ind w:left="100"/>
              <w:spacing w:after="0"/>
              <w:rPr>
                <w:sz w:val="20"/>
                <w:szCs w:val="20"/>
                <w:color w:val="auto"/>
              </w:rPr>
            </w:pPr>
            <w:r>
              <w:rPr>
                <w:rFonts w:ascii="Arial" w:cs="Arial" w:eastAsia="Arial" w:hAnsi="Arial"/>
                <w:sz w:val="16"/>
                <w:szCs w:val="16"/>
                <w:color w:val="auto"/>
              </w:rPr>
              <w:t>experience in finance and accounting, particularly as it applies to public companies such as the Company.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380" w:type="dxa"/>
            <w:vAlign w:val="bottom"/>
            <w:vMerge w:val="continue"/>
            <w:shd w:val="clear" w:color="auto" w:fill="CFE9D2"/>
          </w:tcPr>
          <w:p>
            <w:pPr>
              <w:spacing w:after="0"/>
              <w:rPr>
                <w:sz w:val="8"/>
                <w:szCs w:val="8"/>
                <w:color w:val="auto"/>
              </w:rPr>
            </w:pPr>
          </w:p>
        </w:tc>
        <w:tc>
          <w:tcPr>
            <w:tcW w:w="1800" w:type="dxa"/>
            <w:vAlign w:val="bottom"/>
            <w:vMerge w:val="continue"/>
            <w:shd w:val="clear" w:color="auto" w:fill="CFE9D2"/>
          </w:tcPr>
          <w:p>
            <w:pPr>
              <w:spacing w:after="0"/>
              <w:rPr>
                <w:sz w:val="8"/>
                <w:szCs w:val="8"/>
                <w:color w:val="auto"/>
              </w:rPr>
            </w:pPr>
          </w:p>
        </w:tc>
        <w:tc>
          <w:tcPr>
            <w:tcW w:w="2560" w:type="dxa"/>
            <w:vAlign w:val="bottom"/>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80" w:type="dxa"/>
            <w:vAlign w:val="bottom"/>
            <w:shd w:val="clear" w:color="auto" w:fill="CFE9D2"/>
          </w:tcPr>
          <w:p>
            <w:pPr>
              <w:spacing w:after="0"/>
              <w:rPr>
                <w:sz w:val="7"/>
                <w:szCs w:val="7"/>
                <w:color w:val="auto"/>
              </w:rPr>
            </w:pPr>
          </w:p>
        </w:tc>
        <w:tc>
          <w:tcPr>
            <w:tcW w:w="1800" w:type="dxa"/>
            <w:vAlign w:val="bottom"/>
            <w:shd w:val="clear" w:color="auto" w:fill="CFE9D2"/>
          </w:tcPr>
          <w:p>
            <w:pPr>
              <w:spacing w:after="0"/>
              <w:rPr>
                <w:sz w:val="7"/>
                <w:szCs w:val="7"/>
                <w:color w:val="auto"/>
              </w:rPr>
            </w:pPr>
          </w:p>
        </w:tc>
        <w:tc>
          <w:tcPr>
            <w:tcW w:w="2560" w:type="dxa"/>
            <w:vAlign w:val="bottom"/>
          </w:tcPr>
          <w:p>
            <w:pPr>
              <w:spacing w:after="0"/>
              <w:rPr>
                <w:sz w:val="7"/>
                <w:szCs w:val="7"/>
                <w:color w:val="auto"/>
              </w:rPr>
            </w:pPr>
          </w:p>
        </w:tc>
        <w:tc>
          <w:tcPr>
            <w:tcW w:w="65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425"/>
        </w:trPr>
        <w:tc>
          <w:tcPr>
            <w:tcW w:w="360" w:type="dxa"/>
            <w:vAlign w:val="bottom"/>
            <w:shd w:val="clear" w:color="auto" w:fill="CFE9D2"/>
          </w:tcPr>
          <w:p>
            <w:pPr>
              <w:spacing w:after="0"/>
              <w:rPr>
                <w:sz w:val="24"/>
                <w:szCs w:val="24"/>
                <w:color w:val="auto"/>
              </w:rPr>
            </w:pPr>
          </w:p>
        </w:tc>
        <w:tc>
          <w:tcPr>
            <w:tcW w:w="1820" w:type="dxa"/>
            <w:vAlign w:val="bottom"/>
            <w:shd w:val="clear" w:color="auto" w:fill="CFE9D2"/>
          </w:tcPr>
          <w:p>
            <w:pPr>
              <w:spacing w:after="0"/>
              <w:rPr>
                <w:sz w:val="24"/>
                <w:szCs w:val="24"/>
                <w:color w:val="auto"/>
              </w:rPr>
            </w:pPr>
          </w:p>
        </w:tc>
        <w:tc>
          <w:tcPr>
            <w:tcW w:w="260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360" w:type="dxa"/>
            <w:vAlign w:val="bottom"/>
            <w:tcBorders>
              <w:bottom w:val="single" w:sz="8" w:color="CFE9D2"/>
            </w:tcBorders>
            <w:shd w:val="clear" w:color="auto" w:fill="CFE9D2"/>
          </w:tcPr>
          <w:p>
            <w:pPr>
              <w:spacing w:after="0"/>
              <w:rPr>
                <w:sz w:val="24"/>
                <w:szCs w:val="24"/>
                <w:color w:val="auto"/>
              </w:rPr>
            </w:pPr>
          </w:p>
        </w:tc>
        <w:tc>
          <w:tcPr>
            <w:tcW w:w="1820" w:type="dxa"/>
            <w:vAlign w:val="bottom"/>
            <w:tcBorders>
              <w:bottom w:val="single" w:sz="8" w:color="CFE9D2"/>
            </w:tcBorders>
            <w:shd w:val="clear" w:color="auto" w:fill="CFE9D2"/>
          </w:tcPr>
          <w:p>
            <w:pPr>
              <w:spacing w:after="0"/>
              <w:rPr>
                <w:sz w:val="24"/>
                <w:szCs w:val="24"/>
                <w:color w:val="auto"/>
              </w:rPr>
            </w:pPr>
          </w:p>
        </w:tc>
        <w:tc>
          <w:tcPr>
            <w:tcW w:w="2600" w:type="dxa"/>
            <w:vAlign w:val="bottom"/>
            <w:tcBorders>
              <w:bottom w:val="single" w:sz="8" w:color="53C072"/>
            </w:tcBorders>
            <w:shd w:val="clear" w:color="auto" w:fill="53C072"/>
          </w:tcPr>
          <w:p>
            <w:pPr>
              <w:ind w:left="200"/>
              <w:spacing w:after="0"/>
              <w:rPr>
                <w:sz w:val="20"/>
                <w:szCs w:val="20"/>
                <w:color w:val="auto"/>
              </w:rPr>
            </w:pPr>
            <w:r>
              <w:rPr>
                <w:rFonts w:ascii="Arial" w:cs="Arial" w:eastAsia="Arial" w:hAnsi="Arial"/>
                <w:sz w:val="19"/>
                <w:szCs w:val="19"/>
                <w:b w:val="1"/>
                <w:bCs w:val="1"/>
                <w:color w:val="FFFFFE"/>
              </w:rPr>
              <w:t>AVID MODJTABAI</w:t>
            </w:r>
          </w:p>
        </w:tc>
        <w:tc>
          <w:tcPr>
            <w:tcW w:w="6460" w:type="dxa"/>
            <w:vAlign w:val="bottom"/>
            <w:tcBorders>
              <w:bottom w:val="single" w:sz="8" w:color="53C072"/>
            </w:tcBorders>
            <w:shd w:val="clear" w:color="auto" w:fill="53C07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360" w:type="dxa"/>
            <w:vAlign w:val="bottom"/>
            <w:shd w:val="clear" w:color="auto" w:fill="CFE9D2"/>
          </w:tcPr>
          <w:p>
            <w:pPr>
              <w:spacing w:after="0"/>
              <w:rPr>
                <w:sz w:val="24"/>
                <w:szCs w:val="24"/>
                <w:color w:val="auto"/>
              </w:rPr>
            </w:pPr>
          </w:p>
        </w:tc>
        <w:tc>
          <w:tcPr>
            <w:tcW w:w="1820" w:type="dxa"/>
            <w:vAlign w:val="bottom"/>
            <w:shd w:val="clear" w:color="auto" w:fill="CFE9D2"/>
          </w:tcPr>
          <w:p>
            <w:pPr>
              <w:spacing w:after="0"/>
              <w:rPr>
                <w:sz w:val="24"/>
                <w:szCs w:val="24"/>
                <w:color w:val="auto"/>
              </w:rPr>
            </w:pPr>
          </w:p>
        </w:tc>
        <w:tc>
          <w:tcPr>
            <w:tcW w:w="2600" w:type="dxa"/>
            <w:vAlign w:val="bottom"/>
          </w:tcPr>
          <w:p>
            <w:pPr>
              <w:ind w:left="100"/>
              <w:spacing w:after="0"/>
              <w:rPr>
                <w:sz w:val="20"/>
                <w:szCs w:val="20"/>
                <w:color w:val="auto"/>
              </w:rPr>
            </w:pPr>
            <w:r>
              <w:rPr>
                <w:rFonts w:ascii="Arial" w:cs="Arial" w:eastAsia="Arial" w:hAnsi="Arial"/>
                <w:sz w:val="16"/>
                <w:szCs w:val="16"/>
                <w:b w:val="1"/>
                <w:bCs w:val="1"/>
                <w:color w:val="53C072"/>
              </w:rPr>
              <w:t>Recent Business Experience:</w:t>
            </w:r>
          </w:p>
        </w:tc>
        <w:tc>
          <w:tcPr>
            <w:tcW w:w="6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60" w:type="dxa"/>
            <w:vAlign w:val="bottom"/>
            <w:shd w:val="clear" w:color="auto" w:fill="CFE9D2"/>
          </w:tcPr>
          <w:p>
            <w:pPr>
              <w:spacing w:after="0"/>
              <w:rPr>
                <w:sz w:val="24"/>
                <w:szCs w:val="24"/>
                <w:color w:val="auto"/>
              </w:rPr>
            </w:pPr>
          </w:p>
        </w:tc>
        <w:tc>
          <w:tcPr>
            <w:tcW w:w="1820" w:type="dxa"/>
            <w:vAlign w:val="bottom"/>
            <w:shd w:val="clear" w:color="auto" w:fill="CFE9D2"/>
          </w:tcPr>
          <w:p>
            <w:pPr>
              <w:spacing w:after="0"/>
              <w:rPr>
                <w:sz w:val="24"/>
                <w:szCs w:val="24"/>
                <w:color w:val="auto"/>
              </w:rPr>
            </w:pPr>
          </w:p>
        </w:tc>
        <w:tc>
          <w:tcPr>
            <w:tcW w:w="9080" w:type="dxa"/>
            <w:vAlign w:val="bottom"/>
            <w:gridSpan w:val="3"/>
          </w:tcPr>
          <w:p>
            <w:pPr>
              <w:ind w:left="100"/>
              <w:spacing w:after="0"/>
              <w:rPr>
                <w:sz w:val="20"/>
                <w:szCs w:val="20"/>
                <w:color w:val="auto"/>
              </w:rPr>
            </w:pPr>
            <w:r>
              <w:rPr>
                <w:rFonts w:ascii="Arial" w:cs="Arial" w:eastAsia="Arial" w:hAnsi="Arial"/>
                <w:sz w:val="16"/>
                <w:szCs w:val="16"/>
                <w:color w:val="auto"/>
              </w:rPr>
              <w:t>Ms. Modjtabai served as the Senior Executive Vice President and head of the Payments, Virtual Solutions and Innovation</w:t>
            </w:r>
          </w:p>
        </w:tc>
        <w:tc>
          <w:tcPr>
            <w:tcW w:w="0" w:type="dxa"/>
            <w:vAlign w:val="bottom"/>
          </w:tcPr>
          <w:p>
            <w:pPr>
              <w:spacing w:after="0"/>
              <w:rPr>
                <w:sz w:val="1"/>
                <w:szCs w:val="1"/>
                <w:color w:val="auto"/>
              </w:rPr>
            </w:pPr>
          </w:p>
        </w:tc>
      </w:tr>
      <w:tr>
        <w:trPr>
          <w:trHeight w:val="182"/>
        </w:trPr>
        <w:tc>
          <w:tcPr>
            <w:tcW w:w="360" w:type="dxa"/>
            <w:vAlign w:val="bottom"/>
            <w:shd w:val="clear" w:color="auto" w:fill="CFE9D2"/>
          </w:tcPr>
          <w:p>
            <w:pPr>
              <w:spacing w:after="0"/>
              <w:rPr>
                <w:sz w:val="15"/>
                <w:szCs w:val="15"/>
                <w:color w:val="auto"/>
              </w:rPr>
            </w:pPr>
          </w:p>
        </w:tc>
        <w:tc>
          <w:tcPr>
            <w:tcW w:w="1820" w:type="dxa"/>
            <w:vAlign w:val="bottom"/>
            <w:shd w:val="clear" w:color="auto" w:fill="CFE9D2"/>
          </w:tcPr>
          <w:p>
            <w:pPr>
              <w:spacing w:after="0"/>
              <w:rPr>
                <w:sz w:val="15"/>
                <w:szCs w:val="15"/>
                <w:color w:val="auto"/>
              </w:rPr>
            </w:pPr>
          </w:p>
        </w:tc>
        <w:tc>
          <w:tcPr>
            <w:tcW w:w="9080" w:type="dxa"/>
            <w:vAlign w:val="bottom"/>
            <w:gridSpan w:val="3"/>
          </w:tcPr>
          <w:p>
            <w:pPr>
              <w:ind w:left="100"/>
              <w:spacing w:after="0" w:line="182" w:lineRule="exact"/>
              <w:rPr>
                <w:sz w:val="20"/>
                <w:szCs w:val="20"/>
                <w:color w:val="auto"/>
              </w:rPr>
            </w:pPr>
            <w:r>
              <w:rPr>
                <w:rFonts w:ascii="Arial" w:cs="Arial" w:eastAsia="Arial" w:hAnsi="Arial"/>
                <w:sz w:val="16"/>
                <w:szCs w:val="16"/>
                <w:color w:val="auto"/>
              </w:rPr>
              <w:t>Group at Wells Fargo (NYSE: WFC) until March 2020. Prior to that, she served in various leadership roles at Wells Fargo,</w:t>
            </w:r>
          </w:p>
        </w:tc>
        <w:tc>
          <w:tcPr>
            <w:tcW w:w="0" w:type="dxa"/>
            <w:vAlign w:val="bottom"/>
          </w:tcPr>
          <w:p>
            <w:pPr>
              <w:spacing w:after="0"/>
              <w:rPr>
                <w:sz w:val="1"/>
                <w:szCs w:val="1"/>
                <w:color w:val="auto"/>
              </w:rPr>
            </w:pPr>
          </w:p>
        </w:tc>
      </w:tr>
      <w:tr>
        <w:trPr>
          <w:trHeight w:val="182"/>
        </w:trPr>
        <w:tc>
          <w:tcPr>
            <w:tcW w:w="360" w:type="dxa"/>
            <w:vAlign w:val="bottom"/>
            <w:shd w:val="clear" w:color="auto" w:fill="CFE9D2"/>
          </w:tcPr>
          <w:p>
            <w:pPr>
              <w:spacing w:after="0"/>
              <w:rPr>
                <w:sz w:val="15"/>
                <w:szCs w:val="15"/>
                <w:color w:val="auto"/>
              </w:rPr>
            </w:pPr>
          </w:p>
        </w:tc>
        <w:tc>
          <w:tcPr>
            <w:tcW w:w="1820" w:type="dxa"/>
            <w:vAlign w:val="bottom"/>
            <w:shd w:val="clear" w:color="auto" w:fill="CFE9D2"/>
          </w:tcPr>
          <w:p>
            <w:pPr>
              <w:spacing w:after="0"/>
              <w:rPr>
                <w:sz w:val="15"/>
                <w:szCs w:val="15"/>
                <w:color w:val="auto"/>
              </w:rPr>
            </w:pPr>
          </w:p>
        </w:tc>
        <w:tc>
          <w:tcPr>
            <w:tcW w:w="9080" w:type="dxa"/>
            <w:vAlign w:val="bottom"/>
            <w:gridSpan w:val="3"/>
          </w:tcPr>
          <w:p>
            <w:pPr>
              <w:ind w:left="100"/>
              <w:spacing w:after="0" w:line="182" w:lineRule="exact"/>
              <w:rPr>
                <w:sz w:val="20"/>
                <w:szCs w:val="20"/>
                <w:color w:val="auto"/>
              </w:rPr>
            </w:pPr>
            <w:r>
              <w:rPr>
                <w:rFonts w:ascii="Arial" w:cs="Arial" w:eastAsia="Arial" w:hAnsi="Arial"/>
                <w:sz w:val="16"/>
                <w:szCs w:val="16"/>
                <w:color w:val="auto"/>
                <w:w w:val="99"/>
              </w:rPr>
              <w:t>including Group head for Wells Fargo Consumer Lending from 2011 to 2016, Chief Information Officer and head of Technology</w:t>
            </w:r>
          </w:p>
        </w:tc>
        <w:tc>
          <w:tcPr>
            <w:tcW w:w="0" w:type="dxa"/>
            <w:vAlign w:val="bottom"/>
          </w:tcPr>
          <w:p>
            <w:pPr>
              <w:spacing w:after="0"/>
              <w:rPr>
                <w:sz w:val="1"/>
                <w:szCs w:val="1"/>
                <w:color w:val="auto"/>
              </w:rPr>
            </w:pPr>
          </w:p>
        </w:tc>
      </w:tr>
      <w:tr>
        <w:trPr>
          <w:trHeight w:val="182"/>
        </w:trPr>
        <w:tc>
          <w:tcPr>
            <w:tcW w:w="360" w:type="dxa"/>
            <w:vAlign w:val="bottom"/>
            <w:shd w:val="clear" w:color="auto" w:fill="CFE9D2"/>
          </w:tcPr>
          <w:p>
            <w:pPr>
              <w:spacing w:after="0"/>
              <w:rPr>
                <w:sz w:val="15"/>
                <w:szCs w:val="15"/>
                <w:color w:val="auto"/>
              </w:rPr>
            </w:pPr>
          </w:p>
        </w:tc>
        <w:tc>
          <w:tcPr>
            <w:tcW w:w="1820" w:type="dxa"/>
            <w:vAlign w:val="bottom"/>
            <w:shd w:val="clear" w:color="auto" w:fill="CFE9D2"/>
          </w:tcPr>
          <w:p>
            <w:pPr>
              <w:spacing w:after="0"/>
              <w:rPr>
                <w:sz w:val="15"/>
                <w:szCs w:val="15"/>
                <w:color w:val="auto"/>
              </w:rPr>
            </w:pPr>
          </w:p>
        </w:tc>
        <w:tc>
          <w:tcPr>
            <w:tcW w:w="9080" w:type="dxa"/>
            <w:vAlign w:val="bottom"/>
            <w:gridSpan w:val="3"/>
          </w:tcPr>
          <w:p>
            <w:pPr>
              <w:ind w:left="100"/>
              <w:spacing w:after="0" w:line="182" w:lineRule="exact"/>
              <w:rPr>
                <w:sz w:val="20"/>
                <w:szCs w:val="20"/>
                <w:color w:val="auto"/>
              </w:rPr>
            </w:pPr>
            <w:r>
              <w:rPr>
                <w:rFonts w:ascii="Arial" w:cs="Arial" w:eastAsia="Arial" w:hAnsi="Arial"/>
                <w:sz w:val="16"/>
                <w:szCs w:val="16"/>
                <w:color w:val="auto"/>
              </w:rPr>
              <w:t>and Operations Group from 2008 to 2011, Chief Information Officer and head of technology from 2007 to 2008, and Director of</w:t>
            </w:r>
          </w:p>
        </w:tc>
        <w:tc>
          <w:tcPr>
            <w:tcW w:w="0" w:type="dxa"/>
            <w:vAlign w:val="bottom"/>
          </w:tcPr>
          <w:p>
            <w:pPr>
              <w:spacing w:after="0"/>
              <w:rPr>
                <w:sz w:val="1"/>
                <w:szCs w:val="1"/>
                <w:color w:val="auto"/>
              </w:rPr>
            </w:pPr>
          </w:p>
        </w:tc>
      </w:tr>
      <w:tr>
        <w:trPr>
          <w:trHeight w:val="182"/>
        </w:trPr>
        <w:tc>
          <w:tcPr>
            <w:tcW w:w="360" w:type="dxa"/>
            <w:vAlign w:val="bottom"/>
            <w:shd w:val="clear" w:color="auto" w:fill="CFE9D2"/>
          </w:tcPr>
          <w:p>
            <w:pPr>
              <w:spacing w:after="0"/>
              <w:rPr>
                <w:sz w:val="15"/>
                <w:szCs w:val="15"/>
                <w:color w:val="auto"/>
              </w:rPr>
            </w:pPr>
          </w:p>
        </w:tc>
        <w:tc>
          <w:tcPr>
            <w:tcW w:w="1820" w:type="dxa"/>
            <w:vAlign w:val="bottom"/>
            <w:shd w:val="clear" w:color="auto" w:fill="CFE9D2"/>
          </w:tcPr>
          <w:p>
            <w:pPr>
              <w:spacing w:after="0"/>
              <w:rPr>
                <w:sz w:val="15"/>
                <w:szCs w:val="15"/>
                <w:color w:val="auto"/>
              </w:rPr>
            </w:pPr>
          </w:p>
        </w:tc>
        <w:tc>
          <w:tcPr>
            <w:tcW w:w="9080" w:type="dxa"/>
            <w:vAlign w:val="bottom"/>
            <w:gridSpan w:val="3"/>
          </w:tcPr>
          <w:p>
            <w:pPr>
              <w:ind w:left="100"/>
              <w:spacing w:after="0" w:line="182" w:lineRule="exact"/>
              <w:rPr>
                <w:sz w:val="20"/>
                <w:szCs w:val="20"/>
                <w:color w:val="auto"/>
              </w:rPr>
            </w:pPr>
            <w:r>
              <w:rPr>
                <w:rFonts w:ascii="Arial" w:cs="Arial" w:eastAsia="Arial" w:hAnsi="Arial"/>
                <w:sz w:val="16"/>
                <w:szCs w:val="16"/>
                <w:color w:val="auto"/>
              </w:rPr>
              <w:t>Human Resources from 2005 to 2007. Ms. Modjtabai has served on the board of directors of Prologis, Inc. (NYSE: PLD) since</w:t>
            </w:r>
          </w:p>
        </w:tc>
        <w:tc>
          <w:tcPr>
            <w:tcW w:w="0" w:type="dxa"/>
            <w:vAlign w:val="bottom"/>
          </w:tcPr>
          <w:p>
            <w:pPr>
              <w:spacing w:after="0"/>
              <w:rPr>
                <w:sz w:val="1"/>
                <w:szCs w:val="1"/>
                <w:color w:val="auto"/>
              </w:rPr>
            </w:pPr>
          </w:p>
        </w:tc>
      </w:tr>
      <w:tr>
        <w:trPr>
          <w:trHeight w:val="213"/>
        </w:trPr>
        <w:tc>
          <w:tcPr>
            <w:tcW w:w="360" w:type="dxa"/>
            <w:vAlign w:val="bottom"/>
            <w:shd w:val="clear" w:color="auto" w:fill="CFE9D2"/>
          </w:tcPr>
          <w:p>
            <w:pPr>
              <w:spacing w:after="0"/>
              <w:rPr>
                <w:sz w:val="18"/>
                <w:szCs w:val="18"/>
                <w:color w:val="auto"/>
              </w:rPr>
            </w:pPr>
          </w:p>
        </w:tc>
        <w:tc>
          <w:tcPr>
            <w:tcW w:w="1820" w:type="dxa"/>
            <w:vAlign w:val="bottom"/>
            <w:shd w:val="clear" w:color="auto" w:fill="CFE9D2"/>
          </w:tcPr>
          <w:p>
            <w:pPr>
              <w:spacing w:after="0"/>
              <w:rPr>
                <w:sz w:val="18"/>
                <w:szCs w:val="18"/>
                <w:color w:val="auto"/>
              </w:rPr>
            </w:pPr>
          </w:p>
        </w:tc>
        <w:tc>
          <w:tcPr>
            <w:tcW w:w="2600" w:type="dxa"/>
            <w:vAlign w:val="bottom"/>
          </w:tcPr>
          <w:p>
            <w:pPr>
              <w:ind w:left="100"/>
              <w:spacing w:after="0"/>
              <w:rPr>
                <w:sz w:val="20"/>
                <w:szCs w:val="20"/>
                <w:color w:val="auto"/>
              </w:rPr>
            </w:pPr>
            <w:r>
              <w:rPr>
                <w:rFonts w:ascii="Arial" w:cs="Arial" w:eastAsia="Arial" w:hAnsi="Arial"/>
                <w:sz w:val="16"/>
                <w:szCs w:val="16"/>
                <w:color w:val="auto"/>
              </w:rPr>
              <w:t>February 2020.</w:t>
            </w:r>
          </w:p>
        </w:tc>
        <w:tc>
          <w:tcPr>
            <w:tcW w:w="6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180" w:type="dxa"/>
            <w:vAlign w:val="bottom"/>
            <w:tcBorders>
              <w:bottom w:val="single" w:sz="8" w:color="CFE9D2"/>
            </w:tcBorders>
            <w:gridSpan w:val="2"/>
            <w:shd w:val="clear" w:color="auto" w:fill="CFE9D2"/>
          </w:tcPr>
          <w:p>
            <w:pPr>
              <w:spacing w:after="0"/>
              <w:rPr>
                <w:sz w:val="16"/>
                <w:szCs w:val="16"/>
                <w:color w:val="auto"/>
              </w:rPr>
            </w:pPr>
          </w:p>
        </w:tc>
        <w:tc>
          <w:tcPr>
            <w:tcW w:w="9080" w:type="dxa"/>
            <w:vAlign w:val="bottom"/>
            <w:tcBorders>
              <w:bottom w:val="single" w:sz="8" w:color="53C072"/>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485"/>
        </w:trPr>
        <w:tc>
          <w:tcPr>
            <w:tcW w:w="2180" w:type="dxa"/>
            <w:vAlign w:val="bottom"/>
            <w:gridSpan w:val="2"/>
            <w:shd w:val="clear" w:color="auto" w:fill="CFE9D2"/>
          </w:tcPr>
          <w:p>
            <w:pPr>
              <w:ind w:left="200"/>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2014</w:t>
            </w:r>
          </w:p>
        </w:tc>
        <w:tc>
          <w:tcPr>
            <w:tcW w:w="9080" w:type="dxa"/>
            <w:vAlign w:val="bottom"/>
            <w:gridSpan w:val="3"/>
          </w:tcPr>
          <w:p>
            <w:pPr>
              <w:ind w:left="100"/>
              <w:spacing w:after="0"/>
              <w:rPr>
                <w:sz w:val="20"/>
                <w:szCs w:val="20"/>
                <w:color w:val="auto"/>
              </w:rPr>
            </w:pPr>
            <w:r>
              <w:rPr>
                <w:rFonts w:ascii="Arial" w:cs="Arial" w:eastAsia="Arial" w:hAnsi="Arial"/>
                <w:sz w:val="16"/>
                <w:szCs w:val="16"/>
                <w:b w:val="1"/>
                <w:bCs w:val="1"/>
                <w:color w:val="53C072"/>
              </w:rPr>
              <w:t>Primary Qualifications and Experience:</w:t>
            </w:r>
          </w:p>
        </w:tc>
        <w:tc>
          <w:tcPr>
            <w:tcW w:w="0" w:type="dxa"/>
            <w:vAlign w:val="bottom"/>
          </w:tcPr>
          <w:p>
            <w:pPr>
              <w:spacing w:after="0"/>
              <w:rPr>
                <w:sz w:val="1"/>
                <w:szCs w:val="1"/>
                <w:color w:val="auto"/>
              </w:rPr>
            </w:pPr>
          </w:p>
        </w:tc>
      </w:tr>
      <w:tr>
        <w:trPr>
          <w:trHeight w:val="342"/>
        </w:trPr>
        <w:tc>
          <w:tcPr>
            <w:tcW w:w="2180" w:type="dxa"/>
            <w:vAlign w:val="bottom"/>
            <w:gridSpan w:val="2"/>
            <w:shd w:val="clear" w:color="auto" w:fill="CFE9D2"/>
          </w:tcPr>
          <w:p>
            <w:pPr>
              <w:ind w:left="200"/>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58</w:t>
            </w:r>
          </w:p>
        </w:tc>
        <w:tc>
          <w:tcPr>
            <w:tcW w:w="2600" w:type="dxa"/>
            <w:vAlign w:val="bottom"/>
          </w:tcPr>
          <w:p>
            <w:pPr>
              <w:ind w:left="8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Senior Leadership</w:t>
            </w:r>
          </w:p>
        </w:tc>
        <w:tc>
          <w:tcPr>
            <w:tcW w:w="6480" w:type="dxa"/>
            <w:vAlign w:val="bottom"/>
            <w:gridSpan w:val="2"/>
          </w:tcPr>
          <w:p>
            <w:pPr>
              <w:ind w:left="28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Innovation/Digital/Tech</w:t>
            </w:r>
          </w:p>
        </w:tc>
        <w:tc>
          <w:tcPr>
            <w:tcW w:w="0" w:type="dxa"/>
            <w:vAlign w:val="bottom"/>
          </w:tcPr>
          <w:p>
            <w:pPr>
              <w:spacing w:after="0"/>
              <w:rPr>
                <w:sz w:val="1"/>
                <w:szCs w:val="1"/>
                <w:color w:val="auto"/>
              </w:rPr>
            </w:pPr>
          </w:p>
        </w:tc>
      </w:tr>
      <w:tr>
        <w:trPr>
          <w:trHeight w:val="376"/>
        </w:trPr>
        <w:tc>
          <w:tcPr>
            <w:tcW w:w="2180" w:type="dxa"/>
            <w:vAlign w:val="bottom"/>
            <w:gridSpan w:val="2"/>
            <w:shd w:val="clear" w:color="auto" w:fill="CFE9D2"/>
          </w:tcPr>
          <w:p>
            <w:pPr>
              <w:ind w:left="200"/>
              <w:spacing w:after="0"/>
              <w:rPr>
                <w:sz w:val="20"/>
                <w:szCs w:val="20"/>
                <w:color w:val="auto"/>
              </w:rPr>
            </w:pPr>
            <w:r>
              <w:rPr>
                <w:rFonts w:ascii="Arial" w:cs="Arial" w:eastAsia="Arial" w:hAnsi="Arial"/>
                <w:sz w:val="13"/>
                <w:szCs w:val="13"/>
                <w:b w:val="1"/>
                <w:bCs w:val="1"/>
                <w:color w:val="auto"/>
              </w:rPr>
              <w:t>Independent</w:t>
            </w:r>
          </w:p>
        </w:tc>
        <w:tc>
          <w:tcPr>
            <w:tcW w:w="2600" w:type="dxa"/>
            <w:vAlign w:val="bottom"/>
          </w:tcPr>
          <w:p>
            <w:pPr>
              <w:ind w:left="8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Sales/Marketing</w:t>
            </w:r>
          </w:p>
        </w:tc>
        <w:tc>
          <w:tcPr>
            <w:tcW w:w="6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180" w:type="dxa"/>
            <w:vAlign w:val="bottom"/>
            <w:gridSpan w:val="2"/>
            <w:shd w:val="clear" w:color="auto" w:fill="CFE9D2"/>
          </w:tcPr>
          <w:p>
            <w:pPr>
              <w:ind w:left="200"/>
              <w:spacing w:after="0"/>
              <w:rPr>
                <w:sz w:val="20"/>
                <w:szCs w:val="20"/>
                <w:color w:val="auto"/>
              </w:rPr>
            </w:pPr>
            <w:r>
              <w:rPr>
                <w:rFonts w:ascii="Arial" w:cs="Arial" w:eastAsia="Arial" w:hAnsi="Arial"/>
                <w:sz w:val="13"/>
                <w:szCs w:val="13"/>
                <w:b w:val="1"/>
                <w:bCs w:val="1"/>
                <w:color w:val="auto"/>
              </w:rPr>
              <w:t>Current Committee</w:t>
            </w:r>
          </w:p>
        </w:tc>
        <w:tc>
          <w:tcPr>
            <w:tcW w:w="9080" w:type="dxa"/>
            <w:vAlign w:val="bottom"/>
            <w:gridSpan w:val="3"/>
          </w:tcPr>
          <w:p>
            <w:pPr>
              <w:ind w:left="100"/>
              <w:spacing w:after="0"/>
              <w:rPr>
                <w:sz w:val="20"/>
                <w:szCs w:val="20"/>
                <w:color w:val="auto"/>
              </w:rPr>
            </w:pPr>
            <w:r>
              <w:rPr>
                <w:rFonts w:ascii="Arial" w:cs="Arial" w:eastAsia="Arial" w:hAnsi="Arial"/>
                <w:sz w:val="16"/>
                <w:szCs w:val="16"/>
                <w:color w:val="auto"/>
              </w:rPr>
              <w:t>The Board benefits from Ms. Modjtabai's extensive experience in operations and strategy development. The Board also</w:t>
            </w:r>
          </w:p>
        </w:tc>
        <w:tc>
          <w:tcPr>
            <w:tcW w:w="0" w:type="dxa"/>
            <w:vAlign w:val="bottom"/>
          </w:tcPr>
          <w:p>
            <w:pPr>
              <w:spacing w:after="0"/>
              <w:rPr>
                <w:sz w:val="1"/>
                <w:szCs w:val="1"/>
                <w:color w:val="auto"/>
              </w:rPr>
            </w:pPr>
          </w:p>
        </w:tc>
      </w:tr>
      <w:tr>
        <w:trPr>
          <w:trHeight w:val="182"/>
        </w:trPr>
        <w:tc>
          <w:tcPr>
            <w:tcW w:w="2180" w:type="dxa"/>
            <w:vAlign w:val="bottom"/>
            <w:gridSpan w:val="2"/>
            <w:shd w:val="clear" w:color="auto" w:fill="CFE9D2"/>
          </w:tcPr>
          <w:p>
            <w:pPr>
              <w:ind w:left="200"/>
              <w:spacing w:after="0"/>
              <w:rPr>
                <w:sz w:val="20"/>
                <w:szCs w:val="20"/>
                <w:color w:val="auto"/>
              </w:rPr>
            </w:pPr>
            <w:r>
              <w:rPr>
                <w:rFonts w:ascii="Arial" w:cs="Arial" w:eastAsia="Arial" w:hAnsi="Arial"/>
                <w:sz w:val="13"/>
                <w:szCs w:val="13"/>
                <w:b w:val="1"/>
                <w:bCs w:val="1"/>
                <w:color w:val="auto"/>
              </w:rPr>
              <w:t>Memberships:</w:t>
            </w:r>
          </w:p>
        </w:tc>
        <w:tc>
          <w:tcPr>
            <w:tcW w:w="9080" w:type="dxa"/>
            <w:vAlign w:val="bottom"/>
            <w:gridSpan w:val="3"/>
            <w:vMerge w:val="restart"/>
          </w:tcPr>
          <w:p>
            <w:pPr>
              <w:ind w:left="100"/>
              <w:spacing w:after="0"/>
              <w:rPr>
                <w:sz w:val="20"/>
                <w:szCs w:val="20"/>
                <w:color w:val="auto"/>
              </w:rPr>
            </w:pPr>
            <w:r>
              <w:rPr>
                <w:rFonts w:ascii="Arial" w:cs="Arial" w:eastAsia="Arial" w:hAnsi="Arial"/>
                <w:sz w:val="16"/>
                <w:szCs w:val="16"/>
                <w:color w:val="auto"/>
              </w:rPr>
              <w:t>benefits from her experience in the areas of financial services and change management.</w:t>
            </w:r>
          </w:p>
        </w:tc>
        <w:tc>
          <w:tcPr>
            <w:tcW w:w="0" w:type="dxa"/>
            <w:vAlign w:val="bottom"/>
          </w:tcPr>
          <w:p>
            <w:pPr>
              <w:spacing w:after="0"/>
              <w:rPr>
                <w:sz w:val="1"/>
                <w:szCs w:val="1"/>
                <w:color w:val="auto"/>
              </w:rPr>
            </w:pPr>
          </w:p>
        </w:tc>
      </w:tr>
      <w:tr>
        <w:trPr>
          <w:trHeight w:val="50"/>
        </w:trPr>
        <w:tc>
          <w:tcPr>
            <w:tcW w:w="360" w:type="dxa"/>
            <w:vAlign w:val="bottom"/>
            <w:shd w:val="clear" w:color="auto" w:fill="CFE9D2"/>
          </w:tcPr>
          <w:p>
            <w:pPr>
              <w:spacing w:after="0"/>
              <w:rPr>
                <w:sz w:val="4"/>
                <w:szCs w:val="4"/>
                <w:color w:val="auto"/>
              </w:rPr>
            </w:pPr>
          </w:p>
        </w:tc>
        <w:tc>
          <w:tcPr>
            <w:tcW w:w="1820" w:type="dxa"/>
            <w:vAlign w:val="bottom"/>
            <w:shd w:val="clear" w:color="auto" w:fill="CFE9D2"/>
          </w:tcPr>
          <w:p>
            <w:pPr>
              <w:spacing w:after="0"/>
              <w:rPr>
                <w:sz w:val="4"/>
                <w:szCs w:val="4"/>
                <w:color w:val="auto"/>
              </w:rPr>
            </w:pPr>
          </w:p>
        </w:tc>
        <w:tc>
          <w:tcPr>
            <w:tcW w:w="90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360" w:type="dxa"/>
            <w:vAlign w:val="bottom"/>
            <w:shd w:val="clear" w:color="auto" w:fill="CFE9D2"/>
          </w:tcPr>
          <w:p>
            <w:pPr>
              <w:ind w:left="200"/>
              <w:spacing w:after="0"/>
              <w:rPr>
                <w:sz w:val="20"/>
                <w:szCs w:val="20"/>
                <w:color w:val="auto"/>
              </w:rPr>
            </w:pPr>
            <w:r>
              <w:rPr>
                <w:rFonts w:ascii="Arial" w:cs="Arial" w:eastAsia="Arial" w:hAnsi="Arial"/>
                <w:sz w:val="13"/>
                <w:szCs w:val="13"/>
                <w:color w:val="53C072"/>
              </w:rPr>
              <w:t>•</w:t>
            </w:r>
          </w:p>
        </w:tc>
        <w:tc>
          <w:tcPr>
            <w:tcW w:w="1820" w:type="dxa"/>
            <w:vAlign w:val="bottom"/>
            <w:shd w:val="clear" w:color="auto" w:fill="CFE9D2"/>
          </w:tcPr>
          <w:p>
            <w:pPr>
              <w:ind w:left="140"/>
              <w:spacing w:after="0"/>
              <w:rPr>
                <w:sz w:val="20"/>
                <w:szCs w:val="20"/>
                <w:color w:val="auto"/>
              </w:rPr>
            </w:pPr>
            <w:r>
              <w:rPr>
                <w:rFonts w:ascii="Arial" w:cs="Arial" w:eastAsia="Arial" w:hAnsi="Arial"/>
                <w:sz w:val="13"/>
                <w:szCs w:val="13"/>
                <w:color w:val="auto"/>
              </w:rPr>
              <w:t>Compensation Committee</w:t>
            </w:r>
          </w:p>
        </w:tc>
        <w:tc>
          <w:tcPr>
            <w:tcW w:w="260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360" w:type="dxa"/>
            <w:vAlign w:val="bottom"/>
            <w:shd w:val="clear" w:color="auto" w:fill="CFE9D2"/>
          </w:tcPr>
          <w:p>
            <w:pPr>
              <w:ind w:left="200"/>
              <w:spacing w:after="0"/>
              <w:rPr>
                <w:sz w:val="20"/>
                <w:szCs w:val="20"/>
                <w:color w:val="auto"/>
              </w:rPr>
            </w:pPr>
            <w:r>
              <w:rPr>
                <w:rFonts w:ascii="Arial" w:cs="Arial" w:eastAsia="Arial" w:hAnsi="Arial"/>
                <w:sz w:val="13"/>
                <w:szCs w:val="13"/>
                <w:color w:val="53C072"/>
              </w:rPr>
              <w:t>•</w:t>
            </w:r>
          </w:p>
        </w:tc>
        <w:tc>
          <w:tcPr>
            <w:tcW w:w="1820" w:type="dxa"/>
            <w:vAlign w:val="bottom"/>
            <w:shd w:val="clear" w:color="auto" w:fill="CFE9D2"/>
          </w:tcPr>
          <w:p>
            <w:pPr>
              <w:ind w:left="140"/>
              <w:spacing w:after="0"/>
              <w:rPr>
                <w:sz w:val="20"/>
                <w:szCs w:val="20"/>
                <w:color w:val="auto"/>
              </w:rPr>
            </w:pPr>
            <w:r>
              <w:rPr>
                <w:rFonts w:ascii="Arial" w:cs="Arial" w:eastAsia="Arial" w:hAnsi="Arial"/>
                <w:sz w:val="13"/>
                <w:szCs w:val="13"/>
                <w:color w:val="auto"/>
              </w:rPr>
              <w:t>Corporate Governance</w:t>
            </w:r>
          </w:p>
        </w:tc>
        <w:tc>
          <w:tcPr>
            <w:tcW w:w="260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60" w:type="dxa"/>
            <w:vAlign w:val="bottom"/>
            <w:shd w:val="clear" w:color="auto" w:fill="CFE9D2"/>
          </w:tcPr>
          <w:p>
            <w:pPr>
              <w:spacing w:after="0"/>
              <w:rPr>
                <w:sz w:val="15"/>
                <w:szCs w:val="15"/>
                <w:color w:val="auto"/>
              </w:rPr>
            </w:pPr>
          </w:p>
        </w:tc>
        <w:tc>
          <w:tcPr>
            <w:tcW w:w="1820" w:type="dxa"/>
            <w:vAlign w:val="bottom"/>
            <w:shd w:val="clear" w:color="auto" w:fill="CFE9D2"/>
          </w:tcPr>
          <w:p>
            <w:pPr>
              <w:ind w:left="140"/>
              <w:spacing w:after="0"/>
              <w:rPr>
                <w:sz w:val="20"/>
                <w:szCs w:val="20"/>
                <w:color w:val="auto"/>
              </w:rPr>
            </w:pPr>
            <w:r>
              <w:rPr>
                <w:rFonts w:ascii="Arial" w:cs="Arial" w:eastAsia="Arial" w:hAnsi="Arial"/>
                <w:sz w:val="13"/>
                <w:szCs w:val="13"/>
                <w:color w:val="auto"/>
              </w:rPr>
              <w:t>Committee (Chair)</w:t>
            </w:r>
          </w:p>
        </w:tc>
        <w:tc>
          <w:tcPr>
            <w:tcW w:w="260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360" w:type="dxa"/>
            <w:vAlign w:val="bottom"/>
            <w:tcBorders>
              <w:bottom w:val="single" w:sz="8" w:color="53C072"/>
            </w:tcBorders>
            <w:shd w:val="clear" w:color="auto" w:fill="CFE9D2"/>
          </w:tcPr>
          <w:p>
            <w:pPr>
              <w:ind w:left="200"/>
              <w:spacing w:after="0"/>
              <w:rPr>
                <w:sz w:val="20"/>
                <w:szCs w:val="20"/>
                <w:color w:val="auto"/>
              </w:rPr>
            </w:pPr>
            <w:r>
              <w:rPr>
                <w:rFonts w:ascii="Arial" w:cs="Arial" w:eastAsia="Arial" w:hAnsi="Arial"/>
                <w:sz w:val="13"/>
                <w:szCs w:val="13"/>
                <w:color w:val="53C072"/>
              </w:rPr>
              <w:t>•</w:t>
            </w:r>
          </w:p>
        </w:tc>
        <w:tc>
          <w:tcPr>
            <w:tcW w:w="1820" w:type="dxa"/>
            <w:vAlign w:val="bottom"/>
            <w:tcBorders>
              <w:bottom w:val="single" w:sz="8" w:color="53C072"/>
            </w:tcBorders>
            <w:shd w:val="clear" w:color="auto" w:fill="CFE9D2"/>
          </w:tcPr>
          <w:p>
            <w:pPr>
              <w:ind w:left="140"/>
              <w:spacing w:after="0"/>
              <w:rPr>
                <w:sz w:val="20"/>
                <w:szCs w:val="20"/>
                <w:color w:val="auto"/>
              </w:rPr>
            </w:pPr>
            <w:r>
              <w:rPr>
                <w:rFonts w:ascii="Arial" w:cs="Arial" w:eastAsia="Arial" w:hAnsi="Arial"/>
                <w:sz w:val="13"/>
                <w:szCs w:val="13"/>
                <w:color w:val="auto"/>
              </w:rPr>
              <w:t>Executive Committee</w:t>
            </w:r>
          </w:p>
        </w:tc>
        <w:tc>
          <w:tcPr>
            <w:tcW w:w="2600" w:type="dxa"/>
            <w:vAlign w:val="bottom"/>
            <w:tcBorders>
              <w:bottom w:val="single" w:sz="8" w:color="53C072"/>
            </w:tcBorders>
          </w:tcPr>
          <w:p>
            <w:pPr>
              <w:spacing w:after="0"/>
              <w:rPr>
                <w:sz w:val="24"/>
                <w:szCs w:val="24"/>
                <w:color w:val="auto"/>
              </w:rPr>
            </w:pPr>
          </w:p>
        </w:tc>
        <w:tc>
          <w:tcPr>
            <w:tcW w:w="6460" w:type="dxa"/>
            <w:vAlign w:val="bottom"/>
            <w:tcBorders>
              <w:bottom w:val="single" w:sz="8" w:color="53C072"/>
            </w:tcBorders>
          </w:tcPr>
          <w:p>
            <w:pPr>
              <w:spacing w:after="0"/>
              <w:rPr>
                <w:sz w:val="24"/>
                <w:szCs w:val="24"/>
                <w:color w:val="auto"/>
              </w:rPr>
            </w:pPr>
          </w:p>
        </w:tc>
        <w:tc>
          <w:tcPr>
            <w:tcW w:w="20" w:type="dxa"/>
            <w:vAlign w:val="bottom"/>
            <w:tcBorders>
              <w:bottom w:val="single" w:sz="8" w:color="53C072"/>
            </w:tcBorders>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360" w:type="dxa"/>
            <w:vAlign w:val="bottom"/>
          </w:tcPr>
          <w:p>
            <w:pPr>
              <w:spacing w:after="0"/>
              <w:rPr>
                <w:sz w:val="20"/>
                <w:szCs w:val="20"/>
                <w:color w:val="auto"/>
              </w:rPr>
            </w:pPr>
            <w:r>
              <w:rPr>
                <w:rFonts w:ascii="Arial" w:cs="Arial" w:eastAsia="Arial" w:hAnsi="Arial"/>
                <w:sz w:val="16"/>
                <w:szCs w:val="16"/>
                <w:color w:val="auto"/>
              </w:rPr>
              <w:t>12</w:t>
            </w:r>
          </w:p>
        </w:tc>
        <w:tc>
          <w:tcPr>
            <w:tcW w:w="1820" w:type="dxa"/>
            <w:vAlign w:val="bottom"/>
          </w:tcPr>
          <w:p>
            <w:pPr>
              <w:ind w:left="100"/>
              <w:spacing w:after="0"/>
              <w:rPr>
                <w:sz w:val="20"/>
                <w:szCs w:val="20"/>
                <w:color w:val="auto"/>
              </w:rPr>
            </w:pPr>
            <w:r>
              <w:rPr>
                <w:rFonts w:ascii="Arial" w:cs="Arial" w:eastAsia="Arial" w:hAnsi="Arial"/>
                <w:sz w:val="23"/>
                <w:szCs w:val="23"/>
                <w:b w:val="1"/>
                <w:bCs w:val="1"/>
                <w:color w:val="53C072"/>
              </w:rPr>
              <w:t>|</w:t>
            </w:r>
          </w:p>
        </w:tc>
        <w:tc>
          <w:tcPr>
            <w:tcW w:w="260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60" w:type="dxa"/>
            <w:vAlign w:val="bottom"/>
            <w:tcBorders>
              <w:bottom w:val="single" w:sz="8" w:color="808080"/>
            </w:tcBorders>
          </w:tcPr>
          <w:p>
            <w:pPr>
              <w:spacing w:after="0"/>
              <w:rPr>
                <w:sz w:val="12"/>
                <w:szCs w:val="12"/>
                <w:color w:val="auto"/>
              </w:rPr>
            </w:pPr>
          </w:p>
        </w:tc>
        <w:tc>
          <w:tcPr>
            <w:tcW w:w="1820" w:type="dxa"/>
            <w:vAlign w:val="bottom"/>
            <w:tcBorders>
              <w:bottom w:val="single" w:sz="8" w:color="808080"/>
            </w:tcBorders>
          </w:tcPr>
          <w:p>
            <w:pPr>
              <w:spacing w:after="0"/>
              <w:rPr>
                <w:sz w:val="12"/>
                <w:szCs w:val="12"/>
                <w:color w:val="auto"/>
              </w:rPr>
            </w:pPr>
          </w:p>
        </w:tc>
        <w:tc>
          <w:tcPr>
            <w:tcW w:w="2600" w:type="dxa"/>
            <w:vAlign w:val="bottom"/>
            <w:tcBorders>
              <w:bottom w:val="single" w:sz="8" w:color="808080"/>
            </w:tcBorders>
          </w:tcPr>
          <w:p>
            <w:pPr>
              <w:spacing w:after="0"/>
              <w:rPr>
                <w:sz w:val="12"/>
                <w:szCs w:val="12"/>
                <w:color w:val="auto"/>
              </w:rPr>
            </w:pPr>
          </w:p>
        </w:tc>
        <w:tc>
          <w:tcPr>
            <w:tcW w:w="64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-13335</wp:posOffset>
            </wp:positionV>
            <wp:extent cx="1270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-302260</wp:posOffset>
            </wp:positionV>
            <wp:extent cx="1664970" cy="1231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3"/>
        </w:trPr>
        <w:tc>
          <w:tcPr>
            <w:tcW w:w="532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5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32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5940" w:type="dxa"/>
            <w:vAlign w:val="bottom"/>
            <w:vMerge w:val="restart"/>
          </w:tcPr>
          <w:p>
            <w:pPr>
              <w:ind w:left="4080"/>
              <w:spacing w:after="0"/>
              <w:rPr>
                <w:sz w:val="20"/>
                <w:szCs w:val="20"/>
                <w:color w:val="auto"/>
              </w:rPr>
            </w:pPr>
            <w:r>
              <w:rPr>
                <w:rFonts w:ascii="Arial" w:cs="Arial" w:eastAsia="Arial" w:hAnsi="Arial"/>
                <w:sz w:val="13"/>
                <w:szCs w:val="13"/>
                <w:color w:val="auto"/>
                <w:w w:val="99"/>
              </w:rPr>
              <w:t>Proposal 1: Election of Directors</w:t>
            </w:r>
          </w:p>
        </w:tc>
        <w:tc>
          <w:tcPr>
            <w:tcW w:w="0" w:type="dxa"/>
            <w:vAlign w:val="bottom"/>
          </w:tcPr>
          <w:p>
            <w:pPr>
              <w:spacing w:after="0"/>
              <w:rPr>
                <w:sz w:val="1"/>
                <w:szCs w:val="1"/>
                <w:color w:val="auto"/>
              </w:rPr>
            </w:pPr>
          </w:p>
        </w:tc>
      </w:tr>
      <w:tr>
        <w:trPr>
          <w:trHeight w:val="102"/>
        </w:trPr>
        <w:tc>
          <w:tcPr>
            <w:tcW w:w="532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5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320" w:type="dxa"/>
            <w:vAlign w:val="bottom"/>
            <w:vMerge w:val="continue"/>
          </w:tcPr>
          <w:p>
            <w:pPr>
              <w:spacing w:after="0"/>
              <w:rPr>
                <w:sz w:val="7"/>
                <w:szCs w:val="7"/>
                <w:color w:val="auto"/>
              </w:rPr>
            </w:pPr>
          </w:p>
        </w:tc>
        <w:tc>
          <w:tcPr>
            <w:tcW w:w="59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tbl>
      <w:tblPr>
        <w:tblLayout w:type="fixed"/>
        <w:tblInd w:w="10" w:type="dxa"/>
        <w:tblCellMar>
          <w:top w:w="0" w:type="dxa"/>
          <w:left w:w="0" w:type="dxa"/>
          <w:bottom w:w="0" w:type="dxa"/>
          <w:right w:w="0" w:type="dxa"/>
        </w:tblCellMar>
      </w:tblPr>
      <w:tr>
        <w:trPr>
          <w:trHeight w:val="425"/>
        </w:trPr>
        <w:tc>
          <w:tcPr>
            <w:tcW w:w="380" w:type="dxa"/>
            <w:vAlign w:val="bottom"/>
            <w:tcBorders>
              <w:top w:val="single" w:sz="8" w:color="53C072"/>
              <w:left w:val="single" w:sz="8" w:color="53C072"/>
            </w:tcBorders>
            <w:shd w:val="clear" w:color="auto" w:fill="CFE9D2"/>
          </w:tcPr>
          <w:p>
            <w:pPr>
              <w:spacing w:after="0"/>
              <w:rPr>
                <w:sz w:val="24"/>
                <w:szCs w:val="24"/>
                <w:color w:val="auto"/>
              </w:rPr>
            </w:pPr>
          </w:p>
        </w:tc>
        <w:tc>
          <w:tcPr>
            <w:tcW w:w="1820" w:type="dxa"/>
            <w:vAlign w:val="bottom"/>
            <w:tcBorders>
              <w:top w:val="single" w:sz="8" w:color="53C072"/>
              <w:right w:val="single" w:sz="8" w:color="53C072"/>
            </w:tcBorders>
            <w:shd w:val="clear" w:color="auto" w:fill="CFE9D2"/>
          </w:tcPr>
          <w:p>
            <w:pPr>
              <w:spacing w:after="0"/>
              <w:rPr>
                <w:sz w:val="24"/>
                <w:szCs w:val="24"/>
                <w:color w:val="auto"/>
              </w:rPr>
            </w:pPr>
          </w:p>
        </w:tc>
        <w:tc>
          <w:tcPr>
            <w:tcW w:w="2580" w:type="dxa"/>
            <w:vAlign w:val="bottom"/>
            <w:tcBorders>
              <w:top w:val="single" w:sz="8" w:color="53C072"/>
            </w:tcBorders>
          </w:tcPr>
          <w:p>
            <w:pPr>
              <w:spacing w:after="0"/>
              <w:rPr>
                <w:sz w:val="24"/>
                <w:szCs w:val="24"/>
                <w:color w:val="auto"/>
              </w:rPr>
            </w:pPr>
          </w:p>
        </w:tc>
        <w:tc>
          <w:tcPr>
            <w:tcW w:w="6480" w:type="dxa"/>
            <w:vAlign w:val="bottom"/>
            <w:tcBorders>
              <w:top w:val="single" w:sz="8" w:color="53C072"/>
              <w:right w:val="single" w:sz="8" w:color="53C072"/>
            </w:tcBorders>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380" w:type="dxa"/>
            <w:vAlign w:val="bottom"/>
            <w:tcBorders>
              <w:left w:val="single" w:sz="8" w:color="53C072"/>
              <w:bottom w:val="single" w:sz="8" w:color="CFE9D2"/>
            </w:tcBorders>
            <w:shd w:val="clear" w:color="auto" w:fill="CFE9D2"/>
          </w:tcPr>
          <w:p>
            <w:pPr>
              <w:spacing w:after="0"/>
              <w:rPr>
                <w:sz w:val="24"/>
                <w:szCs w:val="24"/>
                <w:color w:val="auto"/>
              </w:rPr>
            </w:pPr>
          </w:p>
        </w:tc>
        <w:tc>
          <w:tcPr>
            <w:tcW w:w="1820" w:type="dxa"/>
            <w:vAlign w:val="bottom"/>
            <w:tcBorders>
              <w:bottom w:val="single" w:sz="8" w:color="CFE9D2"/>
              <w:right w:val="single" w:sz="8" w:color="53C072"/>
            </w:tcBorders>
            <w:shd w:val="clear" w:color="auto" w:fill="CFE9D2"/>
          </w:tcPr>
          <w:p>
            <w:pPr>
              <w:spacing w:after="0"/>
              <w:rPr>
                <w:sz w:val="24"/>
                <w:szCs w:val="24"/>
                <w:color w:val="auto"/>
              </w:rPr>
            </w:pPr>
          </w:p>
        </w:tc>
        <w:tc>
          <w:tcPr>
            <w:tcW w:w="2580" w:type="dxa"/>
            <w:vAlign w:val="bottom"/>
            <w:tcBorders>
              <w:bottom w:val="single" w:sz="8" w:color="53C072"/>
            </w:tcBorders>
            <w:shd w:val="clear" w:color="auto" w:fill="53C072"/>
          </w:tcPr>
          <w:p>
            <w:pPr>
              <w:ind w:left="180"/>
              <w:spacing w:after="0"/>
              <w:rPr>
                <w:sz w:val="20"/>
                <w:szCs w:val="20"/>
                <w:color w:val="auto"/>
              </w:rPr>
            </w:pPr>
            <w:r>
              <w:rPr>
                <w:rFonts w:ascii="Arial" w:cs="Arial" w:eastAsia="Arial" w:hAnsi="Arial"/>
                <w:sz w:val="19"/>
                <w:szCs w:val="19"/>
                <w:b w:val="1"/>
                <w:bCs w:val="1"/>
                <w:color w:val="FFFFFE"/>
              </w:rPr>
              <w:t>ADALIO T. SANCHEZ</w:t>
            </w:r>
          </w:p>
        </w:tc>
        <w:tc>
          <w:tcPr>
            <w:tcW w:w="6480" w:type="dxa"/>
            <w:vAlign w:val="bottom"/>
            <w:tcBorders>
              <w:bottom w:val="single" w:sz="8" w:color="53C072"/>
              <w:right w:val="single" w:sz="8" w:color="53C072"/>
            </w:tcBorders>
            <w:shd w:val="clear" w:color="auto" w:fill="53C072"/>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380" w:type="dxa"/>
            <w:vAlign w:val="bottom"/>
            <w:tcBorders>
              <w:left w:val="single" w:sz="8" w:color="53C072"/>
            </w:tcBorders>
            <w:shd w:val="clear" w:color="auto" w:fill="CFE9D2"/>
          </w:tcPr>
          <w:p>
            <w:pPr>
              <w:spacing w:after="0"/>
              <w:rPr>
                <w:sz w:val="24"/>
                <w:szCs w:val="24"/>
                <w:color w:val="auto"/>
              </w:rPr>
            </w:pPr>
          </w:p>
        </w:tc>
        <w:tc>
          <w:tcPr>
            <w:tcW w:w="1820" w:type="dxa"/>
            <w:vAlign w:val="bottom"/>
            <w:tcBorders>
              <w:right w:val="single" w:sz="8" w:color="53C072"/>
            </w:tcBorders>
            <w:shd w:val="clear" w:color="auto" w:fill="CFE9D2"/>
          </w:tcPr>
          <w:p>
            <w:pPr>
              <w:spacing w:after="0"/>
              <w:rPr>
                <w:sz w:val="24"/>
                <w:szCs w:val="24"/>
                <w:color w:val="auto"/>
              </w:rPr>
            </w:pPr>
          </w:p>
        </w:tc>
        <w:tc>
          <w:tcPr>
            <w:tcW w:w="2580" w:type="dxa"/>
            <w:vAlign w:val="bottom"/>
          </w:tcPr>
          <w:p>
            <w:pPr>
              <w:ind w:left="80"/>
              <w:spacing w:after="0"/>
              <w:rPr>
                <w:sz w:val="20"/>
                <w:szCs w:val="20"/>
                <w:color w:val="auto"/>
              </w:rPr>
            </w:pPr>
            <w:r>
              <w:rPr>
                <w:rFonts w:ascii="Arial" w:cs="Arial" w:eastAsia="Arial" w:hAnsi="Arial"/>
                <w:sz w:val="16"/>
                <w:szCs w:val="16"/>
                <w:b w:val="1"/>
                <w:bCs w:val="1"/>
                <w:color w:val="53C072"/>
              </w:rPr>
              <w:t>Recent Business Experience:</w:t>
            </w:r>
          </w:p>
        </w:tc>
        <w:tc>
          <w:tcPr>
            <w:tcW w:w="6480" w:type="dxa"/>
            <w:vAlign w:val="bottom"/>
            <w:tcBorders>
              <w:right w:val="single" w:sz="8" w:color="53C072"/>
            </w:tcBorders>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80" w:type="dxa"/>
            <w:vAlign w:val="bottom"/>
            <w:tcBorders>
              <w:left w:val="single" w:sz="8" w:color="53C072"/>
            </w:tcBorders>
            <w:shd w:val="clear" w:color="auto" w:fill="CFE9D2"/>
          </w:tcPr>
          <w:p>
            <w:pPr>
              <w:spacing w:after="0"/>
              <w:rPr>
                <w:sz w:val="24"/>
                <w:szCs w:val="24"/>
                <w:color w:val="auto"/>
              </w:rPr>
            </w:pPr>
          </w:p>
        </w:tc>
        <w:tc>
          <w:tcPr>
            <w:tcW w:w="1820" w:type="dxa"/>
            <w:vAlign w:val="bottom"/>
            <w:tcBorders>
              <w:right w:val="single" w:sz="8" w:color="53C072"/>
            </w:tcBorders>
            <w:shd w:val="clear" w:color="auto" w:fill="CFE9D2"/>
          </w:tcPr>
          <w:p>
            <w:pPr>
              <w:spacing w:after="0"/>
              <w:rPr>
                <w:sz w:val="24"/>
                <w:szCs w:val="24"/>
                <w:color w:val="auto"/>
              </w:rPr>
            </w:pPr>
          </w:p>
        </w:tc>
        <w:tc>
          <w:tcPr>
            <w:tcW w:w="9060" w:type="dxa"/>
            <w:vAlign w:val="bottom"/>
            <w:tcBorders>
              <w:right w:val="single" w:sz="8" w:color="53C072"/>
            </w:tcBorders>
            <w:gridSpan w:val="2"/>
          </w:tcPr>
          <w:p>
            <w:pPr>
              <w:ind w:left="80"/>
              <w:spacing w:after="0"/>
              <w:rPr>
                <w:sz w:val="20"/>
                <w:szCs w:val="20"/>
                <w:color w:val="auto"/>
              </w:rPr>
            </w:pPr>
            <w:r>
              <w:rPr>
                <w:rFonts w:ascii="Arial" w:cs="Arial" w:eastAsia="Arial" w:hAnsi="Arial"/>
                <w:sz w:val="16"/>
                <w:szCs w:val="16"/>
                <w:color w:val="auto"/>
              </w:rPr>
              <w:t>Mr. Sanchez is President of S Group Advisory LLC, a management consulting firm providing advisory services on business</w:t>
            </w:r>
          </w:p>
        </w:tc>
        <w:tc>
          <w:tcPr>
            <w:tcW w:w="0" w:type="dxa"/>
            <w:vAlign w:val="bottom"/>
          </w:tcPr>
          <w:p>
            <w:pPr>
              <w:spacing w:after="0"/>
              <w:rPr>
                <w:sz w:val="1"/>
                <w:szCs w:val="1"/>
                <w:color w:val="auto"/>
              </w:rPr>
            </w:pPr>
          </w:p>
        </w:tc>
      </w:tr>
      <w:tr>
        <w:trPr>
          <w:trHeight w:val="182"/>
        </w:trPr>
        <w:tc>
          <w:tcPr>
            <w:tcW w:w="380" w:type="dxa"/>
            <w:vAlign w:val="bottom"/>
            <w:tcBorders>
              <w:left w:val="single" w:sz="8" w:color="53C072"/>
            </w:tcBorders>
            <w:shd w:val="clear" w:color="auto" w:fill="CFE9D2"/>
          </w:tcPr>
          <w:p>
            <w:pPr>
              <w:spacing w:after="0"/>
              <w:rPr>
                <w:sz w:val="15"/>
                <w:szCs w:val="15"/>
                <w:color w:val="auto"/>
              </w:rPr>
            </w:pPr>
          </w:p>
        </w:tc>
        <w:tc>
          <w:tcPr>
            <w:tcW w:w="1820" w:type="dxa"/>
            <w:vAlign w:val="bottom"/>
            <w:tcBorders>
              <w:right w:val="single" w:sz="8" w:color="53C072"/>
            </w:tcBorders>
            <w:shd w:val="clear" w:color="auto" w:fill="CFE9D2"/>
          </w:tcPr>
          <w:p>
            <w:pPr>
              <w:spacing w:after="0"/>
              <w:rPr>
                <w:sz w:val="15"/>
                <w:szCs w:val="15"/>
                <w:color w:val="auto"/>
              </w:rPr>
            </w:pPr>
          </w:p>
        </w:tc>
        <w:tc>
          <w:tcPr>
            <w:tcW w:w="9060" w:type="dxa"/>
            <w:vAlign w:val="bottom"/>
            <w:tcBorders>
              <w:right w:val="single" w:sz="8" w:color="53C072"/>
            </w:tcBorders>
            <w:gridSpan w:val="2"/>
          </w:tcPr>
          <w:p>
            <w:pPr>
              <w:ind w:left="80"/>
              <w:spacing w:after="0" w:line="182" w:lineRule="exact"/>
              <w:rPr>
                <w:sz w:val="20"/>
                <w:szCs w:val="20"/>
                <w:color w:val="auto"/>
              </w:rPr>
            </w:pPr>
            <w:r>
              <w:rPr>
                <w:rFonts w:ascii="Arial" w:cs="Arial" w:eastAsia="Arial" w:hAnsi="Arial"/>
                <w:sz w:val="16"/>
                <w:szCs w:val="16"/>
                <w:color w:val="auto"/>
              </w:rPr>
              <w:t>strategy, technology, and operational excellence. Since 2015, he also serves on the board of directors of ACI Worldwide Inc.</w:t>
            </w:r>
          </w:p>
        </w:tc>
        <w:tc>
          <w:tcPr>
            <w:tcW w:w="0" w:type="dxa"/>
            <w:vAlign w:val="bottom"/>
          </w:tcPr>
          <w:p>
            <w:pPr>
              <w:spacing w:after="0"/>
              <w:rPr>
                <w:sz w:val="1"/>
                <w:szCs w:val="1"/>
                <w:color w:val="auto"/>
              </w:rPr>
            </w:pPr>
          </w:p>
        </w:tc>
      </w:tr>
      <w:tr>
        <w:trPr>
          <w:trHeight w:val="182"/>
        </w:trPr>
        <w:tc>
          <w:tcPr>
            <w:tcW w:w="380" w:type="dxa"/>
            <w:vAlign w:val="bottom"/>
            <w:tcBorders>
              <w:left w:val="single" w:sz="8" w:color="53C072"/>
            </w:tcBorders>
            <w:shd w:val="clear" w:color="auto" w:fill="CFE9D2"/>
          </w:tcPr>
          <w:p>
            <w:pPr>
              <w:spacing w:after="0"/>
              <w:rPr>
                <w:sz w:val="15"/>
                <w:szCs w:val="15"/>
                <w:color w:val="auto"/>
              </w:rPr>
            </w:pPr>
          </w:p>
        </w:tc>
        <w:tc>
          <w:tcPr>
            <w:tcW w:w="1820" w:type="dxa"/>
            <w:vAlign w:val="bottom"/>
            <w:tcBorders>
              <w:right w:val="single" w:sz="8" w:color="53C072"/>
            </w:tcBorders>
            <w:shd w:val="clear" w:color="auto" w:fill="CFE9D2"/>
          </w:tcPr>
          <w:p>
            <w:pPr>
              <w:spacing w:after="0"/>
              <w:rPr>
                <w:sz w:val="15"/>
                <w:szCs w:val="15"/>
                <w:color w:val="auto"/>
              </w:rPr>
            </w:pPr>
          </w:p>
        </w:tc>
        <w:tc>
          <w:tcPr>
            <w:tcW w:w="9060" w:type="dxa"/>
            <w:vAlign w:val="bottom"/>
            <w:tcBorders>
              <w:right w:val="single" w:sz="8" w:color="53C072"/>
            </w:tcBorders>
            <w:gridSpan w:val="2"/>
          </w:tcPr>
          <w:p>
            <w:pPr>
              <w:ind w:left="80"/>
              <w:spacing w:after="0" w:line="182" w:lineRule="exact"/>
              <w:rPr>
                <w:sz w:val="20"/>
                <w:szCs w:val="20"/>
                <w:color w:val="auto"/>
              </w:rPr>
            </w:pPr>
            <w:r>
              <w:rPr>
                <w:rFonts w:ascii="Arial" w:cs="Arial" w:eastAsia="Arial" w:hAnsi="Arial"/>
                <w:sz w:val="16"/>
                <w:szCs w:val="16"/>
                <w:color w:val="auto"/>
              </w:rPr>
              <w:t>(NASDAQ: ACIW), a software company serving the electronics payments market; and since 2018, serves on the board of the</w:t>
            </w:r>
          </w:p>
        </w:tc>
        <w:tc>
          <w:tcPr>
            <w:tcW w:w="0" w:type="dxa"/>
            <w:vAlign w:val="bottom"/>
          </w:tcPr>
          <w:p>
            <w:pPr>
              <w:spacing w:after="0"/>
              <w:rPr>
                <w:sz w:val="1"/>
                <w:szCs w:val="1"/>
                <w:color w:val="auto"/>
              </w:rPr>
            </w:pPr>
          </w:p>
        </w:tc>
      </w:tr>
      <w:tr>
        <w:trPr>
          <w:trHeight w:val="182"/>
        </w:trPr>
        <w:tc>
          <w:tcPr>
            <w:tcW w:w="380" w:type="dxa"/>
            <w:vAlign w:val="bottom"/>
            <w:tcBorders>
              <w:left w:val="single" w:sz="8" w:color="53C072"/>
            </w:tcBorders>
            <w:shd w:val="clear" w:color="auto" w:fill="CFE9D2"/>
          </w:tcPr>
          <w:p>
            <w:pPr>
              <w:spacing w:after="0"/>
              <w:rPr>
                <w:sz w:val="15"/>
                <w:szCs w:val="15"/>
                <w:color w:val="auto"/>
              </w:rPr>
            </w:pPr>
          </w:p>
        </w:tc>
        <w:tc>
          <w:tcPr>
            <w:tcW w:w="1820" w:type="dxa"/>
            <w:vAlign w:val="bottom"/>
            <w:tcBorders>
              <w:right w:val="single" w:sz="8" w:color="53C072"/>
            </w:tcBorders>
            <w:shd w:val="clear" w:color="auto" w:fill="CFE9D2"/>
          </w:tcPr>
          <w:p>
            <w:pPr>
              <w:spacing w:after="0"/>
              <w:rPr>
                <w:sz w:val="15"/>
                <w:szCs w:val="15"/>
                <w:color w:val="auto"/>
              </w:rPr>
            </w:pPr>
          </w:p>
        </w:tc>
        <w:tc>
          <w:tcPr>
            <w:tcW w:w="9060" w:type="dxa"/>
            <w:vAlign w:val="bottom"/>
            <w:tcBorders>
              <w:right w:val="single" w:sz="8" w:color="53C072"/>
            </w:tcBorders>
            <w:gridSpan w:val="2"/>
          </w:tcPr>
          <w:p>
            <w:pPr>
              <w:ind w:left="80"/>
              <w:spacing w:after="0" w:line="182" w:lineRule="exact"/>
              <w:rPr>
                <w:sz w:val="20"/>
                <w:szCs w:val="20"/>
                <w:color w:val="auto"/>
              </w:rPr>
            </w:pPr>
            <w:r>
              <w:rPr>
                <w:rFonts w:ascii="Arial" w:cs="Arial" w:eastAsia="Arial" w:hAnsi="Arial"/>
                <w:sz w:val="16"/>
                <w:szCs w:val="16"/>
                <w:color w:val="auto"/>
              </w:rPr>
              <w:t>MITRE Corporation, a not-for-profit firm that manages federally funded research and development centers supporting several</w:t>
            </w:r>
          </w:p>
        </w:tc>
        <w:tc>
          <w:tcPr>
            <w:tcW w:w="0" w:type="dxa"/>
            <w:vAlign w:val="bottom"/>
          </w:tcPr>
          <w:p>
            <w:pPr>
              <w:spacing w:after="0"/>
              <w:rPr>
                <w:sz w:val="1"/>
                <w:szCs w:val="1"/>
                <w:color w:val="auto"/>
              </w:rPr>
            </w:pPr>
          </w:p>
        </w:tc>
      </w:tr>
      <w:tr>
        <w:trPr>
          <w:trHeight w:val="182"/>
        </w:trPr>
        <w:tc>
          <w:tcPr>
            <w:tcW w:w="380" w:type="dxa"/>
            <w:vAlign w:val="bottom"/>
            <w:tcBorders>
              <w:left w:val="single" w:sz="8" w:color="53C072"/>
            </w:tcBorders>
            <w:shd w:val="clear" w:color="auto" w:fill="CFE9D2"/>
          </w:tcPr>
          <w:p>
            <w:pPr>
              <w:spacing w:after="0"/>
              <w:rPr>
                <w:sz w:val="15"/>
                <w:szCs w:val="15"/>
                <w:color w:val="auto"/>
              </w:rPr>
            </w:pPr>
          </w:p>
        </w:tc>
        <w:tc>
          <w:tcPr>
            <w:tcW w:w="1820" w:type="dxa"/>
            <w:vAlign w:val="bottom"/>
            <w:tcBorders>
              <w:right w:val="single" w:sz="8" w:color="53C072"/>
            </w:tcBorders>
            <w:shd w:val="clear" w:color="auto" w:fill="CFE9D2"/>
          </w:tcPr>
          <w:p>
            <w:pPr>
              <w:spacing w:after="0"/>
              <w:rPr>
                <w:sz w:val="15"/>
                <w:szCs w:val="15"/>
                <w:color w:val="auto"/>
              </w:rPr>
            </w:pPr>
          </w:p>
        </w:tc>
        <w:tc>
          <w:tcPr>
            <w:tcW w:w="9060" w:type="dxa"/>
            <w:vAlign w:val="bottom"/>
            <w:tcBorders>
              <w:right w:val="single" w:sz="8" w:color="53C072"/>
            </w:tcBorders>
            <w:gridSpan w:val="2"/>
          </w:tcPr>
          <w:p>
            <w:pPr>
              <w:ind w:left="80"/>
              <w:spacing w:after="0" w:line="182" w:lineRule="exact"/>
              <w:rPr>
                <w:sz w:val="20"/>
                <w:szCs w:val="20"/>
                <w:color w:val="auto"/>
              </w:rPr>
            </w:pPr>
            <w:r>
              <w:rPr>
                <w:rFonts w:ascii="Arial" w:cs="Arial" w:eastAsia="Arial" w:hAnsi="Arial"/>
                <w:sz w:val="16"/>
                <w:szCs w:val="16"/>
                <w:color w:val="auto"/>
              </w:rPr>
              <w:t>U.S. government agencies. Mr. Sanchez previously served on the board of Quantum Corporation (Nasdaq: QMCO), a</w:t>
            </w:r>
          </w:p>
        </w:tc>
        <w:tc>
          <w:tcPr>
            <w:tcW w:w="0" w:type="dxa"/>
            <w:vAlign w:val="bottom"/>
          </w:tcPr>
          <w:p>
            <w:pPr>
              <w:spacing w:after="0"/>
              <w:rPr>
                <w:sz w:val="1"/>
                <w:szCs w:val="1"/>
                <w:color w:val="auto"/>
              </w:rPr>
            </w:pPr>
          </w:p>
        </w:tc>
      </w:tr>
      <w:tr>
        <w:trPr>
          <w:trHeight w:val="182"/>
        </w:trPr>
        <w:tc>
          <w:tcPr>
            <w:tcW w:w="380" w:type="dxa"/>
            <w:vAlign w:val="bottom"/>
            <w:tcBorders>
              <w:left w:val="single" w:sz="8" w:color="53C072"/>
            </w:tcBorders>
            <w:shd w:val="clear" w:color="auto" w:fill="CFE9D2"/>
          </w:tcPr>
          <w:p>
            <w:pPr>
              <w:spacing w:after="0"/>
              <w:rPr>
                <w:sz w:val="15"/>
                <w:szCs w:val="15"/>
                <w:color w:val="auto"/>
              </w:rPr>
            </w:pPr>
          </w:p>
        </w:tc>
        <w:tc>
          <w:tcPr>
            <w:tcW w:w="1820" w:type="dxa"/>
            <w:vAlign w:val="bottom"/>
            <w:tcBorders>
              <w:right w:val="single" w:sz="8" w:color="53C072"/>
            </w:tcBorders>
            <w:shd w:val="clear" w:color="auto" w:fill="CFE9D2"/>
          </w:tcPr>
          <w:p>
            <w:pPr>
              <w:spacing w:after="0"/>
              <w:rPr>
                <w:sz w:val="15"/>
                <w:szCs w:val="15"/>
                <w:color w:val="auto"/>
              </w:rPr>
            </w:pPr>
          </w:p>
        </w:tc>
        <w:tc>
          <w:tcPr>
            <w:tcW w:w="9060" w:type="dxa"/>
            <w:vAlign w:val="bottom"/>
            <w:tcBorders>
              <w:right w:val="single" w:sz="8" w:color="53C072"/>
            </w:tcBorders>
            <w:gridSpan w:val="2"/>
          </w:tcPr>
          <w:p>
            <w:pPr>
              <w:ind w:left="80"/>
              <w:spacing w:after="0" w:line="182" w:lineRule="exact"/>
              <w:rPr>
                <w:sz w:val="20"/>
                <w:szCs w:val="20"/>
                <w:color w:val="auto"/>
              </w:rPr>
            </w:pPr>
            <w:r>
              <w:rPr>
                <w:rFonts w:ascii="Arial" w:cs="Arial" w:eastAsia="Arial" w:hAnsi="Arial"/>
                <w:sz w:val="16"/>
                <w:szCs w:val="16"/>
                <w:color w:val="auto"/>
              </w:rPr>
              <w:t>computer storage solutions company, from May 2017 to April 2019, and served as interim CEO from November 2017 to</w:t>
            </w:r>
          </w:p>
        </w:tc>
        <w:tc>
          <w:tcPr>
            <w:tcW w:w="0" w:type="dxa"/>
            <w:vAlign w:val="bottom"/>
          </w:tcPr>
          <w:p>
            <w:pPr>
              <w:spacing w:after="0"/>
              <w:rPr>
                <w:sz w:val="1"/>
                <w:szCs w:val="1"/>
                <w:color w:val="auto"/>
              </w:rPr>
            </w:pPr>
          </w:p>
        </w:tc>
      </w:tr>
      <w:tr>
        <w:trPr>
          <w:trHeight w:val="182"/>
        </w:trPr>
        <w:tc>
          <w:tcPr>
            <w:tcW w:w="380" w:type="dxa"/>
            <w:vAlign w:val="bottom"/>
            <w:tcBorders>
              <w:left w:val="single" w:sz="8" w:color="53C072"/>
            </w:tcBorders>
            <w:shd w:val="clear" w:color="auto" w:fill="CFE9D2"/>
          </w:tcPr>
          <w:p>
            <w:pPr>
              <w:spacing w:after="0"/>
              <w:rPr>
                <w:sz w:val="15"/>
                <w:szCs w:val="15"/>
                <w:color w:val="auto"/>
              </w:rPr>
            </w:pPr>
          </w:p>
        </w:tc>
        <w:tc>
          <w:tcPr>
            <w:tcW w:w="1820" w:type="dxa"/>
            <w:vAlign w:val="bottom"/>
            <w:tcBorders>
              <w:right w:val="single" w:sz="8" w:color="53C072"/>
            </w:tcBorders>
            <w:shd w:val="clear" w:color="auto" w:fill="CFE9D2"/>
          </w:tcPr>
          <w:p>
            <w:pPr>
              <w:spacing w:after="0"/>
              <w:rPr>
                <w:sz w:val="15"/>
                <w:szCs w:val="15"/>
                <w:color w:val="auto"/>
              </w:rPr>
            </w:pPr>
          </w:p>
        </w:tc>
        <w:tc>
          <w:tcPr>
            <w:tcW w:w="9060" w:type="dxa"/>
            <w:vAlign w:val="bottom"/>
            <w:tcBorders>
              <w:right w:val="single" w:sz="8" w:color="53C072"/>
            </w:tcBorders>
            <w:gridSpan w:val="2"/>
          </w:tcPr>
          <w:p>
            <w:pPr>
              <w:ind w:left="80"/>
              <w:spacing w:after="0" w:line="182" w:lineRule="exact"/>
              <w:rPr>
                <w:sz w:val="20"/>
                <w:szCs w:val="20"/>
                <w:color w:val="auto"/>
              </w:rPr>
            </w:pPr>
            <w:r>
              <w:rPr>
                <w:rFonts w:ascii="Arial" w:cs="Arial" w:eastAsia="Arial" w:hAnsi="Arial"/>
                <w:sz w:val="16"/>
                <w:szCs w:val="16"/>
                <w:color w:val="auto"/>
              </w:rPr>
              <w:t>January 2018. From 2014 to 2015, Mr. Sanchez served as Senior Vice President of the Lenovo Group Limited (HK: 0992), an</w:t>
            </w:r>
          </w:p>
        </w:tc>
        <w:tc>
          <w:tcPr>
            <w:tcW w:w="0" w:type="dxa"/>
            <w:vAlign w:val="bottom"/>
          </w:tcPr>
          <w:p>
            <w:pPr>
              <w:spacing w:after="0"/>
              <w:rPr>
                <w:sz w:val="1"/>
                <w:szCs w:val="1"/>
                <w:color w:val="auto"/>
              </w:rPr>
            </w:pPr>
          </w:p>
        </w:tc>
      </w:tr>
      <w:tr>
        <w:trPr>
          <w:trHeight w:val="182"/>
        </w:trPr>
        <w:tc>
          <w:tcPr>
            <w:tcW w:w="380" w:type="dxa"/>
            <w:vAlign w:val="bottom"/>
            <w:tcBorders>
              <w:left w:val="single" w:sz="8" w:color="53C072"/>
            </w:tcBorders>
            <w:shd w:val="clear" w:color="auto" w:fill="CFE9D2"/>
          </w:tcPr>
          <w:p>
            <w:pPr>
              <w:spacing w:after="0"/>
              <w:rPr>
                <w:sz w:val="15"/>
                <w:szCs w:val="15"/>
                <w:color w:val="auto"/>
              </w:rPr>
            </w:pPr>
          </w:p>
        </w:tc>
        <w:tc>
          <w:tcPr>
            <w:tcW w:w="1820" w:type="dxa"/>
            <w:vAlign w:val="bottom"/>
            <w:tcBorders>
              <w:right w:val="single" w:sz="8" w:color="53C072"/>
            </w:tcBorders>
            <w:shd w:val="clear" w:color="auto" w:fill="CFE9D2"/>
          </w:tcPr>
          <w:p>
            <w:pPr>
              <w:spacing w:after="0"/>
              <w:rPr>
                <w:sz w:val="15"/>
                <w:szCs w:val="15"/>
                <w:color w:val="auto"/>
              </w:rPr>
            </w:pPr>
          </w:p>
        </w:tc>
        <w:tc>
          <w:tcPr>
            <w:tcW w:w="9060" w:type="dxa"/>
            <w:vAlign w:val="bottom"/>
            <w:tcBorders>
              <w:right w:val="single" w:sz="8" w:color="53C072"/>
            </w:tcBorders>
            <w:gridSpan w:val="2"/>
          </w:tcPr>
          <w:p>
            <w:pPr>
              <w:ind w:left="80"/>
              <w:spacing w:after="0" w:line="182" w:lineRule="exact"/>
              <w:rPr>
                <w:sz w:val="20"/>
                <w:szCs w:val="20"/>
                <w:color w:val="auto"/>
              </w:rPr>
            </w:pPr>
            <w:r>
              <w:rPr>
                <w:rFonts w:ascii="Arial" w:cs="Arial" w:eastAsia="Arial" w:hAnsi="Arial"/>
                <w:sz w:val="16"/>
                <w:szCs w:val="16"/>
                <w:color w:val="auto"/>
              </w:rPr>
              <w:t>international technology company. Prior to that, he spent 32 years at IBM Corporation (NYSE: IBM), a global technology and</w:t>
            </w:r>
          </w:p>
        </w:tc>
        <w:tc>
          <w:tcPr>
            <w:tcW w:w="0" w:type="dxa"/>
            <w:vAlign w:val="bottom"/>
          </w:tcPr>
          <w:p>
            <w:pPr>
              <w:spacing w:after="0"/>
              <w:rPr>
                <w:sz w:val="1"/>
                <w:szCs w:val="1"/>
                <w:color w:val="auto"/>
              </w:rPr>
            </w:pPr>
          </w:p>
        </w:tc>
      </w:tr>
      <w:tr>
        <w:trPr>
          <w:trHeight w:val="182"/>
        </w:trPr>
        <w:tc>
          <w:tcPr>
            <w:tcW w:w="2200" w:type="dxa"/>
            <w:vAlign w:val="bottom"/>
            <w:tcBorders>
              <w:left w:val="single" w:sz="8" w:color="53C072"/>
              <w:right w:val="single" w:sz="8" w:color="53C072"/>
            </w:tcBorders>
            <w:gridSpan w:val="2"/>
            <w:vMerge w:val="restart"/>
            <w:shd w:val="clear" w:color="auto" w:fill="CFE9D2"/>
          </w:tcPr>
          <w:p>
            <w:pPr>
              <w:ind w:left="200"/>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2019</w:t>
            </w:r>
          </w:p>
        </w:tc>
        <w:tc>
          <w:tcPr>
            <w:tcW w:w="9060" w:type="dxa"/>
            <w:vAlign w:val="bottom"/>
            <w:tcBorders>
              <w:right w:val="single" w:sz="8" w:color="53C072"/>
            </w:tcBorders>
            <w:gridSpan w:val="2"/>
          </w:tcPr>
          <w:p>
            <w:pPr>
              <w:ind w:left="80"/>
              <w:spacing w:after="0" w:line="182" w:lineRule="exact"/>
              <w:rPr>
                <w:sz w:val="20"/>
                <w:szCs w:val="20"/>
                <w:color w:val="auto"/>
              </w:rPr>
            </w:pPr>
            <w:r>
              <w:rPr>
                <w:rFonts w:ascii="Arial" w:cs="Arial" w:eastAsia="Arial" w:hAnsi="Arial"/>
                <w:sz w:val="16"/>
                <w:szCs w:val="16"/>
                <w:color w:val="auto"/>
              </w:rPr>
              <w:t>innovation company, where he served in various capacities including sixteen years in senior executive and global general</w:t>
            </w:r>
          </w:p>
        </w:tc>
        <w:tc>
          <w:tcPr>
            <w:tcW w:w="0" w:type="dxa"/>
            <w:vAlign w:val="bottom"/>
          </w:tcPr>
          <w:p>
            <w:pPr>
              <w:spacing w:after="0"/>
              <w:rPr>
                <w:sz w:val="1"/>
                <w:szCs w:val="1"/>
                <w:color w:val="auto"/>
              </w:rPr>
            </w:pPr>
          </w:p>
        </w:tc>
      </w:tr>
      <w:tr>
        <w:trPr>
          <w:trHeight w:val="213"/>
        </w:trPr>
        <w:tc>
          <w:tcPr>
            <w:tcW w:w="2200" w:type="dxa"/>
            <w:vAlign w:val="bottom"/>
            <w:tcBorders>
              <w:left w:val="single" w:sz="8" w:color="53C072"/>
              <w:right w:val="single" w:sz="8" w:color="53C072"/>
            </w:tcBorders>
            <w:gridSpan w:val="2"/>
            <w:vMerge w:val="continue"/>
            <w:shd w:val="clear" w:color="auto" w:fill="CFE9D2"/>
          </w:tcPr>
          <w:p>
            <w:pPr>
              <w:spacing w:after="0"/>
              <w:rPr>
                <w:sz w:val="18"/>
                <w:szCs w:val="18"/>
                <w:color w:val="auto"/>
              </w:rPr>
            </w:pPr>
          </w:p>
        </w:tc>
        <w:tc>
          <w:tcPr>
            <w:tcW w:w="2580" w:type="dxa"/>
            <w:vAlign w:val="bottom"/>
          </w:tcPr>
          <w:p>
            <w:pPr>
              <w:ind w:left="80"/>
              <w:spacing w:after="0"/>
              <w:rPr>
                <w:sz w:val="20"/>
                <w:szCs w:val="20"/>
                <w:color w:val="auto"/>
              </w:rPr>
            </w:pPr>
            <w:r>
              <w:rPr>
                <w:rFonts w:ascii="Arial" w:cs="Arial" w:eastAsia="Arial" w:hAnsi="Arial"/>
                <w:sz w:val="16"/>
                <w:szCs w:val="16"/>
                <w:color w:val="auto"/>
              </w:rPr>
              <w:t>management roles.</w:t>
            </w:r>
          </w:p>
        </w:tc>
        <w:tc>
          <w:tcPr>
            <w:tcW w:w="6480" w:type="dxa"/>
            <w:vAlign w:val="bottom"/>
            <w:tcBorders>
              <w:right w:val="single" w:sz="8" w:color="53C072"/>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200" w:type="dxa"/>
            <w:vAlign w:val="bottom"/>
            <w:tcBorders>
              <w:left w:val="single" w:sz="8" w:color="53C072"/>
              <w:bottom w:val="single" w:sz="8" w:color="CFE9D2"/>
              <w:right w:val="single" w:sz="8" w:color="53C072"/>
            </w:tcBorders>
            <w:gridSpan w:val="2"/>
            <w:vMerge w:val="restart"/>
            <w:shd w:val="clear" w:color="auto" w:fill="CFE9D2"/>
          </w:tcPr>
          <w:p>
            <w:pPr>
              <w:ind w:left="200"/>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61</w:t>
            </w:r>
          </w:p>
        </w:tc>
        <w:tc>
          <w:tcPr>
            <w:tcW w:w="2580" w:type="dxa"/>
            <w:vAlign w:val="bottom"/>
            <w:tcBorders>
              <w:bottom w:val="single" w:sz="8" w:color="53C072"/>
            </w:tcBorders>
          </w:tcPr>
          <w:p>
            <w:pPr>
              <w:spacing w:after="0"/>
              <w:rPr>
                <w:sz w:val="16"/>
                <w:szCs w:val="16"/>
                <w:color w:val="auto"/>
              </w:rPr>
            </w:pPr>
          </w:p>
        </w:tc>
        <w:tc>
          <w:tcPr>
            <w:tcW w:w="6480" w:type="dxa"/>
            <w:vAlign w:val="bottom"/>
            <w:tcBorders>
              <w:bottom w:val="single" w:sz="8" w:color="53C072"/>
              <w:right w:val="single" w:sz="8" w:color="53C072"/>
            </w:tcBorders>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200" w:type="dxa"/>
            <w:vAlign w:val="bottom"/>
            <w:tcBorders>
              <w:left w:val="single" w:sz="8" w:color="53C072"/>
              <w:right w:val="single" w:sz="8" w:color="53C072"/>
            </w:tcBorders>
            <w:gridSpan w:val="2"/>
            <w:vMerge w:val="continue"/>
            <w:shd w:val="clear" w:color="auto" w:fill="CFE9D2"/>
          </w:tcPr>
          <w:p>
            <w:pPr>
              <w:spacing w:after="0"/>
              <w:rPr>
                <w:sz w:val="8"/>
                <w:szCs w:val="8"/>
                <w:color w:val="auto"/>
              </w:rPr>
            </w:pPr>
          </w:p>
        </w:tc>
        <w:tc>
          <w:tcPr>
            <w:tcW w:w="9060" w:type="dxa"/>
            <w:vAlign w:val="bottom"/>
            <w:tcBorders>
              <w:right w:val="single" w:sz="8" w:color="53C072"/>
            </w:tcBorders>
            <w:gridSpan w:val="2"/>
            <w:vMerge w:val="restart"/>
          </w:tcPr>
          <w:p>
            <w:pPr>
              <w:ind w:left="80"/>
              <w:spacing w:after="0"/>
              <w:rPr>
                <w:sz w:val="20"/>
                <w:szCs w:val="20"/>
                <w:color w:val="auto"/>
              </w:rPr>
            </w:pPr>
            <w:r>
              <w:rPr>
                <w:rFonts w:ascii="Arial" w:cs="Arial" w:eastAsia="Arial" w:hAnsi="Arial"/>
                <w:sz w:val="16"/>
                <w:szCs w:val="16"/>
                <w:b w:val="1"/>
                <w:bCs w:val="1"/>
                <w:color w:val="53C072"/>
              </w:rPr>
              <w:t>Primary Qualifications and Experience:</w:t>
            </w:r>
          </w:p>
        </w:tc>
        <w:tc>
          <w:tcPr>
            <w:tcW w:w="0" w:type="dxa"/>
            <w:vAlign w:val="bottom"/>
          </w:tcPr>
          <w:p>
            <w:pPr>
              <w:spacing w:after="0"/>
              <w:rPr>
                <w:sz w:val="1"/>
                <w:szCs w:val="1"/>
                <w:color w:val="auto"/>
              </w:rPr>
            </w:pPr>
          </w:p>
        </w:tc>
      </w:tr>
      <w:tr>
        <w:trPr>
          <w:trHeight w:val="362"/>
        </w:trPr>
        <w:tc>
          <w:tcPr>
            <w:tcW w:w="2200" w:type="dxa"/>
            <w:vAlign w:val="bottom"/>
            <w:tcBorders>
              <w:left w:val="single" w:sz="8" w:color="53C072"/>
              <w:right w:val="single" w:sz="8" w:color="53C072"/>
            </w:tcBorders>
            <w:gridSpan w:val="2"/>
            <w:shd w:val="clear" w:color="auto" w:fill="CFE9D2"/>
          </w:tcPr>
          <w:p>
            <w:pPr>
              <w:ind w:left="200"/>
              <w:spacing w:after="0"/>
              <w:rPr>
                <w:sz w:val="20"/>
                <w:szCs w:val="20"/>
                <w:color w:val="auto"/>
              </w:rPr>
            </w:pPr>
            <w:r>
              <w:rPr>
                <w:rFonts w:ascii="Arial" w:cs="Arial" w:eastAsia="Arial" w:hAnsi="Arial"/>
                <w:sz w:val="13"/>
                <w:szCs w:val="13"/>
                <w:b w:val="1"/>
                <w:bCs w:val="1"/>
                <w:color w:val="auto"/>
              </w:rPr>
              <w:t>Independent</w:t>
            </w:r>
          </w:p>
        </w:tc>
        <w:tc>
          <w:tcPr>
            <w:tcW w:w="9060" w:type="dxa"/>
            <w:vAlign w:val="bottom"/>
            <w:tcBorders>
              <w:right w:val="single" w:sz="8" w:color="53C072"/>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200" w:type="dxa"/>
            <w:vAlign w:val="bottom"/>
            <w:tcBorders>
              <w:left w:val="single" w:sz="8" w:color="53C072"/>
              <w:right w:val="single" w:sz="8" w:color="53C072"/>
            </w:tcBorders>
            <w:gridSpan w:val="2"/>
            <w:shd w:val="clear" w:color="auto" w:fill="CFE9D2"/>
          </w:tcPr>
          <w:p>
            <w:pPr>
              <w:ind w:left="200"/>
              <w:spacing w:after="0"/>
              <w:rPr>
                <w:sz w:val="20"/>
                <w:szCs w:val="20"/>
                <w:color w:val="auto"/>
              </w:rPr>
            </w:pPr>
            <w:r>
              <w:rPr>
                <w:rFonts w:ascii="Arial" w:cs="Arial" w:eastAsia="Arial" w:hAnsi="Arial"/>
                <w:sz w:val="13"/>
                <w:szCs w:val="13"/>
                <w:b w:val="1"/>
                <w:bCs w:val="1"/>
                <w:color w:val="auto"/>
              </w:rPr>
              <w:t>Current Committee</w:t>
            </w:r>
          </w:p>
        </w:tc>
        <w:tc>
          <w:tcPr>
            <w:tcW w:w="2580" w:type="dxa"/>
            <w:vAlign w:val="bottom"/>
          </w:tcPr>
          <w:p>
            <w:pPr>
              <w:ind w:left="6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Senior Leadership</w:t>
            </w:r>
          </w:p>
        </w:tc>
        <w:tc>
          <w:tcPr>
            <w:tcW w:w="6480" w:type="dxa"/>
            <w:vAlign w:val="bottom"/>
            <w:tcBorders>
              <w:right w:val="single" w:sz="8" w:color="53C072"/>
            </w:tcBorders>
          </w:tcPr>
          <w:p>
            <w:pPr>
              <w:ind w:left="28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Global Business</w:t>
            </w:r>
          </w:p>
        </w:tc>
        <w:tc>
          <w:tcPr>
            <w:tcW w:w="0" w:type="dxa"/>
            <w:vAlign w:val="bottom"/>
          </w:tcPr>
          <w:p>
            <w:pPr>
              <w:spacing w:after="0"/>
              <w:rPr>
                <w:sz w:val="1"/>
                <w:szCs w:val="1"/>
                <w:color w:val="auto"/>
              </w:rPr>
            </w:pPr>
          </w:p>
        </w:tc>
      </w:tr>
      <w:tr>
        <w:trPr>
          <w:trHeight w:val="183"/>
        </w:trPr>
        <w:tc>
          <w:tcPr>
            <w:tcW w:w="2200" w:type="dxa"/>
            <w:vAlign w:val="bottom"/>
            <w:tcBorders>
              <w:left w:val="single" w:sz="8" w:color="53C072"/>
              <w:right w:val="single" w:sz="8" w:color="53C072"/>
            </w:tcBorders>
            <w:gridSpan w:val="2"/>
            <w:shd w:val="clear" w:color="auto" w:fill="CFE9D2"/>
          </w:tcPr>
          <w:p>
            <w:pPr>
              <w:ind w:left="200"/>
              <w:spacing w:after="0"/>
              <w:rPr>
                <w:sz w:val="20"/>
                <w:szCs w:val="20"/>
                <w:color w:val="auto"/>
              </w:rPr>
            </w:pPr>
            <w:r>
              <w:rPr>
                <w:rFonts w:ascii="Arial" w:cs="Arial" w:eastAsia="Arial" w:hAnsi="Arial"/>
                <w:sz w:val="13"/>
                <w:szCs w:val="13"/>
                <w:b w:val="1"/>
                <w:bCs w:val="1"/>
                <w:color w:val="auto"/>
              </w:rPr>
              <w:t>Memberships:</w:t>
            </w:r>
          </w:p>
        </w:tc>
        <w:tc>
          <w:tcPr>
            <w:tcW w:w="2580" w:type="dxa"/>
            <w:vAlign w:val="bottom"/>
          </w:tcPr>
          <w:p>
            <w:pPr>
              <w:spacing w:after="0"/>
              <w:rPr>
                <w:sz w:val="15"/>
                <w:szCs w:val="15"/>
                <w:color w:val="auto"/>
              </w:rPr>
            </w:pPr>
          </w:p>
        </w:tc>
        <w:tc>
          <w:tcPr>
            <w:tcW w:w="6480" w:type="dxa"/>
            <w:vAlign w:val="bottom"/>
            <w:tcBorders>
              <w:right w:val="single" w:sz="8" w:color="53C072"/>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0" w:type="dxa"/>
            <w:vAlign w:val="bottom"/>
            <w:tcBorders>
              <w:left w:val="single" w:sz="8" w:color="53C072"/>
            </w:tcBorders>
            <w:vMerge w:val="restart"/>
            <w:shd w:val="clear" w:color="auto" w:fill="CFE9D2"/>
          </w:tcPr>
          <w:p>
            <w:pPr>
              <w:ind w:left="200"/>
              <w:spacing w:after="0"/>
              <w:rPr>
                <w:sz w:val="20"/>
                <w:szCs w:val="20"/>
                <w:color w:val="auto"/>
              </w:rPr>
            </w:pPr>
            <w:r>
              <w:rPr>
                <w:rFonts w:ascii="Arial" w:cs="Arial" w:eastAsia="Arial" w:hAnsi="Arial"/>
                <w:sz w:val="13"/>
                <w:szCs w:val="13"/>
                <w:color w:val="53C072"/>
              </w:rPr>
              <w:t>•</w:t>
            </w:r>
          </w:p>
        </w:tc>
        <w:tc>
          <w:tcPr>
            <w:tcW w:w="1820" w:type="dxa"/>
            <w:vAlign w:val="bottom"/>
            <w:tcBorders>
              <w:right w:val="single" w:sz="8" w:color="53C072"/>
            </w:tcBorders>
            <w:vMerge w:val="restart"/>
            <w:shd w:val="clear" w:color="auto" w:fill="CFE9D2"/>
          </w:tcPr>
          <w:p>
            <w:pPr>
              <w:ind w:left="120"/>
              <w:spacing w:after="0"/>
              <w:rPr>
                <w:sz w:val="20"/>
                <w:szCs w:val="20"/>
                <w:color w:val="auto"/>
              </w:rPr>
            </w:pPr>
            <w:r>
              <w:rPr>
                <w:rFonts w:ascii="Arial" w:cs="Arial" w:eastAsia="Arial" w:hAnsi="Arial"/>
                <w:sz w:val="13"/>
                <w:szCs w:val="13"/>
                <w:color w:val="auto"/>
              </w:rPr>
              <w:t>Audit Committee</w:t>
            </w:r>
          </w:p>
        </w:tc>
        <w:tc>
          <w:tcPr>
            <w:tcW w:w="2580" w:type="dxa"/>
            <w:vAlign w:val="bottom"/>
          </w:tcPr>
          <w:p>
            <w:pPr>
              <w:ind w:left="6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Semiconductor</w:t>
            </w:r>
          </w:p>
        </w:tc>
        <w:tc>
          <w:tcPr>
            <w:tcW w:w="6480" w:type="dxa"/>
            <w:vAlign w:val="bottom"/>
            <w:tcBorders>
              <w:right w:val="single" w:sz="8" w:color="53C072"/>
            </w:tcBorders>
          </w:tcPr>
          <w:p>
            <w:pPr>
              <w:ind w:left="34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Innovation/Digital/Tech</w:t>
            </w:r>
          </w:p>
        </w:tc>
        <w:tc>
          <w:tcPr>
            <w:tcW w:w="0" w:type="dxa"/>
            <w:vAlign w:val="bottom"/>
          </w:tcPr>
          <w:p>
            <w:pPr>
              <w:spacing w:after="0"/>
              <w:rPr>
                <w:sz w:val="1"/>
                <w:szCs w:val="1"/>
                <w:color w:val="auto"/>
              </w:rPr>
            </w:pPr>
          </w:p>
        </w:tc>
      </w:tr>
      <w:tr>
        <w:trPr>
          <w:trHeight w:val="51"/>
        </w:trPr>
        <w:tc>
          <w:tcPr>
            <w:tcW w:w="380" w:type="dxa"/>
            <w:vAlign w:val="bottom"/>
            <w:tcBorders>
              <w:left w:val="single" w:sz="8" w:color="53C072"/>
            </w:tcBorders>
            <w:vMerge w:val="continue"/>
            <w:shd w:val="clear" w:color="auto" w:fill="CFE9D2"/>
          </w:tcPr>
          <w:p>
            <w:pPr>
              <w:spacing w:after="0"/>
              <w:rPr>
                <w:sz w:val="4"/>
                <w:szCs w:val="4"/>
                <w:color w:val="auto"/>
              </w:rPr>
            </w:pPr>
          </w:p>
        </w:tc>
        <w:tc>
          <w:tcPr>
            <w:tcW w:w="1820" w:type="dxa"/>
            <w:vAlign w:val="bottom"/>
            <w:tcBorders>
              <w:right w:val="single" w:sz="8" w:color="53C072"/>
            </w:tcBorders>
            <w:vMerge w:val="continue"/>
            <w:shd w:val="clear" w:color="auto" w:fill="CFE9D2"/>
          </w:tcPr>
          <w:p>
            <w:pPr>
              <w:spacing w:after="0"/>
              <w:rPr>
                <w:sz w:val="4"/>
                <w:szCs w:val="4"/>
                <w:color w:val="auto"/>
              </w:rPr>
            </w:pPr>
          </w:p>
        </w:tc>
        <w:tc>
          <w:tcPr>
            <w:tcW w:w="2580" w:type="dxa"/>
            <w:vAlign w:val="bottom"/>
          </w:tcPr>
          <w:p>
            <w:pPr>
              <w:spacing w:after="0"/>
              <w:rPr>
                <w:sz w:val="4"/>
                <w:szCs w:val="4"/>
                <w:color w:val="auto"/>
              </w:rPr>
            </w:pPr>
          </w:p>
        </w:tc>
        <w:tc>
          <w:tcPr>
            <w:tcW w:w="6480" w:type="dxa"/>
            <w:vAlign w:val="bottom"/>
            <w:tcBorders>
              <w:right w:val="single" w:sz="8" w:color="53C072"/>
            </w:tcBorders>
          </w:tcPr>
          <w:p>
            <w:pPr>
              <w:spacing w:after="0"/>
              <w:rPr>
                <w:sz w:val="4"/>
                <w:szCs w:val="4"/>
                <w:color w:val="auto"/>
              </w:rPr>
            </w:pPr>
          </w:p>
        </w:tc>
        <w:tc>
          <w:tcPr>
            <w:tcW w:w="0" w:type="dxa"/>
            <w:vAlign w:val="bottom"/>
          </w:tcPr>
          <w:p>
            <w:pPr>
              <w:spacing w:after="0"/>
              <w:rPr>
                <w:sz w:val="1"/>
                <w:szCs w:val="1"/>
                <w:color w:val="auto"/>
              </w:rPr>
            </w:pPr>
          </w:p>
        </w:tc>
      </w:tr>
      <w:tr>
        <w:trPr>
          <w:trHeight w:val="288"/>
        </w:trPr>
        <w:tc>
          <w:tcPr>
            <w:tcW w:w="380" w:type="dxa"/>
            <w:vAlign w:val="bottom"/>
            <w:tcBorders>
              <w:left w:val="single" w:sz="8" w:color="53C072"/>
            </w:tcBorders>
            <w:shd w:val="clear" w:color="auto" w:fill="CFE9D2"/>
          </w:tcPr>
          <w:p>
            <w:pPr>
              <w:ind w:left="200"/>
              <w:spacing w:after="0"/>
              <w:rPr>
                <w:sz w:val="20"/>
                <w:szCs w:val="20"/>
                <w:color w:val="auto"/>
              </w:rPr>
            </w:pPr>
            <w:r>
              <w:rPr>
                <w:rFonts w:ascii="Arial" w:cs="Arial" w:eastAsia="Arial" w:hAnsi="Arial"/>
                <w:sz w:val="13"/>
                <w:szCs w:val="13"/>
                <w:color w:val="53C072"/>
              </w:rPr>
              <w:t>•</w:t>
            </w:r>
          </w:p>
        </w:tc>
        <w:tc>
          <w:tcPr>
            <w:tcW w:w="1820" w:type="dxa"/>
            <w:vAlign w:val="bottom"/>
            <w:tcBorders>
              <w:right w:val="single" w:sz="8" w:color="53C072"/>
            </w:tcBorders>
            <w:shd w:val="clear" w:color="auto" w:fill="CFE9D2"/>
          </w:tcPr>
          <w:p>
            <w:pPr>
              <w:ind w:left="120"/>
              <w:spacing w:after="0"/>
              <w:rPr>
                <w:sz w:val="20"/>
                <w:szCs w:val="20"/>
                <w:color w:val="auto"/>
              </w:rPr>
            </w:pPr>
            <w:r>
              <w:rPr>
                <w:rFonts w:ascii="Arial" w:cs="Arial" w:eastAsia="Arial" w:hAnsi="Arial"/>
                <w:sz w:val="13"/>
                <w:szCs w:val="13"/>
                <w:color w:val="auto"/>
              </w:rPr>
              <w:t>Corporate Governance</w:t>
            </w:r>
          </w:p>
        </w:tc>
        <w:tc>
          <w:tcPr>
            <w:tcW w:w="9060" w:type="dxa"/>
            <w:vAlign w:val="bottom"/>
            <w:tcBorders>
              <w:right w:val="single" w:sz="8" w:color="53C072"/>
            </w:tcBorders>
            <w:gridSpan w:val="2"/>
          </w:tcPr>
          <w:p>
            <w:pPr>
              <w:ind w:left="80"/>
              <w:spacing w:after="0"/>
              <w:rPr>
                <w:sz w:val="20"/>
                <w:szCs w:val="20"/>
                <w:color w:val="auto"/>
              </w:rPr>
            </w:pPr>
            <w:r>
              <w:rPr>
                <w:rFonts w:ascii="Arial" w:cs="Arial" w:eastAsia="Arial" w:hAnsi="Arial"/>
                <w:sz w:val="16"/>
                <w:szCs w:val="16"/>
                <w:color w:val="auto"/>
              </w:rPr>
              <w:t>The Board benefits from Mr. Sanchez's significant experience in corporate leadership and management, global business,</w:t>
            </w:r>
          </w:p>
        </w:tc>
        <w:tc>
          <w:tcPr>
            <w:tcW w:w="0" w:type="dxa"/>
            <w:vAlign w:val="bottom"/>
          </w:tcPr>
          <w:p>
            <w:pPr>
              <w:spacing w:after="0"/>
              <w:rPr>
                <w:sz w:val="1"/>
                <w:szCs w:val="1"/>
                <w:color w:val="auto"/>
              </w:rPr>
            </w:pPr>
          </w:p>
        </w:tc>
      </w:tr>
      <w:tr>
        <w:trPr>
          <w:trHeight w:val="220"/>
        </w:trPr>
        <w:tc>
          <w:tcPr>
            <w:tcW w:w="380" w:type="dxa"/>
            <w:vAlign w:val="bottom"/>
            <w:tcBorders>
              <w:left w:val="single" w:sz="8" w:color="53C072"/>
            </w:tcBorders>
            <w:shd w:val="clear" w:color="auto" w:fill="CFE9D2"/>
          </w:tcPr>
          <w:p>
            <w:pPr>
              <w:spacing w:after="0"/>
              <w:rPr>
                <w:sz w:val="19"/>
                <w:szCs w:val="19"/>
                <w:color w:val="auto"/>
              </w:rPr>
            </w:pPr>
          </w:p>
        </w:tc>
        <w:tc>
          <w:tcPr>
            <w:tcW w:w="1820" w:type="dxa"/>
            <w:vAlign w:val="bottom"/>
            <w:tcBorders>
              <w:right w:val="single" w:sz="8" w:color="53C072"/>
            </w:tcBorders>
            <w:shd w:val="clear" w:color="auto" w:fill="CFE9D2"/>
          </w:tcPr>
          <w:p>
            <w:pPr>
              <w:ind w:left="120"/>
              <w:spacing w:after="0"/>
              <w:rPr>
                <w:sz w:val="20"/>
                <w:szCs w:val="20"/>
                <w:color w:val="auto"/>
              </w:rPr>
            </w:pPr>
            <w:r>
              <w:rPr>
                <w:rFonts w:ascii="Arial" w:cs="Arial" w:eastAsia="Arial" w:hAnsi="Arial"/>
                <w:sz w:val="13"/>
                <w:szCs w:val="13"/>
                <w:color w:val="auto"/>
              </w:rPr>
              <w:t>Committee</w:t>
            </w:r>
          </w:p>
        </w:tc>
        <w:tc>
          <w:tcPr>
            <w:tcW w:w="9060" w:type="dxa"/>
            <w:vAlign w:val="bottom"/>
            <w:tcBorders>
              <w:right w:val="single" w:sz="8" w:color="53C072"/>
            </w:tcBorders>
            <w:gridSpan w:val="2"/>
          </w:tcPr>
          <w:p>
            <w:pPr>
              <w:ind w:left="80"/>
              <w:spacing w:after="0"/>
              <w:rPr>
                <w:sz w:val="20"/>
                <w:szCs w:val="20"/>
                <w:color w:val="auto"/>
              </w:rPr>
            </w:pPr>
            <w:r>
              <w:rPr>
                <w:rFonts w:ascii="Arial" w:cs="Arial" w:eastAsia="Arial" w:hAnsi="Arial"/>
                <w:sz w:val="16"/>
                <w:szCs w:val="16"/>
                <w:color w:val="auto"/>
              </w:rPr>
              <w:t>technology and innovation and his extensive semiconductor expertise.</w:t>
            </w:r>
          </w:p>
        </w:tc>
        <w:tc>
          <w:tcPr>
            <w:tcW w:w="0" w:type="dxa"/>
            <w:vAlign w:val="bottom"/>
          </w:tcPr>
          <w:p>
            <w:pPr>
              <w:spacing w:after="0"/>
              <w:rPr>
                <w:sz w:val="1"/>
                <w:szCs w:val="1"/>
                <w:color w:val="auto"/>
              </w:rPr>
            </w:pPr>
          </w:p>
        </w:tc>
      </w:tr>
      <w:tr>
        <w:trPr>
          <w:trHeight w:val="185"/>
        </w:trPr>
        <w:tc>
          <w:tcPr>
            <w:tcW w:w="380" w:type="dxa"/>
            <w:vAlign w:val="bottom"/>
            <w:tcBorders>
              <w:left w:val="single" w:sz="8" w:color="53C072"/>
              <w:bottom w:val="single" w:sz="8" w:color="53C072"/>
            </w:tcBorders>
            <w:shd w:val="clear" w:color="auto" w:fill="CFE9D2"/>
          </w:tcPr>
          <w:p>
            <w:pPr>
              <w:spacing w:after="0"/>
              <w:rPr>
                <w:sz w:val="16"/>
                <w:szCs w:val="16"/>
                <w:color w:val="auto"/>
              </w:rPr>
            </w:pPr>
          </w:p>
        </w:tc>
        <w:tc>
          <w:tcPr>
            <w:tcW w:w="1820" w:type="dxa"/>
            <w:vAlign w:val="bottom"/>
            <w:tcBorders>
              <w:bottom w:val="single" w:sz="8" w:color="53C072"/>
              <w:right w:val="single" w:sz="8" w:color="53C072"/>
            </w:tcBorders>
            <w:shd w:val="clear" w:color="auto" w:fill="CFE9D2"/>
          </w:tcPr>
          <w:p>
            <w:pPr>
              <w:spacing w:after="0"/>
              <w:rPr>
                <w:sz w:val="16"/>
                <w:szCs w:val="16"/>
                <w:color w:val="auto"/>
              </w:rPr>
            </w:pPr>
          </w:p>
        </w:tc>
        <w:tc>
          <w:tcPr>
            <w:tcW w:w="2580" w:type="dxa"/>
            <w:vAlign w:val="bottom"/>
            <w:tcBorders>
              <w:bottom w:val="single" w:sz="8" w:color="53C072"/>
            </w:tcBorders>
          </w:tcPr>
          <w:p>
            <w:pPr>
              <w:spacing w:after="0"/>
              <w:rPr>
                <w:sz w:val="16"/>
                <w:szCs w:val="16"/>
                <w:color w:val="auto"/>
              </w:rPr>
            </w:pPr>
          </w:p>
        </w:tc>
        <w:tc>
          <w:tcPr>
            <w:tcW w:w="6480" w:type="dxa"/>
            <w:vAlign w:val="bottom"/>
            <w:tcBorders>
              <w:bottom w:val="single" w:sz="8" w:color="53C072"/>
              <w:right w:val="single" w:sz="8" w:color="53C072"/>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-3129280</wp:posOffset>
            </wp:positionV>
            <wp:extent cx="1156335" cy="16186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56335" cy="161861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tbl>
      <w:tblPr>
        <w:tblLayout w:type="fixed"/>
        <w:tblInd w:w="10" w:type="dxa"/>
        <w:tblCellMar>
          <w:top w:w="0" w:type="dxa"/>
          <w:left w:w="0" w:type="dxa"/>
          <w:bottom w:w="0" w:type="dxa"/>
          <w:right w:w="0" w:type="dxa"/>
        </w:tblCellMar>
      </w:tblPr>
      <w:tr>
        <w:trPr>
          <w:trHeight w:val="425"/>
        </w:trPr>
        <w:tc>
          <w:tcPr>
            <w:tcW w:w="380" w:type="dxa"/>
            <w:vAlign w:val="bottom"/>
            <w:tcBorders>
              <w:top w:val="single" w:sz="8" w:color="53C072"/>
              <w:left w:val="single" w:sz="8" w:color="53C072"/>
            </w:tcBorders>
            <w:shd w:val="clear" w:color="auto" w:fill="CFE9D2"/>
          </w:tcPr>
          <w:p>
            <w:pPr>
              <w:spacing w:after="0"/>
              <w:rPr>
                <w:sz w:val="24"/>
                <w:szCs w:val="24"/>
                <w:color w:val="auto"/>
              </w:rPr>
            </w:pPr>
          </w:p>
        </w:tc>
        <w:tc>
          <w:tcPr>
            <w:tcW w:w="1820" w:type="dxa"/>
            <w:vAlign w:val="bottom"/>
            <w:tcBorders>
              <w:top w:val="single" w:sz="8" w:color="53C072"/>
              <w:right w:val="single" w:sz="8" w:color="53C072"/>
            </w:tcBorders>
            <w:shd w:val="clear" w:color="auto" w:fill="CFE9D2"/>
          </w:tcPr>
          <w:p>
            <w:pPr>
              <w:spacing w:after="0"/>
              <w:rPr>
                <w:sz w:val="24"/>
                <w:szCs w:val="24"/>
                <w:color w:val="auto"/>
              </w:rPr>
            </w:pPr>
          </w:p>
        </w:tc>
        <w:tc>
          <w:tcPr>
            <w:tcW w:w="2780" w:type="dxa"/>
            <w:vAlign w:val="bottom"/>
            <w:tcBorders>
              <w:top w:val="single" w:sz="8" w:color="53C072"/>
            </w:tcBorders>
          </w:tcPr>
          <w:p>
            <w:pPr>
              <w:spacing w:after="0"/>
              <w:rPr>
                <w:sz w:val="24"/>
                <w:szCs w:val="24"/>
                <w:color w:val="auto"/>
              </w:rPr>
            </w:pPr>
          </w:p>
        </w:tc>
        <w:tc>
          <w:tcPr>
            <w:tcW w:w="6060" w:type="dxa"/>
            <w:vAlign w:val="bottom"/>
            <w:tcBorders>
              <w:top w:val="single" w:sz="8" w:color="53C072"/>
            </w:tcBorders>
          </w:tcPr>
          <w:p>
            <w:pPr>
              <w:spacing w:after="0"/>
              <w:rPr>
                <w:sz w:val="24"/>
                <w:szCs w:val="24"/>
                <w:color w:val="auto"/>
              </w:rPr>
            </w:pPr>
          </w:p>
        </w:tc>
        <w:tc>
          <w:tcPr>
            <w:tcW w:w="220" w:type="dxa"/>
            <w:vAlign w:val="bottom"/>
            <w:tcBorders>
              <w:top w:val="single" w:sz="8" w:color="53C072"/>
              <w:right w:val="single" w:sz="8" w:color="53C072"/>
            </w:tcBorders>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380" w:type="dxa"/>
            <w:vAlign w:val="bottom"/>
            <w:tcBorders>
              <w:left w:val="single" w:sz="8" w:color="53C072"/>
              <w:bottom w:val="single" w:sz="8" w:color="CFE9D2"/>
            </w:tcBorders>
            <w:shd w:val="clear" w:color="auto" w:fill="CFE9D2"/>
          </w:tcPr>
          <w:p>
            <w:pPr>
              <w:spacing w:after="0"/>
              <w:rPr>
                <w:sz w:val="24"/>
                <w:szCs w:val="24"/>
                <w:color w:val="auto"/>
              </w:rPr>
            </w:pPr>
          </w:p>
        </w:tc>
        <w:tc>
          <w:tcPr>
            <w:tcW w:w="1820" w:type="dxa"/>
            <w:vAlign w:val="bottom"/>
            <w:tcBorders>
              <w:bottom w:val="single" w:sz="8" w:color="CFE9D2"/>
              <w:right w:val="single" w:sz="8" w:color="53C072"/>
            </w:tcBorders>
            <w:shd w:val="clear" w:color="auto" w:fill="CFE9D2"/>
          </w:tcPr>
          <w:p>
            <w:pPr>
              <w:spacing w:after="0"/>
              <w:rPr>
                <w:sz w:val="24"/>
                <w:szCs w:val="24"/>
                <w:color w:val="auto"/>
              </w:rPr>
            </w:pPr>
          </w:p>
        </w:tc>
        <w:tc>
          <w:tcPr>
            <w:tcW w:w="2780" w:type="dxa"/>
            <w:vAlign w:val="bottom"/>
            <w:tcBorders>
              <w:bottom w:val="single" w:sz="8" w:color="53C072"/>
            </w:tcBorders>
            <w:shd w:val="clear" w:color="auto" w:fill="53C072"/>
          </w:tcPr>
          <w:p>
            <w:pPr>
              <w:ind w:left="180"/>
              <w:spacing w:after="0"/>
              <w:rPr>
                <w:sz w:val="20"/>
                <w:szCs w:val="20"/>
                <w:color w:val="auto"/>
              </w:rPr>
            </w:pPr>
            <w:r>
              <w:rPr>
                <w:rFonts w:ascii="Arial" w:cs="Arial" w:eastAsia="Arial" w:hAnsi="Arial"/>
                <w:sz w:val="19"/>
                <w:szCs w:val="19"/>
                <w:b w:val="1"/>
                <w:bCs w:val="1"/>
                <w:color w:val="FFFFFE"/>
              </w:rPr>
              <w:t>WILLIAM H. SCHUMANN, III</w:t>
            </w:r>
          </w:p>
        </w:tc>
        <w:tc>
          <w:tcPr>
            <w:tcW w:w="6060" w:type="dxa"/>
            <w:vAlign w:val="bottom"/>
            <w:tcBorders>
              <w:bottom w:val="single" w:sz="8" w:color="53C072"/>
            </w:tcBorders>
            <w:shd w:val="clear" w:color="auto" w:fill="53C072"/>
          </w:tcPr>
          <w:p>
            <w:pPr>
              <w:spacing w:after="0"/>
              <w:rPr>
                <w:sz w:val="24"/>
                <w:szCs w:val="24"/>
                <w:color w:val="auto"/>
              </w:rPr>
            </w:pPr>
          </w:p>
        </w:tc>
        <w:tc>
          <w:tcPr>
            <w:tcW w:w="220" w:type="dxa"/>
            <w:vAlign w:val="bottom"/>
            <w:tcBorders>
              <w:bottom w:val="single" w:sz="8" w:color="53C072"/>
              <w:right w:val="single" w:sz="8" w:color="53C072"/>
            </w:tcBorders>
            <w:shd w:val="clear" w:color="auto" w:fill="53C072"/>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380" w:type="dxa"/>
            <w:vAlign w:val="bottom"/>
            <w:tcBorders>
              <w:left w:val="single" w:sz="8" w:color="53C072"/>
            </w:tcBorders>
            <w:shd w:val="clear" w:color="auto" w:fill="CFE9D2"/>
          </w:tcPr>
          <w:p>
            <w:pPr>
              <w:spacing w:after="0"/>
              <w:rPr>
                <w:sz w:val="24"/>
                <w:szCs w:val="24"/>
                <w:color w:val="auto"/>
              </w:rPr>
            </w:pPr>
          </w:p>
        </w:tc>
        <w:tc>
          <w:tcPr>
            <w:tcW w:w="1820" w:type="dxa"/>
            <w:vAlign w:val="bottom"/>
            <w:tcBorders>
              <w:right w:val="single" w:sz="8" w:color="53C072"/>
            </w:tcBorders>
            <w:shd w:val="clear" w:color="auto" w:fill="CFE9D2"/>
          </w:tcPr>
          <w:p>
            <w:pPr>
              <w:spacing w:after="0"/>
              <w:rPr>
                <w:sz w:val="24"/>
                <w:szCs w:val="24"/>
                <w:color w:val="auto"/>
              </w:rPr>
            </w:pPr>
          </w:p>
        </w:tc>
        <w:tc>
          <w:tcPr>
            <w:tcW w:w="2780" w:type="dxa"/>
            <w:vAlign w:val="bottom"/>
          </w:tcPr>
          <w:p>
            <w:pPr>
              <w:ind w:left="80"/>
              <w:spacing w:after="0"/>
              <w:rPr>
                <w:sz w:val="20"/>
                <w:szCs w:val="20"/>
                <w:color w:val="auto"/>
              </w:rPr>
            </w:pPr>
            <w:r>
              <w:rPr>
                <w:rFonts w:ascii="Arial" w:cs="Arial" w:eastAsia="Arial" w:hAnsi="Arial"/>
                <w:sz w:val="16"/>
                <w:szCs w:val="16"/>
                <w:b w:val="1"/>
                <w:bCs w:val="1"/>
                <w:color w:val="53C072"/>
              </w:rPr>
              <w:t>Recent Business Experience:</w:t>
            </w:r>
          </w:p>
        </w:tc>
        <w:tc>
          <w:tcPr>
            <w:tcW w:w="6060" w:type="dxa"/>
            <w:vAlign w:val="bottom"/>
          </w:tcPr>
          <w:p>
            <w:pPr>
              <w:spacing w:after="0"/>
              <w:rPr>
                <w:sz w:val="24"/>
                <w:szCs w:val="24"/>
                <w:color w:val="auto"/>
              </w:rPr>
            </w:pPr>
          </w:p>
        </w:tc>
        <w:tc>
          <w:tcPr>
            <w:tcW w:w="220" w:type="dxa"/>
            <w:vAlign w:val="bottom"/>
            <w:tcBorders>
              <w:right w:val="single" w:sz="8" w:color="53C072"/>
            </w:tcBorders>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80" w:type="dxa"/>
            <w:vAlign w:val="bottom"/>
            <w:tcBorders>
              <w:left w:val="single" w:sz="8" w:color="53C072"/>
            </w:tcBorders>
            <w:shd w:val="clear" w:color="auto" w:fill="CFE9D2"/>
          </w:tcPr>
          <w:p>
            <w:pPr>
              <w:spacing w:after="0"/>
              <w:rPr>
                <w:sz w:val="24"/>
                <w:szCs w:val="24"/>
                <w:color w:val="auto"/>
              </w:rPr>
            </w:pPr>
          </w:p>
        </w:tc>
        <w:tc>
          <w:tcPr>
            <w:tcW w:w="1820" w:type="dxa"/>
            <w:vAlign w:val="bottom"/>
            <w:tcBorders>
              <w:right w:val="single" w:sz="8" w:color="53C072"/>
            </w:tcBorders>
            <w:shd w:val="clear" w:color="auto" w:fill="CFE9D2"/>
          </w:tcPr>
          <w:p>
            <w:pPr>
              <w:spacing w:after="0"/>
              <w:rPr>
                <w:sz w:val="24"/>
                <w:szCs w:val="24"/>
                <w:color w:val="auto"/>
              </w:rPr>
            </w:pPr>
          </w:p>
        </w:tc>
        <w:tc>
          <w:tcPr>
            <w:tcW w:w="8840" w:type="dxa"/>
            <w:vAlign w:val="bottom"/>
            <w:gridSpan w:val="2"/>
          </w:tcPr>
          <w:p>
            <w:pPr>
              <w:ind w:left="80"/>
              <w:spacing w:after="0"/>
              <w:rPr>
                <w:sz w:val="20"/>
                <w:szCs w:val="20"/>
                <w:color w:val="auto"/>
              </w:rPr>
            </w:pPr>
            <w:r>
              <w:rPr>
                <w:rFonts w:ascii="Arial" w:cs="Arial" w:eastAsia="Arial" w:hAnsi="Arial"/>
                <w:sz w:val="16"/>
                <w:szCs w:val="16"/>
                <w:color w:val="auto"/>
              </w:rPr>
              <w:t>Mr. Schumann has served on the Company's Board since February 2010 and served as Chair of the Board from November</w:t>
            </w:r>
          </w:p>
        </w:tc>
        <w:tc>
          <w:tcPr>
            <w:tcW w:w="220" w:type="dxa"/>
            <w:vAlign w:val="bottom"/>
            <w:tcBorders>
              <w:right w:val="single" w:sz="8" w:color="53C072"/>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53C072"/>
            </w:tcBorders>
            <w:shd w:val="clear" w:color="auto" w:fill="CFE9D2"/>
          </w:tcPr>
          <w:p>
            <w:pPr>
              <w:spacing w:after="0"/>
              <w:rPr>
                <w:sz w:val="15"/>
                <w:szCs w:val="15"/>
                <w:color w:val="auto"/>
              </w:rPr>
            </w:pPr>
          </w:p>
        </w:tc>
        <w:tc>
          <w:tcPr>
            <w:tcW w:w="1820" w:type="dxa"/>
            <w:vAlign w:val="bottom"/>
            <w:tcBorders>
              <w:right w:val="single" w:sz="8" w:color="53C072"/>
            </w:tcBorders>
            <w:shd w:val="clear" w:color="auto" w:fill="CFE9D2"/>
          </w:tcPr>
          <w:p>
            <w:pPr>
              <w:spacing w:after="0"/>
              <w:rPr>
                <w:sz w:val="15"/>
                <w:szCs w:val="15"/>
                <w:color w:val="auto"/>
              </w:rPr>
            </w:pPr>
          </w:p>
        </w:tc>
        <w:tc>
          <w:tcPr>
            <w:tcW w:w="8840" w:type="dxa"/>
            <w:vAlign w:val="bottom"/>
            <w:gridSpan w:val="2"/>
          </w:tcPr>
          <w:p>
            <w:pPr>
              <w:ind w:left="80"/>
              <w:spacing w:after="0" w:line="182" w:lineRule="exact"/>
              <w:rPr>
                <w:sz w:val="20"/>
                <w:szCs w:val="20"/>
                <w:color w:val="auto"/>
              </w:rPr>
            </w:pPr>
            <w:r>
              <w:rPr>
                <w:rFonts w:ascii="Arial" w:cs="Arial" w:eastAsia="Arial" w:hAnsi="Arial"/>
                <w:sz w:val="16"/>
                <w:szCs w:val="16"/>
                <w:color w:val="auto"/>
                <w:w w:val="98"/>
              </w:rPr>
              <w:t>2012 to November 2018. He served as Executive Vice President of FMC Technologies from 2007 until he retired in 2012, and</w:t>
            </w:r>
          </w:p>
        </w:tc>
        <w:tc>
          <w:tcPr>
            <w:tcW w:w="220" w:type="dxa"/>
            <w:vAlign w:val="bottom"/>
            <w:tcBorders>
              <w:right w:val="single" w:sz="8" w:color="53C072"/>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53C072"/>
            </w:tcBorders>
            <w:shd w:val="clear" w:color="auto" w:fill="CFE9D2"/>
          </w:tcPr>
          <w:p>
            <w:pPr>
              <w:spacing w:after="0"/>
              <w:rPr>
                <w:sz w:val="15"/>
                <w:szCs w:val="15"/>
                <w:color w:val="auto"/>
              </w:rPr>
            </w:pPr>
          </w:p>
        </w:tc>
        <w:tc>
          <w:tcPr>
            <w:tcW w:w="1820" w:type="dxa"/>
            <w:vAlign w:val="bottom"/>
            <w:tcBorders>
              <w:right w:val="single" w:sz="8" w:color="53C072"/>
            </w:tcBorders>
            <w:shd w:val="clear" w:color="auto" w:fill="CFE9D2"/>
          </w:tcPr>
          <w:p>
            <w:pPr>
              <w:spacing w:after="0"/>
              <w:rPr>
                <w:sz w:val="15"/>
                <w:szCs w:val="15"/>
                <w:color w:val="auto"/>
              </w:rPr>
            </w:pPr>
          </w:p>
        </w:tc>
        <w:tc>
          <w:tcPr>
            <w:tcW w:w="8840" w:type="dxa"/>
            <w:vAlign w:val="bottom"/>
            <w:gridSpan w:val="2"/>
          </w:tcPr>
          <w:p>
            <w:pPr>
              <w:ind w:left="80"/>
              <w:spacing w:after="0" w:line="182" w:lineRule="exact"/>
              <w:rPr>
                <w:sz w:val="20"/>
                <w:szCs w:val="20"/>
                <w:color w:val="auto"/>
              </w:rPr>
            </w:pPr>
            <w:r>
              <w:rPr>
                <w:rFonts w:ascii="Arial" w:cs="Arial" w:eastAsia="Arial" w:hAnsi="Arial"/>
                <w:sz w:val="16"/>
                <w:szCs w:val="16"/>
                <w:color w:val="auto"/>
              </w:rPr>
              <w:t>as Chief Financial Officer from 2001 to 2011. He previously served on the boards of McDermott International Inc. (NYSE:</w:t>
            </w:r>
          </w:p>
        </w:tc>
        <w:tc>
          <w:tcPr>
            <w:tcW w:w="220" w:type="dxa"/>
            <w:vAlign w:val="bottom"/>
            <w:tcBorders>
              <w:right w:val="single" w:sz="8" w:color="53C072"/>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53C072"/>
            </w:tcBorders>
            <w:shd w:val="clear" w:color="auto" w:fill="CFE9D2"/>
          </w:tcPr>
          <w:p>
            <w:pPr>
              <w:spacing w:after="0"/>
              <w:rPr>
                <w:sz w:val="15"/>
                <w:szCs w:val="15"/>
                <w:color w:val="auto"/>
              </w:rPr>
            </w:pPr>
          </w:p>
        </w:tc>
        <w:tc>
          <w:tcPr>
            <w:tcW w:w="1820" w:type="dxa"/>
            <w:vAlign w:val="bottom"/>
            <w:tcBorders>
              <w:right w:val="single" w:sz="8" w:color="53C072"/>
            </w:tcBorders>
            <w:shd w:val="clear" w:color="auto" w:fill="CFE9D2"/>
          </w:tcPr>
          <w:p>
            <w:pPr>
              <w:spacing w:after="0"/>
              <w:rPr>
                <w:sz w:val="15"/>
                <w:szCs w:val="15"/>
                <w:color w:val="auto"/>
              </w:rPr>
            </w:pPr>
          </w:p>
        </w:tc>
        <w:tc>
          <w:tcPr>
            <w:tcW w:w="8840" w:type="dxa"/>
            <w:vAlign w:val="bottom"/>
            <w:gridSpan w:val="2"/>
          </w:tcPr>
          <w:p>
            <w:pPr>
              <w:ind w:left="80"/>
              <w:spacing w:after="0" w:line="182" w:lineRule="exact"/>
              <w:rPr>
                <w:sz w:val="20"/>
                <w:szCs w:val="20"/>
                <w:color w:val="auto"/>
              </w:rPr>
            </w:pPr>
            <w:r>
              <w:rPr>
                <w:rFonts w:ascii="Arial" w:cs="Arial" w:eastAsia="Arial" w:hAnsi="Arial"/>
                <w:sz w:val="16"/>
                <w:szCs w:val="16"/>
                <w:color w:val="auto"/>
                <w:w w:val="99"/>
              </w:rPr>
              <w:t>MDR) from 2012 to June 2020, Great Lakes Advisors, Inc. from 1993 to 2011, AMCOL International from 2012 to 2014, URS</w:t>
            </w:r>
          </w:p>
        </w:tc>
        <w:tc>
          <w:tcPr>
            <w:tcW w:w="220" w:type="dxa"/>
            <w:vAlign w:val="bottom"/>
            <w:tcBorders>
              <w:right w:val="single" w:sz="8" w:color="53C072"/>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53C072"/>
            </w:tcBorders>
            <w:shd w:val="clear" w:color="auto" w:fill="CFE9D2"/>
          </w:tcPr>
          <w:p>
            <w:pPr>
              <w:spacing w:after="0"/>
              <w:rPr>
                <w:sz w:val="15"/>
                <w:szCs w:val="15"/>
                <w:color w:val="auto"/>
              </w:rPr>
            </w:pPr>
          </w:p>
        </w:tc>
        <w:tc>
          <w:tcPr>
            <w:tcW w:w="1820" w:type="dxa"/>
            <w:vAlign w:val="bottom"/>
            <w:tcBorders>
              <w:right w:val="single" w:sz="8" w:color="53C072"/>
            </w:tcBorders>
            <w:shd w:val="clear" w:color="auto" w:fill="CFE9D2"/>
          </w:tcPr>
          <w:p>
            <w:pPr>
              <w:spacing w:after="0"/>
              <w:rPr>
                <w:sz w:val="15"/>
                <w:szCs w:val="15"/>
                <w:color w:val="auto"/>
              </w:rPr>
            </w:pPr>
          </w:p>
        </w:tc>
        <w:tc>
          <w:tcPr>
            <w:tcW w:w="8840" w:type="dxa"/>
            <w:vAlign w:val="bottom"/>
            <w:gridSpan w:val="2"/>
          </w:tcPr>
          <w:p>
            <w:pPr>
              <w:ind w:left="80"/>
              <w:spacing w:after="0" w:line="182" w:lineRule="exact"/>
              <w:rPr>
                <w:sz w:val="20"/>
                <w:szCs w:val="20"/>
                <w:color w:val="auto"/>
              </w:rPr>
            </w:pPr>
            <w:r>
              <w:rPr>
                <w:rFonts w:ascii="Arial" w:cs="Arial" w:eastAsia="Arial" w:hAnsi="Arial"/>
                <w:sz w:val="16"/>
                <w:szCs w:val="16"/>
                <w:color w:val="auto"/>
              </w:rPr>
              <w:t>Corporation from 2014 through its acquisition by AECOM in 2014 and Andeavor Corporation (previously Tesoro) from 2016</w:t>
            </w:r>
          </w:p>
        </w:tc>
        <w:tc>
          <w:tcPr>
            <w:tcW w:w="220" w:type="dxa"/>
            <w:vAlign w:val="bottom"/>
            <w:tcBorders>
              <w:right w:val="single" w:sz="8" w:color="53C072"/>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53C072"/>
            </w:tcBorders>
            <w:shd w:val="clear" w:color="auto" w:fill="CFE9D2"/>
          </w:tcPr>
          <w:p>
            <w:pPr>
              <w:spacing w:after="0"/>
              <w:rPr>
                <w:sz w:val="15"/>
                <w:szCs w:val="15"/>
                <w:color w:val="auto"/>
              </w:rPr>
            </w:pPr>
          </w:p>
        </w:tc>
        <w:tc>
          <w:tcPr>
            <w:tcW w:w="1820" w:type="dxa"/>
            <w:vAlign w:val="bottom"/>
            <w:tcBorders>
              <w:right w:val="single" w:sz="8" w:color="53C072"/>
            </w:tcBorders>
            <w:shd w:val="clear" w:color="auto" w:fill="CFE9D2"/>
          </w:tcPr>
          <w:p>
            <w:pPr>
              <w:spacing w:after="0"/>
              <w:rPr>
                <w:sz w:val="15"/>
                <w:szCs w:val="15"/>
                <w:color w:val="auto"/>
              </w:rPr>
            </w:pPr>
          </w:p>
        </w:tc>
        <w:tc>
          <w:tcPr>
            <w:tcW w:w="9060" w:type="dxa"/>
            <w:vAlign w:val="bottom"/>
            <w:tcBorders>
              <w:right w:val="single" w:sz="8" w:color="53C072"/>
            </w:tcBorders>
            <w:gridSpan w:val="3"/>
          </w:tcPr>
          <w:p>
            <w:pPr>
              <w:ind w:left="80"/>
              <w:spacing w:after="0" w:line="182" w:lineRule="exact"/>
              <w:rPr>
                <w:sz w:val="20"/>
                <w:szCs w:val="20"/>
                <w:color w:val="auto"/>
              </w:rPr>
            </w:pPr>
            <w:r>
              <w:rPr>
                <w:rFonts w:ascii="Arial" w:cs="Arial" w:eastAsia="Arial" w:hAnsi="Arial"/>
                <w:sz w:val="16"/>
                <w:szCs w:val="16"/>
                <w:color w:val="auto"/>
                <w:w w:val="99"/>
              </w:rPr>
              <w:t>through its acquisition by Marathon in 2018. Mr. Schumann also serves on the board of the History Center of Lake Forest Lake</w:t>
            </w:r>
          </w:p>
        </w:tc>
        <w:tc>
          <w:tcPr>
            <w:tcW w:w="0" w:type="dxa"/>
            <w:vAlign w:val="bottom"/>
          </w:tcPr>
          <w:p>
            <w:pPr>
              <w:spacing w:after="0"/>
              <w:rPr>
                <w:sz w:val="1"/>
                <w:szCs w:val="1"/>
                <w:color w:val="auto"/>
              </w:rPr>
            </w:pPr>
          </w:p>
        </w:tc>
      </w:tr>
      <w:tr>
        <w:trPr>
          <w:trHeight w:val="213"/>
        </w:trPr>
        <w:tc>
          <w:tcPr>
            <w:tcW w:w="380" w:type="dxa"/>
            <w:vAlign w:val="bottom"/>
            <w:tcBorders>
              <w:left w:val="single" w:sz="8" w:color="53C072"/>
            </w:tcBorders>
            <w:shd w:val="clear" w:color="auto" w:fill="CFE9D2"/>
          </w:tcPr>
          <w:p>
            <w:pPr>
              <w:spacing w:after="0"/>
              <w:rPr>
                <w:sz w:val="18"/>
                <w:szCs w:val="18"/>
                <w:color w:val="auto"/>
              </w:rPr>
            </w:pPr>
          </w:p>
        </w:tc>
        <w:tc>
          <w:tcPr>
            <w:tcW w:w="1820" w:type="dxa"/>
            <w:vAlign w:val="bottom"/>
            <w:tcBorders>
              <w:right w:val="single" w:sz="8" w:color="53C072"/>
            </w:tcBorders>
            <w:shd w:val="clear" w:color="auto" w:fill="CFE9D2"/>
          </w:tcPr>
          <w:p>
            <w:pPr>
              <w:spacing w:after="0"/>
              <w:rPr>
                <w:sz w:val="18"/>
                <w:szCs w:val="18"/>
                <w:color w:val="auto"/>
              </w:rPr>
            </w:pPr>
          </w:p>
        </w:tc>
        <w:tc>
          <w:tcPr>
            <w:tcW w:w="2780" w:type="dxa"/>
            <w:vAlign w:val="bottom"/>
          </w:tcPr>
          <w:p>
            <w:pPr>
              <w:ind w:left="80"/>
              <w:spacing w:after="0"/>
              <w:rPr>
                <w:sz w:val="20"/>
                <w:szCs w:val="20"/>
                <w:color w:val="auto"/>
              </w:rPr>
            </w:pPr>
            <w:r>
              <w:rPr>
                <w:rFonts w:ascii="Arial" w:cs="Arial" w:eastAsia="Arial" w:hAnsi="Arial"/>
                <w:sz w:val="16"/>
                <w:szCs w:val="16"/>
                <w:color w:val="auto"/>
              </w:rPr>
              <w:t>Bluff.</w:t>
            </w:r>
          </w:p>
        </w:tc>
        <w:tc>
          <w:tcPr>
            <w:tcW w:w="6060" w:type="dxa"/>
            <w:vAlign w:val="bottom"/>
          </w:tcPr>
          <w:p>
            <w:pPr>
              <w:spacing w:after="0"/>
              <w:rPr>
                <w:sz w:val="18"/>
                <w:szCs w:val="18"/>
                <w:color w:val="auto"/>
              </w:rPr>
            </w:pPr>
          </w:p>
        </w:tc>
        <w:tc>
          <w:tcPr>
            <w:tcW w:w="220" w:type="dxa"/>
            <w:vAlign w:val="bottom"/>
            <w:tcBorders>
              <w:right w:val="single" w:sz="8" w:color="53C072"/>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200" w:type="dxa"/>
            <w:vAlign w:val="bottom"/>
            <w:tcBorders>
              <w:left w:val="single" w:sz="8" w:color="53C072"/>
              <w:bottom w:val="single" w:sz="8" w:color="CFE9D2"/>
              <w:right w:val="single" w:sz="8" w:color="53C072"/>
            </w:tcBorders>
            <w:gridSpan w:val="2"/>
            <w:vMerge w:val="restart"/>
            <w:shd w:val="clear" w:color="auto" w:fill="CFE9D2"/>
          </w:tcPr>
          <w:p>
            <w:pPr>
              <w:ind w:left="200"/>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2010</w:t>
            </w:r>
          </w:p>
        </w:tc>
        <w:tc>
          <w:tcPr>
            <w:tcW w:w="2780" w:type="dxa"/>
            <w:vAlign w:val="bottom"/>
            <w:tcBorders>
              <w:bottom w:val="single" w:sz="8" w:color="53C072"/>
            </w:tcBorders>
          </w:tcPr>
          <w:p>
            <w:pPr>
              <w:spacing w:after="0"/>
              <w:rPr>
                <w:sz w:val="16"/>
                <w:szCs w:val="16"/>
                <w:color w:val="auto"/>
              </w:rPr>
            </w:pPr>
          </w:p>
        </w:tc>
        <w:tc>
          <w:tcPr>
            <w:tcW w:w="6060" w:type="dxa"/>
            <w:vAlign w:val="bottom"/>
            <w:tcBorders>
              <w:bottom w:val="single" w:sz="8" w:color="53C072"/>
            </w:tcBorders>
          </w:tcPr>
          <w:p>
            <w:pPr>
              <w:spacing w:after="0"/>
              <w:rPr>
                <w:sz w:val="16"/>
                <w:szCs w:val="16"/>
                <w:color w:val="auto"/>
              </w:rPr>
            </w:pPr>
          </w:p>
        </w:tc>
        <w:tc>
          <w:tcPr>
            <w:tcW w:w="220" w:type="dxa"/>
            <w:vAlign w:val="bottom"/>
            <w:tcBorders>
              <w:bottom w:val="single" w:sz="8" w:color="53C072"/>
              <w:right w:val="single" w:sz="8" w:color="53C072"/>
            </w:tcBorders>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2200" w:type="dxa"/>
            <w:vAlign w:val="bottom"/>
            <w:tcBorders>
              <w:left w:val="single" w:sz="8" w:color="53C072"/>
              <w:right w:val="single" w:sz="8" w:color="53C072"/>
            </w:tcBorders>
            <w:gridSpan w:val="2"/>
            <w:vMerge w:val="continue"/>
            <w:shd w:val="clear" w:color="auto" w:fill="CFE9D2"/>
          </w:tcPr>
          <w:p>
            <w:pPr>
              <w:spacing w:after="0"/>
              <w:rPr>
                <w:sz w:val="24"/>
                <w:szCs w:val="24"/>
                <w:color w:val="auto"/>
              </w:rPr>
            </w:pPr>
          </w:p>
        </w:tc>
        <w:tc>
          <w:tcPr>
            <w:tcW w:w="88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53C072"/>
              </w:rPr>
              <w:t>Primary Qualifications and Experience:</w:t>
            </w:r>
          </w:p>
        </w:tc>
        <w:tc>
          <w:tcPr>
            <w:tcW w:w="220" w:type="dxa"/>
            <w:vAlign w:val="bottom"/>
            <w:tcBorders>
              <w:right w:val="single" w:sz="8" w:color="53C072"/>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80" w:type="dxa"/>
            <w:vAlign w:val="bottom"/>
            <w:tcBorders>
              <w:left w:val="single" w:sz="8" w:color="53C072"/>
            </w:tcBorders>
            <w:shd w:val="clear" w:color="auto" w:fill="CFE9D2"/>
          </w:tcPr>
          <w:p>
            <w:pPr>
              <w:spacing w:after="0"/>
              <w:rPr>
                <w:sz w:val="13"/>
                <w:szCs w:val="13"/>
                <w:color w:val="auto"/>
              </w:rPr>
            </w:pPr>
          </w:p>
        </w:tc>
        <w:tc>
          <w:tcPr>
            <w:tcW w:w="1820" w:type="dxa"/>
            <w:vAlign w:val="bottom"/>
            <w:tcBorders>
              <w:right w:val="single" w:sz="8" w:color="53C072"/>
            </w:tcBorders>
            <w:shd w:val="clear" w:color="auto" w:fill="CFE9D2"/>
          </w:tcPr>
          <w:p>
            <w:pPr>
              <w:spacing w:after="0"/>
              <w:rPr>
                <w:sz w:val="13"/>
                <w:szCs w:val="13"/>
                <w:color w:val="auto"/>
              </w:rPr>
            </w:pPr>
          </w:p>
        </w:tc>
        <w:tc>
          <w:tcPr>
            <w:tcW w:w="8840" w:type="dxa"/>
            <w:vAlign w:val="bottom"/>
            <w:gridSpan w:val="2"/>
            <w:vMerge w:val="continue"/>
          </w:tcPr>
          <w:p>
            <w:pPr>
              <w:spacing w:after="0"/>
              <w:rPr>
                <w:sz w:val="13"/>
                <w:szCs w:val="13"/>
                <w:color w:val="auto"/>
              </w:rPr>
            </w:pPr>
          </w:p>
        </w:tc>
        <w:tc>
          <w:tcPr>
            <w:tcW w:w="220" w:type="dxa"/>
            <w:vAlign w:val="bottom"/>
            <w:tcBorders>
              <w:right w:val="single" w:sz="8" w:color="53C072"/>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200" w:type="dxa"/>
            <w:vAlign w:val="bottom"/>
            <w:tcBorders>
              <w:left w:val="single" w:sz="8" w:color="53C072"/>
              <w:right w:val="single" w:sz="8" w:color="53C072"/>
            </w:tcBorders>
            <w:gridSpan w:val="2"/>
            <w:shd w:val="clear" w:color="auto" w:fill="CFE9D2"/>
          </w:tcPr>
          <w:p>
            <w:pPr>
              <w:ind w:left="200"/>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70</w:t>
            </w:r>
          </w:p>
        </w:tc>
        <w:tc>
          <w:tcPr>
            <w:tcW w:w="2780" w:type="dxa"/>
            <w:vAlign w:val="bottom"/>
            <w:vMerge w:val="restart"/>
          </w:tcPr>
          <w:p>
            <w:pPr>
              <w:ind w:left="6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Senior Leadership</w:t>
            </w:r>
          </w:p>
        </w:tc>
        <w:tc>
          <w:tcPr>
            <w:tcW w:w="6060" w:type="dxa"/>
            <w:vAlign w:val="bottom"/>
            <w:vMerge w:val="restart"/>
          </w:tcPr>
          <w:p>
            <w:pPr>
              <w:jc w:val="right"/>
              <w:ind w:right="4664"/>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Global Business</w:t>
            </w:r>
          </w:p>
        </w:tc>
        <w:tc>
          <w:tcPr>
            <w:tcW w:w="220" w:type="dxa"/>
            <w:vAlign w:val="bottom"/>
            <w:tcBorders>
              <w:right w:val="single" w:sz="8" w:color="53C072"/>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200" w:type="dxa"/>
            <w:vAlign w:val="bottom"/>
            <w:tcBorders>
              <w:left w:val="single" w:sz="8" w:color="53C072"/>
              <w:right w:val="single" w:sz="8" w:color="53C072"/>
            </w:tcBorders>
            <w:gridSpan w:val="2"/>
            <w:vMerge w:val="restart"/>
            <w:shd w:val="clear" w:color="auto" w:fill="CFE9D2"/>
          </w:tcPr>
          <w:p>
            <w:pPr>
              <w:ind w:left="200"/>
              <w:spacing w:after="0"/>
              <w:rPr>
                <w:sz w:val="20"/>
                <w:szCs w:val="20"/>
                <w:color w:val="auto"/>
              </w:rPr>
            </w:pPr>
            <w:r>
              <w:rPr>
                <w:rFonts w:ascii="Arial" w:cs="Arial" w:eastAsia="Arial" w:hAnsi="Arial"/>
                <w:sz w:val="13"/>
                <w:szCs w:val="13"/>
                <w:b w:val="1"/>
                <w:bCs w:val="1"/>
                <w:color w:val="auto"/>
              </w:rPr>
              <w:t>Independent</w:t>
            </w:r>
          </w:p>
        </w:tc>
        <w:tc>
          <w:tcPr>
            <w:tcW w:w="2780" w:type="dxa"/>
            <w:vAlign w:val="bottom"/>
            <w:vMerge w:val="continue"/>
          </w:tcPr>
          <w:p>
            <w:pPr>
              <w:spacing w:after="0"/>
              <w:rPr>
                <w:sz w:val="16"/>
                <w:szCs w:val="16"/>
                <w:color w:val="auto"/>
              </w:rPr>
            </w:pPr>
          </w:p>
        </w:tc>
        <w:tc>
          <w:tcPr>
            <w:tcW w:w="6060" w:type="dxa"/>
            <w:vAlign w:val="bottom"/>
            <w:vMerge w:val="continue"/>
          </w:tcPr>
          <w:p>
            <w:pPr>
              <w:spacing w:after="0"/>
              <w:rPr>
                <w:sz w:val="16"/>
                <w:szCs w:val="16"/>
                <w:color w:val="auto"/>
              </w:rPr>
            </w:pPr>
          </w:p>
        </w:tc>
        <w:tc>
          <w:tcPr>
            <w:tcW w:w="220" w:type="dxa"/>
            <w:vAlign w:val="bottom"/>
            <w:tcBorders>
              <w:right w:val="single" w:sz="8" w:color="53C072"/>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200" w:type="dxa"/>
            <w:vAlign w:val="bottom"/>
            <w:tcBorders>
              <w:left w:val="single" w:sz="8" w:color="53C072"/>
              <w:right w:val="single" w:sz="8" w:color="53C072"/>
            </w:tcBorders>
            <w:gridSpan w:val="2"/>
            <w:vMerge w:val="continue"/>
            <w:shd w:val="clear" w:color="auto" w:fill="CFE9D2"/>
          </w:tcPr>
          <w:p>
            <w:pPr>
              <w:spacing w:after="0"/>
              <w:rPr>
                <w:sz w:val="13"/>
                <w:szCs w:val="13"/>
                <w:color w:val="auto"/>
              </w:rPr>
            </w:pPr>
          </w:p>
        </w:tc>
        <w:tc>
          <w:tcPr>
            <w:tcW w:w="278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220" w:type="dxa"/>
            <w:vAlign w:val="bottom"/>
            <w:tcBorders>
              <w:right w:val="single" w:sz="8" w:color="53C072"/>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200" w:type="dxa"/>
            <w:vAlign w:val="bottom"/>
            <w:tcBorders>
              <w:left w:val="single" w:sz="8" w:color="53C072"/>
              <w:right w:val="single" w:sz="8" w:color="53C072"/>
            </w:tcBorders>
            <w:gridSpan w:val="2"/>
            <w:vMerge w:val="restart"/>
            <w:shd w:val="clear" w:color="auto" w:fill="CFE9D2"/>
          </w:tcPr>
          <w:p>
            <w:pPr>
              <w:ind w:left="200"/>
              <w:spacing w:after="0"/>
              <w:rPr>
                <w:sz w:val="20"/>
                <w:szCs w:val="20"/>
                <w:color w:val="auto"/>
              </w:rPr>
            </w:pPr>
            <w:r>
              <w:rPr>
                <w:rFonts w:ascii="Arial" w:cs="Arial" w:eastAsia="Arial" w:hAnsi="Arial"/>
                <w:sz w:val="13"/>
                <w:szCs w:val="13"/>
                <w:b w:val="1"/>
                <w:bCs w:val="1"/>
                <w:color w:val="auto"/>
              </w:rPr>
              <w:t>Current Committee</w:t>
            </w:r>
          </w:p>
        </w:tc>
        <w:tc>
          <w:tcPr>
            <w:tcW w:w="2780" w:type="dxa"/>
            <w:vAlign w:val="bottom"/>
          </w:tcPr>
          <w:p>
            <w:pPr>
              <w:ind w:left="6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Finance</w:t>
            </w:r>
          </w:p>
        </w:tc>
        <w:tc>
          <w:tcPr>
            <w:tcW w:w="6060" w:type="dxa"/>
            <w:vAlign w:val="bottom"/>
          </w:tcPr>
          <w:p>
            <w:pPr>
              <w:spacing w:after="0"/>
              <w:rPr>
                <w:sz w:val="19"/>
                <w:szCs w:val="19"/>
                <w:color w:val="auto"/>
              </w:rPr>
            </w:pPr>
          </w:p>
        </w:tc>
        <w:tc>
          <w:tcPr>
            <w:tcW w:w="220" w:type="dxa"/>
            <w:vAlign w:val="bottom"/>
            <w:tcBorders>
              <w:right w:val="single" w:sz="8" w:color="53C072"/>
            </w:tcBorders>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200" w:type="dxa"/>
            <w:vAlign w:val="bottom"/>
            <w:tcBorders>
              <w:left w:val="single" w:sz="8" w:color="53C072"/>
              <w:right w:val="single" w:sz="8" w:color="53C072"/>
            </w:tcBorders>
            <w:gridSpan w:val="2"/>
            <w:vMerge w:val="continue"/>
            <w:shd w:val="clear" w:color="auto" w:fill="CFE9D2"/>
          </w:tcPr>
          <w:p>
            <w:pPr>
              <w:spacing w:after="0"/>
              <w:rPr>
                <w:sz w:val="7"/>
                <w:szCs w:val="7"/>
                <w:color w:val="auto"/>
              </w:rPr>
            </w:pPr>
          </w:p>
        </w:tc>
        <w:tc>
          <w:tcPr>
            <w:tcW w:w="2780" w:type="dxa"/>
            <w:vAlign w:val="bottom"/>
          </w:tcPr>
          <w:p>
            <w:pPr>
              <w:spacing w:after="0"/>
              <w:rPr>
                <w:sz w:val="7"/>
                <w:szCs w:val="7"/>
                <w:color w:val="auto"/>
              </w:rPr>
            </w:pPr>
          </w:p>
        </w:tc>
        <w:tc>
          <w:tcPr>
            <w:tcW w:w="6060" w:type="dxa"/>
            <w:vAlign w:val="bottom"/>
          </w:tcPr>
          <w:p>
            <w:pPr>
              <w:spacing w:after="0"/>
              <w:rPr>
                <w:sz w:val="7"/>
                <w:szCs w:val="7"/>
                <w:color w:val="auto"/>
              </w:rPr>
            </w:pPr>
          </w:p>
        </w:tc>
        <w:tc>
          <w:tcPr>
            <w:tcW w:w="220" w:type="dxa"/>
            <w:vAlign w:val="bottom"/>
            <w:tcBorders>
              <w:right w:val="single" w:sz="8" w:color="53C072"/>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200" w:type="dxa"/>
            <w:vAlign w:val="bottom"/>
            <w:tcBorders>
              <w:left w:val="single" w:sz="8" w:color="53C072"/>
              <w:right w:val="single" w:sz="8" w:color="53C072"/>
            </w:tcBorders>
            <w:gridSpan w:val="2"/>
            <w:shd w:val="clear" w:color="auto" w:fill="CFE9D2"/>
          </w:tcPr>
          <w:p>
            <w:pPr>
              <w:ind w:left="200"/>
              <w:spacing w:after="0"/>
              <w:rPr>
                <w:sz w:val="20"/>
                <w:szCs w:val="20"/>
                <w:color w:val="auto"/>
              </w:rPr>
            </w:pPr>
            <w:r>
              <w:rPr>
                <w:rFonts w:ascii="Arial" w:cs="Arial" w:eastAsia="Arial" w:hAnsi="Arial"/>
                <w:sz w:val="13"/>
                <w:szCs w:val="13"/>
                <w:b w:val="1"/>
                <w:bCs w:val="1"/>
                <w:color w:val="auto"/>
              </w:rPr>
              <w:t>Memberships:</w:t>
            </w:r>
          </w:p>
        </w:tc>
        <w:tc>
          <w:tcPr>
            <w:tcW w:w="8840" w:type="dxa"/>
            <w:vAlign w:val="bottom"/>
            <w:gridSpan w:val="2"/>
            <w:vMerge w:val="restart"/>
          </w:tcPr>
          <w:p>
            <w:pPr>
              <w:ind w:left="80"/>
              <w:spacing w:after="0"/>
              <w:rPr>
                <w:sz w:val="20"/>
                <w:szCs w:val="20"/>
                <w:color w:val="auto"/>
              </w:rPr>
            </w:pPr>
            <w:r>
              <w:rPr>
                <w:rFonts w:ascii="Arial" w:cs="Arial" w:eastAsia="Arial" w:hAnsi="Arial"/>
                <w:sz w:val="16"/>
                <w:szCs w:val="16"/>
                <w:color w:val="auto"/>
                <w:w w:val="99"/>
              </w:rPr>
              <w:t>The Board benefits from Mr. Schumann's experience on other boards and his financial and management expertise, including</w:t>
            </w:r>
          </w:p>
        </w:tc>
        <w:tc>
          <w:tcPr>
            <w:tcW w:w="220" w:type="dxa"/>
            <w:vAlign w:val="bottom"/>
            <w:tcBorders>
              <w:right w:val="single" w:sz="8" w:color="53C072"/>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380" w:type="dxa"/>
            <w:vAlign w:val="bottom"/>
            <w:tcBorders>
              <w:left w:val="single" w:sz="8" w:color="53C072"/>
            </w:tcBorders>
            <w:shd w:val="clear" w:color="auto" w:fill="CFE9D2"/>
          </w:tcPr>
          <w:p>
            <w:pPr>
              <w:spacing w:after="0"/>
              <w:rPr>
                <w:sz w:val="7"/>
                <w:szCs w:val="7"/>
                <w:color w:val="auto"/>
              </w:rPr>
            </w:pPr>
          </w:p>
        </w:tc>
        <w:tc>
          <w:tcPr>
            <w:tcW w:w="1820" w:type="dxa"/>
            <w:vAlign w:val="bottom"/>
            <w:tcBorders>
              <w:right w:val="single" w:sz="8" w:color="53C072"/>
            </w:tcBorders>
            <w:shd w:val="clear" w:color="auto" w:fill="CFE9D2"/>
          </w:tcPr>
          <w:p>
            <w:pPr>
              <w:spacing w:after="0"/>
              <w:rPr>
                <w:sz w:val="7"/>
                <w:szCs w:val="7"/>
                <w:color w:val="auto"/>
              </w:rPr>
            </w:pPr>
          </w:p>
        </w:tc>
        <w:tc>
          <w:tcPr>
            <w:tcW w:w="8840" w:type="dxa"/>
            <w:vAlign w:val="bottom"/>
            <w:gridSpan w:val="2"/>
            <w:vMerge w:val="continue"/>
          </w:tcPr>
          <w:p>
            <w:pPr>
              <w:spacing w:after="0"/>
              <w:rPr>
                <w:sz w:val="7"/>
                <w:szCs w:val="7"/>
                <w:color w:val="auto"/>
              </w:rPr>
            </w:pPr>
          </w:p>
        </w:tc>
        <w:tc>
          <w:tcPr>
            <w:tcW w:w="220" w:type="dxa"/>
            <w:vAlign w:val="bottom"/>
            <w:tcBorders>
              <w:right w:val="single" w:sz="8" w:color="53C072"/>
            </w:tcBorders>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380" w:type="dxa"/>
            <w:vAlign w:val="bottom"/>
            <w:tcBorders>
              <w:left w:val="single" w:sz="8" w:color="53C072"/>
            </w:tcBorders>
            <w:shd w:val="clear" w:color="auto" w:fill="CFE9D2"/>
          </w:tcPr>
          <w:p>
            <w:pPr>
              <w:ind w:left="200"/>
              <w:spacing w:after="0"/>
              <w:rPr>
                <w:sz w:val="20"/>
                <w:szCs w:val="20"/>
                <w:color w:val="auto"/>
              </w:rPr>
            </w:pPr>
            <w:r>
              <w:rPr>
                <w:rFonts w:ascii="Arial" w:cs="Arial" w:eastAsia="Arial" w:hAnsi="Arial"/>
                <w:sz w:val="13"/>
                <w:szCs w:val="13"/>
                <w:color w:val="53C072"/>
              </w:rPr>
              <w:t>•</w:t>
            </w:r>
          </w:p>
        </w:tc>
        <w:tc>
          <w:tcPr>
            <w:tcW w:w="1820" w:type="dxa"/>
            <w:vAlign w:val="bottom"/>
            <w:tcBorders>
              <w:right w:val="single" w:sz="8" w:color="53C072"/>
            </w:tcBorders>
            <w:shd w:val="clear" w:color="auto" w:fill="CFE9D2"/>
          </w:tcPr>
          <w:p>
            <w:pPr>
              <w:ind w:left="120"/>
              <w:spacing w:after="0"/>
              <w:rPr>
                <w:sz w:val="20"/>
                <w:szCs w:val="20"/>
                <w:color w:val="auto"/>
              </w:rPr>
            </w:pPr>
            <w:r>
              <w:rPr>
                <w:rFonts w:ascii="Arial" w:cs="Arial" w:eastAsia="Arial" w:hAnsi="Arial"/>
                <w:sz w:val="13"/>
                <w:szCs w:val="13"/>
                <w:color w:val="auto"/>
              </w:rPr>
              <w:t>Audit Committee</w:t>
            </w:r>
          </w:p>
        </w:tc>
        <w:tc>
          <w:tcPr>
            <w:tcW w:w="8840" w:type="dxa"/>
            <w:vAlign w:val="bottom"/>
            <w:gridSpan w:val="2"/>
          </w:tcPr>
          <w:p>
            <w:pPr>
              <w:ind w:left="80"/>
              <w:spacing w:after="0"/>
              <w:rPr>
                <w:sz w:val="20"/>
                <w:szCs w:val="20"/>
                <w:color w:val="auto"/>
              </w:rPr>
            </w:pPr>
            <w:r>
              <w:rPr>
                <w:rFonts w:ascii="Arial" w:cs="Arial" w:eastAsia="Arial" w:hAnsi="Arial"/>
                <w:sz w:val="16"/>
                <w:szCs w:val="16"/>
                <w:color w:val="auto"/>
              </w:rPr>
              <w:t>his extensive expertise in financial and strategic planning, financial reporting, compliance and risk management.</w:t>
            </w:r>
          </w:p>
        </w:tc>
        <w:tc>
          <w:tcPr>
            <w:tcW w:w="220" w:type="dxa"/>
            <w:vAlign w:val="bottom"/>
            <w:tcBorders>
              <w:right w:val="single" w:sz="8" w:color="53C072"/>
            </w:tcBorders>
          </w:tcPr>
          <w:p>
            <w:pPr>
              <w:spacing w:after="0"/>
              <w:rPr>
                <w:sz w:val="21"/>
                <w:szCs w:val="21"/>
                <w:color w:val="auto"/>
              </w:rPr>
            </w:pPr>
          </w:p>
        </w:tc>
        <w:tc>
          <w:tcPr>
            <w:tcW w:w="0" w:type="dxa"/>
            <w:vAlign w:val="bottom"/>
          </w:tcPr>
          <w:p>
            <w:pPr>
              <w:spacing w:after="0"/>
              <w:rPr>
                <w:sz w:val="1"/>
                <w:szCs w:val="1"/>
                <w:color w:val="auto"/>
              </w:rPr>
            </w:pPr>
          </w:p>
        </w:tc>
      </w:tr>
      <w:tr>
        <w:trPr>
          <w:trHeight w:val="288"/>
        </w:trPr>
        <w:tc>
          <w:tcPr>
            <w:tcW w:w="380" w:type="dxa"/>
            <w:vAlign w:val="bottom"/>
            <w:tcBorders>
              <w:left w:val="single" w:sz="8" w:color="53C072"/>
            </w:tcBorders>
            <w:shd w:val="clear" w:color="auto" w:fill="CFE9D2"/>
          </w:tcPr>
          <w:p>
            <w:pPr>
              <w:ind w:left="200"/>
              <w:spacing w:after="0"/>
              <w:rPr>
                <w:sz w:val="20"/>
                <w:szCs w:val="20"/>
                <w:color w:val="auto"/>
              </w:rPr>
            </w:pPr>
            <w:r>
              <w:rPr>
                <w:rFonts w:ascii="Arial" w:cs="Arial" w:eastAsia="Arial" w:hAnsi="Arial"/>
                <w:sz w:val="13"/>
                <w:szCs w:val="13"/>
                <w:color w:val="53C072"/>
              </w:rPr>
              <w:t>•</w:t>
            </w:r>
          </w:p>
        </w:tc>
        <w:tc>
          <w:tcPr>
            <w:tcW w:w="1820" w:type="dxa"/>
            <w:vAlign w:val="bottom"/>
            <w:tcBorders>
              <w:right w:val="single" w:sz="8" w:color="53C072"/>
            </w:tcBorders>
            <w:shd w:val="clear" w:color="auto" w:fill="CFE9D2"/>
          </w:tcPr>
          <w:p>
            <w:pPr>
              <w:ind w:left="120"/>
              <w:spacing w:after="0"/>
              <w:rPr>
                <w:sz w:val="20"/>
                <w:szCs w:val="20"/>
                <w:color w:val="auto"/>
              </w:rPr>
            </w:pPr>
            <w:r>
              <w:rPr>
                <w:rFonts w:ascii="Arial" w:cs="Arial" w:eastAsia="Arial" w:hAnsi="Arial"/>
                <w:sz w:val="13"/>
                <w:szCs w:val="13"/>
                <w:color w:val="auto"/>
              </w:rPr>
              <w:t>Finance Committee</w:t>
            </w:r>
          </w:p>
        </w:tc>
        <w:tc>
          <w:tcPr>
            <w:tcW w:w="27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20" w:type="dxa"/>
            <w:vAlign w:val="bottom"/>
            <w:tcBorders>
              <w:right w:val="single" w:sz="8" w:color="53C072"/>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80" w:type="dxa"/>
            <w:vAlign w:val="bottom"/>
            <w:tcBorders>
              <w:left w:val="single" w:sz="8" w:color="53C072"/>
            </w:tcBorders>
            <w:shd w:val="clear" w:color="auto" w:fill="CFE9D2"/>
          </w:tcPr>
          <w:p>
            <w:pPr>
              <w:spacing w:after="0"/>
              <w:rPr>
                <w:sz w:val="15"/>
                <w:szCs w:val="15"/>
                <w:color w:val="auto"/>
              </w:rPr>
            </w:pPr>
          </w:p>
        </w:tc>
        <w:tc>
          <w:tcPr>
            <w:tcW w:w="1820" w:type="dxa"/>
            <w:vAlign w:val="bottom"/>
            <w:tcBorders>
              <w:right w:val="single" w:sz="8" w:color="53C072"/>
            </w:tcBorders>
            <w:shd w:val="clear" w:color="auto" w:fill="CFE9D2"/>
          </w:tcPr>
          <w:p>
            <w:pPr>
              <w:ind w:left="120"/>
              <w:spacing w:after="0"/>
              <w:rPr>
                <w:sz w:val="20"/>
                <w:szCs w:val="20"/>
                <w:color w:val="auto"/>
              </w:rPr>
            </w:pPr>
            <w:r>
              <w:rPr>
                <w:rFonts w:ascii="Arial" w:cs="Arial" w:eastAsia="Arial" w:hAnsi="Arial"/>
                <w:sz w:val="13"/>
                <w:szCs w:val="13"/>
                <w:color w:val="auto"/>
              </w:rPr>
              <w:t>(Chair)</w:t>
            </w:r>
          </w:p>
        </w:tc>
        <w:tc>
          <w:tcPr>
            <w:tcW w:w="278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20" w:type="dxa"/>
            <w:vAlign w:val="bottom"/>
            <w:tcBorders>
              <w:right w:val="single" w:sz="8" w:color="53C072"/>
            </w:tcBorders>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380" w:type="dxa"/>
            <w:vAlign w:val="bottom"/>
            <w:tcBorders>
              <w:left w:val="single" w:sz="8" w:color="53C072"/>
              <w:bottom w:val="single" w:sz="8" w:color="53C072"/>
            </w:tcBorders>
            <w:shd w:val="clear" w:color="auto" w:fill="CFE9D2"/>
          </w:tcPr>
          <w:p>
            <w:pPr>
              <w:ind w:left="200"/>
              <w:spacing w:after="0"/>
              <w:rPr>
                <w:sz w:val="20"/>
                <w:szCs w:val="20"/>
                <w:color w:val="auto"/>
              </w:rPr>
            </w:pPr>
            <w:r>
              <w:rPr>
                <w:rFonts w:ascii="Arial" w:cs="Arial" w:eastAsia="Arial" w:hAnsi="Arial"/>
                <w:sz w:val="13"/>
                <w:szCs w:val="13"/>
                <w:color w:val="53C072"/>
              </w:rPr>
              <w:t>•</w:t>
            </w:r>
          </w:p>
        </w:tc>
        <w:tc>
          <w:tcPr>
            <w:tcW w:w="1820" w:type="dxa"/>
            <w:vAlign w:val="bottom"/>
            <w:tcBorders>
              <w:bottom w:val="single" w:sz="8" w:color="53C072"/>
              <w:right w:val="single" w:sz="8" w:color="53C072"/>
            </w:tcBorders>
            <w:shd w:val="clear" w:color="auto" w:fill="CFE9D2"/>
          </w:tcPr>
          <w:p>
            <w:pPr>
              <w:ind w:left="120"/>
              <w:spacing w:after="0"/>
              <w:rPr>
                <w:sz w:val="20"/>
                <w:szCs w:val="20"/>
                <w:color w:val="auto"/>
              </w:rPr>
            </w:pPr>
            <w:r>
              <w:rPr>
                <w:rFonts w:ascii="Arial" w:cs="Arial" w:eastAsia="Arial" w:hAnsi="Arial"/>
                <w:sz w:val="13"/>
                <w:szCs w:val="13"/>
                <w:color w:val="auto"/>
              </w:rPr>
              <w:t>Executive Committee</w:t>
            </w:r>
          </w:p>
        </w:tc>
        <w:tc>
          <w:tcPr>
            <w:tcW w:w="2780" w:type="dxa"/>
            <w:vAlign w:val="bottom"/>
            <w:tcBorders>
              <w:bottom w:val="single" w:sz="8" w:color="53C072"/>
            </w:tcBorders>
          </w:tcPr>
          <w:p>
            <w:pPr>
              <w:spacing w:after="0"/>
              <w:rPr>
                <w:sz w:val="24"/>
                <w:szCs w:val="24"/>
                <w:color w:val="auto"/>
              </w:rPr>
            </w:pPr>
          </w:p>
        </w:tc>
        <w:tc>
          <w:tcPr>
            <w:tcW w:w="6060" w:type="dxa"/>
            <w:vAlign w:val="bottom"/>
            <w:tcBorders>
              <w:bottom w:val="single" w:sz="8" w:color="53C072"/>
            </w:tcBorders>
          </w:tcPr>
          <w:p>
            <w:pPr>
              <w:spacing w:after="0"/>
              <w:rPr>
                <w:sz w:val="24"/>
                <w:szCs w:val="24"/>
                <w:color w:val="auto"/>
              </w:rPr>
            </w:pPr>
          </w:p>
        </w:tc>
        <w:tc>
          <w:tcPr>
            <w:tcW w:w="220" w:type="dxa"/>
            <w:vAlign w:val="bottom"/>
            <w:tcBorders>
              <w:bottom w:val="single" w:sz="8" w:color="53C072"/>
              <w:right w:val="single" w:sz="8" w:color="53C072"/>
            </w:tcBorders>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3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060" w:type="dxa"/>
            <w:vAlign w:val="bottom"/>
          </w:tcPr>
          <w:p>
            <w:pPr>
              <w:jc w:val="right"/>
              <w:ind w:right="164"/>
              <w:spacing w:after="0"/>
              <w:rPr>
                <w:sz w:val="20"/>
                <w:szCs w:val="20"/>
                <w:color w:val="auto"/>
              </w:rPr>
            </w:pPr>
            <w:r>
              <w:rPr>
                <w:rFonts w:ascii="Arial" w:cs="Arial" w:eastAsia="Arial" w:hAnsi="Arial"/>
                <w:sz w:val="23"/>
                <w:szCs w:val="23"/>
                <w:b w:val="1"/>
                <w:bCs w:val="1"/>
                <w:color w:val="53C072"/>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43"/>
        </w:trPr>
        <w:tc>
          <w:tcPr>
            <w:tcW w:w="380" w:type="dxa"/>
            <w:vAlign w:val="bottom"/>
            <w:tcBorders>
              <w:bottom w:val="single" w:sz="8" w:color="808080"/>
            </w:tcBorders>
          </w:tcPr>
          <w:p>
            <w:pPr>
              <w:spacing w:after="0"/>
              <w:rPr>
                <w:sz w:val="12"/>
                <w:szCs w:val="12"/>
                <w:color w:val="auto"/>
              </w:rPr>
            </w:pPr>
          </w:p>
        </w:tc>
        <w:tc>
          <w:tcPr>
            <w:tcW w:w="1820" w:type="dxa"/>
            <w:vAlign w:val="bottom"/>
            <w:tcBorders>
              <w:bottom w:val="single" w:sz="8" w:color="808080"/>
            </w:tcBorders>
          </w:tcPr>
          <w:p>
            <w:pPr>
              <w:spacing w:after="0"/>
              <w:rPr>
                <w:sz w:val="12"/>
                <w:szCs w:val="12"/>
                <w:color w:val="auto"/>
              </w:rPr>
            </w:pPr>
          </w:p>
        </w:tc>
        <w:tc>
          <w:tcPr>
            <w:tcW w:w="2780" w:type="dxa"/>
            <w:vAlign w:val="bottom"/>
            <w:tcBorders>
              <w:bottom w:val="single" w:sz="8" w:color="808080"/>
            </w:tcBorders>
          </w:tcPr>
          <w:p>
            <w:pPr>
              <w:spacing w:after="0"/>
              <w:rPr>
                <w:sz w:val="12"/>
                <w:szCs w:val="12"/>
                <w:color w:val="auto"/>
              </w:rPr>
            </w:pPr>
          </w:p>
        </w:tc>
        <w:tc>
          <w:tcPr>
            <w:tcW w:w="606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-13335</wp:posOffset>
            </wp:positionV>
            <wp:extent cx="1270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128905</wp:posOffset>
            </wp:positionH>
            <wp:positionV relativeFrom="paragraph">
              <wp:posOffset>-3609340</wp:posOffset>
            </wp:positionV>
            <wp:extent cx="1156335" cy="16186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56335" cy="16186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-302260</wp:posOffset>
            </wp:positionV>
            <wp:extent cx="1664970" cy="1231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3"/>
        </w:trPr>
        <w:tc>
          <w:tcPr>
            <w:tcW w:w="532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5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32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5940" w:type="dxa"/>
            <w:vAlign w:val="bottom"/>
            <w:vMerge w:val="restart"/>
          </w:tcPr>
          <w:p>
            <w:pPr>
              <w:ind w:left="4080"/>
              <w:spacing w:after="0"/>
              <w:rPr>
                <w:sz w:val="20"/>
                <w:szCs w:val="20"/>
                <w:color w:val="auto"/>
              </w:rPr>
            </w:pPr>
            <w:r>
              <w:rPr>
                <w:rFonts w:ascii="Arial" w:cs="Arial" w:eastAsia="Arial" w:hAnsi="Arial"/>
                <w:sz w:val="13"/>
                <w:szCs w:val="13"/>
                <w:color w:val="auto"/>
                <w:w w:val="99"/>
              </w:rPr>
              <w:t>Proposal 1: Election of Directors</w:t>
            </w:r>
          </w:p>
        </w:tc>
        <w:tc>
          <w:tcPr>
            <w:tcW w:w="0" w:type="dxa"/>
            <w:vAlign w:val="bottom"/>
          </w:tcPr>
          <w:p>
            <w:pPr>
              <w:spacing w:after="0"/>
              <w:rPr>
                <w:sz w:val="1"/>
                <w:szCs w:val="1"/>
                <w:color w:val="auto"/>
              </w:rPr>
            </w:pPr>
          </w:p>
        </w:tc>
      </w:tr>
      <w:tr>
        <w:trPr>
          <w:trHeight w:val="102"/>
        </w:trPr>
        <w:tc>
          <w:tcPr>
            <w:tcW w:w="532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5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320" w:type="dxa"/>
            <w:vAlign w:val="bottom"/>
            <w:vMerge w:val="continue"/>
          </w:tcPr>
          <w:p>
            <w:pPr>
              <w:spacing w:after="0"/>
              <w:rPr>
                <w:sz w:val="7"/>
                <w:szCs w:val="7"/>
                <w:color w:val="auto"/>
              </w:rPr>
            </w:pPr>
          </w:p>
        </w:tc>
        <w:tc>
          <w:tcPr>
            <w:tcW w:w="59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1, 2020, the Company's current Directors had the following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133350</wp:posOffset>
            </wp:positionV>
            <wp:extent cx="5604510" cy="21818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04510" cy="2181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23"/>
          <w:szCs w:val="23"/>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118745</wp:posOffset>
            </wp:positionV>
            <wp:extent cx="7151370" cy="20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-163195</wp:posOffset>
            </wp:positionV>
            <wp:extent cx="1664970" cy="1231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b w:val="1"/>
          <w:bCs w:val="1"/>
          <w:color w:val="53C072"/>
        </w:rPr>
        <w:t>2020 ANNUAL</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118110</wp:posOffset>
            </wp:positionV>
            <wp:extent cx="7146290" cy="2546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6290" cy="254635"/>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FFFE"/>
        </w:rPr>
        <w:t>CORPORATE GOVERNANCE</w:t>
      </w:r>
    </w:p>
    <w:p>
      <w:pPr>
        <w:spacing w:after="0" w:line="220"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The Board of Directors believes that good corporate governance practices provide an important framework that promotes long-term value, strength and stability for shareholders. The Company's governance highlights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2711450</wp:posOffset>
            </wp:positionH>
            <wp:positionV relativeFrom="paragraph">
              <wp:posOffset>321310</wp:posOffset>
            </wp:positionV>
            <wp:extent cx="1958340" cy="4394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958340" cy="439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left="380"/>
        <w:spacing w:after="0"/>
        <w:rPr>
          <w:sz w:val="20"/>
          <w:szCs w:val="20"/>
          <w:color w:val="auto"/>
        </w:rPr>
      </w:pPr>
      <w:r>
        <w:rPr>
          <w:rFonts w:ascii="Arial" w:cs="Arial" w:eastAsia="Arial" w:hAnsi="Arial"/>
          <w:sz w:val="16"/>
          <w:szCs w:val="16"/>
          <w:b w:val="1"/>
          <w:bCs w:val="1"/>
          <w:color w:val="FFFFFE"/>
        </w:rPr>
        <w:t>Our governance highlights include:</w:t>
      </w: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20"/>
        </w:trPr>
        <w:tc>
          <w:tcPr>
            <w:tcW w:w="4280" w:type="dxa"/>
            <w:vAlign w:val="bottom"/>
            <w:tcBorders>
              <w:left w:val="single" w:sz="8" w:color="53C072"/>
            </w:tcBorders>
            <w:shd w:val="clear" w:color="auto" w:fill="53C07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900" w:type="dxa"/>
            <w:vAlign w:val="bottom"/>
            <w:tcBorders>
              <w:right w:val="single" w:sz="8" w:color="53C072"/>
            </w:tcBorders>
            <w:shd w:val="clear" w:color="auto" w:fill="53C07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4280" w:type="dxa"/>
            <w:vAlign w:val="bottom"/>
            <w:tcBorders>
              <w:left w:val="single" w:sz="8" w:color="53C072"/>
            </w:tcBorders>
          </w:tcPr>
          <w:p>
            <w:pPr>
              <w:ind w:left="1220"/>
              <w:spacing w:after="0"/>
              <w:rPr>
                <w:sz w:val="20"/>
                <w:szCs w:val="20"/>
                <w:color w:val="auto"/>
              </w:rPr>
            </w:pPr>
            <w:r>
              <w:rPr>
                <w:rFonts w:ascii="Arial" w:cs="Arial" w:eastAsia="Arial" w:hAnsi="Arial"/>
                <w:sz w:val="16"/>
                <w:szCs w:val="16"/>
                <w:color w:val="auto"/>
              </w:rPr>
              <w:t>Diverse Independent Board</w:t>
            </w:r>
          </w:p>
        </w:tc>
        <w:tc>
          <w:tcPr>
            <w:tcW w:w="1600" w:type="dxa"/>
            <w:vAlign w:val="bottom"/>
          </w:tcPr>
          <w:p>
            <w:pPr>
              <w:spacing w:after="0"/>
              <w:rPr>
                <w:sz w:val="24"/>
                <w:szCs w:val="24"/>
                <w:color w:val="auto"/>
              </w:rPr>
            </w:pPr>
          </w:p>
        </w:tc>
        <w:tc>
          <w:tcPr>
            <w:tcW w:w="5380" w:type="dxa"/>
            <w:vAlign w:val="bottom"/>
            <w:tcBorders>
              <w:right w:val="single" w:sz="8" w:color="53C072"/>
            </w:tcBorders>
            <w:gridSpan w:val="2"/>
          </w:tcPr>
          <w:p>
            <w:pPr>
              <w:ind w:left="660"/>
              <w:spacing w:after="0"/>
              <w:rPr>
                <w:sz w:val="20"/>
                <w:szCs w:val="20"/>
                <w:color w:val="auto"/>
              </w:rPr>
            </w:pPr>
            <w:r>
              <w:rPr>
                <w:rFonts w:ascii="Arial" w:cs="Arial" w:eastAsia="Arial" w:hAnsi="Arial"/>
                <w:sz w:val="16"/>
                <w:szCs w:val="16"/>
                <w:color w:val="auto"/>
              </w:rPr>
              <w:t>Incentive Compensation Recoupment Policy</w:t>
            </w:r>
          </w:p>
        </w:tc>
        <w:tc>
          <w:tcPr>
            <w:tcW w:w="0" w:type="dxa"/>
            <w:vAlign w:val="bottom"/>
          </w:tcPr>
          <w:p>
            <w:pPr>
              <w:spacing w:after="0"/>
              <w:rPr>
                <w:sz w:val="1"/>
                <w:szCs w:val="1"/>
                <w:color w:val="auto"/>
              </w:rPr>
            </w:pPr>
          </w:p>
        </w:tc>
      </w:tr>
      <w:tr>
        <w:trPr>
          <w:trHeight w:val="473"/>
        </w:trPr>
        <w:tc>
          <w:tcPr>
            <w:tcW w:w="5880" w:type="dxa"/>
            <w:vAlign w:val="bottom"/>
            <w:tcBorders>
              <w:left w:val="single" w:sz="8" w:color="53C072"/>
            </w:tcBorders>
            <w:gridSpan w:val="2"/>
          </w:tcPr>
          <w:p>
            <w:pPr>
              <w:ind w:left="1220"/>
              <w:spacing w:after="0"/>
              <w:rPr>
                <w:sz w:val="20"/>
                <w:szCs w:val="20"/>
                <w:color w:val="auto"/>
              </w:rPr>
            </w:pPr>
            <w:r>
              <w:rPr>
                <w:rFonts w:ascii="Arial" w:cs="Arial" w:eastAsia="Arial" w:hAnsi="Arial"/>
                <w:sz w:val="16"/>
                <w:szCs w:val="16"/>
                <w:color w:val="auto"/>
              </w:rPr>
              <w:t>Annual Election of Directors</w:t>
            </w:r>
          </w:p>
        </w:tc>
        <w:tc>
          <w:tcPr>
            <w:tcW w:w="5380" w:type="dxa"/>
            <w:vAlign w:val="bottom"/>
            <w:tcBorders>
              <w:right w:val="single" w:sz="8" w:color="53C072"/>
            </w:tcBorders>
            <w:gridSpan w:val="2"/>
          </w:tcPr>
          <w:p>
            <w:pPr>
              <w:ind w:left="660"/>
              <w:spacing w:after="0"/>
              <w:rPr>
                <w:sz w:val="20"/>
                <w:szCs w:val="20"/>
                <w:color w:val="auto"/>
              </w:rPr>
            </w:pPr>
            <w:r>
              <w:rPr>
                <w:rFonts w:ascii="Arial" w:cs="Arial" w:eastAsia="Arial" w:hAnsi="Arial"/>
                <w:sz w:val="16"/>
                <w:szCs w:val="16"/>
                <w:color w:val="auto"/>
              </w:rPr>
              <w:t>Risk Oversight by Board and Committees</w:t>
            </w:r>
          </w:p>
        </w:tc>
        <w:tc>
          <w:tcPr>
            <w:tcW w:w="0" w:type="dxa"/>
            <w:vAlign w:val="bottom"/>
          </w:tcPr>
          <w:p>
            <w:pPr>
              <w:spacing w:after="0"/>
              <w:rPr>
                <w:sz w:val="1"/>
                <w:szCs w:val="1"/>
                <w:color w:val="auto"/>
              </w:rPr>
            </w:pPr>
          </w:p>
        </w:tc>
      </w:tr>
      <w:tr>
        <w:trPr>
          <w:trHeight w:val="473"/>
        </w:trPr>
        <w:tc>
          <w:tcPr>
            <w:tcW w:w="5880" w:type="dxa"/>
            <w:vAlign w:val="bottom"/>
            <w:tcBorders>
              <w:left w:val="single" w:sz="8" w:color="53C072"/>
            </w:tcBorders>
            <w:gridSpan w:val="2"/>
          </w:tcPr>
          <w:p>
            <w:pPr>
              <w:ind w:left="1220"/>
              <w:spacing w:after="0"/>
              <w:rPr>
                <w:sz w:val="20"/>
                <w:szCs w:val="20"/>
                <w:color w:val="auto"/>
              </w:rPr>
            </w:pPr>
            <w:r>
              <w:rPr>
                <w:rFonts w:ascii="Arial" w:cs="Arial" w:eastAsia="Arial" w:hAnsi="Arial"/>
                <w:sz w:val="16"/>
                <w:szCs w:val="16"/>
                <w:color w:val="auto"/>
              </w:rPr>
              <w:t>Regular Executive Sessions of Independent Directors</w:t>
            </w:r>
          </w:p>
        </w:tc>
        <w:tc>
          <w:tcPr>
            <w:tcW w:w="5380" w:type="dxa"/>
            <w:vAlign w:val="bottom"/>
            <w:tcBorders>
              <w:right w:val="single" w:sz="8" w:color="53C072"/>
            </w:tcBorders>
            <w:gridSpan w:val="2"/>
          </w:tcPr>
          <w:p>
            <w:pPr>
              <w:ind w:left="660"/>
              <w:spacing w:after="0"/>
              <w:rPr>
                <w:sz w:val="20"/>
                <w:szCs w:val="20"/>
                <w:color w:val="auto"/>
              </w:rPr>
            </w:pPr>
            <w:r>
              <w:rPr>
                <w:rFonts w:ascii="Arial" w:cs="Arial" w:eastAsia="Arial" w:hAnsi="Arial"/>
                <w:sz w:val="16"/>
                <w:szCs w:val="16"/>
                <w:color w:val="auto"/>
              </w:rPr>
              <w:t>Majority Voting for Directors</w:t>
            </w:r>
          </w:p>
        </w:tc>
        <w:tc>
          <w:tcPr>
            <w:tcW w:w="0" w:type="dxa"/>
            <w:vAlign w:val="bottom"/>
          </w:tcPr>
          <w:p>
            <w:pPr>
              <w:spacing w:after="0"/>
              <w:rPr>
                <w:sz w:val="1"/>
                <w:szCs w:val="1"/>
                <w:color w:val="auto"/>
              </w:rPr>
            </w:pPr>
          </w:p>
        </w:tc>
      </w:tr>
      <w:tr>
        <w:trPr>
          <w:trHeight w:val="473"/>
        </w:trPr>
        <w:tc>
          <w:tcPr>
            <w:tcW w:w="5880" w:type="dxa"/>
            <w:vAlign w:val="bottom"/>
            <w:tcBorders>
              <w:left w:val="single" w:sz="8" w:color="53C072"/>
            </w:tcBorders>
            <w:gridSpan w:val="2"/>
          </w:tcPr>
          <w:p>
            <w:pPr>
              <w:ind w:left="1220"/>
              <w:spacing w:after="0"/>
              <w:rPr>
                <w:sz w:val="20"/>
                <w:szCs w:val="20"/>
                <w:color w:val="auto"/>
              </w:rPr>
            </w:pPr>
            <w:r>
              <w:rPr>
                <w:rFonts w:ascii="Arial" w:cs="Arial" w:eastAsia="Arial" w:hAnsi="Arial"/>
                <w:sz w:val="16"/>
                <w:szCs w:val="16"/>
                <w:color w:val="auto"/>
              </w:rPr>
              <w:t>Separate Chair and CEO roles</w:t>
            </w:r>
          </w:p>
        </w:tc>
        <w:tc>
          <w:tcPr>
            <w:tcW w:w="5380" w:type="dxa"/>
            <w:vAlign w:val="bottom"/>
            <w:tcBorders>
              <w:right w:val="single" w:sz="8" w:color="53C072"/>
            </w:tcBorders>
            <w:gridSpan w:val="2"/>
          </w:tcPr>
          <w:p>
            <w:pPr>
              <w:ind w:left="660"/>
              <w:spacing w:after="0"/>
              <w:rPr>
                <w:sz w:val="20"/>
                <w:szCs w:val="20"/>
                <w:color w:val="auto"/>
              </w:rPr>
            </w:pPr>
            <w:r>
              <w:rPr>
                <w:rFonts w:ascii="Arial" w:cs="Arial" w:eastAsia="Arial" w:hAnsi="Arial"/>
                <w:sz w:val="16"/>
                <w:szCs w:val="16"/>
                <w:color w:val="auto"/>
              </w:rPr>
              <w:t>No Supermajority Voting Provisions</w:t>
            </w:r>
          </w:p>
        </w:tc>
        <w:tc>
          <w:tcPr>
            <w:tcW w:w="0" w:type="dxa"/>
            <w:vAlign w:val="bottom"/>
          </w:tcPr>
          <w:p>
            <w:pPr>
              <w:spacing w:after="0"/>
              <w:rPr>
                <w:sz w:val="1"/>
                <w:szCs w:val="1"/>
                <w:color w:val="auto"/>
              </w:rPr>
            </w:pPr>
          </w:p>
        </w:tc>
      </w:tr>
      <w:tr>
        <w:trPr>
          <w:trHeight w:val="473"/>
        </w:trPr>
        <w:tc>
          <w:tcPr>
            <w:tcW w:w="5880" w:type="dxa"/>
            <w:vAlign w:val="bottom"/>
            <w:tcBorders>
              <w:left w:val="single" w:sz="8" w:color="53C072"/>
            </w:tcBorders>
            <w:gridSpan w:val="2"/>
          </w:tcPr>
          <w:p>
            <w:pPr>
              <w:ind w:left="1220"/>
              <w:spacing w:after="0"/>
              <w:rPr>
                <w:sz w:val="20"/>
                <w:szCs w:val="20"/>
                <w:color w:val="auto"/>
              </w:rPr>
            </w:pPr>
            <w:r>
              <w:rPr>
                <w:rFonts w:ascii="Arial" w:cs="Arial" w:eastAsia="Arial" w:hAnsi="Arial"/>
                <w:sz w:val="16"/>
                <w:szCs w:val="16"/>
                <w:color w:val="auto"/>
              </w:rPr>
              <w:t>Independent Chair</w:t>
            </w:r>
          </w:p>
        </w:tc>
        <w:tc>
          <w:tcPr>
            <w:tcW w:w="5380" w:type="dxa"/>
            <w:vAlign w:val="bottom"/>
            <w:tcBorders>
              <w:right w:val="single" w:sz="8" w:color="53C072"/>
            </w:tcBorders>
            <w:gridSpan w:val="2"/>
          </w:tcPr>
          <w:p>
            <w:pPr>
              <w:ind w:left="660"/>
              <w:spacing w:after="0"/>
              <w:rPr>
                <w:sz w:val="20"/>
                <w:szCs w:val="20"/>
                <w:color w:val="auto"/>
              </w:rPr>
            </w:pPr>
            <w:r>
              <w:rPr>
                <w:rFonts w:ascii="Arial" w:cs="Arial" w:eastAsia="Arial" w:hAnsi="Arial"/>
                <w:sz w:val="16"/>
                <w:szCs w:val="16"/>
                <w:color w:val="auto"/>
              </w:rPr>
              <w:t>Stock Ownership Guidelines for Executives and Directors</w:t>
            </w:r>
          </w:p>
        </w:tc>
        <w:tc>
          <w:tcPr>
            <w:tcW w:w="0" w:type="dxa"/>
            <w:vAlign w:val="bottom"/>
          </w:tcPr>
          <w:p>
            <w:pPr>
              <w:spacing w:after="0"/>
              <w:rPr>
                <w:sz w:val="1"/>
                <w:szCs w:val="1"/>
                <w:color w:val="auto"/>
              </w:rPr>
            </w:pPr>
          </w:p>
        </w:tc>
      </w:tr>
      <w:tr>
        <w:trPr>
          <w:trHeight w:val="406"/>
        </w:trPr>
        <w:tc>
          <w:tcPr>
            <w:tcW w:w="5880" w:type="dxa"/>
            <w:vAlign w:val="bottom"/>
            <w:tcBorders>
              <w:left w:val="single" w:sz="8" w:color="53C072"/>
            </w:tcBorders>
            <w:gridSpan w:val="2"/>
          </w:tcPr>
          <w:p>
            <w:pPr>
              <w:ind w:left="1220"/>
              <w:spacing w:after="0"/>
              <w:rPr>
                <w:sz w:val="20"/>
                <w:szCs w:val="20"/>
                <w:color w:val="auto"/>
              </w:rPr>
            </w:pPr>
            <w:r>
              <w:rPr>
                <w:rFonts w:ascii="Arial" w:cs="Arial" w:eastAsia="Arial" w:hAnsi="Arial"/>
                <w:sz w:val="16"/>
                <w:szCs w:val="16"/>
                <w:color w:val="auto"/>
              </w:rPr>
              <w:t>Regular Succession Planning for CEO and executive and</w:t>
            </w:r>
          </w:p>
        </w:tc>
        <w:tc>
          <w:tcPr>
            <w:tcW w:w="5380" w:type="dxa"/>
            <w:vAlign w:val="bottom"/>
            <w:tcBorders>
              <w:right w:val="single" w:sz="8" w:color="53C072"/>
            </w:tcBorders>
            <w:gridSpan w:val="2"/>
            <w:vMerge w:val="restart"/>
          </w:tcPr>
          <w:p>
            <w:pPr>
              <w:ind w:left="660"/>
              <w:spacing w:after="0"/>
              <w:rPr>
                <w:sz w:val="20"/>
                <w:szCs w:val="20"/>
                <w:color w:val="auto"/>
              </w:rPr>
            </w:pPr>
            <w:r>
              <w:rPr>
                <w:rFonts w:ascii="Arial" w:cs="Arial" w:eastAsia="Arial" w:hAnsi="Arial"/>
                <w:sz w:val="16"/>
                <w:szCs w:val="16"/>
                <w:color w:val="auto"/>
              </w:rPr>
              <w:t>Prohibitions on Hedging and Pledging</w:t>
            </w:r>
          </w:p>
        </w:tc>
        <w:tc>
          <w:tcPr>
            <w:tcW w:w="0" w:type="dxa"/>
            <w:vAlign w:val="bottom"/>
          </w:tcPr>
          <w:p>
            <w:pPr>
              <w:spacing w:after="0"/>
              <w:rPr>
                <w:sz w:val="1"/>
                <w:szCs w:val="1"/>
                <w:color w:val="auto"/>
              </w:rPr>
            </w:pPr>
          </w:p>
        </w:tc>
      </w:tr>
      <w:tr>
        <w:trPr>
          <w:trHeight w:val="116"/>
        </w:trPr>
        <w:tc>
          <w:tcPr>
            <w:tcW w:w="5880" w:type="dxa"/>
            <w:vAlign w:val="bottom"/>
            <w:tcBorders>
              <w:left w:val="single" w:sz="8" w:color="53C072"/>
            </w:tcBorders>
            <w:gridSpan w:val="2"/>
            <w:vMerge w:val="restart"/>
          </w:tcPr>
          <w:p>
            <w:pPr>
              <w:ind w:left="1220"/>
              <w:spacing w:after="0"/>
              <w:rPr>
                <w:sz w:val="20"/>
                <w:szCs w:val="20"/>
                <w:color w:val="auto"/>
              </w:rPr>
            </w:pPr>
            <w:r>
              <w:rPr>
                <w:rFonts w:ascii="Arial" w:cs="Arial" w:eastAsia="Arial" w:hAnsi="Arial"/>
                <w:sz w:val="16"/>
                <w:szCs w:val="16"/>
                <w:color w:val="auto"/>
              </w:rPr>
              <w:t>Board levels</w:t>
            </w:r>
          </w:p>
        </w:tc>
        <w:tc>
          <w:tcPr>
            <w:tcW w:w="5380" w:type="dxa"/>
            <w:vAlign w:val="bottom"/>
            <w:tcBorders>
              <w:right w:val="single" w:sz="8" w:color="53C072"/>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5880" w:type="dxa"/>
            <w:vAlign w:val="bottom"/>
            <w:tcBorders>
              <w:left w:val="single" w:sz="8" w:color="53C072"/>
            </w:tcBorders>
            <w:gridSpan w:val="2"/>
            <w:vMerge w:val="continue"/>
          </w:tcPr>
          <w:p>
            <w:pPr>
              <w:spacing w:after="0"/>
              <w:rPr>
                <w:sz w:val="8"/>
                <w:szCs w:val="8"/>
                <w:color w:val="auto"/>
              </w:rPr>
            </w:pPr>
          </w:p>
        </w:tc>
        <w:tc>
          <w:tcPr>
            <w:tcW w:w="1480" w:type="dxa"/>
            <w:vAlign w:val="bottom"/>
          </w:tcPr>
          <w:p>
            <w:pPr>
              <w:spacing w:after="0"/>
              <w:rPr>
                <w:sz w:val="8"/>
                <w:szCs w:val="8"/>
                <w:color w:val="auto"/>
              </w:rPr>
            </w:pPr>
          </w:p>
        </w:tc>
        <w:tc>
          <w:tcPr>
            <w:tcW w:w="3900" w:type="dxa"/>
            <w:vAlign w:val="bottom"/>
            <w:tcBorders>
              <w:right w:val="single" w:sz="8" w:color="53C072"/>
            </w:tcBorders>
          </w:tcPr>
          <w:p>
            <w:pPr>
              <w:spacing w:after="0"/>
              <w:rPr>
                <w:sz w:val="8"/>
                <w:szCs w:val="8"/>
                <w:color w:val="auto"/>
              </w:rPr>
            </w:pPr>
          </w:p>
        </w:tc>
        <w:tc>
          <w:tcPr>
            <w:tcW w:w="0" w:type="dxa"/>
            <w:vAlign w:val="bottom"/>
          </w:tcPr>
          <w:p>
            <w:pPr>
              <w:spacing w:after="0"/>
              <w:rPr>
                <w:sz w:val="1"/>
                <w:szCs w:val="1"/>
                <w:color w:val="auto"/>
              </w:rPr>
            </w:pPr>
          </w:p>
        </w:tc>
      </w:tr>
      <w:tr>
        <w:trPr>
          <w:trHeight w:val="437"/>
        </w:trPr>
        <w:tc>
          <w:tcPr>
            <w:tcW w:w="4280" w:type="dxa"/>
            <w:vAlign w:val="bottom"/>
            <w:tcBorders>
              <w:left w:val="single" w:sz="8" w:color="53C072"/>
            </w:tcBorders>
          </w:tcPr>
          <w:p>
            <w:pPr>
              <w:spacing w:after="0"/>
              <w:rPr>
                <w:sz w:val="24"/>
                <w:szCs w:val="24"/>
                <w:color w:val="auto"/>
              </w:rPr>
            </w:pPr>
          </w:p>
        </w:tc>
        <w:tc>
          <w:tcPr>
            <w:tcW w:w="1600" w:type="dxa"/>
            <w:vAlign w:val="bottom"/>
          </w:tcPr>
          <w:p>
            <w:pPr>
              <w:spacing w:after="0"/>
              <w:rPr>
                <w:sz w:val="24"/>
                <w:szCs w:val="24"/>
                <w:color w:val="auto"/>
              </w:rPr>
            </w:pPr>
          </w:p>
        </w:tc>
        <w:tc>
          <w:tcPr>
            <w:tcW w:w="5380" w:type="dxa"/>
            <w:vAlign w:val="bottom"/>
            <w:tcBorders>
              <w:right w:val="single" w:sz="8" w:color="53C072"/>
            </w:tcBorders>
            <w:gridSpan w:val="2"/>
          </w:tcPr>
          <w:p>
            <w:pPr>
              <w:ind w:left="660"/>
              <w:spacing w:after="0"/>
              <w:rPr>
                <w:sz w:val="20"/>
                <w:szCs w:val="20"/>
                <w:color w:val="auto"/>
              </w:rPr>
            </w:pPr>
            <w:r>
              <w:rPr>
                <w:rFonts w:ascii="Arial" w:cs="Arial" w:eastAsia="Arial" w:hAnsi="Arial"/>
                <w:sz w:val="16"/>
                <w:szCs w:val="16"/>
                <w:color w:val="auto"/>
              </w:rPr>
              <w:t>No Poison Pill</w:t>
            </w:r>
          </w:p>
        </w:tc>
        <w:tc>
          <w:tcPr>
            <w:tcW w:w="0" w:type="dxa"/>
            <w:vAlign w:val="bottom"/>
          </w:tcPr>
          <w:p>
            <w:pPr>
              <w:spacing w:after="0"/>
              <w:rPr>
                <w:sz w:val="1"/>
                <w:szCs w:val="1"/>
                <w:color w:val="auto"/>
              </w:rPr>
            </w:pPr>
          </w:p>
        </w:tc>
      </w:tr>
      <w:tr>
        <w:trPr>
          <w:trHeight w:val="23"/>
        </w:trPr>
        <w:tc>
          <w:tcPr>
            <w:tcW w:w="4280" w:type="dxa"/>
            <w:vAlign w:val="bottom"/>
            <w:tcBorders>
              <w:left w:val="single" w:sz="8" w:color="53C072"/>
              <w:bottom w:val="single" w:sz="8" w:color="53C072"/>
            </w:tcBorders>
          </w:tcPr>
          <w:p>
            <w:pPr>
              <w:spacing w:after="0" w:line="20" w:lineRule="exact"/>
              <w:rPr>
                <w:sz w:val="1"/>
                <w:szCs w:val="1"/>
                <w:color w:val="auto"/>
              </w:rPr>
            </w:pPr>
          </w:p>
        </w:tc>
        <w:tc>
          <w:tcPr>
            <w:tcW w:w="1600" w:type="dxa"/>
            <w:vAlign w:val="bottom"/>
            <w:tcBorders>
              <w:bottom w:val="single" w:sz="8" w:color="53C072"/>
            </w:tcBorders>
          </w:tcPr>
          <w:p>
            <w:pPr>
              <w:spacing w:after="0" w:line="20" w:lineRule="exact"/>
              <w:rPr>
                <w:sz w:val="1"/>
                <w:szCs w:val="1"/>
                <w:color w:val="auto"/>
              </w:rPr>
            </w:pPr>
          </w:p>
        </w:tc>
        <w:tc>
          <w:tcPr>
            <w:tcW w:w="1480" w:type="dxa"/>
            <w:vAlign w:val="bottom"/>
            <w:tcBorders>
              <w:bottom w:val="single" w:sz="8" w:color="53C072"/>
            </w:tcBorders>
          </w:tcPr>
          <w:p>
            <w:pPr>
              <w:spacing w:after="0" w:line="20" w:lineRule="exact"/>
              <w:rPr>
                <w:sz w:val="1"/>
                <w:szCs w:val="1"/>
                <w:color w:val="auto"/>
              </w:rPr>
            </w:pPr>
          </w:p>
        </w:tc>
        <w:tc>
          <w:tcPr>
            <w:tcW w:w="3900" w:type="dxa"/>
            <w:vAlign w:val="bottom"/>
            <w:tcBorders>
              <w:bottom w:val="single" w:sz="8" w:color="53C072"/>
              <w:right w:val="single" w:sz="8" w:color="53C072"/>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-2042160</wp:posOffset>
            </wp:positionV>
            <wp:extent cx="161925" cy="1619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61925" cy="161925"/>
                    </a:xfrm>
                    <a:prstGeom prst="rect">
                      <a:avLst/>
                    </a:prstGeom>
                    <a:noFill/>
                  </pic:spPr>
                </pic:pic>
              </a:graphicData>
            </a:graphic>
          </wp:anchor>
        </w:drawing>
        <w:drawing>
          <wp:anchor simplePos="0" relativeHeight="251657728" behindDoc="1" locked="0" layoutInCell="0" allowOverlap="1">
            <wp:simplePos x="0" y="0"/>
            <wp:positionH relativeFrom="column">
              <wp:posOffset>3736975</wp:posOffset>
            </wp:positionH>
            <wp:positionV relativeFrom="paragraph">
              <wp:posOffset>-2042160</wp:posOffset>
            </wp:positionV>
            <wp:extent cx="161925" cy="1619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61925" cy="161925"/>
                    </a:xfrm>
                    <a:prstGeom prst="rect">
                      <a:avLst/>
                    </a:prstGeom>
                    <a:noFill/>
                  </pic:spPr>
                </pic:pic>
              </a:graphicData>
            </a:graphic>
          </wp:anchor>
        </w:drawing>
        <w:drawing>
          <wp:anchor simplePos="0" relativeHeight="251657728" behindDoc="1" locked="0" layoutInCell="0" allowOverlap="1">
            <wp:simplePos x="0" y="0"/>
            <wp:positionH relativeFrom="column">
              <wp:posOffset>375920</wp:posOffset>
            </wp:positionH>
            <wp:positionV relativeFrom="paragraph">
              <wp:posOffset>-1741805</wp:posOffset>
            </wp:positionV>
            <wp:extent cx="161925" cy="1619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1925" cy="161925"/>
                    </a:xfrm>
                    <a:prstGeom prst="rect">
                      <a:avLst/>
                    </a:prstGeom>
                    <a:noFill/>
                  </pic:spPr>
                </pic:pic>
              </a:graphicData>
            </a:graphic>
          </wp:anchor>
        </w:drawing>
        <w:drawing>
          <wp:anchor simplePos="0" relativeHeight="251657728" behindDoc="1" locked="0" layoutInCell="0" allowOverlap="1">
            <wp:simplePos x="0" y="0"/>
            <wp:positionH relativeFrom="column">
              <wp:posOffset>3736975</wp:posOffset>
            </wp:positionH>
            <wp:positionV relativeFrom="paragraph">
              <wp:posOffset>-1741805</wp:posOffset>
            </wp:positionV>
            <wp:extent cx="161925" cy="1619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1925" cy="161925"/>
                    </a:xfrm>
                    <a:prstGeom prst="rect">
                      <a:avLst/>
                    </a:prstGeom>
                    <a:noFill/>
                  </pic:spPr>
                </pic:pic>
              </a:graphicData>
            </a:graphic>
          </wp:anchor>
        </w:drawing>
        <w:drawing>
          <wp:anchor simplePos="0" relativeHeight="251657728" behindDoc="1" locked="0" layoutInCell="0" allowOverlap="1">
            <wp:simplePos x="0" y="0"/>
            <wp:positionH relativeFrom="column">
              <wp:posOffset>375920</wp:posOffset>
            </wp:positionH>
            <wp:positionV relativeFrom="paragraph">
              <wp:posOffset>-1440815</wp:posOffset>
            </wp:positionV>
            <wp:extent cx="161925" cy="1619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1925" cy="161925"/>
                    </a:xfrm>
                    <a:prstGeom prst="rect">
                      <a:avLst/>
                    </a:prstGeom>
                    <a:noFill/>
                  </pic:spPr>
                </pic:pic>
              </a:graphicData>
            </a:graphic>
          </wp:anchor>
        </w:drawing>
        <w:drawing>
          <wp:anchor simplePos="0" relativeHeight="251657728" behindDoc="1" locked="0" layoutInCell="0" allowOverlap="1">
            <wp:simplePos x="0" y="0"/>
            <wp:positionH relativeFrom="column">
              <wp:posOffset>3736975</wp:posOffset>
            </wp:positionH>
            <wp:positionV relativeFrom="paragraph">
              <wp:posOffset>-1440815</wp:posOffset>
            </wp:positionV>
            <wp:extent cx="161925" cy="1619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61925" cy="161925"/>
                    </a:xfrm>
                    <a:prstGeom prst="rect">
                      <a:avLst/>
                    </a:prstGeom>
                    <a:noFill/>
                  </pic:spPr>
                </pic:pic>
              </a:graphicData>
            </a:graphic>
          </wp:anchor>
        </w:drawing>
        <w:drawing>
          <wp:anchor simplePos="0" relativeHeight="251657728" behindDoc="1" locked="0" layoutInCell="0" allowOverlap="1">
            <wp:simplePos x="0" y="0"/>
            <wp:positionH relativeFrom="column">
              <wp:posOffset>375920</wp:posOffset>
            </wp:positionH>
            <wp:positionV relativeFrom="paragraph">
              <wp:posOffset>-1140460</wp:posOffset>
            </wp:positionV>
            <wp:extent cx="161925" cy="1619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1925" cy="161925"/>
                    </a:xfrm>
                    <a:prstGeom prst="rect">
                      <a:avLst/>
                    </a:prstGeom>
                    <a:noFill/>
                  </pic:spPr>
                </pic:pic>
              </a:graphicData>
            </a:graphic>
          </wp:anchor>
        </w:drawing>
        <w:drawing>
          <wp:anchor simplePos="0" relativeHeight="251657728" behindDoc="1" locked="0" layoutInCell="0" allowOverlap="1">
            <wp:simplePos x="0" y="0"/>
            <wp:positionH relativeFrom="column">
              <wp:posOffset>3736975</wp:posOffset>
            </wp:positionH>
            <wp:positionV relativeFrom="paragraph">
              <wp:posOffset>-1140460</wp:posOffset>
            </wp:positionV>
            <wp:extent cx="161925" cy="1619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1925" cy="161925"/>
                    </a:xfrm>
                    <a:prstGeom prst="rect">
                      <a:avLst/>
                    </a:prstGeom>
                    <a:noFill/>
                  </pic:spPr>
                </pic:pic>
              </a:graphicData>
            </a:graphic>
          </wp:anchor>
        </w:drawing>
        <w:drawing>
          <wp:anchor simplePos="0" relativeHeight="251657728" behindDoc="1" locked="0" layoutInCell="0" allowOverlap="1">
            <wp:simplePos x="0" y="0"/>
            <wp:positionH relativeFrom="column">
              <wp:posOffset>375920</wp:posOffset>
            </wp:positionH>
            <wp:positionV relativeFrom="paragraph">
              <wp:posOffset>-839470</wp:posOffset>
            </wp:positionV>
            <wp:extent cx="161925" cy="1619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61925" cy="161925"/>
                    </a:xfrm>
                    <a:prstGeom prst="rect">
                      <a:avLst/>
                    </a:prstGeom>
                    <a:noFill/>
                  </pic:spPr>
                </pic:pic>
              </a:graphicData>
            </a:graphic>
          </wp:anchor>
        </w:drawing>
        <w:drawing>
          <wp:anchor simplePos="0" relativeHeight="251657728" behindDoc="1" locked="0" layoutInCell="0" allowOverlap="1">
            <wp:simplePos x="0" y="0"/>
            <wp:positionH relativeFrom="column">
              <wp:posOffset>3736975</wp:posOffset>
            </wp:positionH>
            <wp:positionV relativeFrom="paragraph">
              <wp:posOffset>-839470</wp:posOffset>
            </wp:positionV>
            <wp:extent cx="161925" cy="1619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61925" cy="161925"/>
                    </a:xfrm>
                    <a:prstGeom prst="rect">
                      <a:avLst/>
                    </a:prstGeom>
                    <a:noFill/>
                  </pic:spPr>
                </pic:pic>
              </a:graphicData>
            </a:graphic>
          </wp:anchor>
        </w:drawing>
        <w:drawing>
          <wp:anchor simplePos="0" relativeHeight="251657728" behindDoc="1" locked="0" layoutInCell="0" allowOverlap="1">
            <wp:simplePos x="0" y="0"/>
            <wp:positionH relativeFrom="column">
              <wp:posOffset>375920</wp:posOffset>
            </wp:positionH>
            <wp:positionV relativeFrom="paragraph">
              <wp:posOffset>-508000</wp:posOffset>
            </wp:positionV>
            <wp:extent cx="161925" cy="1619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61925" cy="161925"/>
                    </a:xfrm>
                    <a:prstGeom prst="rect">
                      <a:avLst/>
                    </a:prstGeom>
                    <a:noFill/>
                  </pic:spPr>
                </pic:pic>
              </a:graphicData>
            </a:graphic>
          </wp:anchor>
        </w:drawing>
        <w:drawing>
          <wp:anchor simplePos="0" relativeHeight="251657728" behindDoc="1" locked="0" layoutInCell="0" allowOverlap="1">
            <wp:simplePos x="0" y="0"/>
            <wp:positionH relativeFrom="column">
              <wp:posOffset>3736975</wp:posOffset>
            </wp:positionH>
            <wp:positionV relativeFrom="paragraph">
              <wp:posOffset>-508000</wp:posOffset>
            </wp:positionV>
            <wp:extent cx="161925" cy="1619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61925" cy="161925"/>
                    </a:xfrm>
                    <a:prstGeom prst="rect">
                      <a:avLst/>
                    </a:prstGeom>
                    <a:noFill/>
                  </pic:spPr>
                </pic:pic>
              </a:graphicData>
            </a:graphic>
          </wp:anchor>
        </w:drawing>
        <w:drawing>
          <wp:anchor simplePos="0" relativeHeight="251657728" behindDoc="1" locked="0" layoutInCell="0" allowOverlap="1">
            <wp:simplePos x="0" y="0"/>
            <wp:positionH relativeFrom="column">
              <wp:posOffset>3736975</wp:posOffset>
            </wp:positionH>
            <wp:positionV relativeFrom="paragraph">
              <wp:posOffset>-168910</wp:posOffset>
            </wp:positionV>
            <wp:extent cx="161925" cy="1619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61925" cy="16192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CORPORATE GOVERNANCE GUIDELINES</w:t>
      </w:r>
    </w:p>
    <w:p>
      <w:pPr>
        <w:spacing w:after="0" w:line="209"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 xml:space="preserve">The Corporate Governance Guidelines (the "Guidelines") collect in one document many of the corporate governance practices and procedures that have evolved at the Company over the years. Among other things, the Guidelines address the duties of the Board of Directors, director qualifications and selection process, director compensation, Board operations, management succession, Board committee matters, and director orientation and continuing education. The Guidelines also provide for annual self-evaluations by the Board and its committees. The Board reviews the Guidelines on an annual basis. The Guidelines are available on the Company's website at </w:t>
      </w:r>
      <w:r>
        <w:rPr>
          <w:rFonts w:ascii="Arial" w:cs="Arial" w:eastAsia="Arial" w:hAnsi="Arial"/>
          <w:sz w:val="16"/>
          <w:szCs w:val="16"/>
          <w:u w:val="single" w:color="auto"/>
          <w:color w:val="auto"/>
        </w:rPr>
        <w:t>www.ir.avnet.com/documents-charters</w:t>
      </w:r>
      <w:r>
        <w:rPr>
          <w:rFonts w:ascii="Arial" w:cs="Arial" w:eastAsia="Arial" w:hAnsi="Arial"/>
          <w:sz w:val="16"/>
          <w:szCs w:val="16"/>
          <w:color w:val="auto"/>
        </w:rPr>
        <w:t>.</w:t>
      </w:r>
    </w:p>
    <w:p>
      <w:pPr>
        <w:spacing w:after="0" w:line="16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As a general policy, as set forth in the Guidelines, the Board recommends certain limits as to the service of Directors on other boards of public companies. These limits are as follows: (1) Directors who are actively employed on a full-time basis may serve on up to two additional public boards; (2) an independent Chair of the Board, if not actively employed on a full-time basis, may serve on up to three additional public boards; and (3) Directors who are retired from active full-time employment may serve on up to four additional public boards.</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DIRECTOR INDEPENDENCE</w:t>
      </w:r>
    </w:p>
    <w:p>
      <w:pPr>
        <w:spacing w:after="0" w:line="209"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 Board of Directors believes that a substantial majority of its members should be independent directors. The Board has determined that all of the current Directors are independent under the independence standards adopted by the Board (provided in Appendix A to the Guidelines), and under the independence requirements of the Nasdaq listing standards: Rodney C. Adkins, Carlo Bozotti, Michael A. Bradley, Brenda L. Freeman, Jo Ann Jenkins, Oleg Khaykin, James A. Lawrence, Avid Modjtabai, Adalio T. Sanchez and William H. Schumann, III (collectively, the "Independent Directors").</w:t>
      </w:r>
    </w:p>
    <w:p>
      <w:pPr>
        <w:spacing w:after="0" w:line="115" w:lineRule="exact"/>
        <w:rPr>
          <w:sz w:val="20"/>
          <w:szCs w:val="20"/>
          <w:color w:val="auto"/>
        </w:rPr>
      </w:pPr>
    </w:p>
    <w:p>
      <w:pPr>
        <w:jc w:val="both"/>
        <w:ind w:left="10720"/>
        <w:spacing w:after="0"/>
        <w:tabs>
          <w:tab w:leader="none" w:pos="11060" w:val="left"/>
        </w:tabs>
        <w:rPr>
          <w:sz w:val="20"/>
          <w:szCs w:val="20"/>
          <w:color w:val="auto"/>
        </w:rPr>
      </w:pPr>
      <w:r>
        <w:rPr>
          <w:rFonts w:ascii="Arial" w:cs="Arial" w:eastAsia="Arial" w:hAnsi="Arial"/>
          <w:sz w:val="23"/>
          <w:szCs w:val="23"/>
          <w:b w:val="1"/>
          <w:bCs w:val="1"/>
          <w:color w:val="53C072"/>
        </w:rPr>
        <w:t>|</w:t>
      </w:r>
      <w:r>
        <w:rPr>
          <w:sz w:val="20"/>
          <w:szCs w:val="20"/>
          <w:color w:val="auto"/>
        </w:rPr>
        <w:tab/>
      </w: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159385</wp:posOffset>
            </wp:positionV>
            <wp:extent cx="7151370" cy="203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-122555</wp:posOffset>
            </wp:positionV>
            <wp:extent cx="1664970" cy="1231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3"/>
        </w:trPr>
        <w:tc>
          <w:tcPr>
            <w:tcW w:w="560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5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60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5660" w:type="dxa"/>
            <w:vAlign w:val="bottom"/>
            <w:vMerge w:val="restart"/>
          </w:tcPr>
          <w:p>
            <w:pPr>
              <w:ind w:left="4340"/>
              <w:spacing w:after="0"/>
              <w:rPr>
                <w:sz w:val="20"/>
                <w:szCs w:val="20"/>
                <w:color w:val="auto"/>
              </w:rPr>
            </w:pPr>
            <w:r>
              <w:rPr>
                <w:rFonts w:ascii="Arial" w:cs="Arial" w:eastAsia="Arial" w:hAnsi="Arial"/>
                <w:sz w:val="13"/>
                <w:szCs w:val="13"/>
                <w:color w:val="auto"/>
                <w:w w:val="98"/>
              </w:rPr>
              <w:t>Corporate Governance</w:t>
            </w:r>
          </w:p>
        </w:tc>
        <w:tc>
          <w:tcPr>
            <w:tcW w:w="0" w:type="dxa"/>
            <w:vAlign w:val="bottom"/>
          </w:tcPr>
          <w:p>
            <w:pPr>
              <w:spacing w:after="0"/>
              <w:rPr>
                <w:sz w:val="1"/>
                <w:szCs w:val="1"/>
                <w:color w:val="auto"/>
              </w:rPr>
            </w:pPr>
          </w:p>
        </w:tc>
      </w:tr>
      <w:tr>
        <w:trPr>
          <w:trHeight w:val="102"/>
        </w:trPr>
        <w:tc>
          <w:tcPr>
            <w:tcW w:w="560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5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600" w:type="dxa"/>
            <w:vAlign w:val="bottom"/>
            <w:vMerge w:val="continue"/>
          </w:tcPr>
          <w:p>
            <w:pPr>
              <w:spacing w:after="0"/>
              <w:rPr>
                <w:sz w:val="7"/>
                <w:szCs w:val="7"/>
                <w:color w:val="auto"/>
              </w:rPr>
            </w:pPr>
          </w:p>
        </w:tc>
        <w:tc>
          <w:tcPr>
            <w:tcW w:w="5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BOARD LEADERSHIP STRUCTURE</w:t>
      </w:r>
    </w:p>
    <w:p>
      <w:pPr>
        <w:spacing w:after="0" w:line="209" w:lineRule="exact"/>
        <w:rPr>
          <w:sz w:val="20"/>
          <w:szCs w:val="20"/>
          <w:color w:val="auto"/>
        </w:rPr>
      </w:pPr>
    </w:p>
    <w:p>
      <w:pPr>
        <w:ind w:right="100"/>
        <w:spacing w:after="0" w:line="245" w:lineRule="auto"/>
        <w:rPr>
          <w:sz w:val="20"/>
          <w:szCs w:val="20"/>
          <w:color w:val="auto"/>
        </w:rPr>
      </w:pPr>
      <w:r>
        <w:rPr>
          <w:rFonts w:ascii="Arial" w:cs="Arial" w:eastAsia="Arial" w:hAnsi="Arial"/>
          <w:sz w:val="16"/>
          <w:szCs w:val="16"/>
          <w:color w:val="auto"/>
        </w:rPr>
        <w:t>Pursuant to the Guidelines, the Board of Directors has the flexibility to decide whether it is best for the Company at a given point in time for the roles of the Chief Executive Officer ("CEO") and Chair of the Board (the "Chair") to be separate or combined and, if separate, whether the Chair should be selected from the Independent Directors or be an employee of the Company. The Board believes that the Company and its shareholders are best served by maintaining this flexibility rather than mandating a particular leadership structure. The Board also believes its programs for overseeing risk would be effective under a variety of leadership frameworks and therefore do not materially affect how it structures its leadership. In the event that the Chair is an employee of the Company, the Guidelines provide for an active lead independent director.</w:t>
      </w:r>
    </w:p>
    <w:p>
      <w:pPr>
        <w:spacing w:after="0" w:line="160"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Mr. Adkins, an Independent Director of the Company, currently serves as the Chair and Philip R. Gallagher currently serves as the Interim CEO. The Board of Directors has concluded that the current leadership structure provides an appropriate framework for the Directors to provide independent, objective and effective oversight of management at this point in time.</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EXECUTIVE SESSIONS</w:t>
      </w:r>
    </w:p>
    <w:p>
      <w:pPr>
        <w:spacing w:after="0" w:line="209"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To promote free and open discussion and communication, Independent Directors meet in executive session at regularly scheduled Board meetings with neither non-Independent Directors nor management present.</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DIRECTOR NOMINATIONS</w:t>
      </w:r>
    </w:p>
    <w:p>
      <w:pPr>
        <w:spacing w:after="0" w:line="209"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color w:val="auto"/>
        </w:rPr>
        <w:t>The Corporate Governance Committee is responsible for identifying, screening and recommending candidates for election to the Company's Board of Directors. Pursuant to the Guidelines, the Committee reviews the business experience, education and skills of candidates; their character and judgment; and diversity in factors such as age, gender, race, nationality and culture. In addition, the charter of the Corporate Governance Committee provides that the committee will consider criteria including the possession of such knowledge, experience, skills, expertise and diversity so as to enhance the Board's ability to manage and direct the affairs and business of the Company. Although the Corporate Governance Committee does not have a formal policy concerning diversity, the Company believes that valuing diversity makes good business sense. The Corporate Governance Committee includes women and minority candidates in the pool from which it seeks future Directors.</w:t>
      </w:r>
    </w:p>
    <w:p>
      <w:pPr>
        <w:spacing w:after="0" w:line="165" w:lineRule="exact"/>
        <w:rPr>
          <w:sz w:val="20"/>
          <w:szCs w:val="20"/>
          <w:color w:val="auto"/>
        </w:rPr>
      </w:pPr>
    </w:p>
    <w:p>
      <w:pPr>
        <w:ind w:right="380"/>
        <w:spacing w:after="0" w:line="246" w:lineRule="auto"/>
        <w:rPr>
          <w:sz w:val="20"/>
          <w:szCs w:val="20"/>
          <w:color w:val="auto"/>
        </w:rPr>
      </w:pPr>
      <w:r>
        <w:rPr>
          <w:rFonts w:ascii="Arial" w:cs="Arial" w:eastAsia="Arial" w:hAnsi="Arial"/>
          <w:sz w:val="16"/>
          <w:szCs w:val="16"/>
          <w:color w:val="auto"/>
        </w:rPr>
        <w:t>These above factors, and others considered useful by the Board, are reviewed in the context of an assessment of the perceived needs of the Board at a particular point in time. Directors must also possess the highest personal and professional ethics, integrity and values, and be committed to representing the long-term interests of all shareholders. Board members are expected to diligently prepare for, attend and participate in all Board and applicable Committee meetings. Each Board member is expected to ensure that other existing and future commitments do not materially interfere with the member's attendance at meetings and service as a Director.</w:t>
      </w:r>
    </w:p>
    <w:p>
      <w:pPr>
        <w:spacing w:after="0" w:line="162" w:lineRule="exact"/>
        <w:rPr>
          <w:sz w:val="20"/>
          <w:szCs w:val="20"/>
          <w:color w:val="auto"/>
        </w:rPr>
      </w:pPr>
    </w:p>
    <w:p>
      <w:pPr>
        <w:ind w:right="460"/>
        <w:spacing w:after="0" w:line="275" w:lineRule="auto"/>
        <w:rPr>
          <w:sz w:val="20"/>
          <w:szCs w:val="20"/>
          <w:color w:val="auto"/>
        </w:rPr>
      </w:pPr>
      <w:r>
        <w:rPr>
          <w:rFonts w:ascii="Arial" w:cs="Arial" w:eastAsia="Arial" w:hAnsi="Arial"/>
          <w:sz w:val="16"/>
          <w:szCs w:val="16"/>
          <w:color w:val="auto"/>
        </w:rPr>
        <w:t>The Corporate Governance Committee also reviews whether a potential candidate will meet the Board's independence standards and any other Director or committee membership requirements imposed by law, regulation or stock exchange rules.</w:t>
      </w:r>
    </w:p>
    <w:p>
      <w:pPr>
        <w:spacing w:after="0" w:line="137"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Director candidates recommended by the Corporate Governance Committee are subject to full Board approval and subsequent annual election by the shareholders. The Board of Directors is also responsible for electing Directors to fill vacancies on the Board that occur due to retirement, resignation, expansion of the Board or other events occurring between the shareholders' annual meetings. The Corporate Governance Committee may retain a search firm, from time to time, to assist in identifying and evaluating Director candidates. When a search firm is used, the Committee provides specified criteria for Director candidates, tailored to the needs of the Board at that time, and pays the firm a fee for these services.</w:t>
      </w:r>
    </w:p>
    <w:p>
      <w:pPr>
        <w:spacing w:after="0" w:line="185"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16</w:t>
      </w:r>
      <w:r>
        <w:rPr>
          <w:sz w:val="20"/>
          <w:szCs w:val="20"/>
          <w:color w:val="auto"/>
        </w:rPr>
        <w:tab/>
      </w:r>
      <w:r>
        <w:rPr>
          <w:rFonts w:ascii="Arial" w:cs="Arial" w:eastAsia="Arial" w:hAnsi="Arial"/>
          <w:sz w:val="23"/>
          <w:szCs w:val="23"/>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118745</wp:posOffset>
            </wp:positionV>
            <wp:extent cx="7151370" cy="203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-163195</wp:posOffset>
            </wp:positionV>
            <wp:extent cx="1664970" cy="1231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3"/>
        </w:trPr>
        <w:tc>
          <w:tcPr>
            <w:tcW w:w="560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5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60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5660" w:type="dxa"/>
            <w:vAlign w:val="bottom"/>
            <w:vMerge w:val="restart"/>
          </w:tcPr>
          <w:p>
            <w:pPr>
              <w:ind w:left="4340"/>
              <w:spacing w:after="0"/>
              <w:rPr>
                <w:sz w:val="20"/>
                <w:szCs w:val="20"/>
                <w:color w:val="auto"/>
              </w:rPr>
            </w:pPr>
            <w:r>
              <w:rPr>
                <w:rFonts w:ascii="Arial" w:cs="Arial" w:eastAsia="Arial" w:hAnsi="Arial"/>
                <w:sz w:val="13"/>
                <w:szCs w:val="13"/>
                <w:color w:val="auto"/>
                <w:w w:val="98"/>
              </w:rPr>
              <w:t>Corporate Governance</w:t>
            </w:r>
          </w:p>
        </w:tc>
        <w:tc>
          <w:tcPr>
            <w:tcW w:w="0" w:type="dxa"/>
            <w:vAlign w:val="bottom"/>
          </w:tcPr>
          <w:p>
            <w:pPr>
              <w:spacing w:after="0"/>
              <w:rPr>
                <w:sz w:val="1"/>
                <w:szCs w:val="1"/>
                <w:color w:val="auto"/>
              </w:rPr>
            </w:pPr>
          </w:p>
        </w:tc>
      </w:tr>
      <w:tr>
        <w:trPr>
          <w:trHeight w:val="102"/>
        </w:trPr>
        <w:tc>
          <w:tcPr>
            <w:tcW w:w="560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5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600" w:type="dxa"/>
            <w:vAlign w:val="bottom"/>
            <w:vMerge w:val="continue"/>
          </w:tcPr>
          <w:p>
            <w:pPr>
              <w:spacing w:after="0"/>
              <w:rPr>
                <w:sz w:val="7"/>
                <w:szCs w:val="7"/>
                <w:color w:val="auto"/>
              </w:rPr>
            </w:pPr>
          </w:p>
        </w:tc>
        <w:tc>
          <w:tcPr>
            <w:tcW w:w="5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auto"/>
        </w:rPr>
        <w:t>Recommendations for Director candidates are also received from Board members and management and may be solicited from professional associations as well.</w:t>
      </w:r>
    </w:p>
    <w:p>
      <w:pPr>
        <w:spacing w:after="0" w:line="204" w:lineRule="exact"/>
        <w:rPr>
          <w:sz w:val="20"/>
          <w:szCs w:val="20"/>
          <w:color w:val="auto"/>
        </w:rPr>
      </w:pPr>
    </w:p>
    <w:p>
      <w:pPr>
        <w:ind w:right="160"/>
        <w:spacing w:after="0" w:line="246" w:lineRule="auto"/>
        <w:rPr>
          <w:sz w:val="20"/>
          <w:szCs w:val="20"/>
          <w:color w:val="auto"/>
        </w:rPr>
      </w:pPr>
      <w:r>
        <w:rPr>
          <w:rFonts w:ascii="Arial" w:cs="Arial" w:eastAsia="Arial" w:hAnsi="Arial"/>
          <w:sz w:val="16"/>
          <w:szCs w:val="16"/>
          <w:color w:val="auto"/>
        </w:rPr>
        <w:t>The Corporate Governance Committee will consider recommendations of Director candidates received from shareholders on the same basis as recommendations of Director candidates received from other sources. The director selection criteria discussed above will be used to evaluate all recommended Director candidates. Shareholders who wish to suggest an individual for consideration for election to the Company's Board of Directors may submit a written recommendation to the Corporate Governance Committee by sending it to: Darrel Jackson, Corporate Secretary, Avnet, Inc., 2211 South 47th Street, Phoenix, Arizona 85034. Shareholder recommendations must contain the following information:</w:t>
      </w:r>
    </w:p>
    <w:p>
      <w:pPr>
        <w:spacing w:after="0" w:line="162" w:lineRule="exact"/>
        <w:rPr>
          <w:sz w:val="20"/>
          <w:szCs w:val="20"/>
          <w:color w:val="auto"/>
        </w:rPr>
      </w:pPr>
    </w:p>
    <w:p>
      <w:pPr>
        <w:ind w:left="960" w:right="240" w:hanging="477"/>
        <w:spacing w:after="0" w:line="275" w:lineRule="auto"/>
        <w:tabs>
          <w:tab w:leader="none" w:pos="960" w:val="left"/>
        </w:tabs>
        <w:numPr>
          <w:ilvl w:val="0"/>
          <w:numId w:val="18"/>
        </w:numPr>
        <w:rPr>
          <w:rFonts w:ascii="Arial" w:cs="Arial" w:eastAsia="Arial" w:hAnsi="Arial"/>
          <w:sz w:val="16"/>
          <w:szCs w:val="16"/>
          <w:color w:val="53C072"/>
        </w:rPr>
      </w:pPr>
      <w:r>
        <w:rPr>
          <w:rFonts w:ascii="Arial" w:cs="Arial" w:eastAsia="Arial" w:hAnsi="Arial"/>
          <w:sz w:val="16"/>
          <w:szCs w:val="16"/>
          <w:color w:val="auto"/>
        </w:rPr>
        <w:t>The shareholder's name, address, number of shares of the Company's Common Stock beneficially owned and, if the shareholder is not a record shareholder, evidence of beneficial ownership;</w:t>
      </w:r>
    </w:p>
    <w:p>
      <w:pPr>
        <w:spacing w:after="0" w:line="136" w:lineRule="exact"/>
        <w:rPr>
          <w:rFonts w:ascii="Arial" w:cs="Arial" w:eastAsia="Arial" w:hAnsi="Arial"/>
          <w:sz w:val="16"/>
          <w:szCs w:val="16"/>
          <w:color w:val="53C072"/>
        </w:rPr>
      </w:pPr>
    </w:p>
    <w:p>
      <w:pPr>
        <w:ind w:left="960" w:hanging="477"/>
        <w:spacing w:after="0"/>
        <w:tabs>
          <w:tab w:leader="none" w:pos="960" w:val="left"/>
        </w:tabs>
        <w:numPr>
          <w:ilvl w:val="0"/>
          <w:numId w:val="18"/>
        </w:numPr>
        <w:rPr>
          <w:rFonts w:ascii="Arial" w:cs="Arial" w:eastAsia="Arial" w:hAnsi="Arial"/>
          <w:sz w:val="16"/>
          <w:szCs w:val="16"/>
          <w:color w:val="53C072"/>
        </w:rPr>
      </w:pPr>
      <w:r>
        <w:rPr>
          <w:rFonts w:ascii="Arial" w:cs="Arial" w:eastAsia="Arial" w:hAnsi="Arial"/>
          <w:sz w:val="16"/>
          <w:szCs w:val="16"/>
          <w:color w:val="auto"/>
        </w:rPr>
        <w:t>A statement in support of the candidate's recommendation;</w:t>
      </w:r>
    </w:p>
    <w:p>
      <w:pPr>
        <w:spacing w:after="0" w:line="180" w:lineRule="exact"/>
        <w:rPr>
          <w:rFonts w:ascii="Arial" w:cs="Arial" w:eastAsia="Arial" w:hAnsi="Arial"/>
          <w:sz w:val="16"/>
          <w:szCs w:val="16"/>
          <w:color w:val="53C072"/>
        </w:rPr>
      </w:pPr>
    </w:p>
    <w:p>
      <w:pPr>
        <w:ind w:left="960" w:right="320" w:hanging="477"/>
        <w:spacing w:after="0" w:line="275" w:lineRule="auto"/>
        <w:tabs>
          <w:tab w:leader="none" w:pos="960" w:val="left"/>
        </w:tabs>
        <w:numPr>
          <w:ilvl w:val="0"/>
          <w:numId w:val="18"/>
        </w:numPr>
        <w:rPr>
          <w:rFonts w:ascii="Arial" w:cs="Arial" w:eastAsia="Arial" w:hAnsi="Arial"/>
          <w:sz w:val="16"/>
          <w:szCs w:val="16"/>
          <w:color w:val="53C072"/>
        </w:rPr>
      </w:pPr>
      <w:r>
        <w:rPr>
          <w:rFonts w:ascii="Arial" w:cs="Arial" w:eastAsia="Arial" w:hAnsi="Arial"/>
          <w:sz w:val="16"/>
          <w:szCs w:val="16"/>
          <w:color w:val="auto"/>
        </w:rPr>
        <w:t>The candidate's detailed biographical information describing experience and qualifications, including current employment and a list of any other boards of directors on which the candidate serves;</w:t>
      </w:r>
    </w:p>
    <w:p>
      <w:pPr>
        <w:spacing w:after="0" w:line="124" w:lineRule="exact"/>
        <w:rPr>
          <w:rFonts w:ascii="Arial" w:cs="Arial" w:eastAsia="Arial" w:hAnsi="Arial"/>
          <w:sz w:val="16"/>
          <w:szCs w:val="16"/>
          <w:color w:val="53C072"/>
        </w:rPr>
      </w:pPr>
    </w:p>
    <w:p>
      <w:pPr>
        <w:ind w:left="960" w:hanging="477"/>
        <w:spacing w:after="0"/>
        <w:tabs>
          <w:tab w:leader="none" w:pos="960" w:val="left"/>
        </w:tabs>
        <w:numPr>
          <w:ilvl w:val="0"/>
          <w:numId w:val="18"/>
        </w:numPr>
        <w:rPr>
          <w:rFonts w:ascii="Arial" w:cs="Arial" w:eastAsia="Arial" w:hAnsi="Arial"/>
          <w:sz w:val="16"/>
          <w:szCs w:val="16"/>
          <w:color w:val="53C072"/>
        </w:rPr>
      </w:pPr>
      <w:r>
        <w:rPr>
          <w:rFonts w:ascii="Arial" w:cs="Arial" w:eastAsia="Arial" w:hAnsi="Arial"/>
          <w:sz w:val="16"/>
          <w:szCs w:val="16"/>
          <w:color w:val="auto"/>
        </w:rPr>
        <w:t>A description of all agreements, arrangements or understandings between the shareholder and the Director candidate;</w:t>
      </w:r>
    </w:p>
    <w:p>
      <w:pPr>
        <w:spacing w:after="0" w:line="192" w:lineRule="exact"/>
        <w:rPr>
          <w:rFonts w:ascii="Arial" w:cs="Arial" w:eastAsia="Arial" w:hAnsi="Arial"/>
          <w:sz w:val="16"/>
          <w:szCs w:val="16"/>
          <w:color w:val="53C072"/>
        </w:rPr>
      </w:pPr>
    </w:p>
    <w:p>
      <w:pPr>
        <w:ind w:left="960" w:right="220" w:hanging="477"/>
        <w:spacing w:after="0" w:line="275" w:lineRule="auto"/>
        <w:tabs>
          <w:tab w:leader="none" w:pos="960" w:val="left"/>
        </w:tabs>
        <w:numPr>
          <w:ilvl w:val="0"/>
          <w:numId w:val="18"/>
        </w:numPr>
        <w:rPr>
          <w:rFonts w:ascii="Arial" w:cs="Arial" w:eastAsia="Arial" w:hAnsi="Arial"/>
          <w:sz w:val="16"/>
          <w:szCs w:val="16"/>
          <w:color w:val="53C072"/>
        </w:rPr>
      </w:pPr>
      <w:r>
        <w:rPr>
          <w:rFonts w:ascii="Arial" w:cs="Arial" w:eastAsia="Arial" w:hAnsi="Arial"/>
          <w:sz w:val="16"/>
          <w:szCs w:val="16"/>
          <w:color w:val="auto"/>
        </w:rPr>
        <w:t>The candidate's consent to be contacted by a representative of the Corporate Governance Committee for interviews and his or her agreement to provide further information, if needed;</w:t>
      </w:r>
    </w:p>
    <w:p>
      <w:pPr>
        <w:spacing w:after="0" w:line="124" w:lineRule="exact"/>
        <w:rPr>
          <w:rFonts w:ascii="Arial" w:cs="Arial" w:eastAsia="Arial" w:hAnsi="Arial"/>
          <w:sz w:val="16"/>
          <w:szCs w:val="16"/>
          <w:color w:val="53C072"/>
        </w:rPr>
      </w:pPr>
    </w:p>
    <w:p>
      <w:pPr>
        <w:ind w:left="960" w:hanging="477"/>
        <w:spacing w:after="0"/>
        <w:tabs>
          <w:tab w:leader="none" w:pos="960" w:val="left"/>
        </w:tabs>
        <w:numPr>
          <w:ilvl w:val="0"/>
          <w:numId w:val="18"/>
        </w:numPr>
        <w:rPr>
          <w:rFonts w:ascii="Arial" w:cs="Arial" w:eastAsia="Arial" w:hAnsi="Arial"/>
          <w:sz w:val="16"/>
          <w:szCs w:val="16"/>
          <w:color w:val="53C072"/>
        </w:rPr>
      </w:pPr>
      <w:r>
        <w:rPr>
          <w:rFonts w:ascii="Arial" w:cs="Arial" w:eastAsia="Arial" w:hAnsi="Arial"/>
          <w:sz w:val="16"/>
          <w:szCs w:val="16"/>
          <w:color w:val="auto"/>
        </w:rPr>
        <w:t>The candidate's consent for a background check; and</w:t>
      </w:r>
    </w:p>
    <w:p>
      <w:pPr>
        <w:spacing w:after="0" w:line="180" w:lineRule="exact"/>
        <w:rPr>
          <w:rFonts w:ascii="Arial" w:cs="Arial" w:eastAsia="Arial" w:hAnsi="Arial"/>
          <w:sz w:val="16"/>
          <w:szCs w:val="16"/>
          <w:color w:val="53C072"/>
        </w:rPr>
      </w:pPr>
    </w:p>
    <w:p>
      <w:pPr>
        <w:ind w:left="960" w:hanging="477"/>
        <w:spacing w:after="0"/>
        <w:tabs>
          <w:tab w:leader="none" w:pos="960" w:val="left"/>
        </w:tabs>
        <w:numPr>
          <w:ilvl w:val="0"/>
          <w:numId w:val="18"/>
        </w:numPr>
        <w:rPr>
          <w:rFonts w:ascii="Arial" w:cs="Arial" w:eastAsia="Arial" w:hAnsi="Arial"/>
          <w:sz w:val="16"/>
          <w:szCs w:val="16"/>
          <w:color w:val="53C072"/>
        </w:rPr>
      </w:pPr>
      <w:r>
        <w:rPr>
          <w:rFonts w:ascii="Arial" w:cs="Arial" w:eastAsia="Arial" w:hAnsi="Arial"/>
          <w:sz w:val="16"/>
          <w:szCs w:val="16"/>
          <w:color w:val="auto"/>
        </w:rPr>
        <w:t>The candidate's consent to serve as a Director, if nominated and elected.</w:t>
      </w:r>
    </w:p>
    <w:p>
      <w:pPr>
        <w:spacing w:after="0" w:line="192" w:lineRule="exact"/>
        <w:rPr>
          <w:sz w:val="20"/>
          <w:szCs w:val="20"/>
          <w:color w:val="auto"/>
        </w:rPr>
      </w:pPr>
    </w:p>
    <w:p>
      <w:pPr>
        <w:ind w:right="60"/>
        <w:spacing w:after="0" w:line="309" w:lineRule="auto"/>
        <w:rPr>
          <w:sz w:val="20"/>
          <w:szCs w:val="20"/>
          <w:color w:val="auto"/>
        </w:rPr>
      </w:pPr>
      <w:r>
        <w:rPr>
          <w:rFonts w:ascii="Arial" w:cs="Arial" w:eastAsia="Arial" w:hAnsi="Arial"/>
          <w:sz w:val="15"/>
          <w:szCs w:val="15"/>
          <w:color w:val="auto"/>
        </w:rPr>
        <w:t>Under the Company's By-laws, shareholders may also nominate a candidate for election at an annual meeting of shareholders. Details regarding this nomination procedure and the required notice and information are set forth elsewhere in this Proxy Statement under the heading "Shareholder Proposals and Nominations."</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MANAGEMENT SUCCESSION</w:t>
      </w:r>
    </w:p>
    <w:p>
      <w:pPr>
        <w:spacing w:after="0" w:line="209" w:lineRule="exact"/>
        <w:rPr>
          <w:sz w:val="20"/>
          <w:szCs w:val="20"/>
          <w:color w:val="auto"/>
        </w:rPr>
      </w:pPr>
    </w:p>
    <w:p>
      <w:pPr>
        <w:ind w:right="280"/>
        <w:spacing w:after="0" w:line="272" w:lineRule="auto"/>
        <w:rPr>
          <w:sz w:val="20"/>
          <w:szCs w:val="20"/>
          <w:color w:val="auto"/>
        </w:rPr>
      </w:pPr>
      <w:r>
        <w:rPr>
          <w:rFonts w:ascii="Arial" w:cs="Arial" w:eastAsia="Arial" w:hAnsi="Arial"/>
          <w:sz w:val="15"/>
          <w:szCs w:val="15"/>
          <w:color w:val="auto"/>
        </w:rPr>
        <w:t>The Board of Directors is actively engaged and involved in talent management, under the leadership of the Corporate Governance Committee. The Corporate Governance Committee regularly reviews and discusses a management succession plan designed to provide for continuity in and development of senior management, which includes emergency CEO succession, CEO succession in the ordinary course of business and succession for other members of senior management. The Board receives updates on the succession plan from the Company's CEO and chief human resources officer at least semi-annually.</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THE BOARD'S ROLE IN RISK OVERSIGHT</w:t>
      </w:r>
    </w:p>
    <w:p>
      <w:pPr>
        <w:spacing w:after="0" w:line="209"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The Board is responsible for the oversight of the Company's risk management, while the Company's management is responsible for the day-to-day risk management process. With the oversight of the Board, the management of the Company has developed an enterprise risk management program, whereby management identifies the top individual risks they believe the Company faces with respect to its business, operations, strategy and other factors based on input from key business and functional leaders in the Company. Management evaluates those key risks and identifies ways to mitigate and manage such risks. At least annually, management reports on and discusses the identified risks and risk mitigation efforts with the Board. The Board allocates responsibility to a specific committee to examine a particular risk in detail if the committee is in the best position to review and assess the risk. For example, the Audit Committee reviews programs and practices related to accounting and financial reporting matters and the Compensation Committee provides oversight of risks related to compensation programs.</w:t>
      </w:r>
    </w:p>
    <w:p>
      <w:pPr>
        <w:spacing w:after="0" w:line="138" w:lineRule="exact"/>
        <w:rPr>
          <w:sz w:val="20"/>
          <w:szCs w:val="20"/>
          <w:color w:val="auto"/>
        </w:rPr>
      </w:pPr>
    </w:p>
    <w:p>
      <w:pPr>
        <w:jc w:val="both"/>
        <w:ind w:left="10720"/>
        <w:spacing w:after="0"/>
        <w:tabs>
          <w:tab w:leader="none" w:pos="11060" w:val="left"/>
        </w:tabs>
        <w:rPr>
          <w:sz w:val="20"/>
          <w:szCs w:val="20"/>
          <w:color w:val="auto"/>
        </w:rPr>
      </w:pPr>
      <w:r>
        <w:rPr>
          <w:rFonts w:ascii="Arial" w:cs="Arial" w:eastAsia="Arial" w:hAnsi="Arial"/>
          <w:sz w:val="23"/>
          <w:szCs w:val="23"/>
          <w:b w:val="1"/>
          <w:bCs w:val="1"/>
          <w:color w:val="53C072"/>
        </w:rPr>
        <w:t>|</w:t>
      </w:r>
      <w:r>
        <w:rPr>
          <w:sz w:val="20"/>
          <w:szCs w:val="20"/>
          <w:color w:val="auto"/>
        </w:rPr>
        <w:tab/>
      </w: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7151370" cy="20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-130175</wp:posOffset>
            </wp:positionV>
            <wp:extent cx="1664970" cy="1231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3"/>
        </w:trPr>
        <w:tc>
          <w:tcPr>
            <w:tcW w:w="560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5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60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5660" w:type="dxa"/>
            <w:vAlign w:val="bottom"/>
            <w:vMerge w:val="restart"/>
          </w:tcPr>
          <w:p>
            <w:pPr>
              <w:ind w:left="4340"/>
              <w:spacing w:after="0"/>
              <w:rPr>
                <w:sz w:val="20"/>
                <w:szCs w:val="20"/>
                <w:color w:val="auto"/>
              </w:rPr>
            </w:pPr>
            <w:r>
              <w:rPr>
                <w:rFonts w:ascii="Arial" w:cs="Arial" w:eastAsia="Arial" w:hAnsi="Arial"/>
                <w:sz w:val="13"/>
                <w:szCs w:val="13"/>
                <w:color w:val="auto"/>
                <w:w w:val="98"/>
              </w:rPr>
              <w:t>Corporate Governance</w:t>
            </w:r>
          </w:p>
        </w:tc>
        <w:tc>
          <w:tcPr>
            <w:tcW w:w="0" w:type="dxa"/>
            <w:vAlign w:val="bottom"/>
          </w:tcPr>
          <w:p>
            <w:pPr>
              <w:spacing w:after="0"/>
              <w:rPr>
                <w:sz w:val="1"/>
                <w:szCs w:val="1"/>
                <w:color w:val="auto"/>
              </w:rPr>
            </w:pPr>
          </w:p>
        </w:tc>
      </w:tr>
      <w:tr>
        <w:trPr>
          <w:trHeight w:val="102"/>
        </w:trPr>
        <w:tc>
          <w:tcPr>
            <w:tcW w:w="560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5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600" w:type="dxa"/>
            <w:vAlign w:val="bottom"/>
            <w:vMerge w:val="continue"/>
          </w:tcPr>
          <w:p>
            <w:pPr>
              <w:spacing w:after="0"/>
              <w:rPr>
                <w:sz w:val="7"/>
                <w:szCs w:val="7"/>
                <w:color w:val="auto"/>
              </w:rPr>
            </w:pPr>
          </w:p>
        </w:tc>
        <w:tc>
          <w:tcPr>
            <w:tcW w:w="5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COMPENSATION COMMITTEE INTERLOCKS AND INSIDER PARTICIPATION</w:t>
      </w:r>
    </w:p>
    <w:p>
      <w:pPr>
        <w:spacing w:after="0" w:line="209"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No member of the Compensation Committee is a present or former officer or employee of the Company. In addition, during fiscal year 2020, no executive officer of the Company had served on the compensation committee or any similar committee of any other entity or served as a director for any other entity whose executive officers served on the Company's Compensation Committee.</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CODE OF CONDUCT</w:t>
      </w:r>
    </w:p>
    <w:p>
      <w:pPr>
        <w:spacing w:after="0" w:line="209" w:lineRule="exact"/>
        <w:rPr>
          <w:sz w:val="20"/>
          <w:szCs w:val="20"/>
          <w:color w:val="auto"/>
        </w:rPr>
      </w:pPr>
    </w:p>
    <w:p>
      <w:pPr>
        <w:jc w:val="both"/>
        <w:ind w:right="120"/>
        <w:spacing w:after="0" w:line="256" w:lineRule="auto"/>
        <w:rPr>
          <w:sz w:val="20"/>
          <w:szCs w:val="20"/>
          <w:color w:val="auto"/>
        </w:rPr>
      </w:pPr>
      <w:r>
        <w:rPr>
          <w:rFonts w:ascii="Arial" w:cs="Arial" w:eastAsia="Arial" w:hAnsi="Arial"/>
          <w:sz w:val="16"/>
          <w:szCs w:val="16"/>
          <w:color w:val="auto"/>
        </w:rPr>
        <w:t xml:space="preserve">The Company has a Code of Conduct that applies to Directors, officers and employees, including the CEO and all financial and accounting personnel. A copy of the Code of Conduct can be reviewed at </w:t>
      </w:r>
      <w:r>
        <w:rPr>
          <w:rFonts w:ascii="Arial" w:cs="Arial" w:eastAsia="Arial" w:hAnsi="Arial"/>
          <w:sz w:val="16"/>
          <w:szCs w:val="16"/>
          <w:u w:val="single" w:color="auto"/>
          <w:color w:val="auto"/>
        </w:rPr>
        <w:t>www.ir.avnet.com/documents-charters</w:t>
      </w:r>
      <w:r>
        <w:rPr>
          <w:rFonts w:ascii="Arial" w:cs="Arial" w:eastAsia="Arial" w:hAnsi="Arial"/>
          <w:sz w:val="16"/>
          <w:szCs w:val="16"/>
          <w:color w:val="auto"/>
        </w:rPr>
        <w:t>. Any future amendments to, or waivers for executive officers and Directors from certain provisions of, the Code of Conduct will be posted on the Company's website.</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POLICY AGAINST PLEDGING AND HEDGING ECONOMIC RISK OF OWNING THE COMPANY'S SECURITIES</w:t>
      </w:r>
    </w:p>
    <w:p>
      <w:pPr>
        <w:spacing w:after="0" w:line="209" w:lineRule="exact"/>
        <w:rPr>
          <w:sz w:val="20"/>
          <w:szCs w:val="20"/>
          <w:color w:val="auto"/>
        </w:rPr>
      </w:pPr>
    </w:p>
    <w:p>
      <w:pPr>
        <w:ind w:right="80"/>
        <w:spacing w:after="0" w:line="242" w:lineRule="auto"/>
        <w:rPr>
          <w:sz w:val="20"/>
          <w:szCs w:val="20"/>
          <w:color w:val="auto"/>
        </w:rPr>
      </w:pPr>
      <w:r>
        <w:rPr>
          <w:rFonts w:ascii="Arial" w:cs="Arial" w:eastAsia="Arial" w:hAnsi="Arial"/>
          <w:sz w:val="16"/>
          <w:szCs w:val="16"/>
          <w:color w:val="auto"/>
        </w:rPr>
        <w:t>The Trading Procedures for Insiders, which is part of the Company's Insider Trading Policy, expressly prohibits Directors, executive officers and other employees determined by the Company as "Insiders," including their spouses, other persons living in their household and minor children and entities over which they exercise control, from entering into hedging or monetization transactions to hedge the economic risk of owning the Company's securities (or any other financial transactions that are designed to hedge or offset any decrease in market value of the Company's equity securities) without advance approval from the Compliance Officer. The policy similarly prohibits such individuals from holding the Company's securities in a margin account and pledging the Company's securities as collateral for loans without advance approval from the Compliance Officer. The policy applies to all of the Company's securities held, including options and any other derivative securities, regardless if granted by the Company as compensation. There were no exceptions approved by the Compliance Officer during the last fiscal year.</w:t>
      </w:r>
    </w:p>
    <w:p>
      <w:pPr>
        <w:spacing w:after="0" w:line="167"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For other employees, the Company does not maintain a practice or policy which expressly prohibits such employees from entering into hedging or monetization transactions to hedge the economic risk of owning the Company's securities (or any other financial transactions that are designed to hedge or offset any decrease in market value of the Company's equity securities).</w:t>
      </w:r>
    </w:p>
    <w:p>
      <w:pPr>
        <w:spacing w:after="0" w:line="152" w:lineRule="exact"/>
        <w:rPr>
          <w:sz w:val="20"/>
          <w:szCs w:val="20"/>
          <w:color w:val="auto"/>
        </w:rPr>
      </w:pPr>
    </w:p>
    <w:p>
      <w:pPr>
        <w:ind w:right="320"/>
        <w:spacing w:after="0" w:line="281" w:lineRule="auto"/>
        <w:rPr>
          <w:sz w:val="20"/>
          <w:szCs w:val="20"/>
          <w:color w:val="auto"/>
        </w:rPr>
      </w:pPr>
      <w:r>
        <w:rPr>
          <w:rFonts w:ascii="Arial" w:cs="Arial" w:eastAsia="Arial" w:hAnsi="Arial"/>
          <w:sz w:val="15"/>
          <w:szCs w:val="15"/>
          <w:color w:val="auto"/>
        </w:rPr>
        <w:t>The Company has focused its anti-hedging and anti-pledging policy primarily on Directors and executive officers because, as stewards and leaders of the Company, their interests should remain aligned with shareholder interests. The Company believes that Directors and executive officers should bear the same economic risks associated with holding the Company's securities as do its shareholders and believes its anti-hedging policy will ensure this alignment.</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REPORTING OF ETHICAL CONCERNS</w:t>
      </w:r>
    </w:p>
    <w:p>
      <w:pPr>
        <w:spacing w:after="0" w:line="209"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Audit Committee of the Board of Directors has established procedures for employees, shareholders, vendors and others to communicate concerns about the Company's ethical conduct or business practices including accounting, internal controls or financial reporting issues. Matters may be reported in the following ways:</w:t>
      </w:r>
    </w:p>
    <w:p>
      <w:pPr>
        <w:spacing w:after="0" w:line="152" w:lineRule="exact"/>
        <w:rPr>
          <w:sz w:val="20"/>
          <w:szCs w:val="20"/>
          <w:color w:val="auto"/>
        </w:rPr>
      </w:pPr>
    </w:p>
    <w:p>
      <w:pPr>
        <w:ind w:left="480" w:right="520"/>
        <w:spacing w:after="0" w:line="275" w:lineRule="auto"/>
        <w:rPr>
          <w:sz w:val="20"/>
          <w:szCs w:val="20"/>
          <w:color w:val="auto"/>
        </w:rPr>
      </w:pPr>
      <w:r>
        <w:rPr>
          <w:rFonts w:ascii="Arial" w:cs="Arial" w:eastAsia="Arial" w:hAnsi="Arial"/>
          <w:sz w:val="16"/>
          <w:szCs w:val="16"/>
          <w:color w:val="auto"/>
        </w:rPr>
        <w:t>Employees of the Company are encouraged to contact their manager, a Human Resources representative or a Code of Conduct Advisor to discuss matters of concern.</w:t>
      </w:r>
    </w:p>
    <w:p>
      <w:pPr>
        <w:spacing w:after="0" w:line="13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All persons, including employees, may contact:</w:t>
      </w:r>
    </w:p>
    <w:p>
      <w:pPr>
        <w:spacing w:after="0" w:line="192" w:lineRule="exact"/>
        <w:rPr>
          <w:sz w:val="20"/>
          <w:szCs w:val="20"/>
          <w:color w:val="auto"/>
        </w:rPr>
      </w:pPr>
    </w:p>
    <w:p>
      <w:pPr>
        <w:ind w:right="1360" w:firstLine="968"/>
        <w:spacing w:after="0" w:line="508" w:lineRule="auto"/>
        <w:tabs>
          <w:tab w:leader="none" w:pos="1457" w:val="left"/>
        </w:tabs>
        <w:numPr>
          <w:ilvl w:val="0"/>
          <w:numId w:val="19"/>
        </w:numPr>
        <w:rPr>
          <w:rFonts w:ascii="Arial" w:cs="Arial" w:eastAsia="Arial" w:hAnsi="Arial"/>
          <w:sz w:val="16"/>
          <w:szCs w:val="16"/>
          <w:color w:val="53C072"/>
        </w:rPr>
      </w:pPr>
      <w:r>
        <w:rPr>
          <w:rFonts w:ascii="Arial" w:cs="Arial" w:eastAsia="Arial" w:hAnsi="Arial"/>
          <w:sz w:val="16"/>
          <w:szCs w:val="16"/>
          <w:color w:val="auto"/>
        </w:rPr>
        <w:t xml:space="preserve">The Legal Department, by telephone at (480) 643-7267, or by mail at 2211 South 47th Street, Phoenix, Arizona 85034; or 18 </w:t>
      </w:r>
      <w:r>
        <w:rPr>
          <w:rFonts w:ascii="Arial" w:cs="Arial" w:eastAsia="Arial" w:hAnsi="Arial"/>
          <w:sz w:val="22"/>
          <w:szCs w:val="22"/>
          <w:b w:val="1"/>
          <w:bCs w:val="1"/>
          <w:color w:val="53C072"/>
        </w:rPr>
        <w:t xml:space="preserve">| </w:t>
      </w:r>
      <w:r>
        <w:rPr>
          <w:rFonts w:ascii="Arial" w:cs="Arial" w:eastAsia="Arial" w:hAnsi="Arial"/>
          <w:sz w:val="1"/>
          <w:szCs w:val="1"/>
          <w:color w:val="53C072"/>
        </w:rPr>
        <w:drawing>
          <wp:inline distT="0" distB="0" distL="0" distR="0">
            <wp:extent cx="1664970" cy="12319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664970" cy="12319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-46355</wp:posOffset>
            </wp:positionV>
            <wp:extent cx="7151370" cy="20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3"/>
        </w:trPr>
        <w:tc>
          <w:tcPr>
            <w:tcW w:w="560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5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60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5660" w:type="dxa"/>
            <w:vAlign w:val="bottom"/>
            <w:vMerge w:val="restart"/>
          </w:tcPr>
          <w:p>
            <w:pPr>
              <w:ind w:left="4340"/>
              <w:spacing w:after="0"/>
              <w:rPr>
                <w:sz w:val="20"/>
                <w:szCs w:val="20"/>
                <w:color w:val="auto"/>
              </w:rPr>
            </w:pPr>
            <w:r>
              <w:rPr>
                <w:rFonts w:ascii="Arial" w:cs="Arial" w:eastAsia="Arial" w:hAnsi="Arial"/>
                <w:sz w:val="13"/>
                <w:szCs w:val="13"/>
                <w:color w:val="auto"/>
                <w:w w:val="98"/>
              </w:rPr>
              <w:t>Corporate Governance</w:t>
            </w:r>
          </w:p>
        </w:tc>
        <w:tc>
          <w:tcPr>
            <w:tcW w:w="0" w:type="dxa"/>
            <w:vAlign w:val="bottom"/>
          </w:tcPr>
          <w:p>
            <w:pPr>
              <w:spacing w:after="0"/>
              <w:rPr>
                <w:sz w:val="1"/>
                <w:szCs w:val="1"/>
                <w:color w:val="auto"/>
              </w:rPr>
            </w:pPr>
          </w:p>
        </w:tc>
      </w:tr>
      <w:tr>
        <w:trPr>
          <w:trHeight w:val="102"/>
        </w:trPr>
        <w:tc>
          <w:tcPr>
            <w:tcW w:w="560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5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600" w:type="dxa"/>
            <w:vAlign w:val="bottom"/>
            <w:vMerge w:val="continue"/>
          </w:tcPr>
          <w:p>
            <w:pPr>
              <w:spacing w:after="0"/>
              <w:rPr>
                <w:sz w:val="7"/>
                <w:szCs w:val="7"/>
                <w:color w:val="auto"/>
              </w:rPr>
            </w:pPr>
          </w:p>
        </w:tc>
        <w:tc>
          <w:tcPr>
            <w:tcW w:w="5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460" w:right="60" w:hanging="492"/>
        <w:spacing w:after="0" w:line="275" w:lineRule="auto"/>
        <w:tabs>
          <w:tab w:leader="none" w:pos="1460" w:val="left"/>
        </w:tabs>
        <w:numPr>
          <w:ilvl w:val="0"/>
          <w:numId w:val="20"/>
        </w:numPr>
        <w:rPr>
          <w:rFonts w:ascii="Arial" w:cs="Arial" w:eastAsia="Arial" w:hAnsi="Arial"/>
          <w:sz w:val="16"/>
          <w:szCs w:val="16"/>
          <w:color w:val="53C072"/>
        </w:rPr>
      </w:pPr>
      <w:r>
        <w:rPr>
          <w:rFonts w:ascii="Arial" w:cs="Arial" w:eastAsia="Arial" w:hAnsi="Arial"/>
          <w:sz w:val="16"/>
          <w:szCs w:val="16"/>
          <w:color w:val="auto"/>
        </w:rPr>
        <w:t xml:space="preserve">The Ethics Alertline at 1-800-861-2899 (within the United States and Canada) or via the Internet at </w:t>
      </w:r>
      <w:r>
        <w:rPr>
          <w:rFonts w:ascii="Arial" w:cs="Arial" w:eastAsia="Arial" w:hAnsi="Arial"/>
          <w:sz w:val="16"/>
          <w:szCs w:val="16"/>
          <w:u w:val="single" w:color="auto"/>
          <w:color w:val="auto"/>
        </w:rPr>
        <w:t>www.avnet.alertline.com</w:t>
      </w:r>
      <w:r>
        <w:rPr>
          <w:rFonts w:ascii="Arial" w:cs="Arial" w:eastAsia="Arial" w:hAnsi="Arial"/>
          <w:sz w:val="16"/>
          <w:szCs w:val="16"/>
          <w:color w:val="auto"/>
        </w:rPr>
        <w:t>. Reports via the Ethics Alertline will be treated with appropriate confidentially and may be made on an anonymous basis where permitted by law.</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STOCK OWNERSHIP GUIDELINES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Board has adopted stock ownership guidelines for both the Directors and executive officers.</w:t>
      </w:r>
    </w:p>
    <w:p>
      <w:pPr>
        <w:spacing w:after="0" w:line="192" w:lineRule="exact"/>
        <w:rPr>
          <w:sz w:val="20"/>
          <w:szCs w:val="20"/>
          <w:color w:val="auto"/>
        </w:rPr>
      </w:pPr>
    </w:p>
    <w:p>
      <w:pPr>
        <w:jc w:val="both"/>
        <w:ind w:right="100"/>
        <w:spacing w:after="0" w:line="246" w:lineRule="auto"/>
        <w:rPr>
          <w:sz w:val="20"/>
          <w:szCs w:val="20"/>
          <w:color w:val="auto"/>
        </w:rPr>
      </w:pPr>
      <w:r>
        <w:rPr>
          <w:rFonts w:ascii="Arial" w:cs="Arial" w:eastAsia="Arial" w:hAnsi="Arial"/>
          <w:sz w:val="16"/>
          <w:szCs w:val="16"/>
          <w:color w:val="auto"/>
        </w:rPr>
        <w:t>Under the guidelines for Directors, Directors should own, within five years of joining the Board, shares of the Company's Common Stock worth at least five times the Director's annual cash retainer. Shares that are awarded to Directors as part of director compensation, as well as phantom stock units acquired by Directors under a deferred compensation plan, count towards the guideline. The Board will evaluate whether exceptions should be made in the case of any Director who, due to his or her unique financial circumstances, would incur a hardship by complying with this requirement. As of July 1, 2020, each Director was in compliance with these guidelines.</w:t>
      </w:r>
    </w:p>
    <w:p>
      <w:pPr>
        <w:spacing w:after="0" w:line="162"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Under the guidelines for executive officers, officers should own shares of the Company's Common Stock with a market value equal to a multiple of their base salary:</w:t>
      </w:r>
    </w:p>
    <w:p>
      <w:pPr>
        <w:spacing w:after="0" w:line="147" w:lineRule="exact"/>
        <w:rPr>
          <w:sz w:val="20"/>
          <w:szCs w:val="20"/>
          <w:color w:val="auto"/>
        </w:rPr>
      </w:pPr>
    </w:p>
    <w:p>
      <w:pPr>
        <w:ind w:left="960" w:hanging="477"/>
        <w:spacing w:after="0"/>
        <w:tabs>
          <w:tab w:leader="none" w:pos="960" w:val="left"/>
        </w:tabs>
        <w:numPr>
          <w:ilvl w:val="0"/>
          <w:numId w:val="21"/>
        </w:numPr>
        <w:rPr>
          <w:rFonts w:ascii="Arial" w:cs="Arial" w:eastAsia="Arial" w:hAnsi="Arial"/>
          <w:sz w:val="16"/>
          <w:szCs w:val="16"/>
          <w:color w:val="53C072"/>
        </w:rPr>
      </w:pPr>
      <w:r>
        <w:rPr>
          <w:rFonts w:ascii="Arial" w:cs="Arial" w:eastAsia="Arial" w:hAnsi="Arial"/>
          <w:sz w:val="16"/>
          <w:szCs w:val="16"/>
          <w:b w:val="1"/>
          <w:bCs w:val="1"/>
          <w:color w:val="53C072"/>
        </w:rPr>
        <w:t xml:space="preserve">5x </w:t>
      </w:r>
      <w:r>
        <w:rPr>
          <w:rFonts w:ascii="Arial" w:cs="Arial" w:eastAsia="Arial" w:hAnsi="Arial"/>
          <w:sz w:val="16"/>
          <w:szCs w:val="16"/>
          <w:color w:val="000000"/>
        </w:rPr>
        <w:t>for the Chief Executive Officer;</w:t>
      </w:r>
    </w:p>
    <w:p>
      <w:pPr>
        <w:spacing w:after="0" w:line="180" w:lineRule="exact"/>
        <w:rPr>
          <w:rFonts w:ascii="Arial" w:cs="Arial" w:eastAsia="Arial" w:hAnsi="Arial"/>
          <w:sz w:val="16"/>
          <w:szCs w:val="16"/>
          <w:color w:val="53C072"/>
        </w:rPr>
      </w:pPr>
    </w:p>
    <w:p>
      <w:pPr>
        <w:ind w:left="960" w:hanging="477"/>
        <w:spacing w:after="0"/>
        <w:tabs>
          <w:tab w:leader="none" w:pos="960" w:val="left"/>
        </w:tabs>
        <w:numPr>
          <w:ilvl w:val="0"/>
          <w:numId w:val="21"/>
        </w:numPr>
        <w:rPr>
          <w:rFonts w:ascii="Arial" w:cs="Arial" w:eastAsia="Arial" w:hAnsi="Arial"/>
          <w:sz w:val="16"/>
          <w:szCs w:val="16"/>
          <w:color w:val="53C072"/>
        </w:rPr>
      </w:pPr>
      <w:r>
        <w:rPr>
          <w:rFonts w:ascii="Arial" w:cs="Arial" w:eastAsia="Arial" w:hAnsi="Arial"/>
          <w:sz w:val="16"/>
          <w:szCs w:val="16"/>
          <w:b w:val="1"/>
          <w:bCs w:val="1"/>
          <w:color w:val="53C072"/>
        </w:rPr>
        <w:t xml:space="preserve">3x </w:t>
      </w:r>
      <w:r>
        <w:rPr>
          <w:rFonts w:ascii="Arial" w:cs="Arial" w:eastAsia="Arial" w:hAnsi="Arial"/>
          <w:sz w:val="16"/>
          <w:szCs w:val="16"/>
          <w:color w:val="000000"/>
        </w:rPr>
        <w:t>for the Chief Financial Officer, Chief Operating Officer, General Counsel &amp; Group Presidents; and</w:t>
      </w:r>
    </w:p>
    <w:p>
      <w:pPr>
        <w:spacing w:after="0" w:line="180" w:lineRule="exact"/>
        <w:rPr>
          <w:rFonts w:ascii="Arial" w:cs="Arial" w:eastAsia="Arial" w:hAnsi="Arial"/>
          <w:sz w:val="16"/>
          <w:szCs w:val="16"/>
          <w:color w:val="53C072"/>
        </w:rPr>
      </w:pPr>
    </w:p>
    <w:p>
      <w:pPr>
        <w:ind w:left="960" w:hanging="477"/>
        <w:spacing w:after="0"/>
        <w:tabs>
          <w:tab w:leader="none" w:pos="960" w:val="left"/>
        </w:tabs>
        <w:numPr>
          <w:ilvl w:val="0"/>
          <w:numId w:val="21"/>
        </w:numPr>
        <w:rPr>
          <w:rFonts w:ascii="Arial" w:cs="Arial" w:eastAsia="Arial" w:hAnsi="Arial"/>
          <w:sz w:val="16"/>
          <w:szCs w:val="16"/>
          <w:color w:val="53C072"/>
        </w:rPr>
      </w:pPr>
      <w:r>
        <w:rPr>
          <w:rFonts w:ascii="Arial" w:cs="Arial" w:eastAsia="Arial" w:hAnsi="Arial"/>
          <w:sz w:val="16"/>
          <w:szCs w:val="16"/>
          <w:b w:val="1"/>
          <w:bCs w:val="1"/>
          <w:color w:val="53C072"/>
        </w:rPr>
        <w:t xml:space="preserve">1x </w:t>
      </w:r>
      <w:r>
        <w:rPr>
          <w:rFonts w:ascii="Arial" w:cs="Arial" w:eastAsia="Arial" w:hAnsi="Arial"/>
          <w:sz w:val="16"/>
          <w:szCs w:val="16"/>
          <w:color w:val="000000"/>
        </w:rPr>
        <w:t>for other Executive Officers.</w:t>
      </w:r>
    </w:p>
    <w:p>
      <w:pPr>
        <w:spacing w:after="0" w:line="194" w:lineRule="exact"/>
        <w:rPr>
          <w:sz w:val="20"/>
          <w:szCs w:val="20"/>
          <w:color w:val="auto"/>
        </w:rPr>
      </w:pPr>
    </w:p>
    <w:p>
      <w:pPr>
        <w:ind w:right="100"/>
        <w:spacing w:after="0" w:line="281" w:lineRule="auto"/>
        <w:rPr>
          <w:sz w:val="20"/>
          <w:szCs w:val="20"/>
          <w:color w:val="auto"/>
        </w:rPr>
      </w:pPr>
      <w:r>
        <w:rPr>
          <w:rFonts w:ascii="Arial" w:cs="Arial" w:eastAsia="Arial" w:hAnsi="Arial"/>
          <w:sz w:val="15"/>
          <w:szCs w:val="15"/>
          <w:color w:val="auto"/>
        </w:rPr>
        <w:t>Shares underlying restricted stock units, vested performance share units and shares acquired from the exercise of stock options count towards the guideline. Until the ownership level is met, executive officers must hold at least 50% of any net shares he or she receives upon the exercise of options or upon the delivery of any restricted stock units or performance share unit awards. As of July 1, 2020, executive officers subject to these guidelines satisfy these requirements.</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THE COMPANY'S WEBSITE</w:t>
      </w:r>
    </w:p>
    <w:p>
      <w:pPr>
        <w:spacing w:after="0" w:line="209" w:lineRule="exact"/>
        <w:rPr>
          <w:sz w:val="20"/>
          <w:szCs w:val="20"/>
          <w:color w:val="auto"/>
        </w:rPr>
      </w:pPr>
    </w:p>
    <w:p>
      <w:pPr>
        <w:ind w:right="100"/>
        <w:spacing w:after="0" w:line="242" w:lineRule="auto"/>
        <w:rPr>
          <w:sz w:val="20"/>
          <w:szCs w:val="20"/>
          <w:color w:val="auto"/>
        </w:rPr>
      </w:pPr>
      <w:r>
        <w:rPr>
          <w:rFonts w:ascii="Arial" w:cs="Arial" w:eastAsia="Arial" w:hAnsi="Arial"/>
          <w:sz w:val="16"/>
          <w:szCs w:val="16"/>
          <w:color w:val="auto"/>
        </w:rPr>
        <w:t xml:space="preserve">In addition to the information about the Company and its subsidiaries contained in this Proxy Statement, extensive information about the Company can be found on its website located at </w:t>
      </w:r>
      <w:r>
        <w:rPr>
          <w:rFonts w:ascii="Arial" w:cs="Arial" w:eastAsia="Arial" w:hAnsi="Arial"/>
          <w:sz w:val="16"/>
          <w:szCs w:val="16"/>
          <w:u w:val="single" w:color="auto"/>
          <w:color w:val="auto"/>
        </w:rPr>
        <w:t>www.avnet.com</w:t>
      </w:r>
      <w:r>
        <w:rPr>
          <w:rFonts w:ascii="Arial" w:cs="Arial" w:eastAsia="Arial" w:hAnsi="Arial"/>
          <w:sz w:val="16"/>
          <w:szCs w:val="16"/>
          <w:color w:val="auto"/>
        </w:rPr>
        <w:t xml:space="preserve">, including information about the Company's management team, products and services, and its corporate governance practices. The corporate governance information on the Company's website, located at </w:t>
      </w:r>
      <w:r>
        <w:rPr>
          <w:rFonts w:ascii="Arial" w:cs="Arial" w:eastAsia="Arial" w:hAnsi="Arial"/>
          <w:sz w:val="16"/>
          <w:szCs w:val="16"/>
          <w:u w:val="single" w:color="auto"/>
          <w:color w:val="auto"/>
        </w:rPr>
        <w:t>www.ir.avnet.com/corporate-governance</w:t>
      </w:r>
      <w:r>
        <w:rPr>
          <w:rFonts w:ascii="Arial" w:cs="Arial" w:eastAsia="Arial" w:hAnsi="Arial"/>
          <w:sz w:val="16"/>
          <w:szCs w:val="16"/>
          <w:color w:val="auto"/>
        </w:rPr>
        <w:t>, includes the Guidelines, the Code of Conduct, the charters for each of the standing committees of the Board of Directors, and how a shareholder and other interested parties can communicate with the Board of Directors. In addition, amendments to the Code of Conduct and waivers granted to the Company's Directors and executive officers under the Code of Conduct, if any, will be posted in this area of the website. Printed versions of the Guidelines, the Code of Conduct and the charters for the Board committees can be obtained, free of charge, by writing to the Company, Attention: Darrel Jackson, Corporate Secretary, Avnet, Inc., 2211 South 47th Street, Phoenix, AZ 85034.</w:t>
      </w:r>
    </w:p>
    <w:p>
      <w:pPr>
        <w:spacing w:after="0" w:line="167"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color w:val="auto"/>
        </w:rPr>
        <w:t xml:space="preserve">In addition, the Company's Annual Reports on Form 10-K, Quarterly Reports on Form 10-Q, Current Reports on Form 8-K, Proxy Statements and other filings, including registration statements and Section 16 filings made by any of the Company's executive officers and Directors with respect to the Company's securities, with the U.S. Securities and Exchange Commission (the "SEC") under the Securities Exchange Act of 1934, as amended (the "Exchange Act"), or the Securities Act of 1933, as amended, are available on the Company's website located at </w:t>
      </w:r>
      <w:r>
        <w:rPr>
          <w:rFonts w:ascii="Arial" w:cs="Arial" w:eastAsia="Arial" w:hAnsi="Arial"/>
          <w:sz w:val="16"/>
          <w:szCs w:val="16"/>
          <w:u w:val="single" w:color="auto"/>
          <w:color w:val="auto"/>
        </w:rPr>
        <w:t>www.ir.avnet.com/financial-information/sec-filings</w:t>
      </w:r>
      <w:r>
        <w:rPr>
          <w:rFonts w:ascii="Arial" w:cs="Arial" w:eastAsia="Arial" w:hAnsi="Arial"/>
          <w:sz w:val="16"/>
          <w:szCs w:val="16"/>
          <w:color w:val="auto"/>
        </w:rPr>
        <w:t xml:space="preserve"> as soon as reasonably practicable after the report or form is electronically filed with, or furnished to, the SEC.</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This information about the Company's website and its content, together with other references to the website made in this Proxy Statement, is for information only.</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The content of the Company's website is not and should not be deemed to be incorporated by reference in this Proxy Statement or otherwise filed with the SEC.</w:t>
      </w:r>
    </w:p>
    <w:p>
      <w:pPr>
        <w:spacing w:after="0" w:line="155" w:lineRule="exact"/>
        <w:rPr>
          <w:sz w:val="20"/>
          <w:szCs w:val="20"/>
          <w:color w:val="auto"/>
        </w:rPr>
      </w:pPr>
    </w:p>
    <w:p>
      <w:pPr>
        <w:jc w:val="both"/>
        <w:ind w:left="10720"/>
        <w:spacing w:after="0"/>
        <w:tabs>
          <w:tab w:leader="none" w:pos="11060" w:val="left"/>
        </w:tabs>
        <w:rPr>
          <w:sz w:val="20"/>
          <w:szCs w:val="20"/>
          <w:color w:val="auto"/>
        </w:rPr>
      </w:pPr>
      <w:r>
        <w:rPr>
          <w:rFonts w:ascii="Arial" w:cs="Arial" w:eastAsia="Arial" w:hAnsi="Arial"/>
          <w:sz w:val="23"/>
          <w:szCs w:val="23"/>
          <w:b w:val="1"/>
          <w:bCs w:val="1"/>
          <w:color w:val="53C072"/>
        </w:rPr>
        <w:t>|</w:t>
      </w:r>
      <w:r>
        <w:rPr>
          <w:sz w:val="20"/>
          <w:szCs w:val="20"/>
          <w:color w:val="auto"/>
        </w:rPr>
        <w:tab/>
      </w: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7151370" cy="203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-130175</wp:posOffset>
            </wp:positionV>
            <wp:extent cx="1664970" cy="1231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3"/>
        </w:trPr>
        <w:tc>
          <w:tcPr>
            <w:tcW w:w="560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5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60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5660" w:type="dxa"/>
            <w:vAlign w:val="bottom"/>
            <w:vMerge w:val="restart"/>
          </w:tcPr>
          <w:p>
            <w:pPr>
              <w:ind w:left="4340"/>
              <w:spacing w:after="0"/>
              <w:rPr>
                <w:sz w:val="20"/>
                <w:szCs w:val="20"/>
                <w:color w:val="auto"/>
              </w:rPr>
            </w:pPr>
            <w:r>
              <w:rPr>
                <w:rFonts w:ascii="Arial" w:cs="Arial" w:eastAsia="Arial" w:hAnsi="Arial"/>
                <w:sz w:val="13"/>
                <w:szCs w:val="13"/>
                <w:color w:val="auto"/>
                <w:w w:val="98"/>
              </w:rPr>
              <w:t>Corporate Governance</w:t>
            </w:r>
          </w:p>
        </w:tc>
        <w:tc>
          <w:tcPr>
            <w:tcW w:w="0" w:type="dxa"/>
            <w:vAlign w:val="bottom"/>
          </w:tcPr>
          <w:p>
            <w:pPr>
              <w:spacing w:after="0"/>
              <w:rPr>
                <w:sz w:val="1"/>
                <w:szCs w:val="1"/>
                <w:color w:val="auto"/>
              </w:rPr>
            </w:pPr>
          </w:p>
        </w:tc>
      </w:tr>
      <w:tr>
        <w:trPr>
          <w:trHeight w:val="102"/>
        </w:trPr>
        <w:tc>
          <w:tcPr>
            <w:tcW w:w="560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5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600" w:type="dxa"/>
            <w:vAlign w:val="bottom"/>
            <w:vMerge w:val="continue"/>
          </w:tcPr>
          <w:p>
            <w:pPr>
              <w:spacing w:after="0"/>
              <w:rPr>
                <w:sz w:val="7"/>
                <w:szCs w:val="7"/>
                <w:color w:val="auto"/>
              </w:rPr>
            </w:pPr>
          </w:p>
        </w:tc>
        <w:tc>
          <w:tcPr>
            <w:tcW w:w="5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DIRECTOR COMMUNICATIONS</w:t>
      </w:r>
    </w:p>
    <w:p>
      <w:pPr>
        <w:spacing w:after="0" w:line="209"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 xml:space="preserve">Shareholders and other interested parties may contact the Company's Board of Directors by writing to the Board of Directors, Attention: Corporate Secretary, Avnet, Inc., 2211 South 47th Street, Phoenix, Arizona 85034. They may also submit an email to the Board by filling out the email form on the Company's website at </w:t>
      </w:r>
      <w:r>
        <w:rPr>
          <w:rFonts w:ascii="Arial" w:cs="Arial" w:eastAsia="Arial" w:hAnsi="Arial"/>
          <w:sz w:val="16"/>
          <w:szCs w:val="16"/>
          <w:u w:val="single" w:color="auto"/>
          <w:color w:val="auto"/>
        </w:rPr>
        <w:t>www.ir.avnet.com/corporate-governance/contact-the-board.</w:t>
      </w:r>
    </w:p>
    <w:p>
      <w:pPr>
        <w:spacing w:after="0" w:line="152" w:lineRule="exact"/>
        <w:rPr>
          <w:sz w:val="20"/>
          <w:szCs w:val="20"/>
          <w:color w:val="auto"/>
        </w:rPr>
      </w:pPr>
    </w:p>
    <w:p>
      <w:pPr>
        <w:ind w:right="40"/>
        <w:spacing w:after="0" w:line="245" w:lineRule="auto"/>
        <w:rPr>
          <w:sz w:val="20"/>
          <w:szCs w:val="20"/>
          <w:color w:val="auto"/>
        </w:rPr>
      </w:pPr>
      <w:r>
        <w:rPr>
          <w:rFonts w:ascii="Arial" w:cs="Arial" w:eastAsia="Arial" w:hAnsi="Arial"/>
          <w:sz w:val="16"/>
          <w:szCs w:val="16"/>
          <w:color w:val="auto"/>
        </w:rPr>
        <w:t>Communications received are distributed to the Board, or to any individual Director or group of Directors as appropriate, depending on the facts and circumstances outlined in the communication. The Board of Directors has requested that items that are unrelated to the duties and responsibilities of the Board be excluded, including spam, junk mail and mass mailings, product and services inquiries, product and services complaints, resumes and other forms of job inquiries, surveys and business solicitations or advertisements. Any product and services inquiries or complaints will be forwarded to the proper department for handling. In addition, material that is unduly hostile, threatening, illegal or similarly unsuitable will be excluded. Any such communication will be made available to any non-employee Director upon request.</w:t>
      </w:r>
    </w:p>
    <w:p>
      <w:pPr>
        <w:spacing w:after="0" w:line="145"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CORPORATE SOCIAL RESPONSIBILITY</w:t>
      </w:r>
    </w:p>
    <w:p>
      <w:pPr>
        <w:spacing w:after="0" w:line="209"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The Company is committed to guiding a better tomorrow through its Corporate Social Responsibility (CSR) governance and initiatives, including operating with integrity, promoting diversity and inclusion in the workforce, creating corporate targets to reduce waste and improve environmental performance, contributing to local and global communities and nurturing the capabilities of our employees, customers and communities. The Company's CSR reports are available on its website.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Company leverages the Sustainability Accounting Standards Board (SASB) standards to form the basis for its CSR program:</w:t>
      </w:r>
    </w:p>
    <w:p>
      <w:pPr>
        <w:spacing w:after="0" w:line="192" w:lineRule="exact"/>
        <w:rPr>
          <w:sz w:val="20"/>
          <w:szCs w:val="20"/>
          <w:color w:val="auto"/>
        </w:rPr>
      </w:pPr>
    </w:p>
    <w:p>
      <w:pPr>
        <w:ind w:left="960" w:hanging="477"/>
        <w:spacing w:after="0"/>
        <w:tabs>
          <w:tab w:leader="none" w:pos="960" w:val="left"/>
        </w:tabs>
        <w:numPr>
          <w:ilvl w:val="0"/>
          <w:numId w:val="22"/>
        </w:numPr>
        <w:rPr>
          <w:rFonts w:ascii="Arial" w:cs="Arial" w:eastAsia="Arial" w:hAnsi="Arial"/>
          <w:sz w:val="16"/>
          <w:szCs w:val="16"/>
          <w:color w:val="53C072"/>
        </w:rPr>
      </w:pPr>
      <w:r>
        <w:rPr>
          <w:rFonts w:ascii="Arial" w:cs="Arial" w:eastAsia="Arial" w:hAnsi="Arial"/>
          <w:sz w:val="16"/>
          <w:szCs w:val="16"/>
          <w:color w:val="auto"/>
        </w:rPr>
        <w:t>Ethics and Compliance</w:t>
      </w:r>
    </w:p>
    <w:p>
      <w:pPr>
        <w:spacing w:after="0" w:line="192" w:lineRule="exact"/>
        <w:rPr>
          <w:rFonts w:ascii="Arial" w:cs="Arial" w:eastAsia="Arial" w:hAnsi="Arial"/>
          <w:sz w:val="16"/>
          <w:szCs w:val="16"/>
          <w:color w:val="53C072"/>
        </w:rPr>
      </w:pPr>
    </w:p>
    <w:p>
      <w:pPr>
        <w:ind w:left="960" w:hanging="477"/>
        <w:spacing w:after="0"/>
        <w:tabs>
          <w:tab w:leader="none" w:pos="960" w:val="left"/>
        </w:tabs>
        <w:numPr>
          <w:ilvl w:val="0"/>
          <w:numId w:val="22"/>
        </w:numPr>
        <w:rPr>
          <w:rFonts w:ascii="Arial" w:cs="Arial" w:eastAsia="Arial" w:hAnsi="Arial"/>
          <w:sz w:val="16"/>
          <w:szCs w:val="16"/>
          <w:color w:val="53C072"/>
        </w:rPr>
      </w:pPr>
      <w:r>
        <w:rPr>
          <w:rFonts w:ascii="Arial" w:cs="Arial" w:eastAsia="Arial" w:hAnsi="Arial"/>
          <w:sz w:val="16"/>
          <w:szCs w:val="16"/>
          <w:color w:val="auto"/>
        </w:rPr>
        <w:t>Data Security</w:t>
      </w:r>
    </w:p>
    <w:p>
      <w:pPr>
        <w:spacing w:after="0" w:line="180" w:lineRule="exact"/>
        <w:rPr>
          <w:rFonts w:ascii="Arial" w:cs="Arial" w:eastAsia="Arial" w:hAnsi="Arial"/>
          <w:sz w:val="16"/>
          <w:szCs w:val="16"/>
          <w:color w:val="53C072"/>
        </w:rPr>
      </w:pPr>
    </w:p>
    <w:p>
      <w:pPr>
        <w:ind w:left="960" w:hanging="477"/>
        <w:spacing w:after="0"/>
        <w:tabs>
          <w:tab w:leader="none" w:pos="960" w:val="left"/>
        </w:tabs>
        <w:numPr>
          <w:ilvl w:val="0"/>
          <w:numId w:val="22"/>
        </w:numPr>
        <w:rPr>
          <w:rFonts w:ascii="Arial" w:cs="Arial" w:eastAsia="Arial" w:hAnsi="Arial"/>
          <w:sz w:val="16"/>
          <w:szCs w:val="16"/>
          <w:color w:val="53C072"/>
        </w:rPr>
      </w:pPr>
      <w:r>
        <w:rPr>
          <w:rFonts w:ascii="Arial" w:cs="Arial" w:eastAsia="Arial" w:hAnsi="Arial"/>
          <w:sz w:val="16"/>
          <w:szCs w:val="16"/>
          <w:color w:val="auto"/>
        </w:rPr>
        <w:t>Workforce Diversity and Inclusion</w:t>
      </w:r>
    </w:p>
    <w:p>
      <w:pPr>
        <w:spacing w:after="0" w:line="180" w:lineRule="exact"/>
        <w:rPr>
          <w:rFonts w:ascii="Arial" w:cs="Arial" w:eastAsia="Arial" w:hAnsi="Arial"/>
          <w:sz w:val="16"/>
          <w:szCs w:val="16"/>
          <w:color w:val="53C072"/>
        </w:rPr>
      </w:pPr>
    </w:p>
    <w:p>
      <w:pPr>
        <w:ind w:left="960" w:hanging="477"/>
        <w:spacing w:after="0"/>
        <w:tabs>
          <w:tab w:leader="none" w:pos="960" w:val="left"/>
        </w:tabs>
        <w:numPr>
          <w:ilvl w:val="0"/>
          <w:numId w:val="22"/>
        </w:numPr>
        <w:rPr>
          <w:rFonts w:ascii="Arial" w:cs="Arial" w:eastAsia="Arial" w:hAnsi="Arial"/>
          <w:sz w:val="16"/>
          <w:szCs w:val="16"/>
          <w:color w:val="53C072"/>
        </w:rPr>
      </w:pPr>
      <w:r>
        <w:rPr>
          <w:rFonts w:ascii="Arial" w:cs="Arial" w:eastAsia="Arial" w:hAnsi="Arial"/>
          <w:sz w:val="16"/>
          <w:szCs w:val="16"/>
          <w:color w:val="auto"/>
        </w:rPr>
        <w:t>Labor Practices</w:t>
      </w:r>
    </w:p>
    <w:p>
      <w:pPr>
        <w:spacing w:after="0" w:line="192" w:lineRule="exact"/>
        <w:rPr>
          <w:rFonts w:ascii="Arial" w:cs="Arial" w:eastAsia="Arial" w:hAnsi="Arial"/>
          <w:sz w:val="16"/>
          <w:szCs w:val="16"/>
          <w:color w:val="53C072"/>
        </w:rPr>
      </w:pPr>
    </w:p>
    <w:p>
      <w:pPr>
        <w:ind w:left="960" w:hanging="477"/>
        <w:spacing w:after="0"/>
        <w:tabs>
          <w:tab w:leader="none" w:pos="960" w:val="left"/>
        </w:tabs>
        <w:numPr>
          <w:ilvl w:val="0"/>
          <w:numId w:val="22"/>
        </w:numPr>
        <w:rPr>
          <w:rFonts w:ascii="Arial" w:cs="Arial" w:eastAsia="Arial" w:hAnsi="Arial"/>
          <w:sz w:val="16"/>
          <w:szCs w:val="16"/>
          <w:color w:val="53C072"/>
        </w:rPr>
      </w:pPr>
      <w:r>
        <w:rPr>
          <w:rFonts w:ascii="Arial" w:cs="Arial" w:eastAsia="Arial" w:hAnsi="Arial"/>
          <w:sz w:val="16"/>
          <w:szCs w:val="16"/>
          <w:color w:val="auto"/>
        </w:rPr>
        <w:t>Environmental Regulations</w:t>
      </w:r>
    </w:p>
    <w:p>
      <w:pPr>
        <w:spacing w:after="0" w:line="180" w:lineRule="exact"/>
        <w:rPr>
          <w:rFonts w:ascii="Arial" w:cs="Arial" w:eastAsia="Arial" w:hAnsi="Arial"/>
          <w:sz w:val="16"/>
          <w:szCs w:val="16"/>
          <w:color w:val="53C072"/>
        </w:rPr>
      </w:pPr>
    </w:p>
    <w:p>
      <w:pPr>
        <w:ind w:left="960" w:hanging="477"/>
        <w:spacing w:after="0"/>
        <w:tabs>
          <w:tab w:leader="none" w:pos="960" w:val="left"/>
        </w:tabs>
        <w:numPr>
          <w:ilvl w:val="0"/>
          <w:numId w:val="22"/>
        </w:numPr>
        <w:rPr>
          <w:rFonts w:ascii="Arial" w:cs="Arial" w:eastAsia="Arial" w:hAnsi="Arial"/>
          <w:sz w:val="16"/>
          <w:szCs w:val="16"/>
          <w:color w:val="53C072"/>
        </w:rPr>
      </w:pPr>
      <w:r>
        <w:rPr>
          <w:rFonts w:ascii="Arial" w:cs="Arial" w:eastAsia="Arial" w:hAnsi="Arial"/>
          <w:sz w:val="16"/>
          <w:szCs w:val="16"/>
          <w:color w:val="auto"/>
        </w:rPr>
        <w:t>Product Sourcing, Packaging and Marketing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80" w:type="dxa"/>
            <w:vAlign w:val="bottom"/>
            <w:shd w:val="clear" w:color="auto" w:fill="53C072"/>
          </w:tcPr>
          <w:p>
            <w:pPr>
              <w:spacing w:after="0"/>
              <w:rPr>
                <w:sz w:val="16"/>
                <w:szCs w:val="16"/>
                <w:color w:val="auto"/>
              </w:rPr>
            </w:pPr>
          </w:p>
        </w:tc>
        <w:tc>
          <w:tcPr>
            <w:tcW w:w="10080" w:type="dxa"/>
            <w:vAlign w:val="bottom"/>
            <w:shd w:val="clear" w:color="auto" w:fill="53C072"/>
          </w:tcPr>
          <w:p>
            <w:pPr>
              <w:ind w:left="3860"/>
              <w:spacing w:after="0"/>
              <w:rPr>
                <w:sz w:val="20"/>
                <w:szCs w:val="20"/>
                <w:color w:val="auto"/>
              </w:rPr>
            </w:pPr>
            <w:r>
              <w:rPr>
                <w:rFonts w:ascii="Arial" w:cs="Arial" w:eastAsia="Arial" w:hAnsi="Arial"/>
                <w:sz w:val="16"/>
                <w:szCs w:val="16"/>
                <w:b w:val="1"/>
                <w:bCs w:val="1"/>
                <w:color w:val="FFFFFE"/>
              </w:rPr>
              <w:t>CSR Highlights</w:t>
            </w:r>
          </w:p>
        </w:tc>
      </w:tr>
      <w:tr>
        <w:trPr>
          <w:trHeight w:val="170"/>
        </w:trPr>
        <w:tc>
          <w:tcPr>
            <w:tcW w:w="1180" w:type="dxa"/>
            <w:vAlign w:val="bottom"/>
          </w:tcPr>
          <w:p>
            <w:pPr>
              <w:spacing w:after="0" w:line="170" w:lineRule="exact"/>
              <w:rPr>
                <w:sz w:val="20"/>
                <w:szCs w:val="20"/>
                <w:color w:val="auto"/>
              </w:rPr>
            </w:pPr>
            <w:r>
              <w:rPr>
                <w:rFonts w:ascii="Arial" w:cs="Arial" w:eastAsia="Arial" w:hAnsi="Arial"/>
                <w:sz w:val="16"/>
                <w:szCs w:val="16"/>
                <w:b w:val="1"/>
                <w:bCs w:val="1"/>
                <w:color w:val="auto"/>
              </w:rPr>
              <w:t>Business</w:t>
            </w:r>
          </w:p>
        </w:tc>
        <w:tc>
          <w:tcPr>
            <w:tcW w:w="10080" w:type="dxa"/>
            <w:vAlign w:val="bottom"/>
          </w:tcPr>
          <w:p>
            <w:pPr>
              <w:ind w:left="240"/>
              <w:spacing w:after="0" w:line="170" w:lineRule="exact"/>
              <w:rPr>
                <w:sz w:val="20"/>
                <w:szCs w:val="20"/>
                <w:color w:val="auto"/>
              </w:rPr>
            </w:pPr>
            <w:r>
              <w:rPr>
                <w:rFonts w:ascii="Arial" w:cs="Arial" w:eastAsia="Arial" w:hAnsi="Arial"/>
                <w:sz w:val="12"/>
                <w:szCs w:val="12"/>
                <w:color w:val="53C072"/>
              </w:rPr>
              <w:t xml:space="preserve">•   </w:t>
            </w:r>
            <w:r>
              <w:rPr>
                <w:rFonts w:ascii="Arial" w:cs="Arial" w:eastAsia="Arial" w:hAnsi="Arial"/>
                <w:sz w:val="12"/>
                <w:szCs w:val="12"/>
                <w:color w:val="000000"/>
              </w:rPr>
              <w:t>Recognized as one of the World's Most Ethical Companies for the 7</w:t>
            </w:r>
            <w:r>
              <w:rPr>
                <w:rFonts w:ascii="Arial" w:cs="Arial" w:eastAsia="Arial" w:hAnsi="Arial"/>
                <w:sz w:val="19"/>
                <w:szCs w:val="19"/>
                <w:color w:val="000000"/>
                <w:vertAlign w:val="superscript"/>
              </w:rPr>
              <w:t>th</w:t>
            </w:r>
            <w:r>
              <w:rPr>
                <w:rFonts w:ascii="Arial" w:cs="Arial" w:eastAsia="Arial" w:hAnsi="Arial"/>
                <w:sz w:val="12"/>
                <w:szCs w:val="12"/>
                <w:color w:val="53C072"/>
              </w:rPr>
              <w:t xml:space="preserve"> </w:t>
            </w:r>
            <w:r>
              <w:rPr>
                <w:rFonts w:ascii="Arial" w:cs="Arial" w:eastAsia="Arial" w:hAnsi="Arial"/>
                <w:sz w:val="12"/>
                <w:szCs w:val="12"/>
                <w:color w:val="000000"/>
              </w:rPr>
              <w:t>year in a row by the Ethisphere Institute, a global leader in defining</w:t>
            </w:r>
          </w:p>
        </w:tc>
      </w:tr>
      <w:tr>
        <w:trPr>
          <w:trHeight w:val="182"/>
        </w:trPr>
        <w:tc>
          <w:tcPr>
            <w:tcW w:w="1180" w:type="dxa"/>
            <w:vAlign w:val="bottom"/>
          </w:tcPr>
          <w:p>
            <w:pPr>
              <w:spacing w:after="0" w:line="182" w:lineRule="exact"/>
              <w:rPr>
                <w:sz w:val="20"/>
                <w:szCs w:val="20"/>
                <w:color w:val="auto"/>
              </w:rPr>
            </w:pPr>
            <w:r>
              <w:rPr>
                <w:rFonts w:ascii="Arial" w:cs="Arial" w:eastAsia="Arial" w:hAnsi="Arial"/>
                <w:sz w:val="16"/>
                <w:szCs w:val="16"/>
                <w:b w:val="1"/>
                <w:bCs w:val="1"/>
                <w:color w:val="auto"/>
              </w:rPr>
              <w:t>Conduct and</w:t>
            </w:r>
          </w:p>
        </w:tc>
        <w:tc>
          <w:tcPr>
            <w:tcW w:w="10080" w:type="dxa"/>
            <w:vAlign w:val="bottom"/>
          </w:tcPr>
          <w:p>
            <w:pPr>
              <w:ind w:left="520"/>
              <w:spacing w:after="0" w:line="182" w:lineRule="exact"/>
              <w:rPr>
                <w:sz w:val="20"/>
                <w:szCs w:val="20"/>
                <w:color w:val="auto"/>
              </w:rPr>
            </w:pPr>
            <w:r>
              <w:rPr>
                <w:rFonts w:ascii="Arial" w:cs="Arial" w:eastAsia="Arial" w:hAnsi="Arial"/>
                <w:sz w:val="16"/>
                <w:szCs w:val="16"/>
                <w:color w:val="auto"/>
              </w:rPr>
              <w:t>and advancing the standards of ethical business practices.</w:t>
            </w:r>
          </w:p>
        </w:tc>
      </w:tr>
      <w:tr>
        <w:trPr>
          <w:trHeight w:val="221"/>
        </w:trPr>
        <w:tc>
          <w:tcPr>
            <w:tcW w:w="1180" w:type="dxa"/>
            <w:vAlign w:val="bottom"/>
          </w:tcPr>
          <w:p>
            <w:pPr>
              <w:spacing w:after="0"/>
              <w:rPr>
                <w:sz w:val="20"/>
                <w:szCs w:val="20"/>
                <w:color w:val="auto"/>
              </w:rPr>
            </w:pPr>
            <w:r>
              <w:rPr>
                <w:rFonts w:ascii="Arial" w:cs="Arial" w:eastAsia="Arial" w:hAnsi="Arial"/>
                <w:sz w:val="16"/>
                <w:szCs w:val="16"/>
                <w:b w:val="1"/>
                <w:bCs w:val="1"/>
                <w:color w:val="auto"/>
              </w:rPr>
              <w:t>Ethics</w:t>
            </w:r>
          </w:p>
        </w:tc>
        <w:tc>
          <w:tcPr>
            <w:tcW w:w="100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-363220</wp:posOffset>
            </wp:positionV>
            <wp:extent cx="7146290" cy="17576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6290" cy="1757680"/>
                    </a:xfrm>
                    <a:prstGeom prst="rect">
                      <a:avLst/>
                    </a:prstGeom>
                    <a:noFill/>
                  </pic:spPr>
                </pic:pic>
              </a:graphicData>
            </a:graphic>
          </wp:anchor>
        </w:drawing>
      </w:r>
    </w:p>
    <w:p>
      <w:pPr>
        <w:ind w:left="1700" w:right="80" w:hanging="283"/>
        <w:spacing w:after="0" w:line="243" w:lineRule="auto"/>
        <w:tabs>
          <w:tab w:leader="none" w:pos="1700" w:val="left"/>
        </w:tabs>
        <w:numPr>
          <w:ilvl w:val="0"/>
          <w:numId w:val="23"/>
        </w:numPr>
        <w:rPr>
          <w:rFonts w:ascii="Arial" w:cs="Arial" w:eastAsia="Arial" w:hAnsi="Arial"/>
          <w:sz w:val="16"/>
          <w:szCs w:val="16"/>
          <w:color w:val="53C072"/>
        </w:rPr>
      </w:pPr>
      <w:r>
        <w:rPr>
          <w:rFonts w:ascii="Arial" w:cs="Arial" w:eastAsia="Arial" w:hAnsi="Arial"/>
          <w:sz w:val="16"/>
          <w:szCs w:val="16"/>
          <w:color w:val="auto"/>
        </w:rPr>
        <w:t>Maintains a Global Code of Conduct, Global Anti-Corruption Policy and Global Conflict of Interest Policy to guide employee and Director conduct to foster integrity and compliance with various laws and regulations, including anti-corruption laws such as the US Foreign Corrupt Practices Act and the UK Bribery Act.</w:t>
      </w:r>
    </w:p>
    <w:p>
      <w:pPr>
        <w:spacing w:after="0" w:line="149" w:lineRule="exact"/>
        <w:rPr>
          <w:rFonts w:ascii="Arial" w:cs="Arial" w:eastAsia="Arial" w:hAnsi="Arial"/>
          <w:sz w:val="16"/>
          <w:szCs w:val="16"/>
          <w:color w:val="53C072"/>
        </w:rPr>
      </w:pPr>
    </w:p>
    <w:p>
      <w:pPr>
        <w:ind w:left="1700" w:hanging="283"/>
        <w:spacing w:after="0"/>
        <w:tabs>
          <w:tab w:leader="none" w:pos="1700" w:val="left"/>
        </w:tabs>
        <w:numPr>
          <w:ilvl w:val="0"/>
          <w:numId w:val="23"/>
        </w:numPr>
        <w:rPr>
          <w:rFonts w:ascii="Arial" w:cs="Arial" w:eastAsia="Arial" w:hAnsi="Arial"/>
          <w:sz w:val="16"/>
          <w:szCs w:val="16"/>
          <w:color w:val="53C072"/>
        </w:rPr>
      </w:pPr>
      <w:r>
        <w:rPr>
          <w:rFonts w:ascii="Arial" w:cs="Arial" w:eastAsia="Arial" w:hAnsi="Arial"/>
          <w:sz w:val="16"/>
          <w:szCs w:val="16"/>
          <w:color w:val="auto"/>
        </w:rPr>
        <w:t>Provides annual ethics and compliance training for employees across all levels.</w:t>
      </w:r>
    </w:p>
    <w:p>
      <w:pPr>
        <w:spacing w:after="0" w:line="180" w:lineRule="exact"/>
        <w:rPr>
          <w:rFonts w:ascii="Arial" w:cs="Arial" w:eastAsia="Arial" w:hAnsi="Arial"/>
          <w:sz w:val="16"/>
          <w:szCs w:val="16"/>
          <w:color w:val="53C072"/>
        </w:rPr>
      </w:pPr>
    </w:p>
    <w:p>
      <w:pPr>
        <w:ind w:left="1700" w:hanging="283"/>
        <w:spacing w:after="0"/>
        <w:tabs>
          <w:tab w:leader="none" w:pos="1700" w:val="left"/>
        </w:tabs>
        <w:numPr>
          <w:ilvl w:val="0"/>
          <w:numId w:val="23"/>
        </w:numPr>
        <w:rPr>
          <w:rFonts w:ascii="Arial" w:cs="Arial" w:eastAsia="Arial" w:hAnsi="Arial"/>
          <w:sz w:val="16"/>
          <w:szCs w:val="16"/>
          <w:color w:val="53C072"/>
        </w:rPr>
      </w:pPr>
      <w:r>
        <w:rPr>
          <w:rFonts w:ascii="Arial" w:cs="Arial" w:eastAsia="Arial" w:hAnsi="Arial"/>
          <w:sz w:val="16"/>
          <w:szCs w:val="16"/>
          <w:color w:val="auto"/>
        </w:rPr>
        <w:t>Maintains Ethics Alertline for confidential reporting of suspected violations.</w:t>
      </w:r>
    </w:p>
    <w:tbl>
      <w:tblPr>
        <w:tblLayout w:type="fixed"/>
        <w:tblInd w:w="0" w:type="dxa"/>
        <w:tblCellMar>
          <w:top w:w="0" w:type="dxa"/>
          <w:left w:w="0" w:type="dxa"/>
          <w:bottom w:w="0" w:type="dxa"/>
          <w:right w:w="0" w:type="dxa"/>
        </w:tblCellMar>
      </w:tblPr>
      <w:tr>
        <w:trPr>
          <w:trHeight w:val="180"/>
        </w:trPr>
        <w:tc>
          <w:tcPr>
            <w:tcW w:w="1275" w:type="dxa"/>
            <w:vAlign w:val="bottom"/>
            <w:gridSpan w:val="2"/>
            <w:shd w:val="clear" w:color="auto" w:fill="E8F5EA"/>
          </w:tcPr>
          <w:p>
            <w:pPr>
              <w:spacing w:after="0" w:line="181" w:lineRule="exact"/>
              <w:rPr>
                <w:sz w:val="20"/>
                <w:szCs w:val="20"/>
                <w:color w:val="auto"/>
              </w:rPr>
            </w:pPr>
            <w:r>
              <w:rPr>
                <w:rFonts w:ascii="Arial" w:cs="Arial" w:eastAsia="Arial" w:hAnsi="Arial"/>
                <w:sz w:val="16"/>
                <w:szCs w:val="16"/>
                <w:b w:val="1"/>
                <w:bCs w:val="1"/>
                <w:color w:val="auto"/>
              </w:rPr>
              <w:t>Privacy and</w:t>
            </w:r>
          </w:p>
        </w:tc>
        <w:tc>
          <w:tcPr>
            <w:tcW w:w="325" w:type="dxa"/>
            <w:vAlign w:val="bottom"/>
            <w:shd w:val="clear" w:color="auto" w:fill="E8F5EA"/>
          </w:tcPr>
          <w:p>
            <w:pPr>
              <w:ind w:left="145"/>
              <w:spacing w:after="0" w:line="181" w:lineRule="exact"/>
              <w:rPr>
                <w:sz w:val="20"/>
                <w:szCs w:val="20"/>
                <w:color w:val="auto"/>
              </w:rPr>
            </w:pPr>
            <w:r>
              <w:rPr>
                <w:rFonts w:ascii="Arial" w:cs="Arial" w:eastAsia="Arial" w:hAnsi="Arial"/>
                <w:sz w:val="16"/>
                <w:szCs w:val="16"/>
                <w:color w:val="53C072"/>
              </w:rPr>
              <w:t>•</w:t>
            </w:r>
          </w:p>
        </w:tc>
        <w:tc>
          <w:tcPr>
            <w:tcW w:w="9660" w:type="dxa"/>
            <w:vAlign w:val="bottom"/>
            <w:shd w:val="clear" w:color="auto" w:fill="E8F5EA"/>
          </w:tcPr>
          <w:p>
            <w:pPr>
              <w:ind w:left="100"/>
              <w:spacing w:after="0" w:line="181" w:lineRule="exact"/>
              <w:rPr>
                <w:sz w:val="20"/>
                <w:szCs w:val="20"/>
                <w:color w:val="auto"/>
              </w:rPr>
            </w:pPr>
            <w:r>
              <w:rPr>
                <w:rFonts w:ascii="Arial" w:cs="Arial" w:eastAsia="Arial" w:hAnsi="Arial"/>
                <w:sz w:val="16"/>
                <w:szCs w:val="16"/>
                <w:color w:val="auto"/>
                <w:w w:val="99"/>
              </w:rPr>
              <w:t>Maintains a Global Data Privacy Policy and Global Information Security Policy as part of its information security strategy, which contains</w:t>
            </w:r>
          </w:p>
        </w:tc>
      </w:tr>
      <w:tr>
        <w:trPr>
          <w:trHeight w:val="182"/>
        </w:trPr>
        <w:tc>
          <w:tcPr>
            <w:tcW w:w="400" w:type="dxa"/>
            <w:vAlign w:val="bottom"/>
            <w:shd w:val="clear" w:color="auto" w:fill="E8F5EA"/>
          </w:tcPr>
          <w:p>
            <w:pPr>
              <w:spacing w:after="0" w:line="182" w:lineRule="exact"/>
              <w:rPr>
                <w:sz w:val="20"/>
                <w:szCs w:val="20"/>
                <w:color w:val="auto"/>
              </w:rPr>
            </w:pPr>
            <w:r>
              <w:rPr>
                <w:rFonts w:ascii="Arial" w:cs="Arial" w:eastAsia="Arial" w:hAnsi="Arial"/>
                <w:sz w:val="16"/>
                <w:szCs w:val="16"/>
                <w:b w:val="1"/>
                <w:bCs w:val="1"/>
                <w:color w:val="auto"/>
              </w:rPr>
              <w:t>Data</w:t>
            </w:r>
          </w:p>
        </w:tc>
        <w:tc>
          <w:tcPr>
            <w:tcW w:w="875" w:type="dxa"/>
            <w:vAlign w:val="bottom"/>
            <w:shd w:val="clear" w:color="auto" w:fill="E8F5EA"/>
          </w:tcPr>
          <w:p>
            <w:pPr>
              <w:spacing w:after="0"/>
              <w:rPr>
                <w:sz w:val="15"/>
                <w:szCs w:val="15"/>
                <w:color w:val="auto"/>
              </w:rPr>
            </w:pPr>
          </w:p>
        </w:tc>
        <w:tc>
          <w:tcPr>
            <w:tcW w:w="325" w:type="dxa"/>
            <w:vAlign w:val="bottom"/>
            <w:shd w:val="clear" w:color="auto" w:fill="E8F5EA"/>
          </w:tcPr>
          <w:p>
            <w:pPr>
              <w:spacing w:after="0"/>
              <w:rPr>
                <w:sz w:val="15"/>
                <w:szCs w:val="15"/>
                <w:color w:val="auto"/>
              </w:rPr>
            </w:pPr>
          </w:p>
        </w:tc>
        <w:tc>
          <w:tcPr>
            <w:tcW w:w="9660" w:type="dxa"/>
            <w:vAlign w:val="bottom"/>
            <w:shd w:val="clear" w:color="auto" w:fill="E8F5EA"/>
          </w:tcPr>
          <w:p>
            <w:pPr>
              <w:ind w:left="100"/>
              <w:spacing w:after="0" w:line="182" w:lineRule="exact"/>
              <w:rPr>
                <w:sz w:val="20"/>
                <w:szCs w:val="20"/>
                <w:color w:val="auto"/>
              </w:rPr>
            </w:pPr>
            <w:r>
              <w:rPr>
                <w:rFonts w:ascii="Arial" w:cs="Arial" w:eastAsia="Arial" w:hAnsi="Arial"/>
                <w:sz w:val="16"/>
                <w:szCs w:val="16"/>
                <w:color w:val="auto"/>
              </w:rPr>
              <w:t>best practices, policies and procedures designed to keep confidential company, employee and customer information secure in all its</w:t>
            </w:r>
          </w:p>
        </w:tc>
      </w:tr>
      <w:tr>
        <w:trPr>
          <w:trHeight w:val="233"/>
        </w:trPr>
        <w:tc>
          <w:tcPr>
            <w:tcW w:w="1275" w:type="dxa"/>
            <w:vAlign w:val="bottom"/>
            <w:gridSpan w:val="2"/>
            <w:shd w:val="clear" w:color="auto" w:fill="E8F5EA"/>
          </w:tcPr>
          <w:p>
            <w:pPr>
              <w:spacing w:after="0"/>
              <w:rPr>
                <w:sz w:val="20"/>
                <w:szCs w:val="20"/>
                <w:color w:val="auto"/>
              </w:rPr>
            </w:pPr>
            <w:r>
              <w:rPr>
                <w:rFonts w:ascii="Arial" w:cs="Arial" w:eastAsia="Arial" w:hAnsi="Arial"/>
                <w:sz w:val="16"/>
                <w:szCs w:val="16"/>
                <w:b w:val="1"/>
                <w:bCs w:val="1"/>
                <w:color w:val="auto"/>
              </w:rPr>
              <w:t>Security</w:t>
            </w:r>
          </w:p>
        </w:tc>
        <w:tc>
          <w:tcPr>
            <w:tcW w:w="325" w:type="dxa"/>
            <w:vAlign w:val="bottom"/>
            <w:shd w:val="clear" w:color="auto" w:fill="E8F5EA"/>
          </w:tcPr>
          <w:p>
            <w:pPr>
              <w:spacing w:after="0"/>
              <w:rPr>
                <w:sz w:val="20"/>
                <w:szCs w:val="20"/>
                <w:color w:val="auto"/>
              </w:rPr>
            </w:pPr>
          </w:p>
        </w:tc>
        <w:tc>
          <w:tcPr>
            <w:tcW w:w="9660" w:type="dxa"/>
            <w:vAlign w:val="bottom"/>
            <w:shd w:val="clear" w:color="auto" w:fill="E8F5EA"/>
          </w:tcPr>
          <w:p>
            <w:pPr>
              <w:ind w:left="100"/>
              <w:spacing w:after="0"/>
              <w:rPr>
                <w:sz w:val="20"/>
                <w:szCs w:val="20"/>
                <w:color w:val="auto"/>
              </w:rPr>
            </w:pPr>
            <w:r>
              <w:rPr>
                <w:rFonts w:ascii="Arial" w:cs="Arial" w:eastAsia="Arial" w:hAnsi="Arial"/>
                <w:sz w:val="16"/>
                <w:szCs w:val="16"/>
                <w:color w:val="auto"/>
              </w:rPr>
              <w:t>business activities.</w:t>
            </w:r>
          </w:p>
        </w:tc>
      </w:tr>
      <w:tr>
        <w:trPr>
          <w:trHeight w:val="343"/>
        </w:trPr>
        <w:tc>
          <w:tcPr>
            <w:tcW w:w="400" w:type="dxa"/>
            <w:vAlign w:val="bottom"/>
            <w:shd w:val="clear" w:color="auto" w:fill="E8F5EA"/>
          </w:tcPr>
          <w:p>
            <w:pPr>
              <w:spacing w:after="0"/>
              <w:rPr>
                <w:sz w:val="24"/>
                <w:szCs w:val="24"/>
                <w:color w:val="auto"/>
              </w:rPr>
            </w:pPr>
          </w:p>
        </w:tc>
        <w:tc>
          <w:tcPr>
            <w:tcW w:w="875" w:type="dxa"/>
            <w:vAlign w:val="bottom"/>
            <w:shd w:val="clear" w:color="auto" w:fill="E8F5EA"/>
          </w:tcPr>
          <w:p>
            <w:pPr>
              <w:spacing w:after="0"/>
              <w:rPr>
                <w:sz w:val="24"/>
                <w:szCs w:val="24"/>
                <w:color w:val="auto"/>
              </w:rPr>
            </w:pPr>
          </w:p>
        </w:tc>
        <w:tc>
          <w:tcPr>
            <w:tcW w:w="325" w:type="dxa"/>
            <w:vAlign w:val="bottom"/>
            <w:shd w:val="clear" w:color="auto" w:fill="E8F5EA"/>
          </w:tcPr>
          <w:p>
            <w:pPr>
              <w:ind w:left="145"/>
              <w:spacing w:after="0"/>
              <w:rPr>
                <w:sz w:val="20"/>
                <w:szCs w:val="20"/>
                <w:color w:val="auto"/>
              </w:rPr>
            </w:pPr>
            <w:r>
              <w:rPr>
                <w:rFonts w:ascii="Arial" w:cs="Arial" w:eastAsia="Arial" w:hAnsi="Arial"/>
                <w:sz w:val="16"/>
                <w:szCs w:val="16"/>
                <w:color w:val="53C072"/>
              </w:rPr>
              <w:t>•</w:t>
            </w:r>
          </w:p>
        </w:tc>
        <w:tc>
          <w:tcPr>
            <w:tcW w:w="9660" w:type="dxa"/>
            <w:vAlign w:val="bottom"/>
            <w:shd w:val="clear" w:color="auto" w:fill="E8F5EA"/>
          </w:tcPr>
          <w:p>
            <w:pPr>
              <w:ind w:left="100"/>
              <w:spacing w:after="0"/>
              <w:rPr>
                <w:sz w:val="20"/>
                <w:szCs w:val="20"/>
                <w:color w:val="auto"/>
              </w:rPr>
            </w:pPr>
            <w:r>
              <w:rPr>
                <w:rFonts w:ascii="Arial" w:cs="Arial" w:eastAsia="Arial" w:hAnsi="Arial"/>
                <w:sz w:val="16"/>
                <w:szCs w:val="16"/>
                <w:color w:val="auto"/>
              </w:rPr>
              <w:t>Provides annual compliance training for employees across all levels.</w:t>
            </w:r>
          </w:p>
        </w:tc>
      </w:tr>
      <w:tr>
        <w:trPr>
          <w:trHeight w:val="521"/>
        </w:trPr>
        <w:tc>
          <w:tcPr>
            <w:tcW w:w="400" w:type="dxa"/>
            <w:vAlign w:val="bottom"/>
          </w:tcPr>
          <w:p>
            <w:pPr>
              <w:spacing w:after="0"/>
              <w:rPr>
                <w:sz w:val="20"/>
                <w:szCs w:val="20"/>
                <w:color w:val="auto"/>
              </w:rPr>
            </w:pPr>
            <w:r>
              <w:rPr>
                <w:rFonts w:ascii="Arial" w:cs="Arial" w:eastAsia="Arial" w:hAnsi="Arial"/>
                <w:sz w:val="16"/>
                <w:szCs w:val="16"/>
                <w:color w:val="auto"/>
              </w:rPr>
              <w:t>20</w:t>
            </w:r>
          </w:p>
        </w:tc>
        <w:tc>
          <w:tcPr>
            <w:tcW w:w="875" w:type="dxa"/>
            <w:vAlign w:val="bottom"/>
          </w:tcPr>
          <w:p>
            <w:pPr>
              <w:jc w:val="right"/>
              <w:ind w:right="642"/>
              <w:spacing w:after="0"/>
              <w:rPr>
                <w:sz w:val="20"/>
                <w:szCs w:val="20"/>
                <w:color w:val="auto"/>
              </w:rPr>
            </w:pPr>
            <w:r>
              <w:rPr>
                <w:rFonts w:ascii="Arial" w:cs="Arial" w:eastAsia="Arial" w:hAnsi="Arial"/>
                <w:sz w:val="23"/>
                <w:szCs w:val="23"/>
                <w:b w:val="1"/>
                <w:bCs w:val="1"/>
                <w:color w:val="53C072"/>
              </w:rPr>
              <w:t>|</w:t>
            </w:r>
          </w:p>
        </w:tc>
        <w:tc>
          <w:tcPr>
            <w:tcW w:w="325" w:type="dxa"/>
            <w:vAlign w:val="bottom"/>
          </w:tcPr>
          <w:p>
            <w:pPr>
              <w:spacing w:after="0"/>
              <w:rPr>
                <w:sz w:val="24"/>
                <w:szCs w:val="24"/>
                <w:color w:val="auto"/>
              </w:rPr>
            </w:pPr>
          </w:p>
        </w:tc>
        <w:tc>
          <w:tcPr>
            <w:tcW w:w="9660" w:type="dxa"/>
            <w:vAlign w:val="bottom"/>
          </w:tcPr>
          <w:p>
            <w:pPr>
              <w:spacing w:after="0"/>
              <w:rPr>
                <w:sz w:val="24"/>
                <w:szCs w:val="24"/>
                <w:color w:val="auto"/>
              </w:rPr>
            </w:pPr>
          </w:p>
        </w:tc>
      </w:tr>
      <w:tr>
        <w:trPr>
          <w:trHeight w:val="143"/>
        </w:trPr>
        <w:tc>
          <w:tcPr>
            <w:tcW w:w="400" w:type="dxa"/>
            <w:vAlign w:val="bottom"/>
            <w:tcBorders>
              <w:bottom w:val="single" w:sz="8" w:color="808080"/>
            </w:tcBorders>
          </w:tcPr>
          <w:p>
            <w:pPr>
              <w:spacing w:after="0"/>
              <w:rPr>
                <w:sz w:val="12"/>
                <w:szCs w:val="12"/>
                <w:color w:val="auto"/>
              </w:rPr>
            </w:pPr>
          </w:p>
        </w:tc>
        <w:tc>
          <w:tcPr>
            <w:tcW w:w="875" w:type="dxa"/>
            <w:vAlign w:val="bottom"/>
            <w:tcBorders>
              <w:bottom w:val="single" w:sz="8" w:color="808080"/>
            </w:tcBorders>
          </w:tcPr>
          <w:p>
            <w:pPr>
              <w:spacing w:after="0"/>
              <w:rPr>
                <w:sz w:val="12"/>
                <w:szCs w:val="12"/>
                <w:color w:val="auto"/>
              </w:rPr>
            </w:pPr>
          </w:p>
        </w:tc>
        <w:tc>
          <w:tcPr>
            <w:tcW w:w="325" w:type="dxa"/>
            <w:vAlign w:val="bottom"/>
            <w:tcBorders>
              <w:bottom w:val="single" w:sz="8" w:color="808080"/>
            </w:tcBorders>
          </w:tcPr>
          <w:p>
            <w:pPr>
              <w:spacing w:after="0"/>
              <w:rPr>
                <w:sz w:val="12"/>
                <w:szCs w:val="12"/>
                <w:color w:val="auto"/>
              </w:rPr>
            </w:pPr>
          </w:p>
        </w:tc>
        <w:tc>
          <w:tcPr>
            <w:tcW w:w="96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-13335</wp:posOffset>
            </wp:positionV>
            <wp:extent cx="1270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-302260</wp:posOffset>
            </wp:positionV>
            <wp:extent cx="1664970" cy="1231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3"/>
        </w:trPr>
        <w:tc>
          <w:tcPr>
            <w:tcW w:w="180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16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180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160" w:type="dxa"/>
            <w:vAlign w:val="bottom"/>
          </w:tcPr>
          <w:p>
            <w:pPr>
              <w:spacing w:after="0"/>
              <w:rPr>
                <w:sz w:val="24"/>
                <w:szCs w:val="24"/>
                <w:color w:val="auto"/>
              </w:rPr>
            </w:pPr>
          </w:p>
        </w:tc>
        <w:tc>
          <w:tcPr>
            <w:tcW w:w="9300" w:type="dxa"/>
            <w:vAlign w:val="bottom"/>
            <w:gridSpan w:val="2"/>
            <w:vMerge w:val="restart"/>
          </w:tcPr>
          <w:p>
            <w:pPr>
              <w:jc w:val="right"/>
              <w:spacing w:after="0"/>
              <w:rPr>
                <w:sz w:val="20"/>
                <w:szCs w:val="20"/>
                <w:color w:val="auto"/>
              </w:rPr>
            </w:pPr>
            <w:r>
              <w:rPr>
                <w:rFonts w:ascii="Arial" w:cs="Arial" w:eastAsia="Arial" w:hAnsi="Arial"/>
                <w:sz w:val="13"/>
                <w:szCs w:val="13"/>
                <w:color w:val="auto"/>
              </w:rPr>
              <w:t>Corporate Governance</w:t>
            </w:r>
          </w:p>
        </w:tc>
        <w:tc>
          <w:tcPr>
            <w:tcW w:w="0" w:type="dxa"/>
            <w:vAlign w:val="bottom"/>
          </w:tcPr>
          <w:p>
            <w:pPr>
              <w:spacing w:after="0"/>
              <w:rPr>
                <w:sz w:val="1"/>
                <w:szCs w:val="1"/>
                <w:color w:val="auto"/>
              </w:rPr>
            </w:pPr>
          </w:p>
        </w:tc>
      </w:tr>
      <w:tr>
        <w:trPr>
          <w:trHeight w:val="102"/>
        </w:trPr>
        <w:tc>
          <w:tcPr>
            <w:tcW w:w="180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160" w:type="dxa"/>
            <w:vAlign w:val="bottom"/>
          </w:tcPr>
          <w:p>
            <w:pPr>
              <w:spacing w:after="0"/>
              <w:rPr>
                <w:sz w:val="8"/>
                <w:szCs w:val="8"/>
                <w:color w:val="auto"/>
              </w:rPr>
            </w:pPr>
          </w:p>
        </w:tc>
        <w:tc>
          <w:tcPr>
            <w:tcW w:w="9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8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9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00" w:type="dxa"/>
            <w:vAlign w:val="bottom"/>
            <w:shd w:val="clear" w:color="auto" w:fill="CFE9D2"/>
          </w:tcPr>
          <w:p>
            <w:pPr>
              <w:spacing w:after="0" w:line="153" w:lineRule="exact"/>
              <w:rPr>
                <w:sz w:val="20"/>
                <w:szCs w:val="20"/>
                <w:color w:val="auto"/>
              </w:rPr>
            </w:pPr>
            <w:r>
              <w:rPr>
                <w:rFonts w:ascii="Arial" w:cs="Arial" w:eastAsia="Arial" w:hAnsi="Arial"/>
                <w:sz w:val="16"/>
                <w:szCs w:val="16"/>
                <w:b w:val="1"/>
                <w:bCs w:val="1"/>
                <w:color w:val="auto"/>
              </w:rPr>
              <w:t>Workforce Diversity</w:t>
            </w:r>
          </w:p>
        </w:tc>
        <w:tc>
          <w:tcPr>
            <w:tcW w:w="9260" w:type="dxa"/>
            <w:vAlign w:val="bottom"/>
            <w:gridSpan w:val="2"/>
            <w:shd w:val="clear" w:color="auto" w:fill="CFE9D2"/>
          </w:tcPr>
          <w:p>
            <w:pPr>
              <w:ind w:left="160"/>
              <w:spacing w:after="0" w:line="153" w:lineRule="exact"/>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Employs equal employment opportunity hiring practices, policies and management of employees. Regularly monitors hiring</w:t>
            </w:r>
          </w:p>
        </w:tc>
        <w:tc>
          <w:tcPr>
            <w:tcW w:w="200" w:type="dxa"/>
            <w:vAlign w:val="bottom"/>
            <w:shd w:val="clear" w:color="auto" w:fill="CFE9D2"/>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1800" w:type="dxa"/>
            <w:vAlign w:val="bottom"/>
            <w:shd w:val="clear" w:color="auto" w:fill="CFE9D2"/>
          </w:tcPr>
          <w:p>
            <w:pPr>
              <w:spacing w:after="0"/>
              <w:rPr>
                <w:sz w:val="20"/>
                <w:szCs w:val="20"/>
                <w:color w:val="auto"/>
              </w:rPr>
            </w:pPr>
            <w:r>
              <w:rPr>
                <w:rFonts w:ascii="Arial" w:cs="Arial" w:eastAsia="Arial" w:hAnsi="Arial"/>
                <w:sz w:val="16"/>
                <w:szCs w:val="16"/>
                <w:b w:val="1"/>
                <w:bCs w:val="1"/>
                <w:color w:val="auto"/>
              </w:rPr>
              <w:t>and Labor Practices</w:t>
            </w:r>
          </w:p>
        </w:tc>
        <w:tc>
          <w:tcPr>
            <w:tcW w:w="160" w:type="dxa"/>
            <w:vAlign w:val="bottom"/>
            <w:shd w:val="clear" w:color="auto" w:fill="CFE9D2"/>
          </w:tcPr>
          <w:p>
            <w:pPr>
              <w:spacing w:after="0"/>
              <w:rPr>
                <w:sz w:val="20"/>
                <w:szCs w:val="20"/>
                <w:color w:val="auto"/>
              </w:rPr>
            </w:pPr>
          </w:p>
        </w:tc>
        <w:tc>
          <w:tcPr>
            <w:tcW w:w="9100" w:type="dxa"/>
            <w:vAlign w:val="bottom"/>
            <w:shd w:val="clear" w:color="auto" w:fill="CFE9D2"/>
          </w:tcPr>
          <w:p>
            <w:pPr>
              <w:ind w:left="280"/>
              <w:spacing w:after="0"/>
              <w:rPr>
                <w:sz w:val="20"/>
                <w:szCs w:val="20"/>
                <w:color w:val="auto"/>
              </w:rPr>
            </w:pPr>
            <w:r>
              <w:rPr>
                <w:rFonts w:ascii="Arial" w:cs="Arial" w:eastAsia="Arial" w:hAnsi="Arial"/>
                <w:sz w:val="16"/>
                <w:szCs w:val="16"/>
                <w:color w:val="auto"/>
              </w:rPr>
              <w:t>processes to ensure that candidates and employees are treated with fairness and equality.</w:t>
            </w:r>
          </w:p>
        </w:tc>
        <w:tc>
          <w:tcPr>
            <w:tcW w:w="200" w:type="dxa"/>
            <w:vAlign w:val="bottom"/>
            <w:shd w:val="clear" w:color="auto" w:fill="CFE9D2"/>
          </w:tcPr>
          <w:p>
            <w:pPr>
              <w:spacing w:after="0"/>
              <w:rPr>
                <w:sz w:val="20"/>
                <w:szCs w:val="20"/>
                <w:color w:val="auto"/>
              </w:rPr>
            </w:pPr>
          </w:p>
        </w:tc>
        <w:tc>
          <w:tcPr>
            <w:tcW w:w="0" w:type="dxa"/>
            <w:vAlign w:val="bottom"/>
          </w:tcPr>
          <w:p>
            <w:pPr>
              <w:spacing w:after="0"/>
              <w:rPr>
                <w:sz w:val="1"/>
                <w:szCs w:val="1"/>
                <w:color w:val="auto"/>
              </w:rPr>
            </w:pPr>
          </w:p>
        </w:tc>
      </w:tr>
      <w:tr>
        <w:trPr>
          <w:trHeight w:val="313"/>
        </w:trPr>
        <w:tc>
          <w:tcPr>
            <w:tcW w:w="1800" w:type="dxa"/>
            <w:vAlign w:val="bottom"/>
            <w:shd w:val="clear" w:color="auto" w:fill="CFE9D2"/>
          </w:tcPr>
          <w:p>
            <w:pPr>
              <w:spacing w:after="0"/>
              <w:rPr>
                <w:sz w:val="24"/>
                <w:szCs w:val="24"/>
                <w:color w:val="auto"/>
              </w:rPr>
            </w:pPr>
          </w:p>
        </w:tc>
        <w:tc>
          <w:tcPr>
            <w:tcW w:w="9260" w:type="dxa"/>
            <w:vAlign w:val="bottom"/>
            <w:gridSpan w:val="2"/>
            <w:shd w:val="clear" w:color="auto" w:fill="CFE9D2"/>
          </w:tcPr>
          <w:p>
            <w:pPr>
              <w:ind w:left="16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Committed to create a diverse workforce that provides equal opportunity regardless of race, gender, religion, national origin,</w:t>
            </w:r>
          </w:p>
        </w:tc>
        <w:tc>
          <w:tcPr>
            <w:tcW w:w="200" w:type="dxa"/>
            <w:vAlign w:val="bottom"/>
            <w:shd w:val="clear" w:color="auto" w:fill="CFE9D2"/>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800" w:type="dxa"/>
            <w:vAlign w:val="bottom"/>
            <w:shd w:val="clear" w:color="auto" w:fill="CFE9D2"/>
          </w:tcPr>
          <w:p>
            <w:pPr>
              <w:spacing w:after="0"/>
              <w:rPr>
                <w:sz w:val="18"/>
                <w:szCs w:val="18"/>
                <w:color w:val="auto"/>
              </w:rPr>
            </w:pPr>
          </w:p>
        </w:tc>
        <w:tc>
          <w:tcPr>
            <w:tcW w:w="160" w:type="dxa"/>
            <w:vAlign w:val="bottom"/>
            <w:shd w:val="clear" w:color="auto" w:fill="CFE9D2"/>
          </w:tcPr>
          <w:p>
            <w:pPr>
              <w:spacing w:after="0"/>
              <w:rPr>
                <w:sz w:val="18"/>
                <w:szCs w:val="18"/>
                <w:color w:val="auto"/>
              </w:rPr>
            </w:pPr>
          </w:p>
        </w:tc>
        <w:tc>
          <w:tcPr>
            <w:tcW w:w="9100" w:type="dxa"/>
            <w:vAlign w:val="bottom"/>
            <w:shd w:val="clear" w:color="auto" w:fill="CFE9D2"/>
          </w:tcPr>
          <w:p>
            <w:pPr>
              <w:ind w:left="280"/>
              <w:spacing w:after="0"/>
              <w:rPr>
                <w:sz w:val="20"/>
                <w:szCs w:val="20"/>
                <w:color w:val="auto"/>
              </w:rPr>
            </w:pPr>
            <w:r>
              <w:rPr>
                <w:rFonts w:ascii="Arial" w:cs="Arial" w:eastAsia="Arial" w:hAnsi="Arial"/>
                <w:sz w:val="16"/>
                <w:szCs w:val="16"/>
                <w:color w:val="auto"/>
              </w:rPr>
              <w:t>sexual orientation or disability among other categories, and fosters respect, appreciation and acceptance of all people.</w:t>
            </w:r>
          </w:p>
        </w:tc>
        <w:tc>
          <w:tcPr>
            <w:tcW w:w="200" w:type="dxa"/>
            <w:vAlign w:val="bottom"/>
            <w:shd w:val="clear" w:color="auto" w:fill="CFE9D2"/>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1800" w:type="dxa"/>
            <w:vAlign w:val="bottom"/>
            <w:shd w:val="clear" w:color="auto" w:fill="CFE9D2"/>
          </w:tcPr>
          <w:p>
            <w:pPr>
              <w:spacing w:after="0"/>
              <w:rPr>
                <w:sz w:val="24"/>
                <w:szCs w:val="24"/>
                <w:color w:val="auto"/>
              </w:rPr>
            </w:pPr>
          </w:p>
        </w:tc>
        <w:tc>
          <w:tcPr>
            <w:tcW w:w="9260" w:type="dxa"/>
            <w:vAlign w:val="bottom"/>
            <w:gridSpan w:val="2"/>
            <w:shd w:val="clear" w:color="auto" w:fill="CFE9D2"/>
          </w:tcPr>
          <w:p>
            <w:pPr>
              <w:ind w:left="16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Expanded diversity initiatives to ensure females and minorities are considered for new or replacement leadership roles.</w:t>
            </w:r>
          </w:p>
        </w:tc>
        <w:tc>
          <w:tcPr>
            <w:tcW w:w="200" w:type="dxa"/>
            <w:vAlign w:val="bottom"/>
            <w:shd w:val="clear" w:color="auto" w:fill="CFE9D2"/>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800" w:type="dxa"/>
            <w:vAlign w:val="bottom"/>
            <w:shd w:val="clear" w:color="auto" w:fill="CFE9D2"/>
          </w:tcPr>
          <w:p>
            <w:pPr>
              <w:spacing w:after="0"/>
              <w:rPr>
                <w:sz w:val="24"/>
                <w:szCs w:val="24"/>
                <w:color w:val="auto"/>
              </w:rPr>
            </w:pPr>
          </w:p>
        </w:tc>
        <w:tc>
          <w:tcPr>
            <w:tcW w:w="9260" w:type="dxa"/>
            <w:vAlign w:val="bottom"/>
            <w:gridSpan w:val="2"/>
            <w:shd w:val="clear" w:color="auto" w:fill="CFE9D2"/>
          </w:tcPr>
          <w:p>
            <w:pPr>
              <w:ind w:left="16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Maintains anti-harassment policy that prohibits hostility or aversion towards individuals in protected categories, and prohibits</w:t>
            </w:r>
          </w:p>
        </w:tc>
        <w:tc>
          <w:tcPr>
            <w:tcW w:w="200" w:type="dxa"/>
            <w:vAlign w:val="bottom"/>
            <w:shd w:val="clear" w:color="auto" w:fill="CFE9D2"/>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800" w:type="dxa"/>
            <w:vAlign w:val="bottom"/>
            <w:shd w:val="clear" w:color="auto" w:fill="CFE9D2"/>
          </w:tcPr>
          <w:p>
            <w:pPr>
              <w:spacing w:after="0"/>
              <w:rPr>
                <w:sz w:val="18"/>
                <w:szCs w:val="18"/>
                <w:color w:val="auto"/>
              </w:rPr>
            </w:pPr>
          </w:p>
        </w:tc>
        <w:tc>
          <w:tcPr>
            <w:tcW w:w="160" w:type="dxa"/>
            <w:vAlign w:val="bottom"/>
            <w:shd w:val="clear" w:color="auto" w:fill="CFE9D2"/>
          </w:tcPr>
          <w:p>
            <w:pPr>
              <w:spacing w:after="0"/>
              <w:rPr>
                <w:sz w:val="18"/>
                <w:szCs w:val="18"/>
                <w:color w:val="auto"/>
              </w:rPr>
            </w:pPr>
          </w:p>
        </w:tc>
        <w:tc>
          <w:tcPr>
            <w:tcW w:w="9100" w:type="dxa"/>
            <w:vAlign w:val="bottom"/>
            <w:shd w:val="clear" w:color="auto" w:fill="CFE9D2"/>
          </w:tcPr>
          <w:p>
            <w:pPr>
              <w:ind w:left="280"/>
              <w:spacing w:after="0"/>
              <w:rPr>
                <w:sz w:val="20"/>
                <w:szCs w:val="20"/>
                <w:color w:val="auto"/>
              </w:rPr>
            </w:pPr>
            <w:r>
              <w:rPr>
                <w:rFonts w:ascii="Arial" w:cs="Arial" w:eastAsia="Arial" w:hAnsi="Arial"/>
                <w:sz w:val="16"/>
                <w:szCs w:val="16"/>
                <w:color w:val="auto"/>
              </w:rPr>
              <w:t>sexual harassment in any form.</w:t>
            </w:r>
          </w:p>
        </w:tc>
        <w:tc>
          <w:tcPr>
            <w:tcW w:w="200" w:type="dxa"/>
            <w:vAlign w:val="bottom"/>
            <w:shd w:val="clear" w:color="auto" w:fill="CFE9D2"/>
          </w:tcPr>
          <w:p>
            <w:pPr>
              <w:spacing w:after="0"/>
              <w:rPr>
                <w:sz w:val="18"/>
                <w:szCs w:val="18"/>
                <w:color w:val="auto"/>
              </w:rPr>
            </w:pPr>
          </w:p>
        </w:tc>
        <w:tc>
          <w:tcPr>
            <w:tcW w:w="0" w:type="dxa"/>
            <w:vAlign w:val="bottom"/>
          </w:tcPr>
          <w:p>
            <w:pPr>
              <w:spacing w:after="0"/>
              <w:rPr>
                <w:sz w:val="1"/>
                <w:szCs w:val="1"/>
                <w:color w:val="auto"/>
              </w:rPr>
            </w:pPr>
          </w:p>
        </w:tc>
      </w:tr>
      <w:tr>
        <w:trPr>
          <w:trHeight w:val="333"/>
        </w:trPr>
        <w:tc>
          <w:tcPr>
            <w:tcW w:w="1800" w:type="dxa"/>
            <w:vAlign w:val="bottom"/>
            <w:shd w:val="clear" w:color="auto" w:fill="CFE9D2"/>
          </w:tcPr>
          <w:p>
            <w:pPr>
              <w:spacing w:after="0"/>
              <w:rPr>
                <w:sz w:val="24"/>
                <w:szCs w:val="24"/>
                <w:color w:val="auto"/>
              </w:rPr>
            </w:pPr>
          </w:p>
        </w:tc>
        <w:tc>
          <w:tcPr>
            <w:tcW w:w="9260" w:type="dxa"/>
            <w:vAlign w:val="bottom"/>
            <w:gridSpan w:val="2"/>
            <w:shd w:val="clear" w:color="auto" w:fill="CFE9D2"/>
          </w:tcPr>
          <w:p>
            <w:pPr>
              <w:ind w:left="16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Signatory of the United Nations Global Compact, and committed through policies and practices that avert human trafficking,</w:t>
            </w:r>
          </w:p>
        </w:tc>
        <w:tc>
          <w:tcPr>
            <w:tcW w:w="200" w:type="dxa"/>
            <w:vAlign w:val="bottom"/>
            <w:shd w:val="clear" w:color="auto" w:fill="CFE9D2"/>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800" w:type="dxa"/>
            <w:vAlign w:val="bottom"/>
            <w:shd w:val="clear" w:color="auto" w:fill="CFE9D2"/>
          </w:tcPr>
          <w:p>
            <w:pPr>
              <w:spacing w:after="0"/>
              <w:rPr>
                <w:sz w:val="18"/>
                <w:szCs w:val="18"/>
                <w:color w:val="auto"/>
              </w:rPr>
            </w:pPr>
          </w:p>
        </w:tc>
        <w:tc>
          <w:tcPr>
            <w:tcW w:w="160" w:type="dxa"/>
            <w:vAlign w:val="bottom"/>
            <w:shd w:val="clear" w:color="auto" w:fill="CFE9D2"/>
          </w:tcPr>
          <w:p>
            <w:pPr>
              <w:spacing w:after="0"/>
              <w:rPr>
                <w:sz w:val="18"/>
                <w:szCs w:val="18"/>
                <w:color w:val="auto"/>
              </w:rPr>
            </w:pPr>
          </w:p>
        </w:tc>
        <w:tc>
          <w:tcPr>
            <w:tcW w:w="9100" w:type="dxa"/>
            <w:vAlign w:val="bottom"/>
            <w:shd w:val="clear" w:color="auto" w:fill="CFE9D2"/>
          </w:tcPr>
          <w:p>
            <w:pPr>
              <w:ind w:left="280"/>
              <w:spacing w:after="0"/>
              <w:rPr>
                <w:sz w:val="20"/>
                <w:szCs w:val="20"/>
                <w:color w:val="auto"/>
              </w:rPr>
            </w:pPr>
            <w:r>
              <w:rPr>
                <w:rFonts w:ascii="Arial" w:cs="Arial" w:eastAsia="Arial" w:hAnsi="Arial"/>
                <w:sz w:val="16"/>
                <w:szCs w:val="16"/>
                <w:color w:val="auto"/>
              </w:rPr>
              <w:t>eliminate modern slavery and other human rights violations and promote responsible minerals acquisitions.</w:t>
            </w:r>
          </w:p>
        </w:tc>
        <w:tc>
          <w:tcPr>
            <w:tcW w:w="200" w:type="dxa"/>
            <w:vAlign w:val="bottom"/>
            <w:shd w:val="clear" w:color="auto" w:fill="CFE9D2"/>
          </w:tcPr>
          <w:p>
            <w:pPr>
              <w:spacing w:after="0"/>
              <w:rPr>
                <w:sz w:val="18"/>
                <w:szCs w:val="18"/>
                <w:color w:val="auto"/>
              </w:rPr>
            </w:pPr>
          </w:p>
        </w:tc>
        <w:tc>
          <w:tcPr>
            <w:tcW w:w="0" w:type="dxa"/>
            <w:vAlign w:val="bottom"/>
          </w:tcPr>
          <w:p>
            <w:pPr>
              <w:spacing w:after="0"/>
              <w:rPr>
                <w:sz w:val="1"/>
                <w:szCs w:val="1"/>
                <w:color w:val="auto"/>
              </w:rPr>
            </w:pPr>
          </w:p>
        </w:tc>
      </w:tr>
      <w:tr>
        <w:trPr>
          <w:trHeight w:val="333"/>
        </w:trPr>
        <w:tc>
          <w:tcPr>
            <w:tcW w:w="1800" w:type="dxa"/>
            <w:vAlign w:val="bottom"/>
            <w:shd w:val="clear" w:color="auto" w:fill="CFE9D2"/>
          </w:tcPr>
          <w:p>
            <w:pPr>
              <w:spacing w:after="0"/>
              <w:rPr>
                <w:sz w:val="24"/>
                <w:szCs w:val="24"/>
                <w:color w:val="auto"/>
              </w:rPr>
            </w:pPr>
          </w:p>
        </w:tc>
        <w:tc>
          <w:tcPr>
            <w:tcW w:w="9460" w:type="dxa"/>
            <w:vAlign w:val="bottom"/>
            <w:gridSpan w:val="3"/>
            <w:shd w:val="clear" w:color="auto" w:fill="CFE9D2"/>
          </w:tcPr>
          <w:p>
            <w:pPr>
              <w:ind w:left="16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Upholds the Responsible Business Alliance Code of Conduct and participates in the Social Responsibility Alliance's Slavery and</w:t>
            </w:r>
          </w:p>
        </w:tc>
        <w:tc>
          <w:tcPr>
            <w:tcW w:w="0" w:type="dxa"/>
            <w:vAlign w:val="bottom"/>
          </w:tcPr>
          <w:p>
            <w:pPr>
              <w:spacing w:after="0"/>
              <w:rPr>
                <w:sz w:val="1"/>
                <w:szCs w:val="1"/>
                <w:color w:val="auto"/>
              </w:rPr>
            </w:pPr>
          </w:p>
        </w:tc>
      </w:tr>
      <w:tr>
        <w:trPr>
          <w:trHeight w:val="213"/>
        </w:trPr>
        <w:tc>
          <w:tcPr>
            <w:tcW w:w="1800" w:type="dxa"/>
            <w:vAlign w:val="bottom"/>
            <w:shd w:val="clear" w:color="auto" w:fill="CFE9D2"/>
          </w:tcPr>
          <w:p>
            <w:pPr>
              <w:spacing w:after="0"/>
              <w:rPr>
                <w:sz w:val="18"/>
                <w:szCs w:val="18"/>
                <w:color w:val="auto"/>
              </w:rPr>
            </w:pPr>
          </w:p>
        </w:tc>
        <w:tc>
          <w:tcPr>
            <w:tcW w:w="160" w:type="dxa"/>
            <w:vAlign w:val="bottom"/>
            <w:shd w:val="clear" w:color="auto" w:fill="CFE9D2"/>
          </w:tcPr>
          <w:p>
            <w:pPr>
              <w:spacing w:after="0"/>
              <w:rPr>
                <w:sz w:val="18"/>
                <w:szCs w:val="18"/>
                <w:color w:val="auto"/>
              </w:rPr>
            </w:pPr>
          </w:p>
        </w:tc>
        <w:tc>
          <w:tcPr>
            <w:tcW w:w="9100" w:type="dxa"/>
            <w:vAlign w:val="bottom"/>
            <w:shd w:val="clear" w:color="auto" w:fill="CFE9D2"/>
          </w:tcPr>
          <w:p>
            <w:pPr>
              <w:ind w:left="280"/>
              <w:spacing w:after="0"/>
              <w:rPr>
                <w:sz w:val="20"/>
                <w:szCs w:val="20"/>
                <w:color w:val="auto"/>
              </w:rPr>
            </w:pPr>
            <w:r>
              <w:rPr>
                <w:rFonts w:ascii="Arial" w:cs="Arial" w:eastAsia="Arial" w:hAnsi="Arial"/>
                <w:sz w:val="16"/>
                <w:szCs w:val="16"/>
                <w:color w:val="auto"/>
              </w:rPr>
              <w:t>Trafficking Risk Template (STRT).</w:t>
            </w:r>
          </w:p>
        </w:tc>
        <w:tc>
          <w:tcPr>
            <w:tcW w:w="200" w:type="dxa"/>
            <w:vAlign w:val="bottom"/>
            <w:shd w:val="clear" w:color="auto" w:fill="CFE9D2"/>
          </w:tcPr>
          <w:p>
            <w:pPr>
              <w:spacing w:after="0"/>
              <w:rPr>
                <w:sz w:val="18"/>
                <w:szCs w:val="18"/>
                <w:color w:val="auto"/>
              </w:rPr>
            </w:pPr>
          </w:p>
        </w:tc>
        <w:tc>
          <w:tcPr>
            <w:tcW w:w="0" w:type="dxa"/>
            <w:vAlign w:val="bottom"/>
          </w:tcPr>
          <w:p>
            <w:pPr>
              <w:spacing w:after="0"/>
              <w:rPr>
                <w:sz w:val="1"/>
                <w:szCs w:val="1"/>
                <w:color w:val="auto"/>
              </w:rPr>
            </w:pPr>
          </w:p>
        </w:tc>
      </w:tr>
      <w:tr>
        <w:trPr>
          <w:trHeight w:val="333"/>
        </w:trPr>
        <w:tc>
          <w:tcPr>
            <w:tcW w:w="1800" w:type="dxa"/>
            <w:vAlign w:val="bottom"/>
            <w:shd w:val="clear" w:color="auto" w:fill="CFE9D2"/>
          </w:tcPr>
          <w:p>
            <w:pPr>
              <w:spacing w:after="0"/>
              <w:rPr>
                <w:sz w:val="24"/>
                <w:szCs w:val="24"/>
                <w:color w:val="auto"/>
              </w:rPr>
            </w:pPr>
          </w:p>
        </w:tc>
        <w:tc>
          <w:tcPr>
            <w:tcW w:w="9260" w:type="dxa"/>
            <w:vAlign w:val="bottom"/>
            <w:gridSpan w:val="2"/>
            <w:shd w:val="clear" w:color="auto" w:fill="CFE9D2"/>
          </w:tcPr>
          <w:p>
            <w:pPr>
              <w:ind w:left="16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Maintains Conflict Minerals Policy Statement, whereby the Company will not directly purchase any conflict minerals and</w:t>
            </w:r>
          </w:p>
        </w:tc>
        <w:tc>
          <w:tcPr>
            <w:tcW w:w="200" w:type="dxa"/>
            <w:vAlign w:val="bottom"/>
            <w:shd w:val="clear" w:color="auto" w:fill="CFE9D2"/>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00" w:type="dxa"/>
            <w:vAlign w:val="bottom"/>
            <w:shd w:val="clear" w:color="auto" w:fill="CFE9D2"/>
          </w:tcPr>
          <w:p>
            <w:pPr>
              <w:spacing w:after="0"/>
              <w:rPr>
                <w:sz w:val="15"/>
                <w:szCs w:val="15"/>
                <w:color w:val="auto"/>
              </w:rPr>
            </w:pPr>
          </w:p>
        </w:tc>
        <w:tc>
          <w:tcPr>
            <w:tcW w:w="160" w:type="dxa"/>
            <w:vAlign w:val="bottom"/>
            <w:shd w:val="clear" w:color="auto" w:fill="CFE9D2"/>
          </w:tcPr>
          <w:p>
            <w:pPr>
              <w:spacing w:after="0"/>
              <w:rPr>
                <w:sz w:val="15"/>
                <w:szCs w:val="15"/>
                <w:color w:val="auto"/>
              </w:rPr>
            </w:pPr>
          </w:p>
        </w:tc>
        <w:tc>
          <w:tcPr>
            <w:tcW w:w="9300" w:type="dxa"/>
            <w:vAlign w:val="bottom"/>
            <w:gridSpan w:val="2"/>
            <w:shd w:val="clear" w:color="auto" w:fill="CFE9D2"/>
          </w:tcPr>
          <w:p>
            <w:pPr>
              <w:ind w:left="280"/>
              <w:spacing w:after="0" w:line="182" w:lineRule="exact"/>
              <w:rPr>
                <w:sz w:val="20"/>
                <w:szCs w:val="20"/>
                <w:color w:val="auto"/>
              </w:rPr>
            </w:pPr>
            <w:r>
              <w:rPr>
                <w:rFonts w:ascii="Arial" w:cs="Arial" w:eastAsia="Arial" w:hAnsi="Arial"/>
                <w:sz w:val="16"/>
                <w:szCs w:val="16"/>
                <w:color w:val="auto"/>
              </w:rPr>
              <w:t>endeavors not to purchase products that contain conflict minerals sourced from mines in the Democratic Republic of the Congo</w:t>
            </w:r>
          </w:p>
        </w:tc>
        <w:tc>
          <w:tcPr>
            <w:tcW w:w="0" w:type="dxa"/>
            <w:vAlign w:val="bottom"/>
          </w:tcPr>
          <w:p>
            <w:pPr>
              <w:spacing w:after="0"/>
              <w:rPr>
                <w:sz w:val="1"/>
                <w:szCs w:val="1"/>
                <w:color w:val="auto"/>
              </w:rPr>
            </w:pPr>
          </w:p>
        </w:tc>
      </w:tr>
      <w:tr>
        <w:trPr>
          <w:trHeight w:val="182"/>
        </w:trPr>
        <w:tc>
          <w:tcPr>
            <w:tcW w:w="1800" w:type="dxa"/>
            <w:vAlign w:val="bottom"/>
            <w:shd w:val="clear" w:color="auto" w:fill="CFE9D2"/>
          </w:tcPr>
          <w:p>
            <w:pPr>
              <w:spacing w:after="0"/>
              <w:rPr>
                <w:sz w:val="15"/>
                <w:szCs w:val="15"/>
                <w:color w:val="auto"/>
              </w:rPr>
            </w:pPr>
          </w:p>
        </w:tc>
        <w:tc>
          <w:tcPr>
            <w:tcW w:w="160" w:type="dxa"/>
            <w:vAlign w:val="bottom"/>
            <w:shd w:val="clear" w:color="auto" w:fill="CFE9D2"/>
          </w:tcPr>
          <w:p>
            <w:pPr>
              <w:spacing w:after="0"/>
              <w:rPr>
                <w:sz w:val="15"/>
                <w:szCs w:val="15"/>
                <w:color w:val="auto"/>
              </w:rPr>
            </w:pPr>
          </w:p>
        </w:tc>
        <w:tc>
          <w:tcPr>
            <w:tcW w:w="9100" w:type="dxa"/>
            <w:vAlign w:val="bottom"/>
            <w:shd w:val="clear" w:color="auto" w:fill="CFE9D2"/>
          </w:tcPr>
          <w:p>
            <w:pPr>
              <w:ind w:left="280"/>
              <w:spacing w:after="0" w:line="182" w:lineRule="exact"/>
              <w:rPr>
                <w:sz w:val="20"/>
                <w:szCs w:val="20"/>
                <w:color w:val="auto"/>
              </w:rPr>
            </w:pPr>
            <w:r>
              <w:rPr>
                <w:rFonts w:ascii="Arial" w:cs="Arial" w:eastAsia="Arial" w:hAnsi="Arial"/>
                <w:sz w:val="16"/>
                <w:szCs w:val="16"/>
                <w:color w:val="auto"/>
              </w:rPr>
              <w:t>(DRC) or adjoining countries that finance or benefit armed groups in the DRC or adjoining countries. The Company further</w:t>
            </w:r>
          </w:p>
        </w:tc>
        <w:tc>
          <w:tcPr>
            <w:tcW w:w="200" w:type="dxa"/>
            <w:vAlign w:val="bottom"/>
            <w:shd w:val="clear" w:color="auto" w:fill="CFE9D2"/>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800" w:type="dxa"/>
            <w:vAlign w:val="bottom"/>
            <w:shd w:val="clear" w:color="auto" w:fill="CFE9D2"/>
          </w:tcPr>
          <w:p>
            <w:pPr>
              <w:spacing w:after="0"/>
              <w:rPr>
                <w:sz w:val="18"/>
                <w:szCs w:val="18"/>
                <w:color w:val="auto"/>
              </w:rPr>
            </w:pPr>
          </w:p>
        </w:tc>
        <w:tc>
          <w:tcPr>
            <w:tcW w:w="160" w:type="dxa"/>
            <w:vAlign w:val="bottom"/>
            <w:shd w:val="clear" w:color="auto" w:fill="CFE9D2"/>
          </w:tcPr>
          <w:p>
            <w:pPr>
              <w:spacing w:after="0"/>
              <w:rPr>
                <w:sz w:val="18"/>
                <w:szCs w:val="18"/>
                <w:color w:val="auto"/>
              </w:rPr>
            </w:pPr>
          </w:p>
        </w:tc>
        <w:tc>
          <w:tcPr>
            <w:tcW w:w="9100" w:type="dxa"/>
            <w:vAlign w:val="bottom"/>
            <w:shd w:val="clear" w:color="auto" w:fill="CFE9D2"/>
          </w:tcPr>
          <w:p>
            <w:pPr>
              <w:ind w:left="280"/>
              <w:spacing w:after="0"/>
              <w:rPr>
                <w:sz w:val="20"/>
                <w:szCs w:val="20"/>
                <w:color w:val="auto"/>
              </w:rPr>
            </w:pPr>
            <w:r>
              <w:rPr>
                <w:rFonts w:ascii="Arial" w:cs="Arial" w:eastAsia="Arial" w:hAnsi="Arial"/>
                <w:sz w:val="16"/>
                <w:szCs w:val="16"/>
                <w:color w:val="auto"/>
              </w:rPr>
              <w:t>encourages its suppliers to only source minerals from responsible sources and fosters transparency in the supply chain.</w:t>
            </w:r>
          </w:p>
        </w:tc>
        <w:tc>
          <w:tcPr>
            <w:tcW w:w="200" w:type="dxa"/>
            <w:vAlign w:val="bottom"/>
            <w:shd w:val="clear" w:color="auto" w:fill="CFE9D2"/>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1800" w:type="dxa"/>
            <w:vAlign w:val="bottom"/>
            <w:shd w:val="clear" w:color="auto" w:fill="CFE9D2"/>
          </w:tcPr>
          <w:p>
            <w:pPr>
              <w:spacing w:after="0"/>
              <w:rPr>
                <w:sz w:val="24"/>
                <w:szCs w:val="24"/>
                <w:color w:val="auto"/>
              </w:rPr>
            </w:pPr>
          </w:p>
        </w:tc>
        <w:tc>
          <w:tcPr>
            <w:tcW w:w="9260" w:type="dxa"/>
            <w:vAlign w:val="bottom"/>
            <w:gridSpan w:val="2"/>
            <w:shd w:val="clear" w:color="auto" w:fill="CFE9D2"/>
          </w:tcPr>
          <w:p>
            <w:pPr>
              <w:ind w:left="16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Provides training for employees across all levels.</w:t>
            </w:r>
          </w:p>
        </w:tc>
        <w:tc>
          <w:tcPr>
            <w:tcW w:w="200" w:type="dxa"/>
            <w:vAlign w:val="bottom"/>
            <w:shd w:val="clear" w:color="auto" w:fill="CFE9D2"/>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800" w:type="dxa"/>
            <w:vAlign w:val="bottom"/>
            <w:shd w:val="clear" w:color="auto" w:fill="E8F5EA"/>
          </w:tcPr>
          <w:p>
            <w:pPr>
              <w:spacing w:after="0" w:line="153" w:lineRule="exact"/>
              <w:rPr>
                <w:sz w:val="20"/>
                <w:szCs w:val="20"/>
                <w:color w:val="auto"/>
              </w:rPr>
            </w:pPr>
            <w:r>
              <w:rPr>
                <w:rFonts w:ascii="Arial" w:cs="Arial" w:eastAsia="Arial" w:hAnsi="Arial"/>
                <w:sz w:val="16"/>
                <w:szCs w:val="16"/>
                <w:b w:val="1"/>
                <w:bCs w:val="1"/>
                <w:color w:val="auto"/>
              </w:rPr>
              <w:t>Environmental</w:t>
            </w:r>
          </w:p>
        </w:tc>
        <w:tc>
          <w:tcPr>
            <w:tcW w:w="160" w:type="dxa"/>
            <w:vAlign w:val="bottom"/>
            <w:shd w:val="clear" w:color="auto" w:fill="E8F5EA"/>
          </w:tcPr>
          <w:p>
            <w:pPr>
              <w:spacing w:after="0"/>
              <w:rPr>
                <w:sz w:val="13"/>
                <w:szCs w:val="13"/>
                <w:color w:val="auto"/>
              </w:rPr>
            </w:pPr>
          </w:p>
        </w:tc>
        <w:tc>
          <w:tcPr>
            <w:tcW w:w="9300" w:type="dxa"/>
            <w:vAlign w:val="bottom"/>
            <w:gridSpan w:val="2"/>
            <w:shd w:val="clear" w:color="auto" w:fill="E8F5EA"/>
          </w:tcPr>
          <w:p>
            <w:pPr>
              <w:spacing w:after="0" w:line="153" w:lineRule="exact"/>
              <w:rPr>
                <w:sz w:val="20"/>
                <w:szCs w:val="20"/>
                <w:color w:val="auto"/>
              </w:rPr>
            </w:pPr>
            <w:r>
              <w:rPr>
                <w:rFonts w:ascii="Arial" w:cs="Arial" w:eastAsia="Arial" w:hAnsi="Arial"/>
                <w:sz w:val="16"/>
                <w:szCs w:val="16"/>
                <w:color w:val="53C072"/>
                <w:w w:val="99"/>
              </w:rPr>
              <w:t xml:space="preserve">•   </w:t>
            </w:r>
            <w:r>
              <w:rPr>
                <w:rFonts w:ascii="Arial" w:cs="Arial" w:eastAsia="Arial" w:hAnsi="Arial"/>
                <w:sz w:val="16"/>
                <w:szCs w:val="16"/>
                <w:color w:val="000000"/>
                <w:w w:val="99"/>
              </w:rPr>
              <w:t>Maintains Global Environmental Policy, whereby the Company sets internal sustainability targets to prevent pollution and improve</w:t>
            </w:r>
          </w:p>
        </w:tc>
        <w:tc>
          <w:tcPr>
            <w:tcW w:w="0" w:type="dxa"/>
            <w:vAlign w:val="bottom"/>
          </w:tcPr>
          <w:p>
            <w:pPr>
              <w:spacing w:after="0"/>
              <w:rPr>
                <w:sz w:val="1"/>
                <w:szCs w:val="1"/>
                <w:color w:val="auto"/>
              </w:rPr>
            </w:pPr>
          </w:p>
        </w:tc>
      </w:tr>
      <w:tr>
        <w:trPr>
          <w:trHeight w:val="182"/>
        </w:trPr>
        <w:tc>
          <w:tcPr>
            <w:tcW w:w="1800" w:type="dxa"/>
            <w:vAlign w:val="bottom"/>
            <w:shd w:val="clear" w:color="auto" w:fill="E8F5EA"/>
          </w:tcPr>
          <w:p>
            <w:pPr>
              <w:spacing w:after="0" w:line="182" w:lineRule="exact"/>
              <w:rPr>
                <w:sz w:val="20"/>
                <w:szCs w:val="20"/>
                <w:color w:val="auto"/>
              </w:rPr>
            </w:pPr>
            <w:r>
              <w:rPr>
                <w:rFonts w:ascii="Arial" w:cs="Arial" w:eastAsia="Arial" w:hAnsi="Arial"/>
                <w:sz w:val="16"/>
                <w:szCs w:val="16"/>
                <w:b w:val="1"/>
                <w:bCs w:val="1"/>
                <w:color w:val="auto"/>
              </w:rPr>
              <w:t>Governance</w:t>
            </w:r>
          </w:p>
        </w:tc>
        <w:tc>
          <w:tcPr>
            <w:tcW w:w="160" w:type="dxa"/>
            <w:vAlign w:val="bottom"/>
            <w:shd w:val="clear" w:color="auto" w:fill="E8F5EA"/>
          </w:tcPr>
          <w:p>
            <w:pPr>
              <w:spacing w:after="0"/>
              <w:rPr>
                <w:sz w:val="15"/>
                <w:szCs w:val="15"/>
                <w:color w:val="auto"/>
              </w:rPr>
            </w:pPr>
          </w:p>
        </w:tc>
        <w:tc>
          <w:tcPr>
            <w:tcW w:w="9100" w:type="dxa"/>
            <w:vAlign w:val="bottom"/>
            <w:shd w:val="clear" w:color="auto" w:fill="E8F5EA"/>
          </w:tcPr>
          <w:p>
            <w:pPr>
              <w:ind w:left="280"/>
              <w:spacing w:after="0" w:line="182" w:lineRule="exact"/>
              <w:rPr>
                <w:sz w:val="20"/>
                <w:szCs w:val="20"/>
                <w:color w:val="auto"/>
              </w:rPr>
            </w:pPr>
            <w:r>
              <w:rPr>
                <w:rFonts w:ascii="Arial" w:cs="Arial" w:eastAsia="Arial" w:hAnsi="Arial"/>
                <w:sz w:val="16"/>
                <w:szCs w:val="16"/>
                <w:color w:val="auto"/>
                <w:w w:val="98"/>
              </w:rPr>
              <w:t>the Company's environmental performance with regards to energy consumption, water conservation and material usage in the</w:t>
            </w:r>
          </w:p>
        </w:tc>
        <w:tc>
          <w:tcPr>
            <w:tcW w:w="200" w:type="dxa"/>
            <w:vAlign w:val="bottom"/>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800" w:type="dxa"/>
            <w:vAlign w:val="bottom"/>
            <w:shd w:val="clear" w:color="auto" w:fill="E8F5EA"/>
          </w:tcPr>
          <w:p>
            <w:pPr>
              <w:spacing w:after="0"/>
              <w:rPr>
                <w:sz w:val="18"/>
                <w:szCs w:val="18"/>
                <w:color w:val="auto"/>
              </w:rPr>
            </w:pPr>
          </w:p>
        </w:tc>
        <w:tc>
          <w:tcPr>
            <w:tcW w:w="160" w:type="dxa"/>
            <w:vAlign w:val="bottom"/>
            <w:shd w:val="clear" w:color="auto" w:fill="E8F5EA"/>
          </w:tcPr>
          <w:p>
            <w:pPr>
              <w:spacing w:after="0"/>
              <w:rPr>
                <w:sz w:val="18"/>
                <w:szCs w:val="18"/>
                <w:color w:val="auto"/>
              </w:rPr>
            </w:pPr>
          </w:p>
        </w:tc>
        <w:tc>
          <w:tcPr>
            <w:tcW w:w="9100" w:type="dxa"/>
            <w:vAlign w:val="bottom"/>
            <w:shd w:val="clear" w:color="auto" w:fill="E8F5EA"/>
          </w:tcPr>
          <w:p>
            <w:pPr>
              <w:ind w:left="280"/>
              <w:spacing w:after="0"/>
              <w:rPr>
                <w:sz w:val="20"/>
                <w:szCs w:val="20"/>
                <w:color w:val="auto"/>
              </w:rPr>
            </w:pPr>
            <w:r>
              <w:rPr>
                <w:rFonts w:ascii="Arial" w:cs="Arial" w:eastAsia="Arial" w:hAnsi="Arial"/>
                <w:sz w:val="16"/>
                <w:szCs w:val="16"/>
                <w:color w:val="auto"/>
              </w:rPr>
              <w:t>electronics supply chain.</w:t>
            </w:r>
          </w:p>
        </w:tc>
        <w:tc>
          <w:tcPr>
            <w:tcW w:w="200" w:type="dxa"/>
            <w:vAlign w:val="bottom"/>
            <w:shd w:val="clear" w:color="auto" w:fill="E8F5EA"/>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1800" w:type="dxa"/>
            <w:vAlign w:val="bottom"/>
            <w:shd w:val="clear" w:color="auto" w:fill="E8F5EA"/>
          </w:tcPr>
          <w:p>
            <w:pPr>
              <w:spacing w:after="0"/>
              <w:rPr>
                <w:sz w:val="24"/>
                <w:szCs w:val="24"/>
                <w:color w:val="auto"/>
              </w:rPr>
            </w:pPr>
          </w:p>
        </w:tc>
        <w:tc>
          <w:tcPr>
            <w:tcW w:w="160" w:type="dxa"/>
            <w:vAlign w:val="bottom"/>
            <w:shd w:val="clear" w:color="auto" w:fill="E8F5EA"/>
          </w:tcPr>
          <w:p>
            <w:pPr>
              <w:spacing w:after="0"/>
              <w:rPr>
                <w:sz w:val="24"/>
                <w:szCs w:val="24"/>
                <w:color w:val="auto"/>
              </w:rPr>
            </w:pPr>
          </w:p>
        </w:tc>
        <w:tc>
          <w:tcPr>
            <w:tcW w:w="9100" w:type="dxa"/>
            <w:vAlign w:val="bottom"/>
            <w:shd w:val="clear" w:color="auto" w:fill="E8F5EA"/>
          </w:tcPr>
          <w:p>
            <w:pPr>
              <w:spacing w:after="0"/>
              <w:rPr>
                <w:sz w:val="20"/>
                <w:szCs w:val="20"/>
                <w:color w:val="auto"/>
              </w:rPr>
            </w:pPr>
            <w:r>
              <w:rPr>
                <w:rFonts w:ascii="Arial" w:cs="Arial" w:eastAsia="Arial" w:hAnsi="Arial"/>
                <w:sz w:val="16"/>
                <w:szCs w:val="16"/>
                <w:color w:val="53C072"/>
                <w:w w:val="99"/>
              </w:rPr>
              <w:t xml:space="preserve">•   </w:t>
            </w:r>
            <w:r>
              <w:rPr>
                <w:rFonts w:ascii="Arial" w:cs="Arial" w:eastAsia="Arial" w:hAnsi="Arial"/>
                <w:sz w:val="16"/>
                <w:szCs w:val="16"/>
                <w:color w:val="000000"/>
                <w:w w:val="99"/>
              </w:rPr>
              <w:t>Participates in the Carbon Disclosure Project and has posted Carbon Footprint Reports on the Company's website since 2009.</w:t>
            </w:r>
          </w:p>
        </w:tc>
        <w:tc>
          <w:tcPr>
            <w:tcW w:w="200" w:type="dxa"/>
            <w:vAlign w:val="bottom"/>
            <w:shd w:val="clear" w:color="auto" w:fill="E8F5EA"/>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800" w:type="dxa"/>
            <w:vAlign w:val="bottom"/>
            <w:shd w:val="clear" w:color="auto" w:fill="E8F5EA"/>
          </w:tcPr>
          <w:p>
            <w:pPr>
              <w:spacing w:after="0"/>
              <w:rPr>
                <w:sz w:val="24"/>
                <w:szCs w:val="24"/>
                <w:color w:val="auto"/>
              </w:rPr>
            </w:pPr>
          </w:p>
        </w:tc>
        <w:tc>
          <w:tcPr>
            <w:tcW w:w="160" w:type="dxa"/>
            <w:vAlign w:val="bottom"/>
            <w:shd w:val="clear" w:color="auto" w:fill="E8F5EA"/>
          </w:tcPr>
          <w:p>
            <w:pPr>
              <w:spacing w:after="0"/>
              <w:rPr>
                <w:sz w:val="24"/>
                <w:szCs w:val="24"/>
                <w:color w:val="auto"/>
              </w:rPr>
            </w:pPr>
          </w:p>
        </w:tc>
        <w:tc>
          <w:tcPr>
            <w:tcW w:w="9100" w:type="dxa"/>
            <w:vAlign w:val="bottom"/>
            <w:shd w:val="clear" w:color="auto" w:fill="E8F5EA"/>
          </w:tcPr>
          <w:p>
            <w:pPr>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Many of the Company's global facilities are ISO 9000 and 1401 certified, among other certifications.</w:t>
            </w:r>
          </w:p>
        </w:tc>
        <w:tc>
          <w:tcPr>
            <w:tcW w:w="200" w:type="dxa"/>
            <w:vAlign w:val="bottom"/>
            <w:shd w:val="clear" w:color="auto" w:fill="E8F5EA"/>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800" w:type="dxa"/>
            <w:vAlign w:val="bottom"/>
            <w:shd w:val="clear" w:color="auto" w:fill="E8F5EA"/>
          </w:tcPr>
          <w:p>
            <w:pPr>
              <w:spacing w:after="0"/>
              <w:rPr>
                <w:sz w:val="24"/>
                <w:szCs w:val="24"/>
                <w:color w:val="auto"/>
              </w:rPr>
            </w:pPr>
          </w:p>
        </w:tc>
        <w:tc>
          <w:tcPr>
            <w:tcW w:w="160" w:type="dxa"/>
            <w:vAlign w:val="bottom"/>
            <w:shd w:val="clear" w:color="auto" w:fill="E8F5EA"/>
          </w:tcPr>
          <w:p>
            <w:pPr>
              <w:spacing w:after="0"/>
              <w:rPr>
                <w:sz w:val="24"/>
                <w:szCs w:val="24"/>
                <w:color w:val="auto"/>
              </w:rPr>
            </w:pPr>
          </w:p>
        </w:tc>
        <w:tc>
          <w:tcPr>
            <w:tcW w:w="9100" w:type="dxa"/>
            <w:vAlign w:val="bottom"/>
            <w:shd w:val="clear" w:color="auto" w:fill="E8F5EA"/>
          </w:tcPr>
          <w:p>
            <w:pPr>
              <w:spacing w:after="0"/>
              <w:rPr>
                <w:sz w:val="20"/>
                <w:szCs w:val="20"/>
                <w:color w:val="auto"/>
              </w:rPr>
            </w:pPr>
            <w:r>
              <w:rPr>
                <w:rFonts w:ascii="Arial" w:cs="Arial" w:eastAsia="Arial" w:hAnsi="Arial"/>
                <w:sz w:val="16"/>
                <w:szCs w:val="16"/>
                <w:color w:val="53C072"/>
                <w:w w:val="99"/>
              </w:rPr>
              <w:t xml:space="preserve">•   </w:t>
            </w:r>
            <w:r>
              <w:rPr>
                <w:rFonts w:ascii="Arial" w:cs="Arial" w:eastAsia="Arial" w:hAnsi="Arial"/>
                <w:sz w:val="16"/>
                <w:szCs w:val="16"/>
                <w:color w:val="000000"/>
                <w:w w:val="99"/>
              </w:rPr>
              <w:t>Compliance with the EU's Battery Directive, which protects the environment by minimizing the negative impact of batteries and</w:t>
            </w:r>
          </w:p>
        </w:tc>
        <w:tc>
          <w:tcPr>
            <w:tcW w:w="200" w:type="dxa"/>
            <w:vAlign w:val="bottom"/>
            <w:shd w:val="clear" w:color="auto" w:fill="E8F5EA"/>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800" w:type="dxa"/>
            <w:vAlign w:val="bottom"/>
            <w:shd w:val="clear" w:color="auto" w:fill="E8F5EA"/>
          </w:tcPr>
          <w:p>
            <w:pPr>
              <w:spacing w:after="0"/>
              <w:rPr>
                <w:sz w:val="18"/>
                <w:szCs w:val="18"/>
                <w:color w:val="auto"/>
              </w:rPr>
            </w:pPr>
          </w:p>
        </w:tc>
        <w:tc>
          <w:tcPr>
            <w:tcW w:w="160" w:type="dxa"/>
            <w:vAlign w:val="bottom"/>
            <w:shd w:val="clear" w:color="auto" w:fill="E8F5EA"/>
          </w:tcPr>
          <w:p>
            <w:pPr>
              <w:spacing w:after="0"/>
              <w:rPr>
                <w:sz w:val="18"/>
                <w:szCs w:val="18"/>
                <w:color w:val="auto"/>
              </w:rPr>
            </w:pPr>
          </w:p>
        </w:tc>
        <w:tc>
          <w:tcPr>
            <w:tcW w:w="9100" w:type="dxa"/>
            <w:vAlign w:val="bottom"/>
            <w:shd w:val="clear" w:color="auto" w:fill="E8F5EA"/>
          </w:tcPr>
          <w:p>
            <w:pPr>
              <w:ind w:left="280"/>
              <w:spacing w:after="0"/>
              <w:rPr>
                <w:sz w:val="20"/>
                <w:szCs w:val="20"/>
                <w:color w:val="auto"/>
              </w:rPr>
            </w:pPr>
            <w:r>
              <w:rPr>
                <w:rFonts w:ascii="Arial" w:cs="Arial" w:eastAsia="Arial" w:hAnsi="Arial"/>
                <w:sz w:val="16"/>
                <w:szCs w:val="16"/>
                <w:color w:val="auto"/>
              </w:rPr>
              <w:t>accumulators.</w:t>
            </w:r>
          </w:p>
        </w:tc>
        <w:tc>
          <w:tcPr>
            <w:tcW w:w="200" w:type="dxa"/>
            <w:vAlign w:val="bottom"/>
            <w:shd w:val="clear" w:color="auto" w:fill="E8F5EA"/>
          </w:tcPr>
          <w:p>
            <w:pPr>
              <w:spacing w:after="0"/>
              <w:rPr>
                <w:sz w:val="18"/>
                <w:szCs w:val="18"/>
                <w:color w:val="auto"/>
              </w:rPr>
            </w:pPr>
          </w:p>
        </w:tc>
        <w:tc>
          <w:tcPr>
            <w:tcW w:w="0" w:type="dxa"/>
            <w:vAlign w:val="bottom"/>
          </w:tcPr>
          <w:p>
            <w:pPr>
              <w:spacing w:after="0"/>
              <w:rPr>
                <w:sz w:val="1"/>
                <w:szCs w:val="1"/>
                <w:color w:val="auto"/>
              </w:rPr>
            </w:pPr>
          </w:p>
        </w:tc>
      </w:tr>
      <w:tr>
        <w:trPr>
          <w:trHeight w:val="333"/>
        </w:trPr>
        <w:tc>
          <w:tcPr>
            <w:tcW w:w="1800" w:type="dxa"/>
            <w:vAlign w:val="bottom"/>
            <w:shd w:val="clear" w:color="auto" w:fill="E8F5EA"/>
          </w:tcPr>
          <w:p>
            <w:pPr>
              <w:spacing w:after="0"/>
              <w:rPr>
                <w:sz w:val="24"/>
                <w:szCs w:val="24"/>
                <w:color w:val="auto"/>
              </w:rPr>
            </w:pPr>
          </w:p>
        </w:tc>
        <w:tc>
          <w:tcPr>
            <w:tcW w:w="160" w:type="dxa"/>
            <w:vAlign w:val="bottom"/>
            <w:shd w:val="clear" w:color="auto" w:fill="E8F5EA"/>
          </w:tcPr>
          <w:p>
            <w:pPr>
              <w:spacing w:after="0"/>
              <w:rPr>
                <w:sz w:val="24"/>
                <w:szCs w:val="24"/>
                <w:color w:val="auto"/>
              </w:rPr>
            </w:pPr>
          </w:p>
        </w:tc>
        <w:tc>
          <w:tcPr>
            <w:tcW w:w="9100" w:type="dxa"/>
            <w:vAlign w:val="bottom"/>
            <w:shd w:val="clear" w:color="auto" w:fill="E8F5EA"/>
          </w:tcPr>
          <w:p>
            <w:pPr>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Compliance with the EU's Directive on Waste of Electrical and Electronic Equipment (WEEE) and Directive on Restriction of</w:t>
            </w:r>
          </w:p>
        </w:tc>
        <w:tc>
          <w:tcPr>
            <w:tcW w:w="200" w:type="dxa"/>
            <w:vAlign w:val="bottom"/>
            <w:shd w:val="clear" w:color="auto" w:fill="E8F5EA"/>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800" w:type="dxa"/>
            <w:vAlign w:val="bottom"/>
            <w:shd w:val="clear" w:color="auto" w:fill="E8F5EA"/>
          </w:tcPr>
          <w:p>
            <w:pPr>
              <w:spacing w:after="0"/>
              <w:rPr>
                <w:sz w:val="18"/>
                <w:szCs w:val="18"/>
                <w:color w:val="auto"/>
              </w:rPr>
            </w:pPr>
          </w:p>
        </w:tc>
        <w:tc>
          <w:tcPr>
            <w:tcW w:w="160" w:type="dxa"/>
            <w:vAlign w:val="bottom"/>
            <w:shd w:val="clear" w:color="auto" w:fill="E8F5EA"/>
          </w:tcPr>
          <w:p>
            <w:pPr>
              <w:spacing w:after="0"/>
              <w:rPr>
                <w:sz w:val="18"/>
                <w:szCs w:val="18"/>
                <w:color w:val="auto"/>
              </w:rPr>
            </w:pPr>
          </w:p>
        </w:tc>
        <w:tc>
          <w:tcPr>
            <w:tcW w:w="9100" w:type="dxa"/>
            <w:vAlign w:val="bottom"/>
            <w:shd w:val="clear" w:color="auto" w:fill="E8F5EA"/>
          </w:tcPr>
          <w:p>
            <w:pPr>
              <w:ind w:left="280"/>
              <w:spacing w:after="0"/>
              <w:rPr>
                <w:sz w:val="20"/>
                <w:szCs w:val="20"/>
                <w:color w:val="auto"/>
              </w:rPr>
            </w:pPr>
            <w:r>
              <w:rPr>
                <w:rFonts w:ascii="Arial" w:cs="Arial" w:eastAsia="Arial" w:hAnsi="Arial"/>
                <w:sz w:val="16"/>
                <w:szCs w:val="16"/>
                <w:color w:val="auto"/>
              </w:rPr>
              <w:t>Hazardous Substances (RoHS).</w:t>
            </w:r>
          </w:p>
        </w:tc>
        <w:tc>
          <w:tcPr>
            <w:tcW w:w="200" w:type="dxa"/>
            <w:vAlign w:val="bottom"/>
            <w:shd w:val="clear" w:color="auto" w:fill="E8F5EA"/>
          </w:tcPr>
          <w:p>
            <w:pPr>
              <w:spacing w:after="0"/>
              <w:rPr>
                <w:sz w:val="18"/>
                <w:szCs w:val="18"/>
                <w:color w:val="auto"/>
              </w:rPr>
            </w:pPr>
          </w:p>
        </w:tc>
        <w:tc>
          <w:tcPr>
            <w:tcW w:w="0" w:type="dxa"/>
            <w:vAlign w:val="bottom"/>
          </w:tcPr>
          <w:p>
            <w:pPr>
              <w:spacing w:after="0"/>
              <w:rPr>
                <w:sz w:val="1"/>
                <w:szCs w:val="1"/>
                <w:color w:val="auto"/>
              </w:rPr>
            </w:pPr>
          </w:p>
        </w:tc>
      </w:tr>
      <w:tr>
        <w:trPr>
          <w:trHeight w:val="333"/>
        </w:trPr>
        <w:tc>
          <w:tcPr>
            <w:tcW w:w="1800" w:type="dxa"/>
            <w:vAlign w:val="bottom"/>
            <w:shd w:val="clear" w:color="auto" w:fill="E8F5EA"/>
          </w:tcPr>
          <w:p>
            <w:pPr>
              <w:spacing w:after="0"/>
              <w:rPr>
                <w:sz w:val="24"/>
                <w:szCs w:val="24"/>
                <w:color w:val="auto"/>
              </w:rPr>
            </w:pPr>
          </w:p>
        </w:tc>
        <w:tc>
          <w:tcPr>
            <w:tcW w:w="160" w:type="dxa"/>
            <w:vAlign w:val="bottom"/>
            <w:shd w:val="clear" w:color="auto" w:fill="E8F5EA"/>
          </w:tcPr>
          <w:p>
            <w:pPr>
              <w:spacing w:after="0"/>
              <w:rPr>
                <w:sz w:val="24"/>
                <w:szCs w:val="24"/>
                <w:color w:val="auto"/>
              </w:rPr>
            </w:pPr>
          </w:p>
        </w:tc>
        <w:tc>
          <w:tcPr>
            <w:tcW w:w="9100" w:type="dxa"/>
            <w:vAlign w:val="bottom"/>
            <w:shd w:val="clear" w:color="auto" w:fill="E8F5EA"/>
          </w:tcPr>
          <w:p>
            <w:pPr>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In connection with RoHS and REACH, encourages its manufacturers to make environmental information available on their</w:t>
            </w:r>
          </w:p>
        </w:tc>
        <w:tc>
          <w:tcPr>
            <w:tcW w:w="200" w:type="dxa"/>
            <w:vAlign w:val="bottom"/>
            <w:shd w:val="clear" w:color="auto" w:fill="E8F5EA"/>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00" w:type="dxa"/>
            <w:vAlign w:val="bottom"/>
            <w:shd w:val="clear" w:color="auto" w:fill="E8F5EA"/>
          </w:tcPr>
          <w:p>
            <w:pPr>
              <w:spacing w:after="0"/>
              <w:rPr>
                <w:sz w:val="15"/>
                <w:szCs w:val="15"/>
                <w:color w:val="auto"/>
              </w:rPr>
            </w:pPr>
          </w:p>
        </w:tc>
        <w:tc>
          <w:tcPr>
            <w:tcW w:w="160" w:type="dxa"/>
            <w:vAlign w:val="bottom"/>
            <w:shd w:val="clear" w:color="auto" w:fill="E8F5EA"/>
          </w:tcPr>
          <w:p>
            <w:pPr>
              <w:spacing w:after="0"/>
              <w:rPr>
                <w:sz w:val="15"/>
                <w:szCs w:val="15"/>
                <w:color w:val="auto"/>
              </w:rPr>
            </w:pPr>
          </w:p>
        </w:tc>
        <w:tc>
          <w:tcPr>
            <w:tcW w:w="9100" w:type="dxa"/>
            <w:vAlign w:val="bottom"/>
            <w:shd w:val="clear" w:color="auto" w:fill="E8F5EA"/>
          </w:tcPr>
          <w:p>
            <w:pPr>
              <w:ind w:left="280"/>
              <w:spacing w:after="0" w:line="182" w:lineRule="exact"/>
              <w:rPr>
                <w:sz w:val="20"/>
                <w:szCs w:val="20"/>
                <w:color w:val="auto"/>
              </w:rPr>
            </w:pPr>
            <w:r>
              <w:rPr>
                <w:rFonts w:ascii="Arial" w:cs="Arial" w:eastAsia="Arial" w:hAnsi="Arial"/>
                <w:sz w:val="16"/>
                <w:szCs w:val="16"/>
                <w:color w:val="auto"/>
              </w:rPr>
              <w:t>websites and assists suppliers with providing their customers with relevant information and declarations available from</w:t>
            </w:r>
          </w:p>
        </w:tc>
        <w:tc>
          <w:tcPr>
            <w:tcW w:w="200" w:type="dxa"/>
            <w:vAlign w:val="bottom"/>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800" w:type="dxa"/>
            <w:vAlign w:val="bottom"/>
            <w:shd w:val="clear" w:color="auto" w:fill="E8F5EA"/>
          </w:tcPr>
          <w:p>
            <w:pPr>
              <w:spacing w:after="0"/>
              <w:rPr>
                <w:sz w:val="18"/>
                <w:szCs w:val="18"/>
                <w:color w:val="auto"/>
              </w:rPr>
            </w:pPr>
          </w:p>
        </w:tc>
        <w:tc>
          <w:tcPr>
            <w:tcW w:w="160" w:type="dxa"/>
            <w:vAlign w:val="bottom"/>
            <w:shd w:val="clear" w:color="auto" w:fill="E8F5EA"/>
          </w:tcPr>
          <w:p>
            <w:pPr>
              <w:spacing w:after="0"/>
              <w:rPr>
                <w:sz w:val="18"/>
                <w:szCs w:val="18"/>
                <w:color w:val="auto"/>
              </w:rPr>
            </w:pPr>
          </w:p>
        </w:tc>
        <w:tc>
          <w:tcPr>
            <w:tcW w:w="9100" w:type="dxa"/>
            <w:vAlign w:val="bottom"/>
            <w:shd w:val="clear" w:color="auto" w:fill="E8F5EA"/>
          </w:tcPr>
          <w:p>
            <w:pPr>
              <w:ind w:left="280"/>
              <w:spacing w:after="0"/>
              <w:rPr>
                <w:sz w:val="20"/>
                <w:szCs w:val="20"/>
                <w:color w:val="auto"/>
              </w:rPr>
            </w:pPr>
            <w:r>
              <w:rPr>
                <w:rFonts w:ascii="Arial" w:cs="Arial" w:eastAsia="Arial" w:hAnsi="Arial"/>
                <w:sz w:val="16"/>
                <w:szCs w:val="16"/>
                <w:color w:val="auto"/>
              </w:rPr>
              <w:t>manufacturers.</w:t>
            </w:r>
          </w:p>
        </w:tc>
        <w:tc>
          <w:tcPr>
            <w:tcW w:w="200" w:type="dxa"/>
            <w:vAlign w:val="bottom"/>
            <w:shd w:val="clear" w:color="auto" w:fill="E8F5EA"/>
          </w:tcPr>
          <w:p>
            <w:pPr>
              <w:spacing w:after="0"/>
              <w:rPr>
                <w:sz w:val="18"/>
                <w:szCs w:val="18"/>
                <w:color w:val="auto"/>
              </w:rPr>
            </w:pPr>
          </w:p>
        </w:tc>
        <w:tc>
          <w:tcPr>
            <w:tcW w:w="0" w:type="dxa"/>
            <w:vAlign w:val="bottom"/>
          </w:tcPr>
          <w:p>
            <w:pPr>
              <w:spacing w:after="0"/>
              <w:rPr>
                <w:sz w:val="1"/>
                <w:szCs w:val="1"/>
                <w:color w:val="auto"/>
              </w:rPr>
            </w:pPr>
          </w:p>
        </w:tc>
      </w:tr>
      <w:tr>
        <w:trPr>
          <w:trHeight w:val="521"/>
        </w:trPr>
        <w:tc>
          <w:tcPr>
            <w:tcW w:w="1800" w:type="dxa"/>
            <w:vAlign w:val="bottom"/>
          </w:tcPr>
          <w:p>
            <w:pPr>
              <w:spacing w:after="0"/>
              <w:rPr>
                <w:sz w:val="24"/>
                <w:szCs w:val="24"/>
                <w:color w:val="auto"/>
              </w:rPr>
            </w:pPr>
          </w:p>
        </w:tc>
        <w:tc>
          <w:tcPr>
            <w:tcW w:w="9260" w:type="dxa"/>
            <w:vAlign w:val="bottom"/>
            <w:gridSpan w:val="2"/>
          </w:tcPr>
          <w:p>
            <w:pPr>
              <w:ind w:left="8920"/>
              <w:spacing w:after="0"/>
              <w:rPr>
                <w:sz w:val="20"/>
                <w:szCs w:val="20"/>
                <w:color w:val="auto"/>
              </w:rPr>
            </w:pPr>
            <w:r>
              <w:rPr>
                <w:rFonts w:ascii="Arial" w:cs="Arial" w:eastAsia="Arial" w:hAnsi="Arial"/>
                <w:sz w:val="23"/>
                <w:szCs w:val="23"/>
                <w:b w:val="1"/>
                <w:bCs w:val="1"/>
                <w:color w:val="53C072"/>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43"/>
        </w:trPr>
        <w:tc>
          <w:tcPr>
            <w:tcW w:w="180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910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-13335</wp:posOffset>
            </wp:positionV>
            <wp:extent cx="1270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-302260</wp:posOffset>
            </wp:positionV>
            <wp:extent cx="1664970" cy="1231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6" w:name="page27"/>
    <w:bookmarkEnd w:id="2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ectPr>
          <w:pgSz w:w="11900" w:h="16838" w:orient="portrait"/>
          <w:cols w:equalWidth="0" w:num="1">
            <w:col w:w="11260"/>
          </w:cols>
          <w:pgMar w:left="320" w:top="122" w:right="319" w:bottom="1440" w:gutter="0" w:footer="0" w:header="0"/>
        </w:sectPr>
      </w:pPr>
    </w:p>
    <w:p>
      <w:pPr>
        <w:spacing w:after="0" w:line="207" w:lineRule="exact"/>
        <w:rPr>
          <w:sz w:val="20"/>
          <w:szCs w:val="20"/>
          <w:color w:val="auto"/>
        </w:rPr>
      </w:pPr>
    </w:p>
    <w:p>
      <w:pPr>
        <w:ind w:right="160"/>
        <w:spacing w:after="0" w:line="331" w:lineRule="auto"/>
        <w:rPr>
          <w:sz w:val="20"/>
          <w:szCs w:val="20"/>
          <w:color w:val="auto"/>
        </w:rPr>
      </w:pPr>
      <w:r>
        <w:rPr>
          <w:rFonts w:ascii="Arial" w:cs="Arial" w:eastAsia="Arial" w:hAnsi="Arial"/>
          <w:sz w:val="12"/>
          <w:szCs w:val="12"/>
          <w:b w:val="1"/>
          <w:bCs w:val="1"/>
          <w:color w:val="53C072"/>
        </w:rPr>
        <w:t xml:space="preserve">2020 ANNUAL </w:t>
      </w:r>
      <w:r>
        <w:rPr>
          <w:rFonts w:ascii="Arial" w:cs="Arial" w:eastAsia="Arial" w:hAnsi="Arial"/>
          <w:sz w:val="12"/>
          <w:szCs w:val="12"/>
          <w:b w:val="1"/>
          <w:bCs w:val="1"/>
          <w:color w:val="000000"/>
        </w:rPr>
        <w:t>PROXY STATEMENT</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Community Impact</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Corporate Governance</w:t>
      </w:r>
    </w:p>
    <w:p>
      <w:pPr>
        <w:spacing w:after="0" w:line="246" w:lineRule="exact"/>
        <w:rPr>
          <w:sz w:val="20"/>
          <w:szCs w:val="20"/>
          <w:color w:val="auto"/>
        </w:rPr>
      </w:pPr>
    </w:p>
    <w:p>
      <w:pPr>
        <w:ind w:left="300" w:right="340" w:hanging="294"/>
        <w:spacing w:after="0" w:line="275" w:lineRule="auto"/>
        <w:tabs>
          <w:tab w:leader="none" w:pos="300" w:val="left"/>
        </w:tabs>
        <w:numPr>
          <w:ilvl w:val="0"/>
          <w:numId w:val="24"/>
        </w:numPr>
        <w:rPr>
          <w:rFonts w:ascii="Arial" w:cs="Arial" w:eastAsia="Arial" w:hAnsi="Arial"/>
          <w:sz w:val="16"/>
          <w:szCs w:val="16"/>
          <w:color w:val="53C072"/>
        </w:rPr>
      </w:pPr>
      <w:r>
        <w:rPr>
          <w:rFonts w:ascii="Arial" w:cs="Arial" w:eastAsia="Arial" w:hAnsi="Arial"/>
          <w:sz w:val="16"/>
          <w:szCs w:val="16"/>
          <w:color w:val="auto"/>
        </w:rPr>
        <w:t>Encourages employees to make a difference in their local and global communities by giving back. The Company supports their efforts through its Matching Grants and Dollars for Doers programs.</w:t>
      </w:r>
    </w:p>
    <w:p>
      <w:pPr>
        <w:spacing w:after="0" w:line="124" w:lineRule="exact"/>
        <w:rPr>
          <w:rFonts w:ascii="Arial" w:cs="Arial" w:eastAsia="Arial" w:hAnsi="Arial"/>
          <w:sz w:val="16"/>
          <w:szCs w:val="16"/>
          <w:color w:val="53C072"/>
        </w:rPr>
      </w:pPr>
    </w:p>
    <w:p>
      <w:pPr>
        <w:ind w:left="300" w:right="60" w:hanging="294"/>
        <w:spacing w:after="0" w:line="267" w:lineRule="auto"/>
        <w:tabs>
          <w:tab w:leader="none" w:pos="300" w:val="left"/>
        </w:tabs>
        <w:numPr>
          <w:ilvl w:val="0"/>
          <w:numId w:val="24"/>
        </w:numPr>
        <w:rPr>
          <w:rFonts w:ascii="Arial" w:cs="Arial" w:eastAsia="Arial" w:hAnsi="Arial"/>
          <w:sz w:val="15"/>
          <w:szCs w:val="15"/>
          <w:color w:val="53C072"/>
        </w:rPr>
      </w:pPr>
      <w:r>
        <w:rPr>
          <w:rFonts w:ascii="Arial" w:cs="Arial" w:eastAsia="Arial" w:hAnsi="Arial"/>
          <w:sz w:val="15"/>
          <w:szCs w:val="15"/>
          <w:color w:val="auto"/>
        </w:rPr>
        <w:t>Encourages future innovators to solve the world's technology problems. The Company has partnered with the Ira A. Fulton School of Engineering at Arizona State University (ASU) to create two innovative programs: (1) the ASU Innovation Open and</w:t>
      </w:r>
    </w:p>
    <w:p>
      <w:pPr>
        <w:ind w:left="300" w:right="320"/>
        <w:spacing w:after="0" w:line="249" w:lineRule="auto"/>
        <w:rPr>
          <w:rFonts w:ascii="Arial" w:cs="Arial" w:eastAsia="Arial" w:hAnsi="Arial"/>
          <w:sz w:val="15"/>
          <w:szCs w:val="15"/>
          <w:color w:val="53C072"/>
        </w:rPr>
      </w:pPr>
      <w:r>
        <w:rPr>
          <w:rFonts w:ascii="Arial" w:cs="Arial" w:eastAsia="Arial" w:hAnsi="Arial"/>
          <w:sz w:val="16"/>
          <w:szCs w:val="16"/>
          <w:color w:val="auto"/>
        </w:rPr>
        <w:t>(2) the Avnet Innovation Lab. These two programs help bring today's ideas into tomorrow's technology as each program is designed to cultivate world changing ideas and bring them to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-814070</wp:posOffset>
            </wp:positionV>
            <wp:extent cx="7146290" cy="8020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6290" cy="802005"/>
                    </a:xfrm>
                    <a:prstGeom prst="rect">
                      <a:avLst/>
                    </a:prstGeom>
                    <a:noFill/>
                  </pic:spPr>
                </pic:pic>
              </a:graphicData>
            </a:graphic>
          </wp:anchor>
        </w:drawing>
      </w:r>
    </w:p>
    <w:p>
      <w:pPr>
        <w:spacing w:after="0" w:line="155" w:lineRule="exact"/>
        <w:rPr>
          <w:sz w:val="20"/>
          <w:szCs w:val="20"/>
          <w:color w:val="auto"/>
        </w:rPr>
      </w:pPr>
    </w:p>
    <w:p>
      <w:pPr>
        <w:sectPr>
          <w:pgSz w:w="11900" w:h="16838" w:orient="portrait"/>
          <w:cols w:equalWidth="0" w:num="2">
            <w:col w:w="1420" w:space="720"/>
            <w:col w:w="9120"/>
          </w:cols>
          <w:pgMar w:left="320" w:top="122" w:right="319" w:bottom="1440" w:gutter="0" w:footer="0" w:header="0"/>
          <w:type w:val="continuous"/>
        </w:sectPr>
      </w:pPr>
    </w:p>
    <w:p>
      <w:pPr>
        <w:ind w:left="480"/>
        <w:spacing w:after="0"/>
        <w:rPr>
          <w:sz w:val="20"/>
          <w:szCs w:val="20"/>
          <w:color w:val="auto"/>
        </w:rPr>
      </w:pPr>
      <w:r>
        <w:rPr>
          <w:rFonts w:ascii="Arial" w:cs="Arial" w:eastAsia="Arial" w:hAnsi="Arial"/>
          <w:sz w:val="16"/>
          <w:szCs w:val="16"/>
          <w:b w:val="1"/>
          <w:bCs w:val="1"/>
          <w:color w:val="auto"/>
        </w:rPr>
        <w:t>Response to the COVID-19 Pandemic:</w:t>
      </w:r>
    </w:p>
    <w:p>
      <w:pPr>
        <w:spacing w:after="0" w:line="194"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 Company is doing its part to combat the coronavirus (COVID-19) pandemic, including by accelerating its customers' ability to provide lifesaving solutions by leveraging its product development ecosystem and its global reach:</w:t>
      </w:r>
    </w:p>
    <w:p>
      <w:pPr>
        <w:spacing w:after="0" w:line="137" w:lineRule="exact"/>
        <w:rPr>
          <w:sz w:val="20"/>
          <w:szCs w:val="20"/>
          <w:color w:val="auto"/>
        </w:rPr>
      </w:pPr>
    </w:p>
    <w:p>
      <w:pPr>
        <w:ind w:left="960" w:hanging="477"/>
        <w:spacing w:after="0"/>
        <w:tabs>
          <w:tab w:leader="none" w:pos="960" w:val="left"/>
        </w:tabs>
        <w:numPr>
          <w:ilvl w:val="0"/>
          <w:numId w:val="25"/>
        </w:numPr>
        <w:rPr>
          <w:rFonts w:ascii="Arial" w:cs="Arial" w:eastAsia="Arial" w:hAnsi="Arial"/>
          <w:sz w:val="16"/>
          <w:szCs w:val="16"/>
          <w:color w:val="53C072"/>
        </w:rPr>
      </w:pPr>
      <w:r>
        <w:rPr>
          <w:rFonts w:ascii="Arial" w:cs="Arial" w:eastAsia="Arial" w:hAnsi="Arial"/>
          <w:sz w:val="16"/>
          <w:szCs w:val="16"/>
          <w:color w:val="auto"/>
        </w:rPr>
        <w:t>Created free, open-source block diagrams for those looking to develop ventilators and other health-related products.</w:t>
      </w:r>
    </w:p>
    <w:p>
      <w:pPr>
        <w:spacing w:after="0" w:line="192" w:lineRule="exact"/>
        <w:rPr>
          <w:rFonts w:ascii="Arial" w:cs="Arial" w:eastAsia="Arial" w:hAnsi="Arial"/>
          <w:sz w:val="16"/>
          <w:szCs w:val="16"/>
          <w:color w:val="53C072"/>
        </w:rPr>
      </w:pPr>
    </w:p>
    <w:p>
      <w:pPr>
        <w:ind w:left="960" w:hanging="477"/>
        <w:spacing w:after="0"/>
        <w:tabs>
          <w:tab w:leader="none" w:pos="960" w:val="left"/>
        </w:tabs>
        <w:numPr>
          <w:ilvl w:val="0"/>
          <w:numId w:val="25"/>
        </w:numPr>
        <w:rPr>
          <w:rFonts w:ascii="Arial" w:cs="Arial" w:eastAsia="Arial" w:hAnsi="Arial"/>
          <w:sz w:val="16"/>
          <w:szCs w:val="16"/>
          <w:color w:val="53C072"/>
        </w:rPr>
      </w:pPr>
      <w:r>
        <w:rPr>
          <w:rFonts w:ascii="Arial" w:cs="Arial" w:eastAsia="Arial" w:hAnsi="Arial"/>
          <w:sz w:val="16"/>
          <w:szCs w:val="16"/>
          <w:color w:val="auto"/>
        </w:rPr>
        <w:t>Activated its online communities to develop on-the-ground solutions for detection and support.</w:t>
      </w:r>
    </w:p>
    <w:p>
      <w:pPr>
        <w:spacing w:after="0" w:line="180" w:lineRule="exact"/>
        <w:rPr>
          <w:rFonts w:ascii="Arial" w:cs="Arial" w:eastAsia="Arial" w:hAnsi="Arial"/>
          <w:sz w:val="16"/>
          <w:szCs w:val="16"/>
          <w:color w:val="53C072"/>
        </w:rPr>
      </w:pPr>
    </w:p>
    <w:p>
      <w:pPr>
        <w:ind w:left="960" w:hanging="477"/>
        <w:spacing w:after="0" w:line="275" w:lineRule="auto"/>
        <w:tabs>
          <w:tab w:leader="none" w:pos="960" w:val="left"/>
        </w:tabs>
        <w:numPr>
          <w:ilvl w:val="0"/>
          <w:numId w:val="25"/>
        </w:numPr>
        <w:rPr>
          <w:rFonts w:ascii="Arial" w:cs="Arial" w:eastAsia="Arial" w:hAnsi="Arial"/>
          <w:sz w:val="16"/>
          <w:szCs w:val="16"/>
          <w:color w:val="53C072"/>
        </w:rPr>
      </w:pPr>
      <w:r>
        <w:rPr>
          <w:rFonts w:ascii="Arial" w:cs="Arial" w:eastAsia="Arial" w:hAnsi="Arial"/>
          <w:sz w:val="16"/>
          <w:szCs w:val="16"/>
          <w:color w:val="auto"/>
        </w:rPr>
        <w:t>The Company's Hackster.io community has partnered with the UN Development Programme to challenge designers to create affordable technology that supports those most in need.</w:t>
      </w:r>
    </w:p>
    <w:p>
      <w:pPr>
        <w:spacing w:after="0" w:line="124" w:lineRule="exact"/>
        <w:rPr>
          <w:rFonts w:ascii="Arial" w:cs="Arial" w:eastAsia="Arial" w:hAnsi="Arial"/>
          <w:sz w:val="16"/>
          <w:szCs w:val="16"/>
          <w:color w:val="53C072"/>
        </w:rPr>
      </w:pPr>
    </w:p>
    <w:p>
      <w:pPr>
        <w:ind w:left="960" w:right="360" w:hanging="477"/>
        <w:spacing w:after="0" w:line="275" w:lineRule="auto"/>
        <w:tabs>
          <w:tab w:leader="none" w:pos="960" w:val="left"/>
        </w:tabs>
        <w:numPr>
          <w:ilvl w:val="0"/>
          <w:numId w:val="25"/>
        </w:numPr>
        <w:rPr>
          <w:rFonts w:ascii="Arial" w:cs="Arial" w:eastAsia="Arial" w:hAnsi="Arial"/>
          <w:sz w:val="16"/>
          <w:szCs w:val="16"/>
          <w:color w:val="53C072"/>
        </w:rPr>
      </w:pPr>
      <w:r>
        <w:rPr>
          <w:rFonts w:ascii="Arial" w:cs="Arial" w:eastAsia="Arial" w:hAnsi="Arial"/>
          <w:sz w:val="16"/>
          <w:szCs w:val="16"/>
          <w:color w:val="auto"/>
        </w:rPr>
        <w:t>The Company's element14 community has launched the "Fighting Germs" design challenge aimed at engaging problem-solving designers and engineers to slow the spread of COVID-19.</w:t>
      </w:r>
    </w:p>
    <w:p>
      <w:pPr>
        <w:spacing w:after="0" w:line="136" w:lineRule="exact"/>
        <w:rPr>
          <w:rFonts w:ascii="Arial" w:cs="Arial" w:eastAsia="Arial" w:hAnsi="Arial"/>
          <w:sz w:val="16"/>
          <w:szCs w:val="16"/>
          <w:color w:val="53C072"/>
        </w:rPr>
      </w:pPr>
    </w:p>
    <w:p>
      <w:pPr>
        <w:ind w:left="960" w:right="280" w:hanging="477"/>
        <w:spacing w:after="0" w:line="275" w:lineRule="auto"/>
        <w:tabs>
          <w:tab w:leader="none" w:pos="960" w:val="left"/>
        </w:tabs>
        <w:numPr>
          <w:ilvl w:val="0"/>
          <w:numId w:val="25"/>
        </w:numPr>
        <w:rPr>
          <w:rFonts w:ascii="Arial" w:cs="Arial" w:eastAsia="Arial" w:hAnsi="Arial"/>
          <w:sz w:val="16"/>
          <w:szCs w:val="16"/>
          <w:color w:val="53C072"/>
        </w:rPr>
      </w:pPr>
      <w:r>
        <w:rPr>
          <w:rFonts w:ascii="Arial" w:cs="Arial" w:eastAsia="Arial" w:hAnsi="Arial"/>
          <w:sz w:val="16"/>
          <w:szCs w:val="16"/>
          <w:color w:val="auto"/>
        </w:rPr>
        <w:t>The Avnet Integrated business unit developed essential medical solutions in the areas of respiratory, imaging and monitoring directly supporting patients with COVID-19.</w:t>
      </w:r>
    </w:p>
    <w:p>
      <w:pPr>
        <w:spacing w:after="0" w:line="137" w:lineRule="exact"/>
        <w:rPr>
          <w:sz w:val="20"/>
          <w:szCs w:val="20"/>
          <w:color w:val="auto"/>
        </w:rPr>
      </w:pPr>
    </w:p>
    <w:p>
      <w:pPr>
        <w:jc w:val="both"/>
        <w:ind w:right="280"/>
        <w:spacing w:after="0" w:line="256" w:lineRule="auto"/>
        <w:rPr>
          <w:sz w:val="20"/>
          <w:szCs w:val="20"/>
          <w:color w:val="auto"/>
        </w:rPr>
      </w:pPr>
      <w:r>
        <w:rPr>
          <w:rFonts w:ascii="Arial" w:cs="Arial" w:eastAsia="Arial" w:hAnsi="Arial"/>
          <w:sz w:val="16"/>
          <w:szCs w:val="16"/>
          <w:color w:val="auto"/>
        </w:rPr>
        <w:t>In addition, the Company made a substantial donation to the United Nations Foundation's COVID-19 Solidarity Response Fund in support of the World Health Organization, and encouraged its employees to donate as well. The Company also made donations in many regions and locations where there is a Company presence, including:</w:t>
      </w:r>
    </w:p>
    <w:p>
      <w:pPr>
        <w:spacing w:after="0" w:line="152" w:lineRule="exact"/>
        <w:rPr>
          <w:sz w:val="20"/>
          <w:szCs w:val="20"/>
          <w:color w:val="auto"/>
        </w:rPr>
      </w:pPr>
    </w:p>
    <w:p>
      <w:pPr>
        <w:ind w:left="960" w:hanging="477"/>
        <w:spacing w:after="0"/>
        <w:tabs>
          <w:tab w:leader="none" w:pos="960" w:val="left"/>
        </w:tabs>
        <w:numPr>
          <w:ilvl w:val="0"/>
          <w:numId w:val="26"/>
        </w:numPr>
        <w:rPr>
          <w:rFonts w:ascii="Arial" w:cs="Arial" w:eastAsia="Arial" w:hAnsi="Arial"/>
          <w:sz w:val="16"/>
          <w:szCs w:val="16"/>
          <w:color w:val="53C072"/>
        </w:rPr>
      </w:pPr>
      <w:r>
        <w:rPr>
          <w:rFonts w:ascii="Arial" w:cs="Arial" w:eastAsia="Arial" w:hAnsi="Arial"/>
          <w:sz w:val="16"/>
          <w:szCs w:val="16"/>
          <w:color w:val="auto"/>
        </w:rPr>
        <w:t>The COVID-19 Relief funds in Phoenix, AZ and Chicago, IL</w:t>
      </w:r>
    </w:p>
    <w:p>
      <w:pPr>
        <w:spacing w:after="0" w:line="180" w:lineRule="exact"/>
        <w:rPr>
          <w:rFonts w:ascii="Arial" w:cs="Arial" w:eastAsia="Arial" w:hAnsi="Arial"/>
          <w:sz w:val="16"/>
          <w:szCs w:val="16"/>
          <w:color w:val="53C072"/>
        </w:rPr>
      </w:pPr>
    </w:p>
    <w:p>
      <w:pPr>
        <w:ind w:left="960" w:hanging="477"/>
        <w:spacing w:after="0"/>
        <w:tabs>
          <w:tab w:leader="none" w:pos="960" w:val="left"/>
        </w:tabs>
        <w:numPr>
          <w:ilvl w:val="0"/>
          <w:numId w:val="26"/>
        </w:numPr>
        <w:rPr>
          <w:rFonts w:ascii="Arial" w:cs="Arial" w:eastAsia="Arial" w:hAnsi="Arial"/>
          <w:sz w:val="16"/>
          <w:szCs w:val="16"/>
          <w:color w:val="53C072"/>
        </w:rPr>
      </w:pPr>
      <w:r>
        <w:rPr>
          <w:rFonts w:ascii="Arial" w:cs="Arial" w:eastAsia="Arial" w:hAnsi="Arial"/>
          <w:sz w:val="16"/>
          <w:szCs w:val="16"/>
          <w:color w:val="auto"/>
        </w:rPr>
        <w:t>The Salvation Army in Gaffney, South Carolina</w:t>
      </w:r>
    </w:p>
    <w:p>
      <w:pPr>
        <w:spacing w:after="0" w:line="192" w:lineRule="exact"/>
        <w:rPr>
          <w:rFonts w:ascii="Arial" w:cs="Arial" w:eastAsia="Arial" w:hAnsi="Arial"/>
          <w:sz w:val="16"/>
          <w:szCs w:val="16"/>
          <w:color w:val="53C072"/>
        </w:rPr>
      </w:pPr>
    </w:p>
    <w:p>
      <w:pPr>
        <w:ind w:left="960" w:hanging="477"/>
        <w:spacing w:after="0"/>
        <w:tabs>
          <w:tab w:leader="none" w:pos="960" w:val="left"/>
        </w:tabs>
        <w:numPr>
          <w:ilvl w:val="0"/>
          <w:numId w:val="26"/>
        </w:numPr>
        <w:rPr>
          <w:rFonts w:ascii="Arial" w:cs="Arial" w:eastAsia="Arial" w:hAnsi="Arial"/>
          <w:sz w:val="16"/>
          <w:szCs w:val="16"/>
          <w:color w:val="53C072"/>
        </w:rPr>
      </w:pPr>
      <w:r>
        <w:rPr>
          <w:rFonts w:ascii="Arial" w:cs="Arial" w:eastAsia="Arial" w:hAnsi="Arial"/>
          <w:sz w:val="16"/>
          <w:szCs w:val="16"/>
          <w:color w:val="auto"/>
        </w:rPr>
        <w:t>The Red Cross in Spain and Italy</w:t>
      </w:r>
    </w:p>
    <w:p>
      <w:pPr>
        <w:spacing w:after="0" w:line="180" w:lineRule="exact"/>
        <w:rPr>
          <w:rFonts w:ascii="Arial" w:cs="Arial" w:eastAsia="Arial" w:hAnsi="Arial"/>
          <w:sz w:val="16"/>
          <w:szCs w:val="16"/>
          <w:color w:val="53C072"/>
        </w:rPr>
      </w:pPr>
    </w:p>
    <w:p>
      <w:pPr>
        <w:ind w:left="960" w:hanging="477"/>
        <w:spacing w:after="0"/>
        <w:tabs>
          <w:tab w:leader="none" w:pos="960" w:val="left"/>
        </w:tabs>
        <w:numPr>
          <w:ilvl w:val="0"/>
          <w:numId w:val="26"/>
        </w:numPr>
        <w:rPr>
          <w:rFonts w:ascii="Arial" w:cs="Arial" w:eastAsia="Arial" w:hAnsi="Arial"/>
          <w:sz w:val="16"/>
          <w:szCs w:val="16"/>
          <w:color w:val="53C072"/>
        </w:rPr>
      </w:pPr>
      <w:r>
        <w:rPr>
          <w:rFonts w:ascii="Arial" w:cs="Arial" w:eastAsia="Arial" w:hAnsi="Arial"/>
          <w:sz w:val="16"/>
          <w:szCs w:val="16"/>
          <w:color w:val="auto"/>
        </w:rPr>
        <w:t>The All United Against the Virus fund in France</w:t>
      </w:r>
    </w:p>
    <w:p>
      <w:pPr>
        <w:spacing w:after="0" w:line="180" w:lineRule="exact"/>
        <w:rPr>
          <w:rFonts w:ascii="Arial" w:cs="Arial" w:eastAsia="Arial" w:hAnsi="Arial"/>
          <w:sz w:val="16"/>
          <w:szCs w:val="16"/>
          <w:color w:val="53C072"/>
        </w:rPr>
      </w:pPr>
    </w:p>
    <w:p>
      <w:pPr>
        <w:ind w:left="960" w:hanging="477"/>
        <w:spacing w:after="0"/>
        <w:tabs>
          <w:tab w:leader="none" w:pos="960" w:val="left"/>
        </w:tabs>
        <w:numPr>
          <w:ilvl w:val="0"/>
          <w:numId w:val="26"/>
        </w:numPr>
        <w:rPr>
          <w:rFonts w:ascii="Arial" w:cs="Arial" w:eastAsia="Arial" w:hAnsi="Arial"/>
          <w:sz w:val="16"/>
          <w:szCs w:val="16"/>
          <w:color w:val="53C072"/>
        </w:rPr>
      </w:pPr>
      <w:r>
        <w:rPr>
          <w:rFonts w:ascii="Arial" w:cs="Arial" w:eastAsia="Arial" w:hAnsi="Arial"/>
          <w:sz w:val="16"/>
          <w:szCs w:val="16"/>
          <w:color w:val="auto"/>
        </w:rPr>
        <w:t>Donations in Asia to support efforts of organizations that are directly serving those who are the most impacted by this pandemic.</w:t>
      </w:r>
    </w:p>
    <w:p>
      <w:pPr>
        <w:spacing w:after="0" w:line="192"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The Company's employees have also engaged directly through volunteering, including creating 3D-printed face shields and field respirators for donation, sewing face masks for donation and donating food and other supplies to their communities.</w:t>
      </w:r>
    </w:p>
    <w:p>
      <w:pPr>
        <w:spacing w:after="0" w:line="160"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23"/>
          <w:szCs w:val="23"/>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118745</wp:posOffset>
            </wp:positionV>
            <wp:extent cx="7151370" cy="203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-163195</wp:posOffset>
            </wp:positionV>
            <wp:extent cx="1664970" cy="1231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type w:val="continuous"/>
        </w:sectPr>
      </w:pPr>
    </w:p>
    <w:bookmarkStart w:id="27" w:name="page28"/>
    <w:bookmarkEnd w:id="2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b w:val="1"/>
          <w:bCs w:val="1"/>
          <w:color w:val="53C072"/>
        </w:rPr>
        <w:t>2020 ANNUAL</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118110</wp:posOffset>
            </wp:positionV>
            <wp:extent cx="7146290" cy="2546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6290" cy="254635"/>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FFFE"/>
        </w:rPr>
        <w:t>THE BOARD OF DIRECTORS AND ITS COMMITTEES</w:t>
      </w:r>
    </w:p>
    <w:p>
      <w:pPr>
        <w:spacing w:after="0" w:line="220"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The Board of Directors held 4 regular quarterly meetings and 3 special meetings during the fiscal year ended June 27, 2020 ("fiscal 2020"). During each of these regular quarterly meetings, the Independent Directors met separately in executive session, presided over by the Chair of the Board.</w:t>
      </w:r>
    </w:p>
    <w:p>
      <w:pPr>
        <w:spacing w:after="0" w:line="137"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auto"/>
        </w:rPr>
        <w:t>During fiscal 2020, each Director standing for reelection attended more than 75% of the combined number of meetings of the Board held during the period for which the Director served and of the committees on which such Director served.</w:t>
      </w:r>
    </w:p>
    <w:p>
      <w:pPr>
        <w:spacing w:after="0" w:line="137"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All members of the Board of Directors are expected to attend the annual meeting of shareholders, unless unusual circumstances prevent such attendance. Board and committee meetings are scheduled in conjunction with the annual meeting of shareholders. All then Directors attended the 2019 Annual Meeting of Shareholders held on November 19, 2019.</w:t>
      </w:r>
    </w:p>
    <w:p>
      <w:pPr>
        <w:spacing w:after="0" w:line="152" w:lineRule="exact"/>
        <w:rPr>
          <w:sz w:val="20"/>
          <w:szCs w:val="20"/>
          <w:color w:val="auto"/>
        </w:rPr>
      </w:pPr>
    </w:p>
    <w:p>
      <w:pPr>
        <w:ind w:right="220"/>
        <w:spacing w:after="0" w:line="246" w:lineRule="auto"/>
        <w:rPr>
          <w:sz w:val="20"/>
          <w:szCs w:val="20"/>
          <w:color w:val="auto"/>
        </w:rPr>
      </w:pPr>
      <w:r>
        <w:rPr>
          <w:rFonts w:ascii="Arial" w:cs="Arial" w:eastAsia="Arial" w:hAnsi="Arial"/>
          <w:sz w:val="16"/>
          <w:szCs w:val="16"/>
          <w:color w:val="auto"/>
        </w:rPr>
        <w:t>The Board currently has, and appoints the members of, a standing Audit Committee, Compensation Committee, Corporate Governance Committee and, as of May 20, 2020, a Finance Committee. Each of these committees is comprised solely of non-employee Directors, reports regularly to the full Board and annually evaluates its performance. In addition, on May 20, 2020, the Board established the Executive Committee to exercise certain powers and authority of the Board between Board meetings. The Board appoints the members of the Executive Committee, which consist of the Chair of the Board and the Chairs of each committee.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members of the committees as of the date of this Proxy Statement are identified in the following table.</w:t>
      </w:r>
    </w:p>
    <w:p>
      <w:pPr>
        <w:spacing w:after="0" w:line="210" w:lineRule="exact"/>
        <w:rPr>
          <w:sz w:val="20"/>
          <w:szCs w:val="20"/>
          <w:color w:val="auto"/>
        </w:rPr>
      </w:pPr>
    </w:p>
    <w:tbl>
      <w:tblPr>
        <w:tblLayout w:type="fixed"/>
        <w:tblInd w:w="1680" w:type="dxa"/>
        <w:tblCellMar>
          <w:top w:w="0" w:type="dxa"/>
          <w:left w:w="0" w:type="dxa"/>
          <w:bottom w:w="0" w:type="dxa"/>
          <w:right w:w="0" w:type="dxa"/>
        </w:tblCellMar>
      </w:tblPr>
      <w:tr>
        <w:trPr>
          <w:trHeight w:val="279"/>
        </w:trPr>
        <w:tc>
          <w:tcPr>
            <w:tcW w:w="4080" w:type="dxa"/>
            <w:vAlign w:val="bottom"/>
            <w:tcBorders>
              <w:bottom w:val="single" w:sz="8" w:color="53C072"/>
            </w:tcBorders>
            <w:shd w:val="clear" w:color="auto" w:fill="53C072"/>
          </w:tcPr>
          <w:p>
            <w:pPr>
              <w:spacing w:after="0"/>
              <w:rPr>
                <w:sz w:val="24"/>
                <w:szCs w:val="24"/>
                <w:color w:val="auto"/>
              </w:rPr>
            </w:pPr>
          </w:p>
        </w:tc>
        <w:tc>
          <w:tcPr>
            <w:tcW w:w="530" w:type="dxa"/>
            <w:vAlign w:val="bottom"/>
            <w:tcBorders>
              <w:bottom w:val="single" w:sz="8" w:color="auto"/>
            </w:tcBorders>
            <w:shd w:val="clear" w:color="auto" w:fill="53C072"/>
          </w:tcPr>
          <w:p>
            <w:pPr>
              <w:spacing w:after="0"/>
              <w:rPr>
                <w:sz w:val="24"/>
                <w:szCs w:val="24"/>
                <w:color w:val="auto"/>
              </w:rPr>
            </w:pPr>
          </w:p>
        </w:tc>
        <w:tc>
          <w:tcPr>
            <w:tcW w:w="1710" w:type="dxa"/>
            <w:vAlign w:val="bottom"/>
            <w:tcBorders>
              <w:bottom w:val="single" w:sz="8" w:color="auto"/>
              <w:right w:val="single" w:sz="8" w:color="53C072"/>
            </w:tcBorders>
            <w:gridSpan w:val="3"/>
            <w:shd w:val="clear" w:color="auto" w:fill="53C072"/>
          </w:tcPr>
          <w:p>
            <w:pPr>
              <w:jc w:val="center"/>
              <w:spacing w:after="0"/>
              <w:rPr>
                <w:sz w:val="20"/>
                <w:szCs w:val="20"/>
                <w:color w:val="auto"/>
              </w:rPr>
            </w:pPr>
            <w:r>
              <w:rPr>
                <w:rFonts w:ascii="Arial" w:cs="Arial" w:eastAsia="Arial" w:hAnsi="Arial"/>
                <w:sz w:val="13"/>
                <w:szCs w:val="13"/>
                <w:b w:val="1"/>
                <w:bCs w:val="1"/>
                <w:color w:val="FFFFFE"/>
                <w:w w:val="95"/>
              </w:rPr>
              <w:t>Committees</w:t>
            </w:r>
            <w:r>
              <w:rPr>
                <w:rFonts w:ascii="Arial" w:cs="Arial" w:eastAsia="Arial" w:hAnsi="Arial"/>
                <w:sz w:val="19"/>
                <w:szCs w:val="19"/>
                <w:b w:val="1"/>
                <w:bCs w:val="1"/>
                <w:color w:val="FFFFFE"/>
                <w:w w:val="95"/>
                <w:vertAlign w:val="superscript"/>
              </w:rPr>
              <w:t>(1)</w:t>
            </w:r>
          </w:p>
        </w:tc>
        <w:tc>
          <w:tcPr>
            <w:tcW w:w="480" w:type="dxa"/>
            <w:vAlign w:val="bottom"/>
            <w:tcBorders>
              <w:bottom w:val="single" w:sz="8" w:color="auto"/>
            </w:tcBorders>
            <w:shd w:val="clear" w:color="auto" w:fill="53C072"/>
          </w:tcPr>
          <w:p>
            <w:pPr>
              <w:spacing w:after="0"/>
              <w:rPr>
                <w:sz w:val="24"/>
                <w:szCs w:val="24"/>
                <w:color w:val="auto"/>
              </w:rPr>
            </w:pPr>
          </w:p>
        </w:tc>
        <w:tc>
          <w:tcPr>
            <w:tcW w:w="100" w:type="dxa"/>
            <w:vAlign w:val="bottom"/>
            <w:tcBorders>
              <w:bottom w:val="single" w:sz="8" w:color="53C072"/>
              <w:right w:val="single" w:sz="8" w:color="53C072"/>
            </w:tcBorders>
            <w:shd w:val="clear" w:color="auto" w:fill="53C072"/>
          </w:tcPr>
          <w:p>
            <w:pPr>
              <w:spacing w:after="0"/>
              <w:rPr>
                <w:sz w:val="24"/>
                <w:szCs w:val="24"/>
                <w:color w:val="auto"/>
              </w:rPr>
            </w:pPr>
          </w:p>
        </w:tc>
        <w:tc>
          <w:tcPr>
            <w:tcW w:w="100" w:type="dxa"/>
            <w:vAlign w:val="bottom"/>
            <w:tcBorders>
              <w:bottom w:val="single" w:sz="8" w:color="53C072"/>
            </w:tcBorders>
            <w:shd w:val="clear" w:color="auto" w:fill="53C072"/>
          </w:tcPr>
          <w:p>
            <w:pPr>
              <w:spacing w:after="0"/>
              <w:rPr>
                <w:sz w:val="24"/>
                <w:szCs w:val="24"/>
                <w:color w:val="auto"/>
              </w:rPr>
            </w:pPr>
          </w:p>
        </w:tc>
        <w:tc>
          <w:tcPr>
            <w:tcW w:w="880" w:type="dxa"/>
            <w:vAlign w:val="bottom"/>
            <w:tcBorders>
              <w:bottom w:val="single" w:sz="8" w:color="53C072"/>
            </w:tcBorders>
            <w:shd w:val="clear" w:color="auto" w:fill="53C072"/>
          </w:tcPr>
          <w:p>
            <w:pPr>
              <w:spacing w:after="0"/>
              <w:rPr>
                <w:sz w:val="24"/>
                <w:szCs w:val="24"/>
                <w:color w:val="auto"/>
              </w:rPr>
            </w:pPr>
          </w:p>
        </w:tc>
      </w:tr>
      <w:tr>
        <w:trPr>
          <w:trHeight w:val="138"/>
        </w:trPr>
        <w:tc>
          <w:tcPr>
            <w:tcW w:w="4080" w:type="dxa"/>
            <w:vAlign w:val="bottom"/>
            <w:shd w:val="clear" w:color="auto" w:fill="53C072"/>
          </w:tcPr>
          <w:p>
            <w:pPr>
              <w:spacing w:after="0"/>
              <w:rPr>
                <w:sz w:val="11"/>
                <w:szCs w:val="11"/>
                <w:color w:val="auto"/>
              </w:rPr>
            </w:pPr>
          </w:p>
        </w:tc>
        <w:tc>
          <w:tcPr>
            <w:tcW w:w="530" w:type="dxa"/>
            <w:vAlign w:val="bottom"/>
            <w:shd w:val="clear" w:color="auto" w:fill="53C072"/>
          </w:tcPr>
          <w:p>
            <w:pPr>
              <w:jc w:val="center"/>
              <w:ind w:right="33"/>
              <w:spacing w:after="0" w:line="138" w:lineRule="exact"/>
              <w:rPr>
                <w:sz w:val="20"/>
                <w:szCs w:val="20"/>
                <w:color w:val="auto"/>
              </w:rPr>
            </w:pPr>
            <w:r>
              <w:rPr>
                <w:rFonts w:ascii="Arial" w:cs="Arial" w:eastAsia="Arial" w:hAnsi="Arial"/>
                <w:sz w:val="13"/>
                <w:szCs w:val="13"/>
                <w:b w:val="1"/>
                <w:bCs w:val="1"/>
                <w:color w:val="FFFFFE"/>
              </w:rPr>
              <w:t>A</w:t>
            </w:r>
          </w:p>
        </w:tc>
        <w:tc>
          <w:tcPr>
            <w:tcW w:w="550" w:type="dxa"/>
            <w:vAlign w:val="bottom"/>
            <w:tcBorders>
              <w:right w:val="single" w:sz="8" w:color="53C072"/>
            </w:tcBorders>
            <w:shd w:val="clear" w:color="auto" w:fill="53C072"/>
          </w:tcPr>
          <w:p>
            <w:pPr>
              <w:jc w:val="center"/>
              <w:spacing w:after="0" w:line="138" w:lineRule="exact"/>
              <w:rPr>
                <w:sz w:val="20"/>
                <w:szCs w:val="20"/>
                <w:color w:val="auto"/>
              </w:rPr>
            </w:pPr>
            <w:r>
              <w:rPr>
                <w:rFonts w:ascii="Arial" w:cs="Arial" w:eastAsia="Arial" w:hAnsi="Arial"/>
                <w:sz w:val="13"/>
                <w:szCs w:val="13"/>
                <w:b w:val="1"/>
                <w:bCs w:val="1"/>
                <w:color w:val="FFFFFE"/>
              </w:rPr>
              <w:t>C</w:t>
            </w:r>
          </w:p>
        </w:tc>
        <w:tc>
          <w:tcPr>
            <w:tcW w:w="580" w:type="dxa"/>
            <w:vAlign w:val="bottom"/>
            <w:tcBorders>
              <w:right w:val="single" w:sz="8" w:color="53C072"/>
            </w:tcBorders>
            <w:shd w:val="clear" w:color="auto" w:fill="53C072"/>
          </w:tcPr>
          <w:p>
            <w:pPr>
              <w:jc w:val="center"/>
              <w:spacing w:after="0" w:line="138" w:lineRule="exact"/>
              <w:rPr>
                <w:sz w:val="20"/>
                <w:szCs w:val="20"/>
                <w:color w:val="auto"/>
              </w:rPr>
            </w:pPr>
            <w:r>
              <w:rPr>
                <w:rFonts w:ascii="Arial" w:cs="Arial" w:eastAsia="Arial" w:hAnsi="Arial"/>
                <w:sz w:val="13"/>
                <w:szCs w:val="13"/>
                <w:b w:val="1"/>
                <w:bCs w:val="1"/>
                <w:color w:val="FFFFFE"/>
                <w:w w:val="92"/>
              </w:rPr>
              <w:t>CG</w:t>
            </w:r>
          </w:p>
        </w:tc>
        <w:tc>
          <w:tcPr>
            <w:tcW w:w="580" w:type="dxa"/>
            <w:vAlign w:val="bottom"/>
            <w:tcBorders>
              <w:right w:val="single" w:sz="8" w:color="53C072"/>
            </w:tcBorders>
            <w:shd w:val="clear" w:color="auto" w:fill="53C072"/>
          </w:tcPr>
          <w:p>
            <w:pPr>
              <w:jc w:val="center"/>
              <w:spacing w:after="0" w:line="138" w:lineRule="exact"/>
              <w:rPr>
                <w:sz w:val="20"/>
                <w:szCs w:val="20"/>
                <w:color w:val="auto"/>
              </w:rPr>
            </w:pPr>
            <w:r>
              <w:rPr>
                <w:rFonts w:ascii="Arial" w:cs="Arial" w:eastAsia="Arial" w:hAnsi="Arial"/>
                <w:sz w:val="13"/>
                <w:szCs w:val="13"/>
                <w:b w:val="1"/>
                <w:bCs w:val="1"/>
                <w:color w:val="FFFFFE"/>
              </w:rPr>
              <w:t>F</w:t>
            </w:r>
          </w:p>
        </w:tc>
        <w:tc>
          <w:tcPr>
            <w:tcW w:w="480" w:type="dxa"/>
            <w:vAlign w:val="bottom"/>
            <w:shd w:val="clear" w:color="auto" w:fill="53C072"/>
          </w:tcPr>
          <w:p>
            <w:pPr>
              <w:jc w:val="center"/>
              <w:ind w:left="43"/>
              <w:spacing w:after="0" w:line="138" w:lineRule="exact"/>
              <w:rPr>
                <w:sz w:val="20"/>
                <w:szCs w:val="20"/>
                <w:color w:val="auto"/>
              </w:rPr>
            </w:pPr>
            <w:r>
              <w:rPr>
                <w:rFonts w:ascii="Arial" w:cs="Arial" w:eastAsia="Arial" w:hAnsi="Arial"/>
                <w:sz w:val="13"/>
                <w:szCs w:val="13"/>
                <w:b w:val="1"/>
                <w:bCs w:val="1"/>
                <w:color w:val="FFFFFE"/>
                <w:w w:val="91"/>
              </w:rPr>
              <w:t>E</w:t>
            </w:r>
          </w:p>
        </w:tc>
        <w:tc>
          <w:tcPr>
            <w:tcW w:w="100" w:type="dxa"/>
            <w:vAlign w:val="bottom"/>
            <w:tcBorders>
              <w:right w:val="single" w:sz="8" w:color="53C072"/>
            </w:tcBorders>
            <w:shd w:val="clear" w:color="auto" w:fill="53C072"/>
          </w:tcPr>
          <w:p>
            <w:pPr>
              <w:spacing w:after="0"/>
              <w:rPr>
                <w:sz w:val="11"/>
                <w:szCs w:val="11"/>
                <w:color w:val="auto"/>
              </w:rPr>
            </w:pPr>
          </w:p>
        </w:tc>
        <w:tc>
          <w:tcPr>
            <w:tcW w:w="100" w:type="dxa"/>
            <w:vAlign w:val="bottom"/>
            <w:shd w:val="clear" w:color="auto" w:fill="53C072"/>
          </w:tcPr>
          <w:p>
            <w:pPr>
              <w:spacing w:after="0"/>
              <w:rPr>
                <w:sz w:val="11"/>
                <w:szCs w:val="11"/>
                <w:color w:val="auto"/>
              </w:rPr>
            </w:pPr>
          </w:p>
        </w:tc>
        <w:tc>
          <w:tcPr>
            <w:tcW w:w="880" w:type="dxa"/>
            <w:vAlign w:val="bottom"/>
            <w:shd w:val="clear" w:color="auto" w:fill="53C072"/>
          </w:tcPr>
          <w:p>
            <w:pPr>
              <w:ind w:left="60"/>
              <w:spacing w:after="0" w:line="138" w:lineRule="exact"/>
              <w:rPr>
                <w:sz w:val="20"/>
                <w:szCs w:val="20"/>
                <w:color w:val="auto"/>
              </w:rPr>
            </w:pPr>
            <w:r>
              <w:rPr>
                <w:rFonts w:ascii="Arial" w:cs="Arial" w:eastAsia="Arial" w:hAnsi="Arial"/>
                <w:sz w:val="13"/>
                <w:szCs w:val="13"/>
                <w:b w:val="1"/>
                <w:bCs w:val="1"/>
                <w:color w:val="FFFFFE"/>
              </w:rPr>
              <w:t>Independent</w:t>
            </w:r>
          </w:p>
        </w:tc>
      </w:tr>
      <w:tr>
        <w:trPr>
          <w:trHeight w:val="194"/>
        </w:trPr>
        <w:tc>
          <w:tcPr>
            <w:tcW w:w="4080" w:type="dxa"/>
            <w:vAlign w:val="bottom"/>
            <w:tcBorders>
              <w:bottom w:val="single" w:sz="8" w:color="D0CECE"/>
            </w:tcBorders>
          </w:tcPr>
          <w:p>
            <w:pPr>
              <w:ind w:left="20"/>
              <w:spacing w:after="0"/>
              <w:rPr>
                <w:sz w:val="20"/>
                <w:szCs w:val="20"/>
                <w:color w:val="auto"/>
              </w:rPr>
            </w:pPr>
            <w:r>
              <w:rPr>
                <w:rFonts w:ascii="Arial" w:cs="Arial" w:eastAsia="Arial" w:hAnsi="Arial"/>
                <w:sz w:val="16"/>
                <w:szCs w:val="16"/>
                <w:b w:val="1"/>
                <w:bCs w:val="1"/>
                <w:color w:val="auto"/>
              </w:rPr>
              <w:t>Rodney C. Adkins (Board Chair)</w:t>
            </w:r>
          </w:p>
        </w:tc>
        <w:tc>
          <w:tcPr>
            <w:tcW w:w="530" w:type="dxa"/>
            <w:vAlign w:val="bottom"/>
            <w:tcBorders>
              <w:bottom w:val="single" w:sz="8" w:color="D0CECE"/>
            </w:tcBorders>
            <w:shd w:val="clear" w:color="auto" w:fill="DCDDDE"/>
          </w:tcPr>
          <w:p>
            <w:pPr>
              <w:spacing w:after="0"/>
              <w:rPr>
                <w:sz w:val="16"/>
                <w:szCs w:val="16"/>
                <w:color w:val="auto"/>
              </w:rPr>
            </w:pPr>
          </w:p>
        </w:tc>
        <w:tc>
          <w:tcPr>
            <w:tcW w:w="550" w:type="dxa"/>
            <w:vAlign w:val="bottom"/>
            <w:tcBorders>
              <w:bottom w:val="single" w:sz="8" w:color="D0CECE"/>
              <w:right w:val="single" w:sz="8" w:color="FFFFFE"/>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color w:val="53C072"/>
                <w:w w:val="74"/>
              </w:rPr>
              <w:t>·</w:t>
            </w:r>
          </w:p>
        </w:tc>
        <w:tc>
          <w:tcPr>
            <w:tcW w:w="580" w:type="dxa"/>
            <w:vAlign w:val="bottom"/>
            <w:tcBorders>
              <w:bottom w:val="single" w:sz="8" w:color="D0CECE"/>
              <w:right w:val="single" w:sz="8" w:color="FFFFFE"/>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color w:val="53C072"/>
                <w:w w:val="74"/>
              </w:rPr>
              <w:t>·</w:t>
            </w:r>
          </w:p>
        </w:tc>
        <w:tc>
          <w:tcPr>
            <w:tcW w:w="580" w:type="dxa"/>
            <w:vAlign w:val="bottom"/>
            <w:tcBorders>
              <w:bottom w:val="single" w:sz="8" w:color="D0CECE"/>
              <w:right w:val="single" w:sz="8" w:color="FFFFFE"/>
            </w:tcBorders>
            <w:shd w:val="clear" w:color="auto" w:fill="DCDDDE"/>
          </w:tcPr>
          <w:p>
            <w:pPr>
              <w:spacing w:after="0"/>
              <w:rPr>
                <w:sz w:val="16"/>
                <w:szCs w:val="16"/>
                <w:color w:val="auto"/>
              </w:rPr>
            </w:pPr>
          </w:p>
        </w:tc>
        <w:tc>
          <w:tcPr>
            <w:tcW w:w="480" w:type="dxa"/>
            <w:vAlign w:val="bottom"/>
            <w:tcBorders>
              <w:bottom w:val="single" w:sz="8" w:color="D0CECE"/>
            </w:tcBorders>
            <w:shd w:val="clear" w:color="auto" w:fill="DCDDDE"/>
          </w:tcPr>
          <w:p>
            <w:pPr>
              <w:jc w:val="center"/>
              <w:ind w:left="23"/>
              <w:spacing w:after="0"/>
              <w:rPr>
                <w:sz w:val="20"/>
                <w:szCs w:val="20"/>
                <w:color w:val="auto"/>
              </w:rPr>
            </w:pPr>
            <w:r>
              <w:rPr>
                <w:rFonts w:ascii="Arial" w:cs="Arial" w:eastAsia="Arial" w:hAnsi="Arial"/>
                <w:sz w:val="16"/>
                <w:szCs w:val="16"/>
                <w:color w:val="53C072"/>
                <w:w w:val="99"/>
              </w:rPr>
              <w:t>Chair</w:t>
            </w:r>
          </w:p>
        </w:tc>
        <w:tc>
          <w:tcPr>
            <w:tcW w:w="100" w:type="dxa"/>
            <w:vAlign w:val="bottom"/>
            <w:tcBorders>
              <w:bottom w:val="single" w:sz="8" w:color="D0CECE"/>
              <w:right w:val="single" w:sz="8" w:color="FFFFFE"/>
            </w:tcBorders>
            <w:shd w:val="clear" w:color="auto" w:fill="DCDDDE"/>
          </w:tcPr>
          <w:p>
            <w:pPr>
              <w:spacing w:after="0"/>
              <w:rPr>
                <w:sz w:val="16"/>
                <w:szCs w:val="16"/>
                <w:color w:val="auto"/>
              </w:rPr>
            </w:pPr>
          </w:p>
        </w:tc>
        <w:tc>
          <w:tcPr>
            <w:tcW w:w="100" w:type="dxa"/>
            <w:vAlign w:val="bottom"/>
            <w:tcBorders>
              <w:bottom w:val="single" w:sz="8" w:color="D0CECE"/>
            </w:tcBorders>
            <w:shd w:val="clear" w:color="auto" w:fill="DCDDDE"/>
          </w:tcPr>
          <w:p>
            <w:pPr>
              <w:spacing w:after="0"/>
              <w:rPr>
                <w:sz w:val="16"/>
                <w:szCs w:val="16"/>
                <w:color w:val="auto"/>
              </w:rPr>
            </w:pPr>
          </w:p>
        </w:tc>
        <w:tc>
          <w:tcPr>
            <w:tcW w:w="880" w:type="dxa"/>
            <w:vAlign w:val="bottom"/>
            <w:tcBorders>
              <w:bottom w:val="single" w:sz="8" w:color="D0CECE"/>
            </w:tcBorders>
            <w:shd w:val="clear" w:color="auto" w:fill="DCDDDE"/>
          </w:tcPr>
          <w:p>
            <w:pPr>
              <w:spacing w:after="0"/>
              <w:rPr>
                <w:sz w:val="16"/>
                <w:szCs w:val="16"/>
                <w:color w:val="auto"/>
              </w:rPr>
            </w:pPr>
          </w:p>
        </w:tc>
      </w:tr>
      <w:tr>
        <w:trPr>
          <w:trHeight w:val="186"/>
        </w:trPr>
        <w:tc>
          <w:tcPr>
            <w:tcW w:w="4080" w:type="dxa"/>
            <w:vAlign w:val="bottom"/>
            <w:tcBorders>
              <w:bottom w:val="single" w:sz="8" w:color="D0CECE"/>
            </w:tcBorders>
          </w:tcPr>
          <w:p>
            <w:pPr>
              <w:ind w:left="20"/>
              <w:spacing w:after="0"/>
              <w:rPr>
                <w:sz w:val="20"/>
                <w:szCs w:val="20"/>
                <w:color w:val="auto"/>
              </w:rPr>
            </w:pPr>
            <w:r>
              <w:rPr>
                <w:rFonts w:ascii="Arial" w:cs="Arial" w:eastAsia="Arial" w:hAnsi="Arial"/>
                <w:sz w:val="16"/>
                <w:szCs w:val="16"/>
                <w:b w:val="1"/>
                <w:bCs w:val="1"/>
                <w:color w:val="auto"/>
              </w:rPr>
              <w:t>Carlo Bozotti</w:t>
            </w:r>
          </w:p>
        </w:tc>
        <w:tc>
          <w:tcPr>
            <w:tcW w:w="530" w:type="dxa"/>
            <w:vAlign w:val="bottom"/>
            <w:tcBorders>
              <w:bottom w:val="single" w:sz="8" w:color="D0CECE"/>
            </w:tcBorders>
            <w:shd w:val="clear" w:color="auto" w:fill="DCDDDE"/>
          </w:tcPr>
          <w:p>
            <w:pPr>
              <w:jc w:val="center"/>
              <w:ind w:right="53"/>
              <w:spacing w:after="0"/>
              <w:rPr>
                <w:sz w:val="20"/>
                <w:szCs w:val="20"/>
                <w:color w:val="auto"/>
              </w:rPr>
            </w:pPr>
            <w:r>
              <w:rPr>
                <w:rFonts w:ascii="Times New Roman" w:cs="Times New Roman" w:eastAsia="Times New Roman" w:hAnsi="Times New Roman"/>
                <w:sz w:val="16"/>
                <w:szCs w:val="16"/>
                <w:color w:val="53C072"/>
                <w:w w:val="74"/>
              </w:rPr>
              <w:t>·</w:t>
            </w:r>
          </w:p>
        </w:tc>
        <w:tc>
          <w:tcPr>
            <w:tcW w:w="550" w:type="dxa"/>
            <w:vAlign w:val="bottom"/>
            <w:tcBorders>
              <w:bottom w:val="single" w:sz="8" w:color="D0CECE"/>
              <w:right w:val="single" w:sz="8" w:color="FFFFFE"/>
            </w:tcBorders>
            <w:shd w:val="clear" w:color="auto" w:fill="DCDDDE"/>
          </w:tcPr>
          <w:p>
            <w:pPr>
              <w:spacing w:after="0"/>
              <w:rPr>
                <w:sz w:val="16"/>
                <w:szCs w:val="16"/>
                <w:color w:val="auto"/>
              </w:rPr>
            </w:pPr>
          </w:p>
        </w:tc>
        <w:tc>
          <w:tcPr>
            <w:tcW w:w="580" w:type="dxa"/>
            <w:vAlign w:val="bottom"/>
            <w:tcBorders>
              <w:bottom w:val="single" w:sz="8" w:color="D0CECE"/>
              <w:right w:val="single" w:sz="8" w:color="FFFFFE"/>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color w:val="53C072"/>
                <w:w w:val="74"/>
              </w:rPr>
              <w:t>·</w:t>
            </w:r>
          </w:p>
        </w:tc>
        <w:tc>
          <w:tcPr>
            <w:tcW w:w="580" w:type="dxa"/>
            <w:vAlign w:val="bottom"/>
            <w:tcBorders>
              <w:bottom w:val="single" w:sz="8" w:color="D0CECE"/>
              <w:right w:val="single" w:sz="8" w:color="FFFFFE"/>
            </w:tcBorders>
            <w:shd w:val="clear" w:color="auto" w:fill="DCDDDE"/>
          </w:tcPr>
          <w:p>
            <w:pPr>
              <w:spacing w:after="0"/>
              <w:rPr>
                <w:sz w:val="16"/>
                <w:szCs w:val="16"/>
                <w:color w:val="auto"/>
              </w:rPr>
            </w:pPr>
          </w:p>
        </w:tc>
        <w:tc>
          <w:tcPr>
            <w:tcW w:w="480" w:type="dxa"/>
            <w:vAlign w:val="bottom"/>
            <w:tcBorders>
              <w:bottom w:val="single" w:sz="8" w:color="D0CECE"/>
            </w:tcBorders>
            <w:shd w:val="clear" w:color="auto" w:fill="DCDDDE"/>
          </w:tcPr>
          <w:p>
            <w:pPr>
              <w:spacing w:after="0"/>
              <w:rPr>
                <w:sz w:val="16"/>
                <w:szCs w:val="16"/>
                <w:color w:val="auto"/>
              </w:rPr>
            </w:pPr>
          </w:p>
        </w:tc>
        <w:tc>
          <w:tcPr>
            <w:tcW w:w="100" w:type="dxa"/>
            <w:vAlign w:val="bottom"/>
            <w:tcBorders>
              <w:bottom w:val="single" w:sz="8" w:color="D0CECE"/>
              <w:right w:val="single" w:sz="8" w:color="FFFFFE"/>
            </w:tcBorders>
            <w:shd w:val="clear" w:color="auto" w:fill="DCDDDE"/>
          </w:tcPr>
          <w:p>
            <w:pPr>
              <w:spacing w:after="0"/>
              <w:rPr>
                <w:sz w:val="16"/>
                <w:szCs w:val="16"/>
                <w:color w:val="auto"/>
              </w:rPr>
            </w:pPr>
          </w:p>
        </w:tc>
        <w:tc>
          <w:tcPr>
            <w:tcW w:w="100" w:type="dxa"/>
            <w:vAlign w:val="bottom"/>
            <w:tcBorders>
              <w:bottom w:val="single" w:sz="8" w:color="D0CECE"/>
            </w:tcBorders>
            <w:shd w:val="clear" w:color="auto" w:fill="DCDDDE"/>
          </w:tcPr>
          <w:p>
            <w:pPr>
              <w:spacing w:after="0"/>
              <w:rPr>
                <w:sz w:val="16"/>
                <w:szCs w:val="16"/>
                <w:color w:val="auto"/>
              </w:rPr>
            </w:pPr>
          </w:p>
        </w:tc>
        <w:tc>
          <w:tcPr>
            <w:tcW w:w="880" w:type="dxa"/>
            <w:vAlign w:val="bottom"/>
            <w:tcBorders>
              <w:bottom w:val="single" w:sz="8" w:color="D0CECE"/>
            </w:tcBorders>
            <w:shd w:val="clear" w:color="auto" w:fill="DCDDDE"/>
          </w:tcPr>
          <w:p>
            <w:pPr>
              <w:spacing w:after="0"/>
              <w:rPr>
                <w:sz w:val="16"/>
                <w:szCs w:val="16"/>
                <w:color w:val="auto"/>
              </w:rPr>
            </w:pPr>
          </w:p>
        </w:tc>
      </w:tr>
      <w:tr>
        <w:trPr>
          <w:trHeight w:val="186"/>
        </w:trPr>
        <w:tc>
          <w:tcPr>
            <w:tcW w:w="4080" w:type="dxa"/>
            <w:vAlign w:val="bottom"/>
            <w:tcBorders>
              <w:bottom w:val="single" w:sz="8" w:color="D0CECE"/>
            </w:tcBorders>
          </w:tcPr>
          <w:p>
            <w:pPr>
              <w:ind w:left="20"/>
              <w:spacing w:after="0"/>
              <w:rPr>
                <w:sz w:val="20"/>
                <w:szCs w:val="20"/>
                <w:color w:val="auto"/>
              </w:rPr>
            </w:pPr>
            <w:r>
              <w:rPr>
                <w:rFonts w:ascii="Arial" w:cs="Arial" w:eastAsia="Arial" w:hAnsi="Arial"/>
                <w:sz w:val="16"/>
                <w:szCs w:val="16"/>
                <w:b w:val="1"/>
                <w:bCs w:val="1"/>
                <w:color w:val="auto"/>
              </w:rPr>
              <w:t>Michael A. Bradley</w:t>
            </w:r>
          </w:p>
        </w:tc>
        <w:tc>
          <w:tcPr>
            <w:tcW w:w="530" w:type="dxa"/>
            <w:vAlign w:val="bottom"/>
            <w:tcBorders>
              <w:bottom w:val="single" w:sz="8" w:color="D0CECE"/>
            </w:tcBorders>
            <w:shd w:val="clear" w:color="auto" w:fill="DCDDDE"/>
          </w:tcPr>
          <w:p>
            <w:pPr>
              <w:jc w:val="center"/>
              <w:ind w:right="33"/>
              <w:spacing w:after="0"/>
              <w:rPr>
                <w:sz w:val="20"/>
                <w:szCs w:val="20"/>
                <w:color w:val="auto"/>
              </w:rPr>
            </w:pPr>
            <w:r>
              <w:rPr>
                <w:rFonts w:ascii="Arial" w:cs="Arial" w:eastAsia="Arial" w:hAnsi="Arial"/>
                <w:sz w:val="16"/>
                <w:szCs w:val="16"/>
                <w:color w:val="auto"/>
                <w:w w:val="99"/>
              </w:rPr>
              <w:t>Chair</w:t>
            </w:r>
          </w:p>
        </w:tc>
        <w:tc>
          <w:tcPr>
            <w:tcW w:w="550" w:type="dxa"/>
            <w:vAlign w:val="bottom"/>
            <w:tcBorders>
              <w:bottom w:val="single" w:sz="8" w:color="D0CECE"/>
              <w:right w:val="single" w:sz="8" w:color="FFFFFE"/>
            </w:tcBorders>
            <w:shd w:val="clear" w:color="auto" w:fill="DCDDDE"/>
          </w:tcPr>
          <w:p>
            <w:pPr>
              <w:spacing w:after="0"/>
              <w:rPr>
                <w:sz w:val="16"/>
                <w:szCs w:val="16"/>
                <w:color w:val="auto"/>
              </w:rPr>
            </w:pPr>
          </w:p>
        </w:tc>
        <w:tc>
          <w:tcPr>
            <w:tcW w:w="580" w:type="dxa"/>
            <w:vAlign w:val="bottom"/>
            <w:tcBorders>
              <w:bottom w:val="single" w:sz="8" w:color="D0CECE"/>
              <w:right w:val="single" w:sz="8" w:color="FFFFFE"/>
            </w:tcBorders>
            <w:shd w:val="clear" w:color="auto" w:fill="DCDDDE"/>
          </w:tcPr>
          <w:p>
            <w:pPr>
              <w:spacing w:after="0"/>
              <w:rPr>
                <w:sz w:val="16"/>
                <w:szCs w:val="16"/>
                <w:color w:val="auto"/>
              </w:rPr>
            </w:pPr>
          </w:p>
        </w:tc>
        <w:tc>
          <w:tcPr>
            <w:tcW w:w="580" w:type="dxa"/>
            <w:vAlign w:val="bottom"/>
            <w:tcBorders>
              <w:bottom w:val="single" w:sz="8" w:color="D0CECE"/>
              <w:right w:val="single" w:sz="8" w:color="FFFFFE"/>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color w:val="53C072"/>
                <w:w w:val="74"/>
              </w:rPr>
              <w:t>·</w:t>
            </w:r>
          </w:p>
        </w:tc>
        <w:tc>
          <w:tcPr>
            <w:tcW w:w="480" w:type="dxa"/>
            <w:vAlign w:val="bottom"/>
            <w:tcBorders>
              <w:bottom w:val="single" w:sz="8" w:color="D0CECE"/>
            </w:tcBorders>
            <w:shd w:val="clear" w:color="auto" w:fill="DCDDDE"/>
          </w:tcPr>
          <w:p>
            <w:pPr>
              <w:jc w:val="center"/>
              <w:ind w:left="43"/>
              <w:spacing w:after="0"/>
              <w:rPr>
                <w:sz w:val="20"/>
                <w:szCs w:val="20"/>
                <w:color w:val="auto"/>
              </w:rPr>
            </w:pPr>
            <w:r>
              <w:rPr>
                <w:rFonts w:ascii="Times New Roman" w:cs="Times New Roman" w:eastAsia="Times New Roman" w:hAnsi="Times New Roman"/>
                <w:sz w:val="16"/>
                <w:szCs w:val="16"/>
                <w:color w:val="53C072"/>
                <w:w w:val="74"/>
              </w:rPr>
              <w:t>·</w:t>
            </w:r>
          </w:p>
        </w:tc>
        <w:tc>
          <w:tcPr>
            <w:tcW w:w="100" w:type="dxa"/>
            <w:vAlign w:val="bottom"/>
            <w:tcBorders>
              <w:bottom w:val="single" w:sz="8" w:color="D0CECE"/>
              <w:right w:val="single" w:sz="8" w:color="FFFFFE"/>
            </w:tcBorders>
            <w:shd w:val="clear" w:color="auto" w:fill="DCDDDE"/>
          </w:tcPr>
          <w:p>
            <w:pPr>
              <w:spacing w:after="0"/>
              <w:rPr>
                <w:sz w:val="16"/>
                <w:szCs w:val="16"/>
                <w:color w:val="auto"/>
              </w:rPr>
            </w:pPr>
          </w:p>
        </w:tc>
        <w:tc>
          <w:tcPr>
            <w:tcW w:w="100" w:type="dxa"/>
            <w:vAlign w:val="bottom"/>
            <w:tcBorders>
              <w:bottom w:val="single" w:sz="8" w:color="D0CECE"/>
            </w:tcBorders>
            <w:shd w:val="clear" w:color="auto" w:fill="DCDDDE"/>
          </w:tcPr>
          <w:p>
            <w:pPr>
              <w:spacing w:after="0"/>
              <w:rPr>
                <w:sz w:val="16"/>
                <w:szCs w:val="16"/>
                <w:color w:val="auto"/>
              </w:rPr>
            </w:pPr>
          </w:p>
        </w:tc>
        <w:tc>
          <w:tcPr>
            <w:tcW w:w="880" w:type="dxa"/>
            <w:vAlign w:val="bottom"/>
            <w:tcBorders>
              <w:bottom w:val="single" w:sz="8" w:color="D0CECE"/>
            </w:tcBorders>
            <w:shd w:val="clear" w:color="auto" w:fill="DCDDDE"/>
          </w:tcPr>
          <w:p>
            <w:pPr>
              <w:spacing w:after="0"/>
              <w:rPr>
                <w:sz w:val="16"/>
                <w:szCs w:val="16"/>
                <w:color w:val="auto"/>
              </w:rPr>
            </w:pPr>
          </w:p>
        </w:tc>
      </w:tr>
      <w:tr>
        <w:trPr>
          <w:trHeight w:val="186"/>
        </w:trPr>
        <w:tc>
          <w:tcPr>
            <w:tcW w:w="4080" w:type="dxa"/>
            <w:vAlign w:val="bottom"/>
            <w:tcBorders>
              <w:bottom w:val="single" w:sz="8" w:color="D0CECE"/>
            </w:tcBorders>
          </w:tcPr>
          <w:p>
            <w:pPr>
              <w:ind w:left="20"/>
              <w:spacing w:after="0"/>
              <w:rPr>
                <w:sz w:val="20"/>
                <w:szCs w:val="20"/>
                <w:color w:val="auto"/>
              </w:rPr>
            </w:pPr>
            <w:r>
              <w:rPr>
                <w:rFonts w:ascii="Arial" w:cs="Arial" w:eastAsia="Arial" w:hAnsi="Arial"/>
                <w:sz w:val="16"/>
                <w:szCs w:val="16"/>
                <w:b w:val="1"/>
                <w:bCs w:val="1"/>
                <w:color w:val="auto"/>
              </w:rPr>
              <w:t>Brenda L. Freeman</w:t>
            </w:r>
          </w:p>
        </w:tc>
        <w:tc>
          <w:tcPr>
            <w:tcW w:w="530" w:type="dxa"/>
            <w:vAlign w:val="bottom"/>
            <w:tcBorders>
              <w:bottom w:val="single" w:sz="8" w:color="D0CECE"/>
            </w:tcBorders>
            <w:shd w:val="clear" w:color="auto" w:fill="DCDDDE"/>
          </w:tcPr>
          <w:p>
            <w:pPr>
              <w:jc w:val="center"/>
              <w:ind w:right="53"/>
              <w:spacing w:after="0"/>
              <w:rPr>
                <w:sz w:val="20"/>
                <w:szCs w:val="20"/>
                <w:color w:val="auto"/>
              </w:rPr>
            </w:pPr>
            <w:r>
              <w:rPr>
                <w:rFonts w:ascii="Times New Roman" w:cs="Times New Roman" w:eastAsia="Times New Roman" w:hAnsi="Times New Roman"/>
                <w:sz w:val="16"/>
                <w:szCs w:val="16"/>
                <w:color w:val="53C072"/>
                <w:w w:val="74"/>
              </w:rPr>
              <w:t>·</w:t>
            </w:r>
          </w:p>
        </w:tc>
        <w:tc>
          <w:tcPr>
            <w:tcW w:w="550" w:type="dxa"/>
            <w:vAlign w:val="bottom"/>
            <w:tcBorders>
              <w:bottom w:val="single" w:sz="8" w:color="D0CECE"/>
              <w:right w:val="single" w:sz="8" w:color="FFFFFE"/>
            </w:tcBorders>
            <w:shd w:val="clear" w:color="auto" w:fill="DCDDDE"/>
          </w:tcPr>
          <w:p>
            <w:pPr>
              <w:spacing w:after="0"/>
              <w:rPr>
                <w:sz w:val="16"/>
                <w:szCs w:val="16"/>
                <w:color w:val="auto"/>
              </w:rPr>
            </w:pPr>
          </w:p>
        </w:tc>
        <w:tc>
          <w:tcPr>
            <w:tcW w:w="580" w:type="dxa"/>
            <w:vAlign w:val="bottom"/>
            <w:tcBorders>
              <w:bottom w:val="single" w:sz="8" w:color="D0CECE"/>
              <w:right w:val="single" w:sz="8" w:color="FFFFFE"/>
            </w:tcBorders>
            <w:shd w:val="clear" w:color="auto" w:fill="DCDDDE"/>
          </w:tcPr>
          <w:p>
            <w:pPr>
              <w:spacing w:after="0"/>
              <w:rPr>
                <w:sz w:val="16"/>
                <w:szCs w:val="16"/>
                <w:color w:val="auto"/>
              </w:rPr>
            </w:pPr>
          </w:p>
        </w:tc>
        <w:tc>
          <w:tcPr>
            <w:tcW w:w="580" w:type="dxa"/>
            <w:vAlign w:val="bottom"/>
            <w:tcBorders>
              <w:bottom w:val="single" w:sz="8" w:color="D0CECE"/>
              <w:right w:val="single" w:sz="8" w:color="FFFFFE"/>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color w:val="53C072"/>
                <w:w w:val="74"/>
              </w:rPr>
              <w:t>·</w:t>
            </w:r>
          </w:p>
        </w:tc>
        <w:tc>
          <w:tcPr>
            <w:tcW w:w="480" w:type="dxa"/>
            <w:vAlign w:val="bottom"/>
            <w:tcBorders>
              <w:bottom w:val="single" w:sz="8" w:color="D0CECE"/>
            </w:tcBorders>
            <w:shd w:val="clear" w:color="auto" w:fill="DCDDDE"/>
          </w:tcPr>
          <w:p>
            <w:pPr>
              <w:spacing w:after="0"/>
              <w:rPr>
                <w:sz w:val="16"/>
                <w:szCs w:val="16"/>
                <w:color w:val="auto"/>
              </w:rPr>
            </w:pPr>
          </w:p>
        </w:tc>
        <w:tc>
          <w:tcPr>
            <w:tcW w:w="100" w:type="dxa"/>
            <w:vAlign w:val="bottom"/>
            <w:tcBorders>
              <w:bottom w:val="single" w:sz="8" w:color="D0CECE"/>
              <w:right w:val="single" w:sz="8" w:color="FFFFFE"/>
            </w:tcBorders>
            <w:shd w:val="clear" w:color="auto" w:fill="DCDDDE"/>
          </w:tcPr>
          <w:p>
            <w:pPr>
              <w:spacing w:after="0"/>
              <w:rPr>
                <w:sz w:val="16"/>
                <w:szCs w:val="16"/>
                <w:color w:val="auto"/>
              </w:rPr>
            </w:pPr>
          </w:p>
        </w:tc>
        <w:tc>
          <w:tcPr>
            <w:tcW w:w="100" w:type="dxa"/>
            <w:vAlign w:val="bottom"/>
            <w:tcBorders>
              <w:bottom w:val="single" w:sz="8" w:color="D0CECE"/>
            </w:tcBorders>
            <w:shd w:val="clear" w:color="auto" w:fill="DCDDDE"/>
          </w:tcPr>
          <w:p>
            <w:pPr>
              <w:spacing w:after="0"/>
              <w:rPr>
                <w:sz w:val="16"/>
                <w:szCs w:val="16"/>
                <w:color w:val="auto"/>
              </w:rPr>
            </w:pPr>
          </w:p>
        </w:tc>
        <w:tc>
          <w:tcPr>
            <w:tcW w:w="880" w:type="dxa"/>
            <w:vAlign w:val="bottom"/>
            <w:tcBorders>
              <w:bottom w:val="single" w:sz="8" w:color="D0CECE"/>
            </w:tcBorders>
            <w:shd w:val="clear" w:color="auto" w:fill="DCDDDE"/>
          </w:tcPr>
          <w:p>
            <w:pPr>
              <w:spacing w:after="0"/>
              <w:rPr>
                <w:sz w:val="16"/>
                <w:szCs w:val="16"/>
                <w:color w:val="auto"/>
              </w:rPr>
            </w:pPr>
          </w:p>
        </w:tc>
      </w:tr>
      <w:tr>
        <w:trPr>
          <w:trHeight w:val="186"/>
        </w:trPr>
        <w:tc>
          <w:tcPr>
            <w:tcW w:w="4080" w:type="dxa"/>
            <w:vAlign w:val="bottom"/>
            <w:tcBorders>
              <w:bottom w:val="single" w:sz="8" w:color="D0CECE"/>
            </w:tcBorders>
          </w:tcPr>
          <w:p>
            <w:pPr>
              <w:ind w:left="20"/>
              <w:spacing w:after="0"/>
              <w:rPr>
                <w:sz w:val="20"/>
                <w:szCs w:val="20"/>
                <w:color w:val="auto"/>
              </w:rPr>
            </w:pPr>
            <w:r>
              <w:rPr>
                <w:rFonts w:ascii="Arial" w:cs="Arial" w:eastAsia="Arial" w:hAnsi="Arial"/>
                <w:sz w:val="16"/>
                <w:szCs w:val="16"/>
                <w:b w:val="1"/>
                <w:bCs w:val="1"/>
                <w:color w:val="auto"/>
              </w:rPr>
              <w:t>Jo Ann Jenkins</w:t>
            </w:r>
          </w:p>
        </w:tc>
        <w:tc>
          <w:tcPr>
            <w:tcW w:w="530" w:type="dxa"/>
            <w:vAlign w:val="bottom"/>
            <w:tcBorders>
              <w:bottom w:val="single" w:sz="8" w:color="D0CECE"/>
            </w:tcBorders>
            <w:shd w:val="clear" w:color="auto" w:fill="DCDDDE"/>
          </w:tcPr>
          <w:p>
            <w:pPr>
              <w:spacing w:after="0"/>
              <w:rPr>
                <w:sz w:val="16"/>
                <w:szCs w:val="16"/>
                <w:color w:val="auto"/>
              </w:rPr>
            </w:pPr>
          </w:p>
        </w:tc>
        <w:tc>
          <w:tcPr>
            <w:tcW w:w="550" w:type="dxa"/>
            <w:vAlign w:val="bottom"/>
            <w:tcBorders>
              <w:bottom w:val="single" w:sz="8" w:color="D0CECE"/>
              <w:right w:val="single" w:sz="8" w:color="FFFFFE"/>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color w:val="53C072"/>
                <w:w w:val="74"/>
              </w:rPr>
              <w:t>·</w:t>
            </w:r>
          </w:p>
        </w:tc>
        <w:tc>
          <w:tcPr>
            <w:tcW w:w="580" w:type="dxa"/>
            <w:vAlign w:val="bottom"/>
            <w:tcBorders>
              <w:bottom w:val="single" w:sz="8" w:color="D0CECE"/>
              <w:right w:val="single" w:sz="8" w:color="FFFFFE"/>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color w:val="53C072"/>
                <w:w w:val="74"/>
              </w:rPr>
              <w:t>·</w:t>
            </w:r>
          </w:p>
        </w:tc>
        <w:tc>
          <w:tcPr>
            <w:tcW w:w="580" w:type="dxa"/>
            <w:vAlign w:val="bottom"/>
            <w:tcBorders>
              <w:bottom w:val="single" w:sz="8" w:color="D0CECE"/>
              <w:right w:val="single" w:sz="8" w:color="FFFFFE"/>
            </w:tcBorders>
            <w:shd w:val="clear" w:color="auto" w:fill="DCDDDE"/>
          </w:tcPr>
          <w:p>
            <w:pPr>
              <w:spacing w:after="0"/>
              <w:rPr>
                <w:sz w:val="16"/>
                <w:szCs w:val="16"/>
                <w:color w:val="auto"/>
              </w:rPr>
            </w:pPr>
          </w:p>
        </w:tc>
        <w:tc>
          <w:tcPr>
            <w:tcW w:w="480" w:type="dxa"/>
            <w:vAlign w:val="bottom"/>
            <w:tcBorders>
              <w:bottom w:val="single" w:sz="8" w:color="D0CECE"/>
            </w:tcBorders>
            <w:shd w:val="clear" w:color="auto" w:fill="DCDDDE"/>
          </w:tcPr>
          <w:p>
            <w:pPr>
              <w:spacing w:after="0"/>
              <w:rPr>
                <w:sz w:val="16"/>
                <w:szCs w:val="16"/>
                <w:color w:val="auto"/>
              </w:rPr>
            </w:pPr>
          </w:p>
        </w:tc>
        <w:tc>
          <w:tcPr>
            <w:tcW w:w="100" w:type="dxa"/>
            <w:vAlign w:val="bottom"/>
            <w:tcBorders>
              <w:bottom w:val="single" w:sz="8" w:color="D0CECE"/>
              <w:right w:val="single" w:sz="8" w:color="FFFFFE"/>
            </w:tcBorders>
            <w:shd w:val="clear" w:color="auto" w:fill="DCDDDE"/>
          </w:tcPr>
          <w:p>
            <w:pPr>
              <w:spacing w:after="0"/>
              <w:rPr>
                <w:sz w:val="16"/>
                <w:szCs w:val="16"/>
                <w:color w:val="auto"/>
              </w:rPr>
            </w:pPr>
          </w:p>
        </w:tc>
        <w:tc>
          <w:tcPr>
            <w:tcW w:w="100" w:type="dxa"/>
            <w:vAlign w:val="bottom"/>
            <w:tcBorders>
              <w:bottom w:val="single" w:sz="8" w:color="D0CECE"/>
            </w:tcBorders>
            <w:shd w:val="clear" w:color="auto" w:fill="DCDDDE"/>
          </w:tcPr>
          <w:p>
            <w:pPr>
              <w:spacing w:after="0"/>
              <w:rPr>
                <w:sz w:val="16"/>
                <w:szCs w:val="16"/>
                <w:color w:val="auto"/>
              </w:rPr>
            </w:pPr>
          </w:p>
        </w:tc>
        <w:tc>
          <w:tcPr>
            <w:tcW w:w="880" w:type="dxa"/>
            <w:vAlign w:val="bottom"/>
            <w:tcBorders>
              <w:bottom w:val="single" w:sz="8" w:color="D0CECE"/>
            </w:tcBorders>
            <w:shd w:val="clear" w:color="auto" w:fill="DCDDDE"/>
          </w:tcPr>
          <w:p>
            <w:pPr>
              <w:spacing w:after="0"/>
              <w:rPr>
                <w:sz w:val="16"/>
                <w:szCs w:val="16"/>
                <w:color w:val="auto"/>
              </w:rPr>
            </w:pPr>
          </w:p>
        </w:tc>
      </w:tr>
      <w:tr>
        <w:trPr>
          <w:trHeight w:val="186"/>
        </w:trPr>
        <w:tc>
          <w:tcPr>
            <w:tcW w:w="4080" w:type="dxa"/>
            <w:vAlign w:val="bottom"/>
            <w:tcBorders>
              <w:bottom w:val="single" w:sz="8" w:color="D0CECE"/>
            </w:tcBorders>
          </w:tcPr>
          <w:p>
            <w:pPr>
              <w:ind w:left="20"/>
              <w:spacing w:after="0"/>
              <w:rPr>
                <w:sz w:val="20"/>
                <w:szCs w:val="20"/>
                <w:color w:val="auto"/>
              </w:rPr>
            </w:pPr>
            <w:r>
              <w:rPr>
                <w:rFonts w:ascii="Arial" w:cs="Arial" w:eastAsia="Arial" w:hAnsi="Arial"/>
                <w:sz w:val="16"/>
                <w:szCs w:val="16"/>
                <w:b w:val="1"/>
                <w:bCs w:val="1"/>
                <w:color w:val="auto"/>
              </w:rPr>
              <w:t>Oleg Khaykin</w:t>
            </w:r>
          </w:p>
        </w:tc>
        <w:tc>
          <w:tcPr>
            <w:tcW w:w="530" w:type="dxa"/>
            <w:vAlign w:val="bottom"/>
            <w:tcBorders>
              <w:bottom w:val="single" w:sz="8" w:color="D0CECE"/>
            </w:tcBorders>
            <w:shd w:val="clear" w:color="auto" w:fill="DCDDDE"/>
          </w:tcPr>
          <w:p>
            <w:pPr>
              <w:jc w:val="center"/>
              <w:ind w:right="53"/>
              <w:spacing w:after="0"/>
              <w:rPr>
                <w:sz w:val="20"/>
                <w:szCs w:val="20"/>
                <w:color w:val="auto"/>
              </w:rPr>
            </w:pPr>
            <w:r>
              <w:rPr>
                <w:rFonts w:ascii="Times New Roman" w:cs="Times New Roman" w:eastAsia="Times New Roman" w:hAnsi="Times New Roman"/>
                <w:sz w:val="16"/>
                <w:szCs w:val="16"/>
                <w:color w:val="53C072"/>
                <w:w w:val="74"/>
              </w:rPr>
              <w:t>·</w:t>
            </w:r>
          </w:p>
        </w:tc>
        <w:tc>
          <w:tcPr>
            <w:tcW w:w="550" w:type="dxa"/>
            <w:vAlign w:val="bottom"/>
            <w:tcBorders>
              <w:bottom w:val="single" w:sz="8" w:color="D0CECE"/>
              <w:right w:val="single" w:sz="8" w:color="FFFFFE"/>
            </w:tcBorders>
            <w:shd w:val="clear" w:color="auto" w:fill="DCDDDE"/>
          </w:tcPr>
          <w:p>
            <w:pPr>
              <w:spacing w:after="0"/>
              <w:rPr>
                <w:sz w:val="16"/>
                <w:szCs w:val="16"/>
                <w:color w:val="auto"/>
              </w:rPr>
            </w:pPr>
          </w:p>
        </w:tc>
        <w:tc>
          <w:tcPr>
            <w:tcW w:w="580" w:type="dxa"/>
            <w:vAlign w:val="bottom"/>
            <w:tcBorders>
              <w:bottom w:val="single" w:sz="8" w:color="D0CECE"/>
              <w:right w:val="single" w:sz="8" w:color="FFFFFE"/>
            </w:tcBorders>
            <w:shd w:val="clear" w:color="auto" w:fill="DCDDDE"/>
          </w:tcPr>
          <w:p>
            <w:pPr>
              <w:spacing w:after="0"/>
              <w:rPr>
                <w:sz w:val="16"/>
                <w:szCs w:val="16"/>
                <w:color w:val="auto"/>
              </w:rPr>
            </w:pPr>
          </w:p>
        </w:tc>
        <w:tc>
          <w:tcPr>
            <w:tcW w:w="580" w:type="dxa"/>
            <w:vAlign w:val="bottom"/>
            <w:tcBorders>
              <w:bottom w:val="single" w:sz="8" w:color="D0CECE"/>
              <w:right w:val="single" w:sz="8" w:color="FFFFFE"/>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color w:val="53C072"/>
                <w:w w:val="74"/>
              </w:rPr>
              <w:t>·</w:t>
            </w:r>
          </w:p>
        </w:tc>
        <w:tc>
          <w:tcPr>
            <w:tcW w:w="480" w:type="dxa"/>
            <w:vAlign w:val="bottom"/>
            <w:tcBorders>
              <w:bottom w:val="single" w:sz="8" w:color="D0CECE"/>
            </w:tcBorders>
            <w:shd w:val="clear" w:color="auto" w:fill="DCDDDE"/>
          </w:tcPr>
          <w:p>
            <w:pPr>
              <w:spacing w:after="0"/>
              <w:rPr>
                <w:sz w:val="16"/>
                <w:szCs w:val="16"/>
                <w:color w:val="auto"/>
              </w:rPr>
            </w:pPr>
          </w:p>
        </w:tc>
        <w:tc>
          <w:tcPr>
            <w:tcW w:w="100" w:type="dxa"/>
            <w:vAlign w:val="bottom"/>
            <w:tcBorders>
              <w:bottom w:val="single" w:sz="8" w:color="D0CECE"/>
              <w:right w:val="single" w:sz="8" w:color="FFFFFE"/>
            </w:tcBorders>
            <w:shd w:val="clear" w:color="auto" w:fill="DCDDDE"/>
          </w:tcPr>
          <w:p>
            <w:pPr>
              <w:spacing w:after="0"/>
              <w:rPr>
                <w:sz w:val="16"/>
                <w:szCs w:val="16"/>
                <w:color w:val="auto"/>
              </w:rPr>
            </w:pPr>
          </w:p>
        </w:tc>
        <w:tc>
          <w:tcPr>
            <w:tcW w:w="100" w:type="dxa"/>
            <w:vAlign w:val="bottom"/>
            <w:tcBorders>
              <w:bottom w:val="single" w:sz="8" w:color="D0CECE"/>
            </w:tcBorders>
            <w:shd w:val="clear" w:color="auto" w:fill="DCDDDE"/>
          </w:tcPr>
          <w:p>
            <w:pPr>
              <w:spacing w:after="0"/>
              <w:rPr>
                <w:sz w:val="16"/>
                <w:szCs w:val="16"/>
                <w:color w:val="auto"/>
              </w:rPr>
            </w:pPr>
          </w:p>
        </w:tc>
        <w:tc>
          <w:tcPr>
            <w:tcW w:w="880" w:type="dxa"/>
            <w:vAlign w:val="bottom"/>
            <w:tcBorders>
              <w:bottom w:val="single" w:sz="8" w:color="D0CECE"/>
            </w:tcBorders>
            <w:shd w:val="clear" w:color="auto" w:fill="DCDDDE"/>
          </w:tcPr>
          <w:p>
            <w:pPr>
              <w:spacing w:after="0"/>
              <w:rPr>
                <w:sz w:val="16"/>
                <w:szCs w:val="16"/>
                <w:color w:val="auto"/>
              </w:rPr>
            </w:pPr>
          </w:p>
        </w:tc>
      </w:tr>
      <w:tr>
        <w:trPr>
          <w:trHeight w:val="186"/>
        </w:trPr>
        <w:tc>
          <w:tcPr>
            <w:tcW w:w="4080" w:type="dxa"/>
            <w:vAlign w:val="bottom"/>
            <w:tcBorders>
              <w:bottom w:val="single" w:sz="8" w:color="D0CECE"/>
            </w:tcBorders>
          </w:tcPr>
          <w:p>
            <w:pPr>
              <w:ind w:left="20"/>
              <w:spacing w:after="0"/>
              <w:rPr>
                <w:sz w:val="20"/>
                <w:szCs w:val="20"/>
                <w:color w:val="auto"/>
              </w:rPr>
            </w:pPr>
            <w:r>
              <w:rPr>
                <w:rFonts w:ascii="Arial" w:cs="Arial" w:eastAsia="Arial" w:hAnsi="Arial"/>
                <w:sz w:val="16"/>
                <w:szCs w:val="16"/>
                <w:b w:val="1"/>
                <w:bCs w:val="1"/>
                <w:color w:val="auto"/>
              </w:rPr>
              <w:t>James A. Lawrence</w:t>
            </w:r>
          </w:p>
        </w:tc>
        <w:tc>
          <w:tcPr>
            <w:tcW w:w="530" w:type="dxa"/>
            <w:vAlign w:val="bottom"/>
            <w:tcBorders>
              <w:bottom w:val="single" w:sz="8" w:color="D0CECE"/>
            </w:tcBorders>
            <w:shd w:val="clear" w:color="auto" w:fill="DCDDDE"/>
          </w:tcPr>
          <w:p>
            <w:pPr>
              <w:spacing w:after="0"/>
              <w:rPr>
                <w:sz w:val="16"/>
                <w:szCs w:val="16"/>
                <w:color w:val="auto"/>
              </w:rPr>
            </w:pPr>
          </w:p>
        </w:tc>
        <w:tc>
          <w:tcPr>
            <w:tcW w:w="550" w:type="dxa"/>
            <w:vAlign w:val="bottom"/>
            <w:tcBorders>
              <w:bottom w:val="single" w:sz="8" w:color="D0CECE"/>
              <w:right w:val="single" w:sz="8" w:color="FFFFFE"/>
            </w:tcBorders>
            <w:shd w:val="clear" w:color="auto" w:fill="DCDDDE"/>
          </w:tcPr>
          <w:p>
            <w:pPr>
              <w:jc w:val="center"/>
              <w:spacing w:after="0"/>
              <w:rPr>
                <w:sz w:val="20"/>
                <w:szCs w:val="20"/>
                <w:color w:val="auto"/>
              </w:rPr>
            </w:pPr>
            <w:r>
              <w:rPr>
                <w:rFonts w:ascii="Arial" w:cs="Arial" w:eastAsia="Arial" w:hAnsi="Arial"/>
                <w:sz w:val="16"/>
                <w:szCs w:val="16"/>
                <w:color w:val="auto"/>
                <w:w w:val="99"/>
              </w:rPr>
              <w:t>Chair</w:t>
            </w:r>
          </w:p>
        </w:tc>
        <w:tc>
          <w:tcPr>
            <w:tcW w:w="580" w:type="dxa"/>
            <w:vAlign w:val="bottom"/>
            <w:tcBorders>
              <w:bottom w:val="single" w:sz="8" w:color="D0CECE"/>
              <w:right w:val="single" w:sz="8" w:color="FFFFFE"/>
            </w:tcBorders>
            <w:shd w:val="clear" w:color="auto" w:fill="DCDDDE"/>
          </w:tcPr>
          <w:p>
            <w:pPr>
              <w:spacing w:after="0"/>
              <w:rPr>
                <w:sz w:val="16"/>
                <w:szCs w:val="16"/>
                <w:color w:val="auto"/>
              </w:rPr>
            </w:pPr>
          </w:p>
        </w:tc>
        <w:tc>
          <w:tcPr>
            <w:tcW w:w="580" w:type="dxa"/>
            <w:vAlign w:val="bottom"/>
            <w:tcBorders>
              <w:bottom w:val="single" w:sz="8" w:color="D0CECE"/>
              <w:right w:val="single" w:sz="8" w:color="FFFFFE"/>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color w:val="53C072"/>
                <w:w w:val="74"/>
              </w:rPr>
              <w:t>·</w:t>
            </w:r>
          </w:p>
        </w:tc>
        <w:tc>
          <w:tcPr>
            <w:tcW w:w="480" w:type="dxa"/>
            <w:vAlign w:val="bottom"/>
            <w:tcBorders>
              <w:bottom w:val="single" w:sz="8" w:color="D0CECE"/>
            </w:tcBorders>
            <w:shd w:val="clear" w:color="auto" w:fill="DCDDDE"/>
          </w:tcPr>
          <w:p>
            <w:pPr>
              <w:jc w:val="center"/>
              <w:ind w:left="43"/>
              <w:spacing w:after="0"/>
              <w:rPr>
                <w:sz w:val="20"/>
                <w:szCs w:val="20"/>
                <w:color w:val="auto"/>
              </w:rPr>
            </w:pPr>
            <w:r>
              <w:rPr>
                <w:rFonts w:ascii="Times New Roman" w:cs="Times New Roman" w:eastAsia="Times New Roman" w:hAnsi="Times New Roman"/>
                <w:sz w:val="16"/>
                <w:szCs w:val="16"/>
                <w:color w:val="53C072"/>
                <w:w w:val="74"/>
              </w:rPr>
              <w:t>·</w:t>
            </w:r>
          </w:p>
        </w:tc>
        <w:tc>
          <w:tcPr>
            <w:tcW w:w="100" w:type="dxa"/>
            <w:vAlign w:val="bottom"/>
            <w:tcBorders>
              <w:bottom w:val="single" w:sz="8" w:color="D0CECE"/>
              <w:right w:val="single" w:sz="8" w:color="FFFFFE"/>
            </w:tcBorders>
            <w:shd w:val="clear" w:color="auto" w:fill="DCDDDE"/>
          </w:tcPr>
          <w:p>
            <w:pPr>
              <w:spacing w:after="0"/>
              <w:rPr>
                <w:sz w:val="16"/>
                <w:szCs w:val="16"/>
                <w:color w:val="auto"/>
              </w:rPr>
            </w:pPr>
          </w:p>
        </w:tc>
        <w:tc>
          <w:tcPr>
            <w:tcW w:w="100" w:type="dxa"/>
            <w:vAlign w:val="bottom"/>
            <w:tcBorders>
              <w:bottom w:val="single" w:sz="8" w:color="D0CECE"/>
            </w:tcBorders>
            <w:shd w:val="clear" w:color="auto" w:fill="DCDDDE"/>
          </w:tcPr>
          <w:p>
            <w:pPr>
              <w:spacing w:after="0"/>
              <w:rPr>
                <w:sz w:val="16"/>
                <w:szCs w:val="16"/>
                <w:color w:val="auto"/>
              </w:rPr>
            </w:pPr>
          </w:p>
        </w:tc>
        <w:tc>
          <w:tcPr>
            <w:tcW w:w="880" w:type="dxa"/>
            <w:vAlign w:val="bottom"/>
            <w:tcBorders>
              <w:bottom w:val="single" w:sz="8" w:color="D0CECE"/>
            </w:tcBorders>
            <w:shd w:val="clear" w:color="auto" w:fill="DCDDDE"/>
          </w:tcPr>
          <w:p>
            <w:pPr>
              <w:spacing w:after="0"/>
              <w:rPr>
                <w:sz w:val="16"/>
                <w:szCs w:val="16"/>
                <w:color w:val="auto"/>
              </w:rPr>
            </w:pPr>
          </w:p>
        </w:tc>
      </w:tr>
      <w:tr>
        <w:trPr>
          <w:trHeight w:val="186"/>
        </w:trPr>
        <w:tc>
          <w:tcPr>
            <w:tcW w:w="4080" w:type="dxa"/>
            <w:vAlign w:val="bottom"/>
            <w:tcBorders>
              <w:bottom w:val="single" w:sz="8" w:color="D0CECE"/>
            </w:tcBorders>
          </w:tcPr>
          <w:p>
            <w:pPr>
              <w:ind w:left="20"/>
              <w:spacing w:after="0"/>
              <w:rPr>
                <w:sz w:val="20"/>
                <w:szCs w:val="20"/>
                <w:color w:val="auto"/>
              </w:rPr>
            </w:pPr>
            <w:r>
              <w:rPr>
                <w:rFonts w:ascii="Arial" w:cs="Arial" w:eastAsia="Arial" w:hAnsi="Arial"/>
                <w:sz w:val="16"/>
                <w:szCs w:val="16"/>
                <w:b w:val="1"/>
                <w:bCs w:val="1"/>
                <w:color w:val="auto"/>
              </w:rPr>
              <w:t>Avid Modjtabai</w:t>
            </w:r>
          </w:p>
        </w:tc>
        <w:tc>
          <w:tcPr>
            <w:tcW w:w="530" w:type="dxa"/>
            <w:vAlign w:val="bottom"/>
            <w:tcBorders>
              <w:bottom w:val="single" w:sz="8" w:color="D0CECE"/>
            </w:tcBorders>
            <w:shd w:val="clear" w:color="auto" w:fill="DCDDDE"/>
          </w:tcPr>
          <w:p>
            <w:pPr>
              <w:spacing w:after="0"/>
              <w:rPr>
                <w:sz w:val="16"/>
                <w:szCs w:val="16"/>
                <w:color w:val="auto"/>
              </w:rPr>
            </w:pPr>
          </w:p>
        </w:tc>
        <w:tc>
          <w:tcPr>
            <w:tcW w:w="550" w:type="dxa"/>
            <w:vAlign w:val="bottom"/>
            <w:tcBorders>
              <w:bottom w:val="single" w:sz="8" w:color="D0CECE"/>
              <w:right w:val="single" w:sz="8" w:color="FFFFFE"/>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color w:val="53C072"/>
                <w:w w:val="74"/>
              </w:rPr>
              <w:t>·</w:t>
            </w:r>
          </w:p>
        </w:tc>
        <w:tc>
          <w:tcPr>
            <w:tcW w:w="580" w:type="dxa"/>
            <w:vAlign w:val="bottom"/>
            <w:tcBorders>
              <w:bottom w:val="single" w:sz="8" w:color="D0CECE"/>
              <w:right w:val="single" w:sz="8" w:color="FFFFFE"/>
            </w:tcBorders>
            <w:shd w:val="clear" w:color="auto" w:fill="DCDDDE"/>
          </w:tcPr>
          <w:p>
            <w:pPr>
              <w:jc w:val="center"/>
              <w:spacing w:after="0"/>
              <w:rPr>
                <w:sz w:val="20"/>
                <w:szCs w:val="20"/>
                <w:color w:val="auto"/>
              </w:rPr>
            </w:pPr>
            <w:r>
              <w:rPr>
                <w:rFonts w:ascii="Arial" w:cs="Arial" w:eastAsia="Arial" w:hAnsi="Arial"/>
                <w:sz w:val="16"/>
                <w:szCs w:val="16"/>
                <w:color w:val="53C072"/>
                <w:w w:val="99"/>
              </w:rPr>
              <w:t>Chair</w:t>
            </w:r>
          </w:p>
        </w:tc>
        <w:tc>
          <w:tcPr>
            <w:tcW w:w="580" w:type="dxa"/>
            <w:vAlign w:val="bottom"/>
            <w:tcBorders>
              <w:bottom w:val="single" w:sz="8" w:color="D0CECE"/>
              <w:right w:val="single" w:sz="8" w:color="FFFFFE"/>
            </w:tcBorders>
            <w:shd w:val="clear" w:color="auto" w:fill="DCDDDE"/>
          </w:tcPr>
          <w:p>
            <w:pPr>
              <w:spacing w:after="0"/>
              <w:rPr>
                <w:sz w:val="16"/>
                <w:szCs w:val="16"/>
                <w:color w:val="auto"/>
              </w:rPr>
            </w:pPr>
          </w:p>
        </w:tc>
        <w:tc>
          <w:tcPr>
            <w:tcW w:w="480" w:type="dxa"/>
            <w:vAlign w:val="bottom"/>
            <w:tcBorders>
              <w:bottom w:val="single" w:sz="8" w:color="D0CECE"/>
            </w:tcBorders>
            <w:shd w:val="clear" w:color="auto" w:fill="DCDDDE"/>
          </w:tcPr>
          <w:p>
            <w:pPr>
              <w:jc w:val="center"/>
              <w:ind w:left="43"/>
              <w:spacing w:after="0"/>
              <w:rPr>
                <w:sz w:val="20"/>
                <w:szCs w:val="20"/>
                <w:color w:val="auto"/>
              </w:rPr>
            </w:pPr>
            <w:r>
              <w:rPr>
                <w:rFonts w:ascii="Times New Roman" w:cs="Times New Roman" w:eastAsia="Times New Roman" w:hAnsi="Times New Roman"/>
                <w:sz w:val="16"/>
                <w:szCs w:val="16"/>
                <w:color w:val="53C072"/>
                <w:w w:val="74"/>
              </w:rPr>
              <w:t>·</w:t>
            </w:r>
          </w:p>
        </w:tc>
        <w:tc>
          <w:tcPr>
            <w:tcW w:w="100" w:type="dxa"/>
            <w:vAlign w:val="bottom"/>
            <w:tcBorders>
              <w:bottom w:val="single" w:sz="8" w:color="D0CECE"/>
              <w:right w:val="single" w:sz="8" w:color="FFFFFE"/>
            </w:tcBorders>
            <w:shd w:val="clear" w:color="auto" w:fill="DCDDDE"/>
          </w:tcPr>
          <w:p>
            <w:pPr>
              <w:spacing w:after="0"/>
              <w:rPr>
                <w:sz w:val="16"/>
                <w:szCs w:val="16"/>
                <w:color w:val="auto"/>
              </w:rPr>
            </w:pPr>
          </w:p>
        </w:tc>
        <w:tc>
          <w:tcPr>
            <w:tcW w:w="100" w:type="dxa"/>
            <w:vAlign w:val="bottom"/>
            <w:tcBorders>
              <w:bottom w:val="single" w:sz="8" w:color="D0CECE"/>
            </w:tcBorders>
            <w:shd w:val="clear" w:color="auto" w:fill="DCDDDE"/>
          </w:tcPr>
          <w:p>
            <w:pPr>
              <w:spacing w:after="0"/>
              <w:rPr>
                <w:sz w:val="16"/>
                <w:szCs w:val="16"/>
                <w:color w:val="auto"/>
              </w:rPr>
            </w:pPr>
          </w:p>
        </w:tc>
        <w:tc>
          <w:tcPr>
            <w:tcW w:w="880" w:type="dxa"/>
            <w:vAlign w:val="bottom"/>
            <w:tcBorders>
              <w:bottom w:val="single" w:sz="8" w:color="D0CECE"/>
            </w:tcBorders>
            <w:shd w:val="clear" w:color="auto" w:fill="DCDDDE"/>
          </w:tcPr>
          <w:p>
            <w:pPr>
              <w:spacing w:after="0"/>
              <w:rPr>
                <w:sz w:val="16"/>
                <w:szCs w:val="16"/>
                <w:color w:val="auto"/>
              </w:rPr>
            </w:pPr>
          </w:p>
        </w:tc>
      </w:tr>
      <w:tr>
        <w:trPr>
          <w:trHeight w:val="186"/>
        </w:trPr>
        <w:tc>
          <w:tcPr>
            <w:tcW w:w="4080" w:type="dxa"/>
            <w:vAlign w:val="bottom"/>
            <w:tcBorders>
              <w:bottom w:val="single" w:sz="8" w:color="D0CECE"/>
            </w:tcBorders>
          </w:tcPr>
          <w:p>
            <w:pPr>
              <w:ind w:left="20"/>
              <w:spacing w:after="0"/>
              <w:rPr>
                <w:sz w:val="20"/>
                <w:szCs w:val="20"/>
                <w:color w:val="auto"/>
              </w:rPr>
            </w:pPr>
            <w:r>
              <w:rPr>
                <w:rFonts w:ascii="Arial" w:cs="Arial" w:eastAsia="Arial" w:hAnsi="Arial"/>
                <w:sz w:val="16"/>
                <w:szCs w:val="16"/>
                <w:b w:val="1"/>
                <w:bCs w:val="1"/>
                <w:color w:val="auto"/>
              </w:rPr>
              <w:t>Adalio T. Sanchez</w:t>
            </w:r>
          </w:p>
        </w:tc>
        <w:tc>
          <w:tcPr>
            <w:tcW w:w="530" w:type="dxa"/>
            <w:vAlign w:val="bottom"/>
            <w:tcBorders>
              <w:bottom w:val="single" w:sz="8" w:color="D0CECE"/>
            </w:tcBorders>
            <w:shd w:val="clear" w:color="auto" w:fill="DCDDDE"/>
          </w:tcPr>
          <w:p>
            <w:pPr>
              <w:jc w:val="center"/>
              <w:ind w:right="53"/>
              <w:spacing w:after="0"/>
              <w:rPr>
                <w:sz w:val="20"/>
                <w:szCs w:val="20"/>
                <w:color w:val="auto"/>
              </w:rPr>
            </w:pPr>
            <w:r>
              <w:rPr>
                <w:rFonts w:ascii="Times New Roman" w:cs="Times New Roman" w:eastAsia="Times New Roman" w:hAnsi="Times New Roman"/>
                <w:sz w:val="16"/>
                <w:szCs w:val="16"/>
                <w:color w:val="53C072"/>
                <w:w w:val="74"/>
              </w:rPr>
              <w:t>·</w:t>
            </w:r>
          </w:p>
        </w:tc>
        <w:tc>
          <w:tcPr>
            <w:tcW w:w="550" w:type="dxa"/>
            <w:vAlign w:val="bottom"/>
            <w:tcBorders>
              <w:bottom w:val="single" w:sz="8" w:color="D0CECE"/>
              <w:right w:val="single" w:sz="8" w:color="FFFFFE"/>
            </w:tcBorders>
            <w:shd w:val="clear" w:color="auto" w:fill="DCDDDE"/>
          </w:tcPr>
          <w:p>
            <w:pPr>
              <w:spacing w:after="0"/>
              <w:rPr>
                <w:sz w:val="16"/>
                <w:szCs w:val="16"/>
                <w:color w:val="auto"/>
              </w:rPr>
            </w:pPr>
          </w:p>
        </w:tc>
        <w:tc>
          <w:tcPr>
            <w:tcW w:w="580" w:type="dxa"/>
            <w:vAlign w:val="bottom"/>
            <w:tcBorders>
              <w:bottom w:val="single" w:sz="8" w:color="D0CECE"/>
              <w:right w:val="single" w:sz="8" w:color="FFFFFE"/>
            </w:tcBorders>
            <w:shd w:val="clear" w:color="auto" w:fill="DCDDDE"/>
          </w:tcPr>
          <w:p>
            <w:pPr>
              <w:jc w:val="center"/>
              <w:spacing w:after="0"/>
              <w:rPr>
                <w:sz w:val="20"/>
                <w:szCs w:val="20"/>
                <w:color w:val="auto"/>
              </w:rPr>
            </w:pPr>
            <w:r>
              <w:rPr>
                <w:rFonts w:ascii="Times New Roman" w:cs="Times New Roman" w:eastAsia="Times New Roman" w:hAnsi="Times New Roman"/>
                <w:sz w:val="16"/>
                <w:szCs w:val="16"/>
                <w:color w:val="53C072"/>
                <w:w w:val="74"/>
              </w:rPr>
              <w:t>·</w:t>
            </w:r>
          </w:p>
        </w:tc>
        <w:tc>
          <w:tcPr>
            <w:tcW w:w="580" w:type="dxa"/>
            <w:vAlign w:val="bottom"/>
            <w:tcBorders>
              <w:bottom w:val="single" w:sz="8" w:color="D0CECE"/>
              <w:right w:val="single" w:sz="8" w:color="FFFFFE"/>
            </w:tcBorders>
            <w:shd w:val="clear" w:color="auto" w:fill="DCDDDE"/>
          </w:tcPr>
          <w:p>
            <w:pPr>
              <w:spacing w:after="0"/>
              <w:rPr>
                <w:sz w:val="16"/>
                <w:szCs w:val="16"/>
                <w:color w:val="auto"/>
              </w:rPr>
            </w:pPr>
          </w:p>
        </w:tc>
        <w:tc>
          <w:tcPr>
            <w:tcW w:w="480" w:type="dxa"/>
            <w:vAlign w:val="bottom"/>
            <w:tcBorders>
              <w:bottom w:val="single" w:sz="8" w:color="D0CECE"/>
            </w:tcBorders>
            <w:shd w:val="clear" w:color="auto" w:fill="DCDDDE"/>
          </w:tcPr>
          <w:p>
            <w:pPr>
              <w:spacing w:after="0"/>
              <w:rPr>
                <w:sz w:val="16"/>
                <w:szCs w:val="16"/>
                <w:color w:val="auto"/>
              </w:rPr>
            </w:pPr>
          </w:p>
        </w:tc>
        <w:tc>
          <w:tcPr>
            <w:tcW w:w="100" w:type="dxa"/>
            <w:vAlign w:val="bottom"/>
            <w:tcBorders>
              <w:bottom w:val="single" w:sz="8" w:color="D0CECE"/>
              <w:right w:val="single" w:sz="8" w:color="FFFFFE"/>
            </w:tcBorders>
            <w:shd w:val="clear" w:color="auto" w:fill="DCDDDE"/>
          </w:tcPr>
          <w:p>
            <w:pPr>
              <w:spacing w:after="0"/>
              <w:rPr>
                <w:sz w:val="16"/>
                <w:szCs w:val="16"/>
                <w:color w:val="auto"/>
              </w:rPr>
            </w:pPr>
          </w:p>
        </w:tc>
        <w:tc>
          <w:tcPr>
            <w:tcW w:w="100" w:type="dxa"/>
            <w:vAlign w:val="bottom"/>
            <w:tcBorders>
              <w:bottom w:val="single" w:sz="8" w:color="D0CECE"/>
            </w:tcBorders>
            <w:shd w:val="clear" w:color="auto" w:fill="DCDDDE"/>
          </w:tcPr>
          <w:p>
            <w:pPr>
              <w:spacing w:after="0"/>
              <w:rPr>
                <w:sz w:val="16"/>
                <w:szCs w:val="16"/>
                <w:color w:val="auto"/>
              </w:rPr>
            </w:pPr>
          </w:p>
        </w:tc>
        <w:tc>
          <w:tcPr>
            <w:tcW w:w="880" w:type="dxa"/>
            <w:vAlign w:val="bottom"/>
            <w:tcBorders>
              <w:bottom w:val="single" w:sz="8" w:color="D0CECE"/>
            </w:tcBorders>
            <w:shd w:val="clear" w:color="auto" w:fill="DCDDDE"/>
          </w:tcPr>
          <w:p>
            <w:pPr>
              <w:spacing w:after="0"/>
              <w:rPr>
                <w:sz w:val="16"/>
                <w:szCs w:val="16"/>
                <w:color w:val="auto"/>
              </w:rPr>
            </w:pPr>
          </w:p>
        </w:tc>
      </w:tr>
      <w:tr>
        <w:trPr>
          <w:trHeight w:val="203"/>
        </w:trPr>
        <w:tc>
          <w:tcPr>
            <w:tcW w:w="4080" w:type="dxa"/>
            <w:vAlign w:val="bottom"/>
            <w:tcBorders>
              <w:bottom w:val="single" w:sz="8" w:color="53C072"/>
            </w:tcBorders>
          </w:tcPr>
          <w:p>
            <w:pPr>
              <w:ind w:left="20"/>
              <w:spacing w:after="0"/>
              <w:rPr>
                <w:sz w:val="20"/>
                <w:szCs w:val="20"/>
                <w:color w:val="auto"/>
              </w:rPr>
            </w:pPr>
            <w:r>
              <w:rPr>
                <w:rFonts w:ascii="Arial" w:cs="Arial" w:eastAsia="Arial" w:hAnsi="Arial"/>
                <w:sz w:val="16"/>
                <w:szCs w:val="16"/>
                <w:b w:val="1"/>
                <w:bCs w:val="1"/>
                <w:color w:val="auto"/>
              </w:rPr>
              <w:t>William H. Schumann, III</w:t>
            </w:r>
          </w:p>
        </w:tc>
        <w:tc>
          <w:tcPr>
            <w:tcW w:w="530" w:type="dxa"/>
            <w:vAlign w:val="bottom"/>
            <w:tcBorders>
              <w:bottom w:val="single" w:sz="8" w:color="53C072"/>
            </w:tcBorders>
            <w:shd w:val="clear" w:color="auto" w:fill="DCDDDE"/>
          </w:tcPr>
          <w:p>
            <w:pPr>
              <w:jc w:val="center"/>
              <w:ind w:right="53"/>
              <w:spacing w:after="0"/>
              <w:rPr>
                <w:sz w:val="20"/>
                <w:szCs w:val="20"/>
                <w:color w:val="auto"/>
              </w:rPr>
            </w:pPr>
            <w:r>
              <w:rPr>
                <w:rFonts w:ascii="Times New Roman" w:cs="Times New Roman" w:eastAsia="Times New Roman" w:hAnsi="Times New Roman"/>
                <w:sz w:val="16"/>
                <w:szCs w:val="16"/>
                <w:color w:val="53C072"/>
                <w:w w:val="74"/>
              </w:rPr>
              <w:t>·</w:t>
            </w:r>
          </w:p>
        </w:tc>
        <w:tc>
          <w:tcPr>
            <w:tcW w:w="550" w:type="dxa"/>
            <w:vAlign w:val="bottom"/>
            <w:tcBorders>
              <w:bottom w:val="single" w:sz="8" w:color="53C072"/>
              <w:right w:val="single" w:sz="8" w:color="FFFFFE"/>
            </w:tcBorders>
            <w:shd w:val="clear" w:color="auto" w:fill="DCDDDE"/>
          </w:tcPr>
          <w:p>
            <w:pPr>
              <w:spacing w:after="0"/>
              <w:rPr>
                <w:sz w:val="17"/>
                <w:szCs w:val="17"/>
                <w:color w:val="auto"/>
              </w:rPr>
            </w:pPr>
          </w:p>
        </w:tc>
        <w:tc>
          <w:tcPr>
            <w:tcW w:w="580" w:type="dxa"/>
            <w:vAlign w:val="bottom"/>
            <w:tcBorders>
              <w:bottom w:val="single" w:sz="8" w:color="53C072"/>
              <w:right w:val="single" w:sz="8" w:color="FFFFFE"/>
            </w:tcBorders>
            <w:shd w:val="clear" w:color="auto" w:fill="DCDDDE"/>
          </w:tcPr>
          <w:p>
            <w:pPr>
              <w:spacing w:after="0"/>
              <w:rPr>
                <w:sz w:val="17"/>
                <w:szCs w:val="17"/>
                <w:color w:val="auto"/>
              </w:rPr>
            </w:pPr>
          </w:p>
        </w:tc>
        <w:tc>
          <w:tcPr>
            <w:tcW w:w="580" w:type="dxa"/>
            <w:vAlign w:val="bottom"/>
            <w:tcBorders>
              <w:bottom w:val="single" w:sz="8" w:color="53C072"/>
              <w:right w:val="single" w:sz="8" w:color="FFFFFE"/>
            </w:tcBorders>
            <w:shd w:val="clear" w:color="auto" w:fill="DCDDDE"/>
          </w:tcPr>
          <w:p>
            <w:pPr>
              <w:jc w:val="center"/>
              <w:spacing w:after="0"/>
              <w:rPr>
                <w:sz w:val="20"/>
                <w:szCs w:val="20"/>
                <w:color w:val="auto"/>
              </w:rPr>
            </w:pPr>
            <w:r>
              <w:rPr>
                <w:rFonts w:ascii="Arial" w:cs="Arial" w:eastAsia="Arial" w:hAnsi="Arial"/>
                <w:sz w:val="16"/>
                <w:szCs w:val="16"/>
                <w:color w:val="53C072"/>
                <w:w w:val="99"/>
              </w:rPr>
              <w:t>Chair</w:t>
            </w:r>
          </w:p>
        </w:tc>
        <w:tc>
          <w:tcPr>
            <w:tcW w:w="480" w:type="dxa"/>
            <w:vAlign w:val="bottom"/>
            <w:tcBorders>
              <w:bottom w:val="single" w:sz="8" w:color="53C072"/>
            </w:tcBorders>
            <w:shd w:val="clear" w:color="auto" w:fill="DCDDDE"/>
          </w:tcPr>
          <w:p>
            <w:pPr>
              <w:jc w:val="center"/>
              <w:ind w:left="43"/>
              <w:spacing w:after="0"/>
              <w:rPr>
                <w:sz w:val="20"/>
                <w:szCs w:val="20"/>
                <w:color w:val="auto"/>
              </w:rPr>
            </w:pPr>
            <w:r>
              <w:rPr>
                <w:rFonts w:ascii="Times New Roman" w:cs="Times New Roman" w:eastAsia="Times New Roman" w:hAnsi="Times New Roman"/>
                <w:sz w:val="16"/>
                <w:szCs w:val="16"/>
                <w:color w:val="53C072"/>
                <w:w w:val="74"/>
              </w:rPr>
              <w:t>·</w:t>
            </w:r>
          </w:p>
        </w:tc>
        <w:tc>
          <w:tcPr>
            <w:tcW w:w="100" w:type="dxa"/>
            <w:vAlign w:val="bottom"/>
            <w:tcBorders>
              <w:bottom w:val="single" w:sz="8" w:color="53C072"/>
              <w:right w:val="single" w:sz="8" w:color="FFFFFE"/>
            </w:tcBorders>
            <w:shd w:val="clear" w:color="auto" w:fill="DCDDDE"/>
          </w:tcPr>
          <w:p>
            <w:pPr>
              <w:spacing w:after="0"/>
              <w:rPr>
                <w:sz w:val="17"/>
                <w:szCs w:val="17"/>
                <w:color w:val="auto"/>
              </w:rPr>
            </w:pPr>
          </w:p>
        </w:tc>
        <w:tc>
          <w:tcPr>
            <w:tcW w:w="100" w:type="dxa"/>
            <w:vAlign w:val="bottom"/>
            <w:tcBorders>
              <w:bottom w:val="single" w:sz="8" w:color="53C072"/>
            </w:tcBorders>
            <w:shd w:val="clear" w:color="auto" w:fill="DCDDDE"/>
          </w:tcPr>
          <w:p>
            <w:pPr>
              <w:spacing w:after="0"/>
              <w:rPr>
                <w:sz w:val="17"/>
                <w:szCs w:val="17"/>
                <w:color w:val="auto"/>
              </w:rPr>
            </w:pPr>
          </w:p>
        </w:tc>
        <w:tc>
          <w:tcPr>
            <w:tcW w:w="880" w:type="dxa"/>
            <w:vAlign w:val="bottom"/>
            <w:tcBorders>
              <w:bottom w:val="single" w:sz="8" w:color="53C072"/>
            </w:tcBorders>
            <w:shd w:val="clear" w:color="auto" w:fill="DCDDDE"/>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5741035</wp:posOffset>
            </wp:positionH>
            <wp:positionV relativeFrom="paragraph">
              <wp:posOffset>-1317625</wp:posOffset>
            </wp:positionV>
            <wp:extent cx="100330" cy="1003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0330" cy="100330"/>
                    </a:xfrm>
                    <a:prstGeom prst="rect">
                      <a:avLst/>
                    </a:prstGeom>
                    <a:noFill/>
                  </pic:spPr>
                </pic:pic>
              </a:graphicData>
            </a:graphic>
          </wp:anchor>
        </w:drawing>
        <w:drawing>
          <wp:anchor simplePos="0" relativeHeight="251657728" behindDoc="1" locked="0" layoutInCell="0" allowOverlap="1">
            <wp:simplePos x="0" y="0"/>
            <wp:positionH relativeFrom="column">
              <wp:posOffset>5741035</wp:posOffset>
            </wp:positionH>
            <wp:positionV relativeFrom="paragraph">
              <wp:posOffset>-1186815</wp:posOffset>
            </wp:positionV>
            <wp:extent cx="100330" cy="1003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0330" cy="100330"/>
                    </a:xfrm>
                    <a:prstGeom prst="rect">
                      <a:avLst/>
                    </a:prstGeom>
                    <a:noFill/>
                  </pic:spPr>
                </pic:pic>
              </a:graphicData>
            </a:graphic>
          </wp:anchor>
        </w:drawing>
        <w:drawing>
          <wp:anchor simplePos="0" relativeHeight="251657728" behindDoc="1" locked="0" layoutInCell="0" allowOverlap="1">
            <wp:simplePos x="0" y="0"/>
            <wp:positionH relativeFrom="column">
              <wp:posOffset>5741035</wp:posOffset>
            </wp:positionH>
            <wp:positionV relativeFrom="paragraph">
              <wp:posOffset>-1055370</wp:posOffset>
            </wp:positionV>
            <wp:extent cx="100330" cy="1003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0330" cy="100330"/>
                    </a:xfrm>
                    <a:prstGeom prst="rect">
                      <a:avLst/>
                    </a:prstGeom>
                    <a:noFill/>
                  </pic:spPr>
                </pic:pic>
              </a:graphicData>
            </a:graphic>
          </wp:anchor>
        </w:drawing>
        <w:drawing>
          <wp:anchor simplePos="0" relativeHeight="251657728" behindDoc="1" locked="0" layoutInCell="0" allowOverlap="1">
            <wp:simplePos x="0" y="0"/>
            <wp:positionH relativeFrom="column">
              <wp:posOffset>5741035</wp:posOffset>
            </wp:positionH>
            <wp:positionV relativeFrom="paragraph">
              <wp:posOffset>-924560</wp:posOffset>
            </wp:positionV>
            <wp:extent cx="100330" cy="1003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0330" cy="100330"/>
                    </a:xfrm>
                    <a:prstGeom prst="rect">
                      <a:avLst/>
                    </a:prstGeom>
                    <a:noFill/>
                  </pic:spPr>
                </pic:pic>
              </a:graphicData>
            </a:graphic>
          </wp:anchor>
        </w:drawing>
        <w:drawing>
          <wp:anchor simplePos="0" relativeHeight="251657728" behindDoc="1" locked="0" layoutInCell="0" allowOverlap="1">
            <wp:simplePos x="0" y="0"/>
            <wp:positionH relativeFrom="column">
              <wp:posOffset>5741035</wp:posOffset>
            </wp:positionH>
            <wp:positionV relativeFrom="paragraph">
              <wp:posOffset>-793115</wp:posOffset>
            </wp:positionV>
            <wp:extent cx="100330" cy="1003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0330" cy="100330"/>
                    </a:xfrm>
                    <a:prstGeom prst="rect">
                      <a:avLst/>
                    </a:prstGeom>
                    <a:noFill/>
                  </pic:spPr>
                </pic:pic>
              </a:graphicData>
            </a:graphic>
          </wp:anchor>
        </w:drawing>
        <w:drawing>
          <wp:anchor simplePos="0" relativeHeight="251657728" behindDoc="1" locked="0" layoutInCell="0" allowOverlap="1">
            <wp:simplePos x="0" y="0"/>
            <wp:positionH relativeFrom="column">
              <wp:posOffset>5741035</wp:posOffset>
            </wp:positionH>
            <wp:positionV relativeFrom="paragraph">
              <wp:posOffset>-662305</wp:posOffset>
            </wp:positionV>
            <wp:extent cx="100330" cy="1003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0330" cy="100330"/>
                    </a:xfrm>
                    <a:prstGeom prst="rect">
                      <a:avLst/>
                    </a:prstGeom>
                    <a:noFill/>
                  </pic:spPr>
                </pic:pic>
              </a:graphicData>
            </a:graphic>
          </wp:anchor>
        </w:drawing>
        <w:drawing>
          <wp:anchor simplePos="0" relativeHeight="251657728" behindDoc="1" locked="0" layoutInCell="0" allowOverlap="1">
            <wp:simplePos x="0" y="0"/>
            <wp:positionH relativeFrom="column">
              <wp:posOffset>5741035</wp:posOffset>
            </wp:positionH>
            <wp:positionV relativeFrom="paragraph">
              <wp:posOffset>-531495</wp:posOffset>
            </wp:positionV>
            <wp:extent cx="100330" cy="1003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0330" cy="100330"/>
                    </a:xfrm>
                    <a:prstGeom prst="rect">
                      <a:avLst/>
                    </a:prstGeom>
                    <a:noFill/>
                  </pic:spPr>
                </pic:pic>
              </a:graphicData>
            </a:graphic>
          </wp:anchor>
        </w:drawing>
        <w:drawing>
          <wp:anchor simplePos="0" relativeHeight="251657728" behindDoc="1" locked="0" layoutInCell="0" allowOverlap="1">
            <wp:simplePos x="0" y="0"/>
            <wp:positionH relativeFrom="column">
              <wp:posOffset>5741035</wp:posOffset>
            </wp:positionH>
            <wp:positionV relativeFrom="paragraph">
              <wp:posOffset>-400050</wp:posOffset>
            </wp:positionV>
            <wp:extent cx="100330" cy="1003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0330" cy="100330"/>
                    </a:xfrm>
                    <a:prstGeom prst="rect">
                      <a:avLst/>
                    </a:prstGeom>
                    <a:noFill/>
                  </pic:spPr>
                </pic:pic>
              </a:graphicData>
            </a:graphic>
          </wp:anchor>
        </w:drawing>
        <w:drawing>
          <wp:anchor simplePos="0" relativeHeight="251657728" behindDoc="1" locked="0" layoutInCell="0" allowOverlap="1">
            <wp:simplePos x="0" y="0"/>
            <wp:positionH relativeFrom="column">
              <wp:posOffset>5741035</wp:posOffset>
            </wp:positionH>
            <wp:positionV relativeFrom="paragraph">
              <wp:posOffset>-269240</wp:posOffset>
            </wp:positionV>
            <wp:extent cx="100330" cy="1003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0330" cy="100330"/>
                    </a:xfrm>
                    <a:prstGeom prst="rect">
                      <a:avLst/>
                    </a:prstGeom>
                    <a:noFill/>
                  </pic:spPr>
                </pic:pic>
              </a:graphicData>
            </a:graphic>
          </wp:anchor>
        </w:drawing>
        <w:drawing>
          <wp:anchor simplePos="0" relativeHeight="251657728" behindDoc="1" locked="0" layoutInCell="0" allowOverlap="1">
            <wp:simplePos x="0" y="0"/>
            <wp:positionH relativeFrom="column">
              <wp:posOffset>5741035</wp:posOffset>
            </wp:positionH>
            <wp:positionV relativeFrom="paragraph">
              <wp:posOffset>-138430</wp:posOffset>
            </wp:positionV>
            <wp:extent cx="100330" cy="1003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0330" cy="100330"/>
                    </a:xfrm>
                    <a:prstGeom prst="rect">
                      <a:avLst/>
                    </a:prstGeom>
                    <a:noFill/>
                  </pic:spPr>
                </pic:pic>
              </a:graphicData>
            </a:graphic>
          </wp:anchor>
        </w:drawing>
      </w:r>
    </w:p>
    <w:p>
      <w:pPr>
        <w:spacing w:after="0" w:line="161" w:lineRule="exact"/>
        <w:rPr>
          <w:sz w:val="20"/>
          <w:szCs w:val="20"/>
          <w:color w:val="auto"/>
        </w:rPr>
      </w:pPr>
    </w:p>
    <w:p>
      <w:pPr>
        <w:ind w:left="1680"/>
        <w:spacing w:after="0"/>
        <w:tabs>
          <w:tab w:leader="none" w:pos="2940" w:val="left"/>
          <w:tab w:leader="none" w:pos="4740" w:val="left"/>
        </w:tabs>
        <w:rPr>
          <w:sz w:val="20"/>
          <w:szCs w:val="20"/>
          <w:color w:val="auto"/>
        </w:rPr>
      </w:pPr>
      <w:r>
        <w:rPr>
          <w:rFonts w:ascii="Arial" w:cs="Arial" w:eastAsia="Arial" w:hAnsi="Arial"/>
          <w:sz w:val="13"/>
          <w:szCs w:val="13"/>
          <w:b w:val="1"/>
          <w:bCs w:val="1"/>
          <w:color w:val="auto"/>
        </w:rPr>
        <w:t xml:space="preserve">A: </w:t>
      </w:r>
      <w:r>
        <w:rPr>
          <w:rFonts w:ascii="Arial" w:cs="Arial" w:eastAsia="Arial" w:hAnsi="Arial"/>
          <w:sz w:val="13"/>
          <w:szCs w:val="13"/>
          <w:color w:val="auto"/>
        </w:rPr>
        <w:t>Audit Committee</w:t>
      </w:r>
      <w:r>
        <w:rPr>
          <w:rFonts w:ascii="Arial" w:cs="Arial" w:eastAsia="Arial" w:hAnsi="Arial"/>
          <w:sz w:val="13"/>
          <w:szCs w:val="13"/>
          <w:b w:val="1"/>
          <w:bCs w:val="1"/>
          <w:color w:val="auto"/>
        </w:rPr>
        <w:tab/>
        <w:t xml:space="preserve">C: </w:t>
      </w:r>
      <w:r>
        <w:rPr>
          <w:rFonts w:ascii="Arial" w:cs="Arial" w:eastAsia="Arial" w:hAnsi="Arial"/>
          <w:sz w:val="13"/>
          <w:szCs w:val="13"/>
          <w:color w:val="auto"/>
        </w:rPr>
        <w:t>Compensation Committee</w:t>
      </w:r>
      <w:r>
        <w:rPr>
          <w:sz w:val="20"/>
          <w:szCs w:val="20"/>
          <w:color w:val="auto"/>
        </w:rPr>
        <w:tab/>
      </w:r>
      <w:r>
        <w:rPr>
          <w:rFonts w:ascii="Arial" w:cs="Arial" w:eastAsia="Arial" w:hAnsi="Arial"/>
          <w:sz w:val="12"/>
          <w:szCs w:val="12"/>
          <w:b w:val="1"/>
          <w:bCs w:val="1"/>
          <w:color w:val="auto"/>
        </w:rPr>
        <w:t xml:space="preserve">CG: </w:t>
      </w:r>
      <w:r>
        <w:rPr>
          <w:rFonts w:ascii="Arial" w:cs="Arial" w:eastAsia="Arial" w:hAnsi="Arial"/>
          <w:sz w:val="12"/>
          <w:szCs w:val="12"/>
          <w:color w:val="auto"/>
        </w:rPr>
        <w:t>Corporate Governance Committee</w:t>
      </w:r>
    </w:p>
    <w:p>
      <w:pPr>
        <w:spacing w:after="0" w:line="10" w:lineRule="exact"/>
        <w:rPr>
          <w:sz w:val="20"/>
          <w:szCs w:val="20"/>
          <w:color w:val="auto"/>
        </w:rPr>
      </w:pPr>
    </w:p>
    <w:p>
      <w:pPr>
        <w:ind w:left="1680"/>
        <w:spacing w:after="0"/>
        <w:tabs>
          <w:tab w:leader="none" w:pos="3200" w:val="left"/>
        </w:tabs>
        <w:rPr>
          <w:sz w:val="20"/>
          <w:szCs w:val="20"/>
          <w:color w:val="auto"/>
        </w:rPr>
      </w:pPr>
      <w:r>
        <w:rPr>
          <w:rFonts w:ascii="Arial" w:cs="Arial" w:eastAsia="Arial" w:hAnsi="Arial"/>
          <w:sz w:val="13"/>
          <w:szCs w:val="13"/>
          <w:b w:val="1"/>
          <w:bCs w:val="1"/>
          <w:color w:val="auto"/>
        </w:rPr>
        <w:t xml:space="preserve">E: </w:t>
      </w:r>
      <w:r>
        <w:rPr>
          <w:rFonts w:ascii="Arial" w:cs="Arial" w:eastAsia="Arial" w:hAnsi="Arial"/>
          <w:sz w:val="13"/>
          <w:szCs w:val="13"/>
          <w:color w:val="auto"/>
        </w:rPr>
        <w:t>Executive Committee</w:t>
      </w:r>
      <w:r>
        <w:rPr>
          <w:sz w:val="20"/>
          <w:szCs w:val="20"/>
          <w:color w:val="auto"/>
        </w:rPr>
        <w:tab/>
      </w:r>
      <w:r>
        <w:rPr>
          <w:rFonts w:ascii="Arial" w:cs="Arial" w:eastAsia="Arial" w:hAnsi="Arial"/>
          <w:sz w:val="12"/>
          <w:szCs w:val="12"/>
          <w:b w:val="1"/>
          <w:bCs w:val="1"/>
          <w:color w:val="auto"/>
        </w:rPr>
        <w:t xml:space="preserve">F: </w:t>
      </w:r>
      <w:r>
        <w:rPr>
          <w:rFonts w:ascii="Arial" w:cs="Arial" w:eastAsia="Arial" w:hAnsi="Arial"/>
          <w:sz w:val="12"/>
          <w:szCs w:val="12"/>
          <w:color w:val="auto"/>
        </w:rPr>
        <w:t>Finance Committee</w:t>
      </w:r>
    </w:p>
    <w:p>
      <w:pPr>
        <w:ind w:left="1680"/>
        <w:spacing w:after="0"/>
        <w:rPr>
          <w:sz w:val="20"/>
          <w:szCs w:val="20"/>
          <w:color w:val="auto"/>
        </w:rPr>
      </w:pPr>
      <w:r>
        <w:rPr>
          <w:rFonts w:ascii="Times New Roman" w:cs="Times New Roman" w:eastAsia="Times New Roman" w:hAnsi="Times New Roman"/>
          <w:sz w:val="13"/>
          <w:szCs w:val="13"/>
          <w:color w:val="53C072"/>
        </w:rPr>
        <w:t xml:space="preserve">· </w:t>
      </w:r>
      <w:r>
        <w:rPr>
          <w:rFonts w:ascii="Arial" w:cs="Arial" w:eastAsia="Arial" w:hAnsi="Arial"/>
          <w:sz w:val="13"/>
          <w:szCs w:val="13"/>
          <w:color w:val="000000"/>
        </w:rPr>
        <w:t>Member</w:t>
      </w:r>
    </w:p>
    <w:p>
      <w:pPr>
        <w:spacing w:after="0" w:line="181" w:lineRule="exact"/>
        <w:rPr>
          <w:sz w:val="20"/>
          <w:szCs w:val="20"/>
          <w:color w:val="auto"/>
        </w:rPr>
      </w:pPr>
    </w:p>
    <w:p>
      <w:pPr>
        <w:ind w:left="2180" w:right="140" w:hanging="495"/>
        <w:spacing w:after="0" w:line="250" w:lineRule="auto"/>
        <w:tabs>
          <w:tab w:leader="none" w:pos="2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Board expects to consider the following changes: (i) Mr. Adkins to serve on the Audit Committee in lieu of the Compensation Committee; (ii) Mr. Sanchez to serve on the Compensation Committee in lieu of the Audit Committee; (iii) Mr. Bozotti to serve as the Chair of the Audit Committee in lieu of Mr. Bradley; and (iv) Mr. Bozotti to serve on the Finance Committee in lieu of the Corporate Governance Committee.</w:t>
      </w:r>
    </w:p>
    <w:p>
      <w:pPr>
        <w:spacing w:after="0" w:line="127" w:lineRule="exact"/>
        <w:rPr>
          <w:sz w:val="20"/>
          <w:szCs w:val="20"/>
          <w:color w:val="auto"/>
        </w:rPr>
      </w:pPr>
    </w:p>
    <w:p>
      <w:pPr>
        <w:jc w:val="both"/>
        <w:ind w:left="10720"/>
        <w:spacing w:after="0"/>
        <w:tabs>
          <w:tab w:leader="none" w:pos="11060" w:val="left"/>
        </w:tabs>
        <w:rPr>
          <w:sz w:val="20"/>
          <w:szCs w:val="20"/>
          <w:color w:val="auto"/>
        </w:rPr>
      </w:pPr>
      <w:r>
        <w:rPr>
          <w:rFonts w:ascii="Arial" w:cs="Arial" w:eastAsia="Arial" w:hAnsi="Arial"/>
          <w:sz w:val="23"/>
          <w:szCs w:val="23"/>
          <w:b w:val="1"/>
          <w:bCs w:val="1"/>
          <w:color w:val="53C072"/>
        </w:rPr>
        <w:t>|</w:t>
      </w:r>
      <w:r>
        <w:rPr>
          <w:sz w:val="20"/>
          <w:szCs w:val="20"/>
          <w:color w:val="auto"/>
        </w:rPr>
        <w:tab/>
      </w: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7151370" cy="203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-130175</wp:posOffset>
            </wp:positionV>
            <wp:extent cx="1664970" cy="1231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ind w:right="640"/>
        <w:spacing w:after="0" w:line="331" w:lineRule="auto"/>
        <w:rPr>
          <w:sz w:val="20"/>
          <w:szCs w:val="20"/>
          <w:color w:val="auto"/>
        </w:rPr>
      </w:pPr>
      <w:r>
        <w:rPr>
          <w:rFonts w:ascii="Arial" w:cs="Arial" w:eastAsia="Arial" w:hAnsi="Arial"/>
          <w:sz w:val="12"/>
          <w:szCs w:val="12"/>
          <w:b w:val="1"/>
          <w:bCs w:val="1"/>
          <w:color w:val="53C072"/>
        </w:rPr>
        <w:t xml:space="preserve">2020 ANNUAL </w:t>
      </w:r>
      <w:r>
        <w:rPr>
          <w:rFonts w:ascii="Arial" w:cs="Arial" w:eastAsia="Arial" w:hAnsi="Arial"/>
          <w:sz w:val="12"/>
          <w:szCs w:val="12"/>
          <w:b w:val="1"/>
          <w:bCs w:val="1"/>
          <w:color w:val="000000"/>
        </w:rPr>
        <w:t>PROXY STATEMENT</w:t>
      </w:r>
    </w:p>
    <w:p>
      <w:pPr>
        <w:spacing w:after="0" w:line="87"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AUDIT COMMITTEE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FFFFFE"/>
        </w:rPr>
        <w:t>AUDIT COMMITTEE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Members: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Michael A. Bradley (Chair)</w:t>
      </w:r>
    </w:p>
    <w:p>
      <w:pPr>
        <w:spacing w:after="0" w:line="237" w:lineRule="auto"/>
        <w:rPr>
          <w:sz w:val="20"/>
          <w:szCs w:val="20"/>
          <w:color w:val="auto"/>
        </w:rPr>
      </w:pPr>
      <w:r>
        <w:rPr>
          <w:rFonts w:ascii="Arial" w:cs="Arial" w:eastAsia="Arial" w:hAnsi="Arial"/>
          <w:sz w:val="16"/>
          <w:szCs w:val="16"/>
          <w:color w:val="auto"/>
        </w:rPr>
        <w:t>Carlo Bozotti</w:t>
      </w:r>
    </w:p>
    <w:p>
      <w:pPr>
        <w:spacing w:after="0" w:line="238" w:lineRule="auto"/>
        <w:rPr>
          <w:sz w:val="20"/>
          <w:szCs w:val="20"/>
          <w:color w:val="auto"/>
        </w:rPr>
      </w:pPr>
      <w:r>
        <w:rPr>
          <w:rFonts w:ascii="Arial" w:cs="Arial" w:eastAsia="Arial" w:hAnsi="Arial"/>
          <w:sz w:val="16"/>
          <w:szCs w:val="16"/>
          <w:color w:val="auto"/>
        </w:rPr>
        <w:t>Brenda L. Freeman</w:t>
      </w:r>
    </w:p>
    <w:p>
      <w:pPr>
        <w:spacing w:after="0" w:line="237" w:lineRule="auto"/>
        <w:rPr>
          <w:sz w:val="20"/>
          <w:szCs w:val="20"/>
          <w:color w:val="auto"/>
        </w:rPr>
      </w:pPr>
      <w:r>
        <w:rPr>
          <w:rFonts w:ascii="Arial" w:cs="Arial" w:eastAsia="Arial" w:hAnsi="Arial"/>
          <w:sz w:val="16"/>
          <w:szCs w:val="16"/>
          <w:color w:val="auto"/>
        </w:rPr>
        <w:t>Oleg Khaykin</w:t>
      </w:r>
    </w:p>
    <w:p>
      <w:pPr>
        <w:spacing w:after="0" w:line="238" w:lineRule="auto"/>
        <w:rPr>
          <w:sz w:val="20"/>
          <w:szCs w:val="20"/>
          <w:color w:val="auto"/>
        </w:rPr>
      </w:pPr>
      <w:r>
        <w:rPr>
          <w:rFonts w:ascii="Arial" w:cs="Arial" w:eastAsia="Arial" w:hAnsi="Arial"/>
          <w:sz w:val="16"/>
          <w:szCs w:val="16"/>
          <w:color w:val="auto"/>
        </w:rPr>
        <w:t>Adalio T. Sanchez</w:t>
      </w:r>
    </w:p>
    <w:p>
      <w:pPr>
        <w:spacing w:after="0"/>
        <w:rPr>
          <w:sz w:val="20"/>
          <w:szCs w:val="20"/>
          <w:color w:val="auto"/>
        </w:rPr>
      </w:pPr>
      <w:r>
        <w:rPr>
          <w:rFonts w:ascii="Arial" w:cs="Arial" w:eastAsia="Arial" w:hAnsi="Arial"/>
          <w:sz w:val="16"/>
          <w:szCs w:val="16"/>
          <w:color w:val="auto"/>
        </w:rPr>
        <w:t>William H. Schumann, III</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Meetings in fiscal 2020: 8</w:t>
      </w:r>
    </w:p>
    <w:p>
      <w:pPr>
        <w:spacing w:after="0" w:line="204" w:lineRule="exact"/>
        <w:rPr>
          <w:sz w:val="20"/>
          <w:szCs w:val="20"/>
          <w:color w:val="auto"/>
        </w:rPr>
      </w:pPr>
    </w:p>
    <w:p>
      <w:pPr>
        <w:ind w:right="540"/>
        <w:spacing w:after="0" w:line="268" w:lineRule="auto"/>
        <w:rPr>
          <w:sz w:val="20"/>
          <w:szCs w:val="20"/>
          <w:color w:val="auto"/>
        </w:rPr>
      </w:pPr>
      <w:r>
        <w:rPr>
          <w:rFonts w:ascii="Arial" w:cs="Arial" w:eastAsia="Arial" w:hAnsi="Arial"/>
          <w:sz w:val="15"/>
          <w:szCs w:val="15"/>
          <w:b w:val="1"/>
          <w:bCs w:val="1"/>
          <w:color w:val="auto"/>
        </w:rPr>
        <w:t>Audit Committee Financial Experts:</w:t>
      </w:r>
    </w:p>
    <w:p>
      <w:pPr>
        <w:spacing w:after="0"/>
        <w:rPr>
          <w:sz w:val="20"/>
          <w:szCs w:val="20"/>
          <w:color w:val="auto"/>
        </w:rPr>
      </w:pPr>
      <w:r>
        <w:rPr>
          <w:rFonts w:ascii="Arial" w:cs="Arial" w:eastAsia="Arial" w:hAnsi="Arial"/>
          <w:sz w:val="16"/>
          <w:szCs w:val="16"/>
          <w:color w:val="auto"/>
        </w:rPr>
        <w:t>Michael A. Bradley (Chair)</w:t>
      </w:r>
    </w:p>
    <w:p>
      <w:pPr>
        <w:spacing w:after="0" w:line="237" w:lineRule="auto"/>
        <w:rPr>
          <w:sz w:val="20"/>
          <w:szCs w:val="20"/>
          <w:color w:val="auto"/>
        </w:rPr>
      </w:pPr>
      <w:r>
        <w:rPr>
          <w:rFonts w:ascii="Arial" w:cs="Arial" w:eastAsia="Arial" w:hAnsi="Arial"/>
          <w:sz w:val="16"/>
          <w:szCs w:val="16"/>
          <w:color w:val="auto"/>
        </w:rPr>
        <w:t>Carlo Bozotti</w:t>
      </w:r>
    </w:p>
    <w:p>
      <w:pPr>
        <w:spacing w:after="0" w:line="238" w:lineRule="auto"/>
        <w:rPr>
          <w:sz w:val="20"/>
          <w:szCs w:val="20"/>
          <w:color w:val="auto"/>
        </w:rPr>
      </w:pPr>
      <w:r>
        <w:rPr>
          <w:rFonts w:ascii="Arial" w:cs="Arial" w:eastAsia="Arial" w:hAnsi="Arial"/>
          <w:sz w:val="16"/>
          <w:szCs w:val="16"/>
          <w:color w:val="auto"/>
        </w:rPr>
        <w:t>Oleg Khaykin</w:t>
      </w:r>
    </w:p>
    <w:p>
      <w:pPr>
        <w:spacing w:after="0"/>
        <w:rPr>
          <w:sz w:val="20"/>
          <w:szCs w:val="20"/>
          <w:color w:val="auto"/>
        </w:rPr>
      </w:pPr>
      <w:r>
        <w:rPr>
          <w:rFonts w:ascii="Arial" w:cs="Arial" w:eastAsia="Arial" w:hAnsi="Arial"/>
          <w:sz w:val="16"/>
          <w:szCs w:val="16"/>
          <w:color w:val="auto"/>
        </w:rPr>
        <w:t>William H. Schumann, III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The Board of Directors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-1525270</wp:posOffset>
            </wp:positionH>
            <wp:positionV relativeFrom="paragraph">
              <wp:posOffset>436880</wp:posOffset>
            </wp:positionV>
            <wp:extent cx="7146290" cy="1155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6290" cy="115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-1525270</wp:posOffset>
            </wp:positionH>
            <wp:positionV relativeFrom="paragraph">
              <wp:posOffset>-104140</wp:posOffset>
            </wp:positionV>
            <wp:extent cx="7146290" cy="26904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6290" cy="269049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is charged with:</w:t>
      </w:r>
    </w:p>
    <w:p>
      <w:pPr>
        <w:spacing w:after="0" w:line="180" w:lineRule="exact"/>
        <w:rPr>
          <w:sz w:val="20"/>
          <w:szCs w:val="20"/>
          <w:color w:val="auto"/>
        </w:rPr>
      </w:pPr>
    </w:p>
    <w:p>
      <w:pPr>
        <w:ind w:left="300" w:hanging="299"/>
        <w:spacing w:after="0"/>
        <w:tabs>
          <w:tab w:leader="none" w:pos="300" w:val="left"/>
        </w:tabs>
        <w:numPr>
          <w:ilvl w:val="0"/>
          <w:numId w:val="28"/>
        </w:numPr>
        <w:rPr>
          <w:rFonts w:ascii="Arial" w:cs="Arial" w:eastAsia="Arial" w:hAnsi="Arial"/>
          <w:sz w:val="16"/>
          <w:szCs w:val="16"/>
          <w:color w:val="53C072"/>
        </w:rPr>
      </w:pPr>
      <w:r>
        <w:rPr>
          <w:rFonts w:ascii="Arial" w:cs="Arial" w:eastAsia="Arial" w:hAnsi="Arial"/>
          <w:sz w:val="16"/>
          <w:szCs w:val="16"/>
          <w:color w:val="auto"/>
        </w:rPr>
        <w:t>Assisting and representing the Board of Directors in fulfilling its oversight responsibilities with respect to:</w:t>
      </w:r>
    </w:p>
    <w:p>
      <w:pPr>
        <w:spacing w:after="0" w:line="180" w:lineRule="exact"/>
        <w:rPr>
          <w:rFonts w:ascii="Arial" w:cs="Arial" w:eastAsia="Arial" w:hAnsi="Arial"/>
          <w:sz w:val="16"/>
          <w:szCs w:val="16"/>
          <w:color w:val="53C072"/>
        </w:rPr>
      </w:pPr>
    </w:p>
    <w:p>
      <w:pPr>
        <w:ind w:left="580" w:hanging="288"/>
        <w:spacing w:after="0"/>
        <w:tabs>
          <w:tab w:leader="none" w:pos="580" w:val="left"/>
        </w:tabs>
        <w:numPr>
          <w:ilvl w:val="1"/>
          <w:numId w:val="28"/>
        </w:numPr>
        <w:rPr>
          <w:rFonts w:ascii="Arial" w:cs="Arial" w:eastAsia="Arial" w:hAnsi="Arial"/>
          <w:sz w:val="16"/>
          <w:szCs w:val="16"/>
          <w:color w:val="53C072"/>
        </w:rPr>
      </w:pPr>
      <w:r>
        <w:rPr>
          <w:rFonts w:ascii="Arial" w:cs="Arial" w:eastAsia="Arial" w:hAnsi="Arial"/>
          <w:sz w:val="16"/>
          <w:szCs w:val="16"/>
          <w:color w:val="auto"/>
        </w:rPr>
        <w:t>The integrity of the financial statements of the Company;</w:t>
      </w:r>
    </w:p>
    <w:p>
      <w:pPr>
        <w:spacing w:after="0" w:line="180" w:lineRule="exact"/>
        <w:rPr>
          <w:rFonts w:ascii="Arial" w:cs="Arial" w:eastAsia="Arial" w:hAnsi="Arial"/>
          <w:sz w:val="16"/>
          <w:szCs w:val="16"/>
          <w:color w:val="53C072"/>
        </w:rPr>
      </w:pPr>
    </w:p>
    <w:p>
      <w:pPr>
        <w:ind w:left="580" w:hanging="288"/>
        <w:spacing w:after="0"/>
        <w:tabs>
          <w:tab w:leader="none" w:pos="580" w:val="left"/>
        </w:tabs>
        <w:numPr>
          <w:ilvl w:val="1"/>
          <w:numId w:val="28"/>
        </w:numPr>
        <w:rPr>
          <w:rFonts w:ascii="Arial" w:cs="Arial" w:eastAsia="Arial" w:hAnsi="Arial"/>
          <w:sz w:val="16"/>
          <w:szCs w:val="16"/>
          <w:color w:val="53C072"/>
        </w:rPr>
      </w:pPr>
      <w:r>
        <w:rPr>
          <w:rFonts w:ascii="Arial" w:cs="Arial" w:eastAsia="Arial" w:hAnsi="Arial"/>
          <w:sz w:val="16"/>
          <w:szCs w:val="16"/>
          <w:color w:val="auto"/>
        </w:rPr>
        <w:t>The independence, qualifications and performance of the Company's independent external auditors;</w:t>
      </w:r>
    </w:p>
    <w:p>
      <w:pPr>
        <w:spacing w:after="0" w:line="180" w:lineRule="exact"/>
        <w:rPr>
          <w:rFonts w:ascii="Arial" w:cs="Arial" w:eastAsia="Arial" w:hAnsi="Arial"/>
          <w:sz w:val="16"/>
          <w:szCs w:val="16"/>
          <w:color w:val="53C072"/>
        </w:rPr>
      </w:pPr>
    </w:p>
    <w:p>
      <w:pPr>
        <w:ind w:left="580" w:hanging="288"/>
        <w:spacing w:after="0"/>
        <w:tabs>
          <w:tab w:leader="none" w:pos="580" w:val="left"/>
        </w:tabs>
        <w:numPr>
          <w:ilvl w:val="1"/>
          <w:numId w:val="28"/>
        </w:numPr>
        <w:rPr>
          <w:rFonts w:ascii="Arial" w:cs="Arial" w:eastAsia="Arial" w:hAnsi="Arial"/>
          <w:sz w:val="16"/>
          <w:szCs w:val="16"/>
          <w:color w:val="53C072"/>
        </w:rPr>
      </w:pPr>
      <w:r>
        <w:rPr>
          <w:rFonts w:ascii="Arial" w:cs="Arial" w:eastAsia="Arial" w:hAnsi="Arial"/>
          <w:sz w:val="16"/>
          <w:szCs w:val="16"/>
          <w:color w:val="auto"/>
        </w:rPr>
        <w:t>The performance of the Company's internal audit function;</w:t>
      </w:r>
    </w:p>
    <w:p>
      <w:pPr>
        <w:spacing w:after="0" w:line="180" w:lineRule="exact"/>
        <w:rPr>
          <w:rFonts w:ascii="Arial" w:cs="Arial" w:eastAsia="Arial" w:hAnsi="Arial"/>
          <w:sz w:val="16"/>
          <w:szCs w:val="16"/>
          <w:color w:val="53C072"/>
        </w:rPr>
      </w:pPr>
    </w:p>
    <w:p>
      <w:pPr>
        <w:ind w:left="580" w:hanging="288"/>
        <w:spacing w:after="0"/>
        <w:tabs>
          <w:tab w:leader="none" w:pos="580" w:val="left"/>
        </w:tabs>
        <w:numPr>
          <w:ilvl w:val="1"/>
          <w:numId w:val="28"/>
        </w:numPr>
        <w:rPr>
          <w:rFonts w:ascii="Arial" w:cs="Arial" w:eastAsia="Arial" w:hAnsi="Arial"/>
          <w:sz w:val="16"/>
          <w:szCs w:val="16"/>
          <w:color w:val="53C072"/>
        </w:rPr>
      </w:pPr>
      <w:r>
        <w:rPr>
          <w:rFonts w:ascii="Arial" w:cs="Arial" w:eastAsia="Arial" w:hAnsi="Arial"/>
          <w:sz w:val="16"/>
          <w:szCs w:val="16"/>
          <w:color w:val="auto"/>
        </w:rPr>
        <w:t>Compliance with legal and regulatory requirements; and</w:t>
      </w:r>
    </w:p>
    <w:p>
      <w:pPr>
        <w:spacing w:after="0" w:line="180" w:lineRule="exact"/>
        <w:rPr>
          <w:rFonts w:ascii="Arial" w:cs="Arial" w:eastAsia="Arial" w:hAnsi="Arial"/>
          <w:sz w:val="16"/>
          <w:szCs w:val="16"/>
          <w:color w:val="53C072"/>
        </w:rPr>
      </w:pPr>
    </w:p>
    <w:p>
      <w:pPr>
        <w:ind w:left="580" w:hanging="288"/>
        <w:spacing w:after="0"/>
        <w:tabs>
          <w:tab w:leader="none" w:pos="580" w:val="left"/>
        </w:tabs>
        <w:numPr>
          <w:ilvl w:val="1"/>
          <w:numId w:val="28"/>
        </w:numPr>
        <w:rPr>
          <w:rFonts w:ascii="Arial" w:cs="Arial" w:eastAsia="Arial" w:hAnsi="Arial"/>
          <w:sz w:val="16"/>
          <w:szCs w:val="16"/>
          <w:color w:val="53C072"/>
        </w:rPr>
      </w:pPr>
      <w:r>
        <w:rPr>
          <w:rFonts w:ascii="Arial" w:cs="Arial" w:eastAsia="Arial" w:hAnsi="Arial"/>
          <w:sz w:val="16"/>
          <w:szCs w:val="16"/>
          <w:color w:val="auto"/>
        </w:rPr>
        <w:t>Internal ethics and compliance program and enterprise risk management activities.</w:t>
      </w:r>
    </w:p>
    <w:p>
      <w:pPr>
        <w:spacing w:after="0" w:line="180" w:lineRule="exact"/>
        <w:rPr>
          <w:rFonts w:ascii="Arial" w:cs="Arial" w:eastAsia="Arial" w:hAnsi="Arial"/>
          <w:sz w:val="16"/>
          <w:szCs w:val="16"/>
          <w:color w:val="53C072"/>
        </w:rPr>
      </w:pPr>
    </w:p>
    <w:p>
      <w:pPr>
        <w:ind w:left="300" w:hanging="299"/>
        <w:spacing w:after="0"/>
        <w:tabs>
          <w:tab w:leader="none" w:pos="300" w:val="left"/>
        </w:tabs>
        <w:numPr>
          <w:ilvl w:val="0"/>
          <w:numId w:val="28"/>
        </w:numPr>
        <w:rPr>
          <w:rFonts w:ascii="Arial" w:cs="Arial" w:eastAsia="Arial" w:hAnsi="Arial"/>
          <w:sz w:val="16"/>
          <w:szCs w:val="16"/>
          <w:color w:val="53C072"/>
        </w:rPr>
      </w:pPr>
      <w:r>
        <w:rPr>
          <w:rFonts w:ascii="Arial" w:cs="Arial" w:eastAsia="Arial" w:hAnsi="Arial"/>
          <w:sz w:val="16"/>
          <w:szCs w:val="16"/>
          <w:color w:val="auto"/>
        </w:rPr>
        <w:t>Appointing, compensating, retaining and oversighting of the independent registered public accounting firm.</w:t>
      </w:r>
    </w:p>
    <w:p>
      <w:pPr>
        <w:spacing w:after="0" w:line="180" w:lineRule="exact"/>
        <w:rPr>
          <w:rFonts w:ascii="Arial" w:cs="Arial" w:eastAsia="Arial" w:hAnsi="Arial"/>
          <w:sz w:val="16"/>
          <w:szCs w:val="16"/>
          <w:color w:val="53C072"/>
        </w:rPr>
      </w:pPr>
    </w:p>
    <w:p>
      <w:pPr>
        <w:ind w:left="300" w:right="420" w:hanging="299"/>
        <w:spacing w:after="0" w:line="275" w:lineRule="auto"/>
        <w:tabs>
          <w:tab w:leader="none" w:pos="300" w:val="left"/>
        </w:tabs>
        <w:numPr>
          <w:ilvl w:val="0"/>
          <w:numId w:val="28"/>
        </w:numPr>
        <w:rPr>
          <w:rFonts w:ascii="Arial" w:cs="Arial" w:eastAsia="Arial" w:hAnsi="Arial"/>
          <w:sz w:val="16"/>
          <w:szCs w:val="16"/>
          <w:color w:val="53C072"/>
        </w:rPr>
      </w:pPr>
      <w:r>
        <w:rPr>
          <w:rFonts w:ascii="Arial" w:cs="Arial" w:eastAsia="Arial" w:hAnsi="Arial"/>
          <w:sz w:val="16"/>
          <w:szCs w:val="16"/>
          <w:color w:val="auto"/>
        </w:rPr>
        <w:t>Reviewing and approving transactions with any related person in which the Company is a participant and involves an amount that equals or exceeds $120,000 per year.</w:t>
      </w:r>
    </w:p>
    <w:p>
      <w:pPr>
        <w:spacing w:after="0" w:line="137" w:lineRule="exact"/>
        <w:rPr>
          <w:sz w:val="20"/>
          <w:szCs w:val="20"/>
          <w:color w:val="auto"/>
        </w:rPr>
      </w:pPr>
    </w:p>
    <w:p>
      <w:pPr>
        <w:ind w:right="480"/>
        <w:spacing w:after="0" w:line="275" w:lineRule="auto"/>
        <w:rPr>
          <w:sz w:val="20"/>
          <w:szCs w:val="20"/>
          <w:color w:val="auto"/>
        </w:rPr>
      </w:pPr>
      <w:r>
        <w:rPr>
          <w:rFonts w:ascii="Arial" w:cs="Arial" w:eastAsia="Arial" w:hAnsi="Arial"/>
          <w:sz w:val="16"/>
          <w:szCs w:val="16"/>
          <w:color w:val="auto"/>
        </w:rPr>
        <w:t>Please see the Audit Committee Report set forth elsewhere in this Proxy Statement for more information about the Audit Committee and its operations.</w:t>
      </w:r>
    </w:p>
    <w:p>
      <w:pPr>
        <w:spacing w:after="0" w:line="173" w:lineRule="exact"/>
        <w:rPr>
          <w:sz w:val="20"/>
          <w:szCs w:val="20"/>
          <w:color w:val="auto"/>
        </w:rPr>
      </w:pPr>
    </w:p>
    <w:p>
      <w:pPr>
        <w:sectPr>
          <w:pgSz w:w="11900" w:h="16838" w:orient="portrait"/>
          <w:cols w:equalWidth="0" w:num="2">
            <w:col w:w="1900" w:space="500"/>
            <w:col w:w="8860"/>
          </w:cols>
          <w:pgMar w:left="320" w:top="122" w:right="319" w:bottom="1440" w:gutter="0" w:footer="0" w:header="0"/>
        </w:sectPr>
      </w:pPr>
    </w:p>
    <w:p>
      <w:pPr>
        <w:ind w:right="20"/>
        <w:spacing w:after="0" w:line="246" w:lineRule="auto"/>
        <w:rPr>
          <w:sz w:val="20"/>
          <w:szCs w:val="20"/>
          <w:color w:val="auto"/>
        </w:rPr>
      </w:pPr>
      <w:r>
        <w:rPr>
          <w:rFonts w:ascii="Arial" w:cs="Arial" w:eastAsia="Arial" w:hAnsi="Arial"/>
          <w:sz w:val="16"/>
          <w:szCs w:val="16"/>
          <w:color w:val="auto"/>
        </w:rPr>
        <w:t>All the members of the Audit Committee are independent under the independence requirements of the Nasdaq listing standards and the independence standards adopted by the Board, and also meet the additional independence requirements for audit committee members established by the SEC. The Board of Directors has further determined that the following four members of the Audit Committee qualify as "audit committee financial experts" as defined in rules adopted by the SEC and meet the audit committee financial sophistication requirement of Nasdaq: Mr. Bradley, the Chair of the Audit Committee, and Messrs. Bozotti, Khaykin and Schumann.</w:t>
      </w:r>
    </w:p>
    <w:p>
      <w:pPr>
        <w:spacing w:after="0" w:line="162" w:lineRule="exact"/>
        <w:rPr>
          <w:sz w:val="20"/>
          <w:szCs w:val="20"/>
          <w:color w:val="auto"/>
        </w:rPr>
      </w:pPr>
    </w:p>
    <w:p>
      <w:pPr>
        <w:ind w:right="360"/>
        <w:spacing w:after="0" w:line="256" w:lineRule="auto"/>
        <w:rPr>
          <w:sz w:val="20"/>
          <w:szCs w:val="20"/>
          <w:color w:val="auto"/>
        </w:rPr>
      </w:pPr>
      <w:r>
        <w:rPr>
          <w:rFonts w:ascii="Arial" w:cs="Arial" w:eastAsia="Arial" w:hAnsi="Arial"/>
          <w:sz w:val="16"/>
          <w:szCs w:val="16"/>
          <w:color w:val="auto"/>
        </w:rPr>
        <w:t xml:space="preserve">The Audit Committee operates under a written charter that outlines the Audit Committee's purpose, member qualifications, authority and responsibilities. The Audit Committee reviews its charter and conducts an evaluation of its own effectiveness annually. The charter is available on the Company's website at </w:t>
      </w:r>
      <w:r>
        <w:rPr>
          <w:rFonts w:ascii="Arial" w:cs="Arial" w:eastAsia="Arial" w:hAnsi="Arial"/>
          <w:sz w:val="16"/>
          <w:szCs w:val="16"/>
          <w:u w:val="single" w:color="auto"/>
          <w:color w:val="auto"/>
        </w:rPr>
        <w:t>www.ir.avnet.com/documents-charters</w:t>
      </w:r>
      <w:r>
        <w:rPr>
          <w:rFonts w:ascii="Arial" w:cs="Arial" w:eastAsia="Arial" w:hAnsi="Arial"/>
          <w:sz w:val="16"/>
          <w:szCs w:val="16"/>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COMPENSATION COMMITTEE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FFFFFE"/>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146290" cy="1155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6290" cy="115570"/>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00" w:type="dxa"/>
            <w:vAlign w:val="bottom"/>
            <w:gridSpan w:val="2"/>
            <w:vMerge w:val="restart"/>
            <w:shd w:val="clear" w:color="auto" w:fill="E8F5EA"/>
          </w:tcPr>
          <w:p>
            <w:pPr>
              <w:spacing w:after="0"/>
              <w:rPr>
                <w:sz w:val="20"/>
                <w:szCs w:val="20"/>
                <w:color w:val="auto"/>
              </w:rPr>
            </w:pPr>
            <w:r>
              <w:rPr>
                <w:rFonts w:ascii="Arial" w:cs="Arial" w:eastAsia="Arial" w:hAnsi="Arial"/>
                <w:sz w:val="16"/>
                <w:szCs w:val="16"/>
                <w:b w:val="1"/>
                <w:bCs w:val="1"/>
                <w:color w:val="auto"/>
              </w:rPr>
              <w:t>Members:</w:t>
            </w:r>
          </w:p>
        </w:tc>
        <w:tc>
          <w:tcPr>
            <w:tcW w:w="300" w:type="dxa"/>
            <w:vAlign w:val="bottom"/>
            <w:tcBorders>
              <w:right w:val="single" w:sz="8" w:color="D0CECE"/>
            </w:tcBorders>
            <w:shd w:val="clear" w:color="auto" w:fill="E8F5EA"/>
          </w:tcPr>
          <w:p>
            <w:pPr>
              <w:spacing w:after="0"/>
              <w:rPr>
                <w:sz w:val="21"/>
                <w:szCs w:val="21"/>
                <w:color w:val="auto"/>
              </w:rPr>
            </w:pPr>
          </w:p>
        </w:tc>
        <w:tc>
          <w:tcPr>
            <w:tcW w:w="9660" w:type="dxa"/>
            <w:vAlign w:val="bottom"/>
          </w:tcPr>
          <w:p>
            <w:pPr>
              <w:ind w:left="140"/>
              <w:spacing w:after="0"/>
              <w:rPr>
                <w:sz w:val="20"/>
                <w:szCs w:val="20"/>
                <w:color w:val="auto"/>
              </w:rPr>
            </w:pPr>
            <w:r>
              <w:rPr>
                <w:rFonts w:ascii="Arial" w:cs="Arial" w:eastAsia="Arial" w:hAnsi="Arial"/>
                <w:sz w:val="16"/>
                <w:szCs w:val="16"/>
                <w:b w:val="1"/>
                <w:bCs w:val="1"/>
                <w:color w:val="auto"/>
              </w:rPr>
              <w:t>Responsibilities</w:t>
            </w:r>
          </w:p>
        </w:tc>
        <w:tc>
          <w:tcPr>
            <w:tcW w:w="0" w:type="dxa"/>
            <w:vAlign w:val="bottom"/>
          </w:tcPr>
          <w:p>
            <w:pPr>
              <w:spacing w:after="0"/>
              <w:rPr>
                <w:sz w:val="1"/>
                <w:szCs w:val="1"/>
                <w:color w:val="auto"/>
              </w:rPr>
            </w:pPr>
          </w:p>
        </w:tc>
      </w:tr>
      <w:tr>
        <w:trPr>
          <w:trHeight w:val="84"/>
        </w:trPr>
        <w:tc>
          <w:tcPr>
            <w:tcW w:w="1300" w:type="dxa"/>
            <w:vAlign w:val="bottom"/>
            <w:gridSpan w:val="2"/>
            <w:vMerge w:val="continue"/>
            <w:shd w:val="clear" w:color="auto" w:fill="E8F5EA"/>
          </w:tcPr>
          <w:p>
            <w:pPr>
              <w:spacing w:after="0"/>
              <w:rPr>
                <w:sz w:val="7"/>
                <w:szCs w:val="7"/>
                <w:color w:val="auto"/>
              </w:rPr>
            </w:pPr>
          </w:p>
        </w:tc>
        <w:tc>
          <w:tcPr>
            <w:tcW w:w="300" w:type="dxa"/>
            <w:vAlign w:val="bottom"/>
            <w:tcBorders>
              <w:right w:val="single" w:sz="8" w:color="D0CECE"/>
            </w:tcBorders>
            <w:shd w:val="clear" w:color="auto" w:fill="E8F5EA"/>
          </w:tcPr>
          <w:p>
            <w:pPr>
              <w:spacing w:after="0"/>
              <w:rPr>
                <w:sz w:val="7"/>
                <w:szCs w:val="7"/>
                <w:color w:val="auto"/>
              </w:rPr>
            </w:pPr>
          </w:p>
        </w:tc>
        <w:tc>
          <w:tcPr>
            <w:tcW w:w="9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1300" w:type="dxa"/>
            <w:vAlign w:val="bottom"/>
            <w:gridSpan w:val="2"/>
            <w:shd w:val="clear" w:color="auto" w:fill="E8F5EA"/>
          </w:tcPr>
          <w:p>
            <w:pPr>
              <w:spacing w:after="0" w:line="182" w:lineRule="exact"/>
              <w:rPr>
                <w:sz w:val="20"/>
                <w:szCs w:val="20"/>
                <w:color w:val="auto"/>
              </w:rPr>
            </w:pPr>
            <w:r>
              <w:rPr>
                <w:rFonts w:ascii="Arial" w:cs="Arial" w:eastAsia="Arial" w:hAnsi="Arial"/>
                <w:sz w:val="16"/>
                <w:szCs w:val="16"/>
                <w:color w:val="auto"/>
              </w:rPr>
              <w:t>James A.</w:t>
            </w:r>
          </w:p>
        </w:tc>
        <w:tc>
          <w:tcPr>
            <w:tcW w:w="300" w:type="dxa"/>
            <w:vAlign w:val="bottom"/>
            <w:tcBorders>
              <w:right w:val="single" w:sz="8" w:color="D0CECE"/>
            </w:tcBorders>
            <w:shd w:val="clear" w:color="auto" w:fill="E8F5EA"/>
          </w:tcPr>
          <w:p>
            <w:pPr>
              <w:spacing w:after="0"/>
              <w:rPr>
                <w:sz w:val="15"/>
                <w:szCs w:val="15"/>
                <w:color w:val="auto"/>
              </w:rPr>
            </w:pPr>
          </w:p>
        </w:tc>
        <w:tc>
          <w:tcPr>
            <w:tcW w:w="9660" w:type="dxa"/>
            <w:vAlign w:val="bottom"/>
          </w:tcPr>
          <w:p>
            <w:pPr>
              <w:ind w:left="140"/>
              <w:spacing w:after="0" w:line="182" w:lineRule="exact"/>
              <w:rPr>
                <w:sz w:val="20"/>
                <w:szCs w:val="20"/>
                <w:color w:val="auto"/>
              </w:rPr>
            </w:pPr>
            <w:r>
              <w:rPr>
                <w:rFonts w:ascii="Arial" w:cs="Arial" w:eastAsia="Arial" w:hAnsi="Arial"/>
                <w:sz w:val="16"/>
                <w:szCs w:val="16"/>
                <w:color w:val="auto"/>
              </w:rPr>
              <w:t>The Compensation Committee is charged with:</w:t>
            </w:r>
          </w:p>
        </w:tc>
        <w:tc>
          <w:tcPr>
            <w:tcW w:w="0" w:type="dxa"/>
            <w:vAlign w:val="bottom"/>
          </w:tcPr>
          <w:p>
            <w:pPr>
              <w:spacing w:after="0"/>
              <w:rPr>
                <w:sz w:val="1"/>
                <w:szCs w:val="1"/>
                <w:color w:val="auto"/>
              </w:rPr>
            </w:pPr>
          </w:p>
        </w:tc>
      </w:tr>
      <w:tr>
        <w:trPr>
          <w:trHeight w:val="182"/>
        </w:trPr>
        <w:tc>
          <w:tcPr>
            <w:tcW w:w="1300" w:type="dxa"/>
            <w:vAlign w:val="bottom"/>
            <w:gridSpan w:val="2"/>
            <w:shd w:val="clear" w:color="auto" w:fill="E8F5EA"/>
          </w:tcPr>
          <w:p>
            <w:pPr>
              <w:spacing w:after="0" w:line="182" w:lineRule="exact"/>
              <w:rPr>
                <w:sz w:val="20"/>
                <w:szCs w:val="20"/>
                <w:color w:val="auto"/>
              </w:rPr>
            </w:pPr>
            <w:r>
              <w:rPr>
                <w:rFonts w:ascii="Arial" w:cs="Arial" w:eastAsia="Arial" w:hAnsi="Arial"/>
                <w:sz w:val="16"/>
                <w:szCs w:val="16"/>
                <w:color w:val="auto"/>
              </w:rPr>
              <w:t>Lawrence (Chair)</w:t>
            </w:r>
          </w:p>
        </w:tc>
        <w:tc>
          <w:tcPr>
            <w:tcW w:w="300" w:type="dxa"/>
            <w:vAlign w:val="bottom"/>
            <w:tcBorders>
              <w:right w:val="single" w:sz="8" w:color="D0CECE"/>
            </w:tcBorders>
            <w:shd w:val="clear" w:color="auto" w:fill="E8F5EA"/>
          </w:tcPr>
          <w:p>
            <w:pPr>
              <w:spacing w:after="0"/>
              <w:rPr>
                <w:sz w:val="15"/>
                <w:szCs w:val="15"/>
                <w:color w:val="auto"/>
              </w:rPr>
            </w:pPr>
          </w:p>
        </w:tc>
        <w:tc>
          <w:tcPr>
            <w:tcW w:w="9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00" w:type="dxa"/>
            <w:vAlign w:val="bottom"/>
            <w:gridSpan w:val="2"/>
            <w:shd w:val="clear" w:color="auto" w:fill="E8F5EA"/>
          </w:tcPr>
          <w:p>
            <w:pPr>
              <w:spacing w:after="0" w:line="182" w:lineRule="exact"/>
              <w:rPr>
                <w:sz w:val="20"/>
                <w:szCs w:val="20"/>
                <w:color w:val="auto"/>
              </w:rPr>
            </w:pPr>
            <w:r>
              <w:rPr>
                <w:rFonts w:ascii="Arial" w:cs="Arial" w:eastAsia="Arial" w:hAnsi="Arial"/>
                <w:sz w:val="16"/>
                <w:szCs w:val="16"/>
                <w:color w:val="auto"/>
                <w:w w:val="99"/>
              </w:rPr>
              <w:t>Rodney C. Adkins</w:t>
            </w:r>
          </w:p>
        </w:tc>
        <w:tc>
          <w:tcPr>
            <w:tcW w:w="300" w:type="dxa"/>
            <w:vAlign w:val="bottom"/>
            <w:tcBorders>
              <w:right w:val="single" w:sz="8" w:color="D0CECE"/>
            </w:tcBorders>
            <w:shd w:val="clear" w:color="auto" w:fill="E8F5EA"/>
          </w:tcPr>
          <w:p>
            <w:pPr>
              <w:spacing w:after="0"/>
              <w:rPr>
                <w:sz w:val="15"/>
                <w:szCs w:val="15"/>
                <w:color w:val="auto"/>
              </w:rPr>
            </w:pPr>
          </w:p>
        </w:tc>
        <w:tc>
          <w:tcPr>
            <w:tcW w:w="9660" w:type="dxa"/>
            <w:vAlign w:val="bottom"/>
          </w:tcPr>
          <w:p>
            <w:pPr>
              <w:ind w:left="140"/>
              <w:spacing w:after="0" w:line="182" w:lineRule="exact"/>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Overseeing the Company's overall compensation structure, policies and programs.</w:t>
            </w:r>
          </w:p>
        </w:tc>
        <w:tc>
          <w:tcPr>
            <w:tcW w:w="0" w:type="dxa"/>
            <w:vAlign w:val="bottom"/>
          </w:tcPr>
          <w:p>
            <w:pPr>
              <w:spacing w:after="0"/>
              <w:rPr>
                <w:sz w:val="1"/>
                <w:szCs w:val="1"/>
                <w:color w:val="auto"/>
              </w:rPr>
            </w:pPr>
          </w:p>
        </w:tc>
      </w:tr>
      <w:tr>
        <w:trPr>
          <w:trHeight w:val="182"/>
        </w:trPr>
        <w:tc>
          <w:tcPr>
            <w:tcW w:w="1300" w:type="dxa"/>
            <w:vAlign w:val="bottom"/>
            <w:gridSpan w:val="2"/>
            <w:shd w:val="clear" w:color="auto" w:fill="E8F5EA"/>
          </w:tcPr>
          <w:p>
            <w:pPr>
              <w:spacing w:after="0" w:line="182" w:lineRule="exact"/>
              <w:rPr>
                <w:sz w:val="20"/>
                <w:szCs w:val="20"/>
                <w:color w:val="auto"/>
              </w:rPr>
            </w:pPr>
            <w:r>
              <w:rPr>
                <w:rFonts w:ascii="Arial" w:cs="Arial" w:eastAsia="Arial" w:hAnsi="Arial"/>
                <w:sz w:val="16"/>
                <w:szCs w:val="16"/>
                <w:color w:val="auto"/>
              </w:rPr>
              <w:t>Jo Ann Jenkins</w:t>
            </w:r>
          </w:p>
        </w:tc>
        <w:tc>
          <w:tcPr>
            <w:tcW w:w="300" w:type="dxa"/>
            <w:vAlign w:val="bottom"/>
            <w:tcBorders>
              <w:right w:val="single" w:sz="8" w:color="D0CECE"/>
            </w:tcBorders>
            <w:shd w:val="clear" w:color="auto" w:fill="E8F5EA"/>
          </w:tcPr>
          <w:p>
            <w:pPr>
              <w:spacing w:after="0"/>
              <w:rPr>
                <w:sz w:val="15"/>
                <w:szCs w:val="15"/>
                <w:color w:val="auto"/>
              </w:rPr>
            </w:pPr>
          </w:p>
        </w:tc>
        <w:tc>
          <w:tcPr>
            <w:tcW w:w="9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300" w:type="dxa"/>
            <w:vAlign w:val="bottom"/>
            <w:gridSpan w:val="2"/>
            <w:shd w:val="clear" w:color="auto" w:fill="E8F5EA"/>
          </w:tcPr>
          <w:p>
            <w:pPr>
              <w:spacing w:after="0"/>
              <w:rPr>
                <w:sz w:val="20"/>
                <w:szCs w:val="20"/>
                <w:color w:val="auto"/>
              </w:rPr>
            </w:pPr>
            <w:r>
              <w:rPr>
                <w:rFonts w:ascii="Arial" w:cs="Arial" w:eastAsia="Arial" w:hAnsi="Arial"/>
                <w:sz w:val="16"/>
                <w:szCs w:val="16"/>
                <w:color w:val="auto"/>
              </w:rPr>
              <w:t>Avid Modjtabai</w:t>
            </w:r>
          </w:p>
        </w:tc>
        <w:tc>
          <w:tcPr>
            <w:tcW w:w="300" w:type="dxa"/>
            <w:vAlign w:val="bottom"/>
            <w:tcBorders>
              <w:right w:val="single" w:sz="8" w:color="D0CECE"/>
            </w:tcBorders>
            <w:shd w:val="clear" w:color="auto" w:fill="E8F5EA"/>
          </w:tcPr>
          <w:p>
            <w:pPr>
              <w:spacing w:after="0"/>
              <w:rPr>
                <w:sz w:val="19"/>
                <w:szCs w:val="19"/>
                <w:color w:val="auto"/>
              </w:rPr>
            </w:pPr>
          </w:p>
        </w:tc>
        <w:tc>
          <w:tcPr>
            <w:tcW w:w="9660" w:type="dxa"/>
            <w:vAlign w:val="bottom"/>
          </w:tcPr>
          <w:p>
            <w:pPr>
              <w:ind w:left="14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Assisting the Board in fulfilling its responsibilities with respect to administering the Company's long-term incentive plan.</w:t>
            </w:r>
          </w:p>
        </w:tc>
        <w:tc>
          <w:tcPr>
            <w:tcW w:w="0" w:type="dxa"/>
            <w:vAlign w:val="bottom"/>
          </w:tcPr>
          <w:p>
            <w:pPr>
              <w:spacing w:after="0"/>
              <w:rPr>
                <w:sz w:val="1"/>
                <w:szCs w:val="1"/>
                <w:color w:val="auto"/>
              </w:rPr>
            </w:pPr>
          </w:p>
        </w:tc>
      </w:tr>
      <w:tr>
        <w:trPr>
          <w:trHeight w:val="331"/>
        </w:trPr>
        <w:tc>
          <w:tcPr>
            <w:tcW w:w="1300" w:type="dxa"/>
            <w:vAlign w:val="bottom"/>
            <w:gridSpan w:val="2"/>
            <w:shd w:val="clear" w:color="auto" w:fill="E8F5EA"/>
          </w:tcPr>
          <w:p>
            <w:pPr>
              <w:spacing w:after="0"/>
              <w:rPr>
                <w:sz w:val="20"/>
                <w:szCs w:val="20"/>
                <w:color w:val="auto"/>
              </w:rPr>
            </w:pPr>
            <w:r>
              <w:rPr>
                <w:rFonts w:ascii="Arial" w:cs="Arial" w:eastAsia="Arial" w:hAnsi="Arial"/>
                <w:sz w:val="16"/>
                <w:szCs w:val="16"/>
                <w:b w:val="1"/>
                <w:bCs w:val="1"/>
                <w:color w:val="auto"/>
              </w:rPr>
              <w:t>Meetings in</w:t>
            </w:r>
          </w:p>
        </w:tc>
        <w:tc>
          <w:tcPr>
            <w:tcW w:w="300" w:type="dxa"/>
            <w:vAlign w:val="bottom"/>
            <w:tcBorders>
              <w:right w:val="single" w:sz="8" w:color="D0CECE"/>
            </w:tcBorders>
            <w:shd w:val="clear" w:color="auto" w:fill="E8F5EA"/>
          </w:tcPr>
          <w:p>
            <w:pPr>
              <w:spacing w:after="0"/>
              <w:rPr>
                <w:sz w:val="24"/>
                <w:szCs w:val="24"/>
                <w:color w:val="auto"/>
              </w:rPr>
            </w:pPr>
          </w:p>
        </w:tc>
        <w:tc>
          <w:tcPr>
            <w:tcW w:w="9660" w:type="dxa"/>
            <w:vAlign w:val="bottom"/>
          </w:tcPr>
          <w:p>
            <w:pPr>
              <w:ind w:left="14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Reviewing and approving compensation arrangements with executive officers of the Company.</w:t>
            </w:r>
          </w:p>
        </w:tc>
        <w:tc>
          <w:tcPr>
            <w:tcW w:w="0" w:type="dxa"/>
            <w:vAlign w:val="bottom"/>
          </w:tcPr>
          <w:p>
            <w:pPr>
              <w:spacing w:after="0"/>
              <w:rPr>
                <w:sz w:val="1"/>
                <w:szCs w:val="1"/>
                <w:color w:val="auto"/>
              </w:rPr>
            </w:pPr>
          </w:p>
        </w:tc>
      </w:tr>
      <w:tr>
        <w:trPr>
          <w:trHeight w:val="223"/>
        </w:trPr>
        <w:tc>
          <w:tcPr>
            <w:tcW w:w="1300" w:type="dxa"/>
            <w:vAlign w:val="bottom"/>
            <w:gridSpan w:val="2"/>
            <w:shd w:val="clear" w:color="auto" w:fill="E8F5EA"/>
          </w:tcPr>
          <w:p>
            <w:pPr>
              <w:spacing w:after="0"/>
              <w:rPr>
                <w:sz w:val="20"/>
                <w:szCs w:val="20"/>
                <w:color w:val="auto"/>
              </w:rPr>
            </w:pPr>
            <w:r>
              <w:rPr>
                <w:rFonts w:ascii="Arial" w:cs="Arial" w:eastAsia="Arial" w:hAnsi="Arial"/>
                <w:sz w:val="16"/>
                <w:szCs w:val="16"/>
                <w:b w:val="1"/>
                <w:bCs w:val="1"/>
                <w:color w:val="auto"/>
              </w:rPr>
              <w:t>fiscal 2020: 4</w:t>
            </w:r>
          </w:p>
        </w:tc>
        <w:tc>
          <w:tcPr>
            <w:tcW w:w="300" w:type="dxa"/>
            <w:vAlign w:val="bottom"/>
            <w:tcBorders>
              <w:right w:val="single" w:sz="8" w:color="D0CECE"/>
            </w:tcBorders>
            <w:shd w:val="clear" w:color="auto" w:fill="E8F5EA"/>
          </w:tcPr>
          <w:p>
            <w:pPr>
              <w:spacing w:after="0"/>
              <w:rPr>
                <w:sz w:val="19"/>
                <w:szCs w:val="19"/>
                <w:color w:val="auto"/>
              </w:rPr>
            </w:pPr>
          </w:p>
        </w:tc>
        <w:tc>
          <w:tcPr>
            <w:tcW w:w="9660" w:type="dxa"/>
            <w:vAlign w:val="bottom"/>
            <w:vMerge w:val="restart"/>
          </w:tcPr>
          <w:p>
            <w:pPr>
              <w:ind w:left="14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Evaluating the performance of and recommending to the Board the compensation for the CEO.</w:t>
            </w:r>
          </w:p>
        </w:tc>
        <w:tc>
          <w:tcPr>
            <w:tcW w:w="0" w:type="dxa"/>
            <w:vAlign w:val="bottom"/>
          </w:tcPr>
          <w:p>
            <w:pPr>
              <w:spacing w:after="0"/>
              <w:rPr>
                <w:sz w:val="1"/>
                <w:szCs w:val="1"/>
                <w:color w:val="auto"/>
              </w:rPr>
            </w:pPr>
          </w:p>
        </w:tc>
      </w:tr>
      <w:tr>
        <w:trPr>
          <w:trHeight w:val="174"/>
        </w:trPr>
        <w:tc>
          <w:tcPr>
            <w:tcW w:w="320" w:type="dxa"/>
            <w:vAlign w:val="bottom"/>
            <w:shd w:val="clear" w:color="auto" w:fill="E8F5EA"/>
          </w:tcPr>
          <w:p>
            <w:pPr>
              <w:spacing w:after="0"/>
              <w:rPr>
                <w:sz w:val="15"/>
                <w:szCs w:val="15"/>
                <w:color w:val="auto"/>
              </w:rPr>
            </w:pPr>
          </w:p>
        </w:tc>
        <w:tc>
          <w:tcPr>
            <w:tcW w:w="980" w:type="dxa"/>
            <w:vAlign w:val="bottom"/>
            <w:shd w:val="clear" w:color="auto" w:fill="E8F5EA"/>
          </w:tcPr>
          <w:p>
            <w:pPr>
              <w:spacing w:after="0"/>
              <w:rPr>
                <w:sz w:val="15"/>
                <w:szCs w:val="15"/>
                <w:color w:val="auto"/>
              </w:rPr>
            </w:pPr>
          </w:p>
        </w:tc>
        <w:tc>
          <w:tcPr>
            <w:tcW w:w="300" w:type="dxa"/>
            <w:vAlign w:val="bottom"/>
            <w:tcBorders>
              <w:right w:val="single" w:sz="8" w:color="D0CECE"/>
            </w:tcBorders>
            <w:shd w:val="clear" w:color="auto" w:fill="E8F5EA"/>
          </w:tcPr>
          <w:p>
            <w:pPr>
              <w:spacing w:after="0"/>
              <w:rPr>
                <w:sz w:val="15"/>
                <w:szCs w:val="15"/>
                <w:color w:val="auto"/>
              </w:rPr>
            </w:pPr>
          </w:p>
        </w:tc>
        <w:tc>
          <w:tcPr>
            <w:tcW w:w="9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4"/>
        </w:trPr>
        <w:tc>
          <w:tcPr>
            <w:tcW w:w="320" w:type="dxa"/>
            <w:vAlign w:val="bottom"/>
            <w:shd w:val="clear" w:color="auto" w:fill="E8F5EA"/>
          </w:tcPr>
          <w:p>
            <w:pPr>
              <w:spacing w:after="0"/>
              <w:rPr>
                <w:sz w:val="24"/>
                <w:szCs w:val="24"/>
                <w:color w:val="auto"/>
              </w:rPr>
            </w:pPr>
          </w:p>
        </w:tc>
        <w:tc>
          <w:tcPr>
            <w:tcW w:w="980" w:type="dxa"/>
            <w:vAlign w:val="bottom"/>
            <w:shd w:val="clear" w:color="auto" w:fill="E8F5EA"/>
          </w:tcPr>
          <w:p>
            <w:pPr>
              <w:spacing w:after="0"/>
              <w:rPr>
                <w:sz w:val="24"/>
                <w:szCs w:val="24"/>
                <w:color w:val="auto"/>
              </w:rPr>
            </w:pPr>
          </w:p>
        </w:tc>
        <w:tc>
          <w:tcPr>
            <w:tcW w:w="300" w:type="dxa"/>
            <w:vAlign w:val="bottom"/>
            <w:tcBorders>
              <w:right w:val="single" w:sz="8" w:color="D0CECE"/>
            </w:tcBorders>
            <w:shd w:val="clear" w:color="auto" w:fill="E8F5EA"/>
          </w:tcPr>
          <w:p>
            <w:pPr>
              <w:spacing w:after="0"/>
              <w:rPr>
                <w:sz w:val="24"/>
                <w:szCs w:val="24"/>
                <w:color w:val="auto"/>
              </w:rPr>
            </w:pPr>
          </w:p>
        </w:tc>
        <w:tc>
          <w:tcPr>
            <w:tcW w:w="9660" w:type="dxa"/>
            <w:vAlign w:val="bottom"/>
          </w:tcPr>
          <w:p>
            <w:pPr>
              <w:ind w:left="14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Handling Director compensation oversight and recommending to the Board any changes to Director compensation.</w:t>
            </w:r>
          </w:p>
        </w:tc>
        <w:tc>
          <w:tcPr>
            <w:tcW w:w="0" w:type="dxa"/>
            <w:vAlign w:val="bottom"/>
          </w:tcPr>
          <w:p>
            <w:pPr>
              <w:spacing w:after="0"/>
              <w:rPr>
                <w:sz w:val="1"/>
                <w:szCs w:val="1"/>
                <w:color w:val="auto"/>
              </w:rPr>
            </w:pPr>
          </w:p>
        </w:tc>
      </w:tr>
      <w:tr>
        <w:trPr>
          <w:trHeight w:val="333"/>
        </w:trPr>
        <w:tc>
          <w:tcPr>
            <w:tcW w:w="320" w:type="dxa"/>
            <w:vAlign w:val="bottom"/>
            <w:shd w:val="clear" w:color="auto" w:fill="E8F5EA"/>
          </w:tcPr>
          <w:p>
            <w:pPr>
              <w:spacing w:after="0"/>
              <w:rPr>
                <w:sz w:val="24"/>
                <w:szCs w:val="24"/>
                <w:color w:val="auto"/>
              </w:rPr>
            </w:pPr>
          </w:p>
        </w:tc>
        <w:tc>
          <w:tcPr>
            <w:tcW w:w="980" w:type="dxa"/>
            <w:vAlign w:val="bottom"/>
            <w:shd w:val="clear" w:color="auto" w:fill="E8F5EA"/>
          </w:tcPr>
          <w:p>
            <w:pPr>
              <w:spacing w:after="0"/>
              <w:rPr>
                <w:sz w:val="24"/>
                <w:szCs w:val="24"/>
                <w:color w:val="auto"/>
              </w:rPr>
            </w:pPr>
          </w:p>
        </w:tc>
        <w:tc>
          <w:tcPr>
            <w:tcW w:w="300" w:type="dxa"/>
            <w:vAlign w:val="bottom"/>
            <w:tcBorders>
              <w:right w:val="single" w:sz="8" w:color="D0CECE"/>
            </w:tcBorders>
            <w:shd w:val="clear" w:color="auto" w:fill="E8F5EA"/>
          </w:tcPr>
          <w:p>
            <w:pPr>
              <w:spacing w:after="0"/>
              <w:rPr>
                <w:sz w:val="24"/>
                <w:szCs w:val="24"/>
                <w:color w:val="auto"/>
              </w:rPr>
            </w:pPr>
          </w:p>
        </w:tc>
        <w:tc>
          <w:tcPr>
            <w:tcW w:w="9660" w:type="dxa"/>
            <w:vAlign w:val="bottom"/>
          </w:tcPr>
          <w:p>
            <w:pPr>
              <w:ind w:left="140"/>
              <w:spacing w:after="0"/>
              <w:rPr>
                <w:sz w:val="20"/>
                <w:szCs w:val="20"/>
                <w:color w:val="auto"/>
              </w:rPr>
            </w:pPr>
            <w:r>
              <w:rPr>
                <w:rFonts w:ascii="Arial" w:cs="Arial" w:eastAsia="Arial" w:hAnsi="Arial"/>
                <w:sz w:val="16"/>
                <w:szCs w:val="16"/>
                <w:color w:val="auto"/>
              </w:rPr>
              <w:t>The Compensation Committee's objective is to establish and administer a "total compensation program" that fairly and competitively</w:t>
            </w:r>
          </w:p>
        </w:tc>
        <w:tc>
          <w:tcPr>
            <w:tcW w:w="0" w:type="dxa"/>
            <w:vAlign w:val="bottom"/>
          </w:tcPr>
          <w:p>
            <w:pPr>
              <w:spacing w:after="0"/>
              <w:rPr>
                <w:sz w:val="1"/>
                <w:szCs w:val="1"/>
                <w:color w:val="auto"/>
              </w:rPr>
            </w:pPr>
          </w:p>
        </w:tc>
      </w:tr>
      <w:tr>
        <w:trPr>
          <w:trHeight w:val="216"/>
        </w:trPr>
        <w:tc>
          <w:tcPr>
            <w:tcW w:w="320" w:type="dxa"/>
            <w:vAlign w:val="bottom"/>
            <w:tcBorders>
              <w:bottom w:val="single" w:sz="8" w:color="53C072"/>
            </w:tcBorders>
            <w:shd w:val="clear" w:color="auto" w:fill="E8F5EA"/>
          </w:tcPr>
          <w:p>
            <w:pPr>
              <w:spacing w:after="0"/>
              <w:rPr>
                <w:sz w:val="18"/>
                <w:szCs w:val="18"/>
                <w:color w:val="auto"/>
              </w:rPr>
            </w:pPr>
          </w:p>
        </w:tc>
        <w:tc>
          <w:tcPr>
            <w:tcW w:w="980" w:type="dxa"/>
            <w:vAlign w:val="bottom"/>
            <w:tcBorders>
              <w:bottom w:val="single" w:sz="8" w:color="53C072"/>
            </w:tcBorders>
            <w:shd w:val="clear" w:color="auto" w:fill="E8F5EA"/>
          </w:tcPr>
          <w:p>
            <w:pPr>
              <w:spacing w:after="0"/>
              <w:rPr>
                <w:sz w:val="18"/>
                <w:szCs w:val="18"/>
                <w:color w:val="auto"/>
              </w:rPr>
            </w:pPr>
          </w:p>
        </w:tc>
        <w:tc>
          <w:tcPr>
            <w:tcW w:w="300" w:type="dxa"/>
            <w:vAlign w:val="bottom"/>
            <w:tcBorders>
              <w:bottom w:val="single" w:sz="8" w:color="53C072"/>
              <w:right w:val="single" w:sz="8" w:color="D0CECE"/>
            </w:tcBorders>
            <w:shd w:val="clear" w:color="auto" w:fill="E8F5EA"/>
          </w:tcPr>
          <w:p>
            <w:pPr>
              <w:spacing w:after="0"/>
              <w:rPr>
                <w:sz w:val="18"/>
                <w:szCs w:val="18"/>
                <w:color w:val="auto"/>
              </w:rPr>
            </w:pPr>
          </w:p>
        </w:tc>
        <w:tc>
          <w:tcPr>
            <w:tcW w:w="9660" w:type="dxa"/>
            <w:vAlign w:val="bottom"/>
            <w:tcBorders>
              <w:bottom w:val="single" w:sz="8" w:color="53C072"/>
            </w:tcBorders>
          </w:tcPr>
          <w:p>
            <w:pPr>
              <w:ind w:left="140"/>
              <w:spacing w:after="0"/>
              <w:rPr>
                <w:sz w:val="20"/>
                <w:szCs w:val="20"/>
                <w:color w:val="auto"/>
              </w:rPr>
            </w:pPr>
            <w:r>
              <w:rPr>
                <w:rFonts w:ascii="Arial" w:cs="Arial" w:eastAsia="Arial" w:hAnsi="Arial"/>
                <w:sz w:val="16"/>
                <w:szCs w:val="16"/>
                <w:color w:val="auto"/>
              </w:rPr>
              <w:t>rewards long-term performance and enhances shareholder value.</w:t>
            </w:r>
          </w:p>
        </w:tc>
        <w:tc>
          <w:tcPr>
            <w:tcW w:w="0" w:type="dxa"/>
            <w:vAlign w:val="bottom"/>
          </w:tcPr>
          <w:p>
            <w:pPr>
              <w:spacing w:after="0"/>
              <w:rPr>
                <w:sz w:val="1"/>
                <w:szCs w:val="1"/>
                <w:color w:val="auto"/>
              </w:rPr>
            </w:pPr>
          </w:p>
        </w:tc>
      </w:tr>
      <w:tr>
        <w:trPr>
          <w:trHeight w:val="521"/>
        </w:trPr>
        <w:tc>
          <w:tcPr>
            <w:tcW w:w="320" w:type="dxa"/>
            <w:vAlign w:val="bottom"/>
          </w:tcPr>
          <w:p>
            <w:pPr>
              <w:spacing w:after="0"/>
              <w:rPr>
                <w:sz w:val="20"/>
                <w:szCs w:val="20"/>
                <w:color w:val="auto"/>
              </w:rPr>
            </w:pPr>
            <w:r>
              <w:rPr>
                <w:rFonts w:ascii="Arial" w:cs="Arial" w:eastAsia="Arial" w:hAnsi="Arial"/>
                <w:sz w:val="16"/>
                <w:szCs w:val="16"/>
                <w:color w:val="auto"/>
              </w:rPr>
              <w:t>24</w:t>
            </w:r>
          </w:p>
        </w:tc>
        <w:tc>
          <w:tcPr>
            <w:tcW w:w="980" w:type="dxa"/>
            <w:vAlign w:val="bottom"/>
          </w:tcPr>
          <w:p>
            <w:pPr>
              <w:jc w:val="right"/>
              <w:ind w:right="667"/>
              <w:spacing w:after="0"/>
              <w:rPr>
                <w:sz w:val="20"/>
                <w:szCs w:val="20"/>
                <w:color w:val="auto"/>
              </w:rPr>
            </w:pPr>
            <w:r>
              <w:rPr>
                <w:rFonts w:ascii="Arial" w:cs="Arial" w:eastAsia="Arial" w:hAnsi="Arial"/>
                <w:sz w:val="23"/>
                <w:szCs w:val="23"/>
                <w:b w:val="1"/>
                <w:bCs w:val="1"/>
                <w:color w:val="53C072"/>
              </w:rPr>
              <w:t>|</w:t>
            </w:r>
          </w:p>
        </w:tc>
        <w:tc>
          <w:tcPr>
            <w:tcW w:w="300" w:type="dxa"/>
            <w:vAlign w:val="bottom"/>
          </w:tcPr>
          <w:p>
            <w:pPr>
              <w:spacing w:after="0"/>
              <w:rPr>
                <w:sz w:val="24"/>
                <w:szCs w:val="24"/>
                <w:color w:val="auto"/>
              </w:rPr>
            </w:pPr>
          </w:p>
        </w:tc>
        <w:tc>
          <w:tcPr>
            <w:tcW w:w="9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2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966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-13335</wp:posOffset>
            </wp:positionV>
            <wp:extent cx="1270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-302260</wp:posOffset>
            </wp:positionV>
            <wp:extent cx="1664970" cy="1231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13"/>
        </w:trPr>
        <w:tc>
          <w:tcPr>
            <w:tcW w:w="502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6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02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6240" w:type="dxa"/>
            <w:vAlign w:val="bottom"/>
            <w:vMerge w:val="restart"/>
          </w:tcPr>
          <w:p>
            <w:pPr>
              <w:ind w:left="3780"/>
              <w:spacing w:after="0"/>
              <w:rPr>
                <w:sz w:val="20"/>
                <w:szCs w:val="20"/>
                <w:color w:val="auto"/>
              </w:rPr>
            </w:pPr>
            <w:r>
              <w:rPr>
                <w:rFonts w:ascii="Arial" w:cs="Arial" w:eastAsia="Arial" w:hAnsi="Arial"/>
                <w:sz w:val="13"/>
                <w:szCs w:val="13"/>
                <w:color w:val="auto"/>
                <w:w w:val="99"/>
              </w:rPr>
              <w:t>The Board of Directors and Its Committees</w:t>
            </w:r>
          </w:p>
        </w:tc>
        <w:tc>
          <w:tcPr>
            <w:tcW w:w="0" w:type="dxa"/>
            <w:vAlign w:val="bottom"/>
          </w:tcPr>
          <w:p>
            <w:pPr>
              <w:spacing w:after="0"/>
              <w:rPr>
                <w:sz w:val="1"/>
                <w:szCs w:val="1"/>
                <w:color w:val="auto"/>
              </w:rPr>
            </w:pPr>
          </w:p>
        </w:tc>
      </w:tr>
      <w:tr>
        <w:trPr>
          <w:trHeight w:val="102"/>
        </w:trPr>
        <w:tc>
          <w:tcPr>
            <w:tcW w:w="502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6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020" w:type="dxa"/>
            <w:vAlign w:val="bottom"/>
            <w:vMerge w:val="continue"/>
          </w:tcPr>
          <w:p>
            <w:pPr>
              <w:spacing w:after="0"/>
              <w:rPr>
                <w:sz w:val="7"/>
                <w:szCs w:val="7"/>
                <w:color w:val="auto"/>
              </w:rPr>
            </w:pPr>
          </w:p>
        </w:tc>
        <w:tc>
          <w:tcPr>
            <w:tcW w:w="6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right="100"/>
        <w:spacing w:after="0" w:line="243" w:lineRule="auto"/>
        <w:rPr>
          <w:sz w:val="20"/>
          <w:szCs w:val="20"/>
          <w:color w:val="auto"/>
        </w:rPr>
      </w:pPr>
      <w:r>
        <w:rPr>
          <w:rFonts w:ascii="Arial" w:cs="Arial" w:eastAsia="Arial" w:hAnsi="Arial"/>
          <w:sz w:val="16"/>
          <w:szCs w:val="16"/>
          <w:color w:val="auto"/>
        </w:rPr>
        <w:t>The Compensation Committee has the authority to retain an independent executive compensation consultant to assist in the evaluation of compensation for the Company's executive officers and Directors, and to help ensure the objectivity and appropriateness of the actions of the Compensation Committee. The Compensation Committee has the sole authority to retain, at the Company's expense, and terminate any such consultant, including the sole authority to approve such consultant's fees and other terms of engagement. The Compensation Committee retained Meridian Compensation Partners, LLC ("Meridian") as the Compensation Committee's independent compensation consultant for fiscal 2020. The Compensation Committee assessed the independence of Meridian pursuant to the SEC and Nasdaq rules and concluded that no conflict of interest existed that prevented, or will prevent, Meridian from being an independent consultant to the Compensation Committee.</w:t>
      </w:r>
    </w:p>
    <w:p>
      <w:pPr>
        <w:spacing w:after="0" w:line="165"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All members of the Compensation Committee meet the independence requirements of Nasdaq listing standards and the independence standards adopted by the Board of Directors, and also meet Nasdaq's additional independence requirements for compensation committee members.</w:t>
      </w:r>
    </w:p>
    <w:p>
      <w:pPr>
        <w:spacing w:after="0" w:line="137" w:lineRule="exact"/>
        <w:rPr>
          <w:sz w:val="20"/>
          <w:szCs w:val="20"/>
          <w:color w:val="auto"/>
        </w:rPr>
      </w:pPr>
    </w:p>
    <w:p>
      <w:pPr>
        <w:jc w:val="both"/>
        <w:ind w:right="120"/>
        <w:spacing w:after="0" w:line="256" w:lineRule="auto"/>
        <w:rPr>
          <w:sz w:val="20"/>
          <w:szCs w:val="20"/>
          <w:color w:val="auto"/>
        </w:rPr>
      </w:pPr>
      <w:r>
        <w:rPr>
          <w:rFonts w:ascii="Arial" w:cs="Arial" w:eastAsia="Arial" w:hAnsi="Arial"/>
          <w:sz w:val="16"/>
          <w:szCs w:val="16"/>
          <w:color w:val="auto"/>
        </w:rPr>
        <w:t xml:space="preserve">The Compensation Committee operates under a written charter that outlines the purpose, member qualifications, authority and responsibilities of the committee. The Compensation Committee reviews its charter and conducts an evaluation of its own effectiveness annually. A copy of the Compensation Committee charter is available on the Company's website at </w:t>
      </w:r>
      <w:r>
        <w:rPr>
          <w:rFonts w:ascii="Arial" w:cs="Arial" w:eastAsia="Arial" w:hAnsi="Arial"/>
          <w:sz w:val="16"/>
          <w:szCs w:val="16"/>
          <w:u w:val="single" w:color="auto"/>
          <w:color w:val="auto"/>
        </w:rPr>
        <w:t>www.ir.avnet.com/documents-charters</w:t>
      </w:r>
      <w:r>
        <w:rPr>
          <w:rFonts w:ascii="Arial" w:cs="Arial" w:eastAsia="Arial" w:hAnsi="Arial"/>
          <w:sz w:val="16"/>
          <w:szCs w:val="16"/>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CORPORATE GOVERNANCE COMMITTEE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FFFFFE"/>
        </w:rPr>
        <w:t>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146290" cy="1155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6290" cy="115570"/>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840" w:type="dxa"/>
            <w:vAlign w:val="bottom"/>
            <w:vMerge w:val="restart"/>
            <w:shd w:val="clear" w:color="auto" w:fill="E8F5EA"/>
          </w:tcPr>
          <w:p>
            <w:pPr>
              <w:spacing w:after="0"/>
              <w:rPr>
                <w:sz w:val="20"/>
                <w:szCs w:val="20"/>
                <w:color w:val="auto"/>
              </w:rPr>
            </w:pPr>
            <w:r>
              <w:rPr>
                <w:rFonts w:ascii="Arial" w:cs="Arial" w:eastAsia="Arial" w:hAnsi="Arial"/>
                <w:sz w:val="16"/>
                <w:szCs w:val="16"/>
                <w:b w:val="1"/>
                <w:bCs w:val="1"/>
                <w:color w:val="auto"/>
              </w:rPr>
              <w:t>Members:</w:t>
            </w:r>
          </w:p>
        </w:tc>
        <w:tc>
          <w:tcPr>
            <w:tcW w:w="300" w:type="dxa"/>
            <w:vAlign w:val="bottom"/>
            <w:tcBorders>
              <w:right w:val="single" w:sz="8" w:color="D0CECE"/>
            </w:tcBorders>
            <w:shd w:val="clear" w:color="auto" w:fill="E8F5EA"/>
          </w:tcPr>
          <w:p>
            <w:pPr>
              <w:spacing w:after="0"/>
              <w:rPr>
                <w:sz w:val="21"/>
                <w:szCs w:val="21"/>
                <w:color w:val="auto"/>
              </w:rPr>
            </w:pPr>
          </w:p>
        </w:tc>
        <w:tc>
          <w:tcPr>
            <w:tcW w:w="9120" w:type="dxa"/>
            <w:vAlign w:val="bottom"/>
          </w:tcPr>
          <w:p>
            <w:pPr>
              <w:ind w:left="140"/>
              <w:spacing w:after="0"/>
              <w:rPr>
                <w:sz w:val="20"/>
                <w:szCs w:val="20"/>
                <w:color w:val="auto"/>
              </w:rPr>
            </w:pPr>
            <w:r>
              <w:rPr>
                <w:rFonts w:ascii="Arial" w:cs="Arial" w:eastAsia="Arial" w:hAnsi="Arial"/>
                <w:sz w:val="16"/>
                <w:szCs w:val="16"/>
                <w:b w:val="1"/>
                <w:bCs w:val="1"/>
                <w:color w:val="auto"/>
              </w:rPr>
              <w:t>Responsibilities</w:t>
            </w:r>
          </w:p>
        </w:tc>
        <w:tc>
          <w:tcPr>
            <w:tcW w:w="0" w:type="dxa"/>
            <w:vAlign w:val="bottom"/>
          </w:tcPr>
          <w:p>
            <w:pPr>
              <w:spacing w:after="0"/>
              <w:rPr>
                <w:sz w:val="1"/>
                <w:szCs w:val="1"/>
                <w:color w:val="auto"/>
              </w:rPr>
            </w:pPr>
          </w:p>
        </w:tc>
      </w:tr>
      <w:tr>
        <w:trPr>
          <w:trHeight w:val="84"/>
        </w:trPr>
        <w:tc>
          <w:tcPr>
            <w:tcW w:w="1840" w:type="dxa"/>
            <w:vAlign w:val="bottom"/>
            <w:vMerge w:val="continue"/>
            <w:shd w:val="clear" w:color="auto" w:fill="E8F5EA"/>
          </w:tcPr>
          <w:p>
            <w:pPr>
              <w:spacing w:after="0"/>
              <w:rPr>
                <w:sz w:val="7"/>
                <w:szCs w:val="7"/>
                <w:color w:val="auto"/>
              </w:rPr>
            </w:pPr>
          </w:p>
        </w:tc>
        <w:tc>
          <w:tcPr>
            <w:tcW w:w="300" w:type="dxa"/>
            <w:vAlign w:val="bottom"/>
            <w:tcBorders>
              <w:right w:val="single" w:sz="8" w:color="D0CECE"/>
            </w:tcBorders>
            <w:shd w:val="clear" w:color="auto" w:fill="E8F5EA"/>
          </w:tcPr>
          <w:p>
            <w:pPr>
              <w:spacing w:after="0"/>
              <w:rPr>
                <w:sz w:val="7"/>
                <w:szCs w:val="7"/>
                <w:color w:val="auto"/>
              </w:rPr>
            </w:pPr>
          </w:p>
        </w:tc>
        <w:tc>
          <w:tcPr>
            <w:tcW w:w="9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1840" w:type="dxa"/>
            <w:vAlign w:val="bottom"/>
            <w:shd w:val="clear" w:color="auto" w:fill="E8F5EA"/>
          </w:tcPr>
          <w:p>
            <w:pPr>
              <w:spacing w:after="0" w:line="182" w:lineRule="exact"/>
              <w:rPr>
                <w:sz w:val="20"/>
                <w:szCs w:val="20"/>
                <w:color w:val="auto"/>
              </w:rPr>
            </w:pPr>
            <w:r>
              <w:rPr>
                <w:rFonts w:ascii="Arial" w:cs="Arial" w:eastAsia="Arial" w:hAnsi="Arial"/>
                <w:sz w:val="16"/>
                <w:szCs w:val="16"/>
                <w:color w:val="auto"/>
              </w:rPr>
              <w:t>Avid Modjtabai (Chair)</w:t>
            </w:r>
          </w:p>
        </w:tc>
        <w:tc>
          <w:tcPr>
            <w:tcW w:w="300" w:type="dxa"/>
            <w:vAlign w:val="bottom"/>
            <w:tcBorders>
              <w:right w:val="single" w:sz="8" w:color="D0CECE"/>
            </w:tcBorders>
            <w:shd w:val="clear" w:color="auto" w:fill="E8F5EA"/>
          </w:tcPr>
          <w:p>
            <w:pPr>
              <w:spacing w:after="0"/>
              <w:rPr>
                <w:sz w:val="15"/>
                <w:szCs w:val="15"/>
                <w:color w:val="auto"/>
              </w:rPr>
            </w:pPr>
          </w:p>
        </w:tc>
        <w:tc>
          <w:tcPr>
            <w:tcW w:w="9120" w:type="dxa"/>
            <w:vAlign w:val="bottom"/>
          </w:tcPr>
          <w:p>
            <w:pPr>
              <w:ind w:left="140"/>
              <w:spacing w:after="0" w:line="182" w:lineRule="exact"/>
              <w:rPr>
                <w:sz w:val="20"/>
                <w:szCs w:val="20"/>
                <w:color w:val="auto"/>
              </w:rPr>
            </w:pPr>
            <w:r>
              <w:rPr>
                <w:rFonts w:ascii="Arial" w:cs="Arial" w:eastAsia="Arial" w:hAnsi="Arial"/>
                <w:sz w:val="16"/>
                <w:szCs w:val="16"/>
                <w:color w:val="auto"/>
              </w:rPr>
              <w:t>The Corporate Governance Committee is charged with:</w:t>
            </w:r>
          </w:p>
        </w:tc>
        <w:tc>
          <w:tcPr>
            <w:tcW w:w="0" w:type="dxa"/>
            <w:vAlign w:val="bottom"/>
          </w:tcPr>
          <w:p>
            <w:pPr>
              <w:spacing w:after="0"/>
              <w:rPr>
                <w:sz w:val="1"/>
                <w:szCs w:val="1"/>
                <w:color w:val="auto"/>
              </w:rPr>
            </w:pPr>
          </w:p>
        </w:tc>
      </w:tr>
      <w:tr>
        <w:trPr>
          <w:trHeight w:val="182"/>
        </w:trPr>
        <w:tc>
          <w:tcPr>
            <w:tcW w:w="1840" w:type="dxa"/>
            <w:vAlign w:val="bottom"/>
            <w:shd w:val="clear" w:color="auto" w:fill="E8F5EA"/>
          </w:tcPr>
          <w:p>
            <w:pPr>
              <w:spacing w:after="0" w:line="182" w:lineRule="exact"/>
              <w:rPr>
                <w:sz w:val="20"/>
                <w:szCs w:val="20"/>
                <w:color w:val="auto"/>
              </w:rPr>
            </w:pPr>
            <w:r>
              <w:rPr>
                <w:rFonts w:ascii="Arial" w:cs="Arial" w:eastAsia="Arial" w:hAnsi="Arial"/>
                <w:sz w:val="16"/>
                <w:szCs w:val="16"/>
                <w:color w:val="auto"/>
              </w:rPr>
              <w:t>Rodney C. Adkins</w:t>
            </w:r>
          </w:p>
        </w:tc>
        <w:tc>
          <w:tcPr>
            <w:tcW w:w="300" w:type="dxa"/>
            <w:vAlign w:val="bottom"/>
            <w:tcBorders>
              <w:right w:val="single" w:sz="8" w:color="D0CECE"/>
            </w:tcBorders>
            <w:shd w:val="clear" w:color="auto" w:fill="E8F5EA"/>
          </w:tcPr>
          <w:p>
            <w:pPr>
              <w:spacing w:after="0"/>
              <w:rPr>
                <w:sz w:val="15"/>
                <w:szCs w:val="15"/>
                <w:color w:val="auto"/>
              </w:rPr>
            </w:pPr>
          </w:p>
        </w:tc>
        <w:tc>
          <w:tcPr>
            <w:tcW w:w="9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40" w:type="dxa"/>
            <w:vAlign w:val="bottom"/>
            <w:shd w:val="clear" w:color="auto" w:fill="E8F5EA"/>
          </w:tcPr>
          <w:p>
            <w:pPr>
              <w:spacing w:after="0" w:line="182" w:lineRule="exact"/>
              <w:rPr>
                <w:sz w:val="20"/>
                <w:szCs w:val="20"/>
                <w:color w:val="auto"/>
              </w:rPr>
            </w:pPr>
            <w:r>
              <w:rPr>
                <w:rFonts w:ascii="Arial" w:cs="Arial" w:eastAsia="Arial" w:hAnsi="Arial"/>
                <w:sz w:val="16"/>
                <w:szCs w:val="16"/>
                <w:color w:val="auto"/>
              </w:rPr>
              <w:t>Carlo Bozotti</w:t>
            </w:r>
          </w:p>
        </w:tc>
        <w:tc>
          <w:tcPr>
            <w:tcW w:w="300" w:type="dxa"/>
            <w:vAlign w:val="bottom"/>
            <w:tcBorders>
              <w:right w:val="single" w:sz="8" w:color="D0CECE"/>
            </w:tcBorders>
            <w:shd w:val="clear" w:color="auto" w:fill="E8F5EA"/>
          </w:tcPr>
          <w:p>
            <w:pPr>
              <w:spacing w:after="0"/>
              <w:rPr>
                <w:sz w:val="15"/>
                <w:szCs w:val="15"/>
                <w:color w:val="auto"/>
              </w:rPr>
            </w:pPr>
          </w:p>
        </w:tc>
        <w:tc>
          <w:tcPr>
            <w:tcW w:w="9120" w:type="dxa"/>
            <w:vAlign w:val="bottom"/>
          </w:tcPr>
          <w:p>
            <w:pPr>
              <w:ind w:left="140"/>
              <w:spacing w:after="0" w:line="182" w:lineRule="exact"/>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Identifying, screening and recommending to the Board of Directors appropriate candidates to serve as directors of the</w:t>
            </w:r>
          </w:p>
        </w:tc>
        <w:tc>
          <w:tcPr>
            <w:tcW w:w="0" w:type="dxa"/>
            <w:vAlign w:val="bottom"/>
          </w:tcPr>
          <w:p>
            <w:pPr>
              <w:spacing w:after="0"/>
              <w:rPr>
                <w:sz w:val="1"/>
                <w:szCs w:val="1"/>
                <w:color w:val="auto"/>
              </w:rPr>
            </w:pPr>
          </w:p>
        </w:tc>
      </w:tr>
      <w:tr>
        <w:trPr>
          <w:trHeight w:val="182"/>
        </w:trPr>
        <w:tc>
          <w:tcPr>
            <w:tcW w:w="1840" w:type="dxa"/>
            <w:vAlign w:val="bottom"/>
            <w:shd w:val="clear" w:color="auto" w:fill="E8F5EA"/>
          </w:tcPr>
          <w:p>
            <w:pPr>
              <w:spacing w:after="0" w:line="182" w:lineRule="exact"/>
              <w:rPr>
                <w:sz w:val="20"/>
                <w:szCs w:val="20"/>
                <w:color w:val="auto"/>
              </w:rPr>
            </w:pPr>
            <w:r>
              <w:rPr>
                <w:rFonts w:ascii="Arial" w:cs="Arial" w:eastAsia="Arial" w:hAnsi="Arial"/>
                <w:sz w:val="16"/>
                <w:szCs w:val="16"/>
                <w:color w:val="auto"/>
              </w:rPr>
              <w:t>Jo Ann Jenkins</w:t>
            </w:r>
          </w:p>
        </w:tc>
        <w:tc>
          <w:tcPr>
            <w:tcW w:w="300" w:type="dxa"/>
            <w:vAlign w:val="bottom"/>
            <w:tcBorders>
              <w:right w:val="single" w:sz="8" w:color="D0CECE"/>
            </w:tcBorders>
            <w:shd w:val="clear" w:color="auto" w:fill="E8F5EA"/>
          </w:tcPr>
          <w:p>
            <w:pPr>
              <w:spacing w:after="0"/>
              <w:rPr>
                <w:sz w:val="15"/>
                <w:szCs w:val="15"/>
                <w:color w:val="auto"/>
              </w:rPr>
            </w:pPr>
          </w:p>
        </w:tc>
        <w:tc>
          <w:tcPr>
            <w:tcW w:w="9120" w:type="dxa"/>
            <w:vAlign w:val="bottom"/>
          </w:tcPr>
          <w:p>
            <w:pPr>
              <w:ind w:left="440"/>
              <w:spacing w:after="0" w:line="182" w:lineRule="exact"/>
              <w:rPr>
                <w:sz w:val="20"/>
                <w:szCs w:val="20"/>
                <w:color w:val="auto"/>
              </w:rPr>
            </w:pPr>
            <w:r>
              <w:rPr>
                <w:rFonts w:ascii="Arial" w:cs="Arial" w:eastAsia="Arial" w:hAnsi="Arial"/>
                <w:sz w:val="16"/>
                <w:szCs w:val="16"/>
                <w:color w:val="auto"/>
              </w:rPr>
              <w:t>Company.</w:t>
            </w:r>
          </w:p>
        </w:tc>
        <w:tc>
          <w:tcPr>
            <w:tcW w:w="0" w:type="dxa"/>
            <w:vAlign w:val="bottom"/>
          </w:tcPr>
          <w:p>
            <w:pPr>
              <w:spacing w:after="0"/>
              <w:rPr>
                <w:sz w:val="1"/>
                <w:szCs w:val="1"/>
                <w:color w:val="auto"/>
              </w:rPr>
            </w:pPr>
          </w:p>
        </w:tc>
      </w:tr>
      <w:tr>
        <w:trPr>
          <w:trHeight w:val="213"/>
        </w:trPr>
        <w:tc>
          <w:tcPr>
            <w:tcW w:w="1840" w:type="dxa"/>
            <w:vAlign w:val="bottom"/>
            <w:shd w:val="clear" w:color="auto" w:fill="E8F5EA"/>
          </w:tcPr>
          <w:p>
            <w:pPr>
              <w:spacing w:after="0"/>
              <w:rPr>
                <w:sz w:val="20"/>
                <w:szCs w:val="20"/>
                <w:color w:val="auto"/>
              </w:rPr>
            </w:pPr>
            <w:r>
              <w:rPr>
                <w:rFonts w:ascii="Arial" w:cs="Arial" w:eastAsia="Arial" w:hAnsi="Arial"/>
                <w:sz w:val="16"/>
                <w:szCs w:val="16"/>
                <w:color w:val="auto"/>
              </w:rPr>
              <w:t>Adalio T. Sanchez</w:t>
            </w:r>
          </w:p>
        </w:tc>
        <w:tc>
          <w:tcPr>
            <w:tcW w:w="300" w:type="dxa"/>
            <w:vAlign w:val="bottom"/>
            <w:tcBorders>
              <w:right w:val="single" w:sz="8" w:color="D0CECE"/>
            </w:tcBorders>
            <w:shd w:val="clear" w:color="auto" w:fill="E8F5EA"/>
          </w:tcPr>
          <w:p>
            <w:pPr>
              <w:spacing w:after="0"/>
              <w:rPr>
                <w:sz w:val="18"/>
                <w:szCs w:val="18"/>
                <w:color w:val="auto"/>
              </w:rPr>
            </w:pPr>
          </w:p>
        </w:tc>
        <w:tc>
          <w:tcPr>
            <w:tcW w:w="9120" w:type="dxa"/>
            <w:vAlign w:val="bottom"/>
            <w:vMerge w:val="restart"/>
          </w:tcPr>
          <w:p>
            <w:pPr>
              <w:ind w:left="14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Periodically reviewing the Company's succession plans, including CEO succession.</w:t>
            </w:r>
          </w:p>
        </w:tc>
        <w:tc>
          <w:tcPr>
            <w:tcW w:w="0" w:type="dxa"/>
            <w:vAlign w:val="bottom"/>
          </w:tcPr>
          <w:p>
            <w:pPr>
              <w:spacing w:after="0"/>
              <w:rPr>
                <w:sz w:val="1"/>
                <w:szCs w:val="1"/>
                <w:color w:val="auto"/>
              </w:rPr>
            </w:pPr>
          </w:p>
        </w:tc>
      </w:tr>
      <w:tr>
        <w:trPr>
          <w:trHeight w:val="194"/>
        </w:trPr>
        <w:tc>
          <w:tcPr>
            <w:tcW w:w="1840" w:type="dxa"/>
            <w:vAlign w:val="bottom"/>
            <w:vMerge w:val="restart"/>
            <w:shd w:val="clear" w:color="auto" w:fill="E8F5EA"/>
          </w:tcPr>
          <w:p>
            <w:pPr>
              <w:spacing w:after="0"/>
              <w:rPr>
                <w:sz w:val="20"/>
                <w:szCs w:val="20"/>
                <w:color w:val="auto"/>
              </w:rPr>
            </w:pPr>
            <w:r>
              <w:rPr>
                <w:rFonts w:ascii="Arial" w:cs="Arial" w:eastAsia="Arial" w:hAnsi="Arial"/>
                <w:sz w:val="16"/>
                <w:szCs w:val="16"/>
                <w:b w:val="1"/>
                <w:bCs w:val="1"/>
                <w:color w:val="auto"/>
              </w:rPr>
              <w:t>Meetings in fiscal 2020:</w:t>
            </w:r>
          </w:p>
        </w:tc>
        <w:tc>
          <w:tcPr>
            <w:tcW w:w="300" w:type="dxa"/>
            <w:vAlign w:val="bottom"/>
            <w:tcBorders>
              <w:right w:val="single" w:sz="8" w:color="D0CECE"/>
            </w:tcBorders>
            <w:shd w:val="clear" w:color="auto" w:fill="E8F5EA"/>
          </w:tcPr>
          <w:p>
            <w:pPr>
              <w:spacing w:after="0"/>
              <w:rPr>
                <w:sz w:val="16"/>
                <w:szCs w:val="16"/>
                <w:color w:val="auto"/>
              </w:rPr>
            </w:pPr>
          </w:p>
        </w:tc>
        <w:tc>
          <w:tcPr>
            <w:tcW w:w="9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840" w:type="dxa"/>
            <w:vAlign w:val="bottom"/>
            <w:vMerge w:val="continue"/>
            <w:shd w:val="clear" w:color="auto" w:fill="E8F5EA"/>
          </w:tcPr>
          <w:p>
            <w:pPr>
              <w:spacing w:after="0"/>
              <w:rPr>
                <w:sz w:val="12"/>
                <w:szCs w:val="12"/>
                <w:color w:val="auto"/>
              </w:rPr>
            </w:pPr>
          </w:p>
        </w:tc>
        <w:tc>
          <w:tcPr>
            <w:tcW w:w="300" w:type="dxa"/>
            <w:vAlign w:val="bottom"/>
            <w:tcBorders>
              <w:right w:val="single" w:sz="8" w:color="D0CECE"/>
            </w:tcBorders>
            <w:shd w:val="clear" w:color="auto" w:fill="E8F5EA"/>
          </w:tcPr>
          <w:p>
            <w:pPr>
              <w:spacing w:after="0"/>
              <w:rPr>
                <w:sz w:val="12"/>
                <w:szCs w:val="12"/>
                <w:color w:val="auto"/>
              </w:rPr>
            </w:pPr>
          </w:p>
        </w:tc>
        <w:tc>
          <w:tcPr>
            <w:tcW w:w="9120" w:type="dxa"/>
            <w:vAlign w:val="bottom"/>
            <w:vMerge w:val="restart"/>
          </w:tcPr>
          <w:p>
            <w:pPr>
              <w:ind w:left="14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Overseeing the process for evaluating the Board of Directors, its committees and management.</w:t>
            </w:r>
          </w:p>
        </w:tc>
        <w:tc>
          <w:tcPr>
            <w:tcW w:w="0" w:type="dxa"/>
            <w:vAlign w:val="bottom"/>
          </w:tcPr>
          <w:p>
            <w:pPr>
              <w:spacing w:after="0"/>
              <w:rPr>
                <w:sz w:val="1"/>
                <w:szCs w:val="1"/>
                <w:color w:val="auto"/>
              </w:rPr>
            </w:pPr>
          </w:p>
        </w:tc>
      </w:tr>
      <w:tr>
        <w:trPr>
          <w:trHeight w:val="223"/>
        </w:trPr>
        <w:tc>
          <w:tcPr>
            <w:tcW w:w="1840" w:type="dxa"/>
            <w:vAlign w:val="bottom"/>
            <w:shd w:val="clear" w:color="auto" w:fill="E8F5EA"/>
          </w:tcPr>
          <w:p>
            <w:pPr>
              <w:spacing w:after="0"/>
              <w:rPr>
                <w:sz w:val="20"/>
                <w:szCs w:val="20"/>
                <w:color w:val="auto"/>
              </w:rPr>
            </w:pPr>
            <w:r>
              <w:rPr>
                <w:rFonts w:ascii="Arial" w:cs="Arial" w:eastAsia="Arial" w:hAnsi="Arial"/>
                <w:sz w:val="16"/>
                <w:szCs w:val="16"/>
                <w:b w:val="1"/>
                <w:bCs w:val="1"/>
                <w:color w:val="auto"/>
              </w:rPr>
              <w:t>4</w:t>
            </w:r>
          </w:p>
        </w:tc>
        <w:tc>
          <w:tcPr>
            <w:tcW w:w="300" w:type="dxa"/>
            <w:vAlign w:val="bottom"/>
            <w:tcBorders>
              <w:right w:val="single" w:sz="8" w:color="D0CECE"/>
            </w:tcBorders>
            <w:shd w:val="clear" w:color="auto" w:fill="E8F5EA"/>
          </w:tcPr>
          <w:p>
            <w:pPr>
              <w:spacing w:after="0"/>
              <w:rPr>
                <w:sz w:val="19"/>
                <w:szCs w:val="19"/>
                <w:color w:val="auto"/>
              </w:rPr>
            </w:pPr>
          </w:p>
        </w:tc>
        <w:tc>
          <w:tcPr>
            <w:tcW w:w="9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1840" w:type="dxa"/>
            <w:vAlign w:val="bottom"/>
            <w:shd w:val="clear" w:color="auto" w:fill="E8F5EA"/>
          </w:tcPr>
          <w:p>
            <w:pPr>
              <w:spacing w:after="0"/>
              <w:rPr>
                <w:sz w:val="24"/>
                <w:szCs w:val="24"/>
                <w:color w:val="auto"/>
              </w:rPr>
            </w:pPr>
          </w:p>
        </w:tc>
        <w:tc>
          <w:tcPr>
            <w:tcW w:w="300" w:type="dxa"/>
            <w:vAlign w:val="bottom"/>
            <w:tcBorders>
              <w:right w:val="single" w:sz="8" w:color="D0CECE"/>
            </w:tcBorders>
            <w:shd w:val="clear" w:color="auto" w:fill="E8F5EA"/>
          </w:tcPr>
          <w:p>
            <w:pPr>
              <w:spacing w:after="0"/>
              <w:rPr>
                <w:sz w:val="24"/>
                <w:szCs w:val="24"/>
                <w:color w:val="auto"/>
              </w:rPr>
            </w:pPr>
          </w:p>
        </w:tc>
        <w:tc>
          <w:tcPr>
            <w:tcW w:w="9120" w:type="dxa"/>
            <w:vAlign w:val="bottom"/>
          </w:tcPr>
          <w:p>
            <w:pPr>
              <w:ind w:left="14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Making recommendations with respect to corporate governance issues affecting the Board of Directors and the Company.</w:t>
            </w:r>
          </w:p>
        </w:tc>
        <w:tc>
          <w:tcPr>
            <w:tcW w:w="0" w:type="dxa"/>
            <w:vAlign w:val="bottom"/>
          </w:tcPr>
          <w:p>
            <w:pPr>
              <w:spacing w:after="0"/>
              <w:rPr>
                <w:sz w:val="1"/>
                <w:szCs w:val="1"/>
                <w:color w:val="auto"/>
              </w:rPr>
            </w:pPr>
          </w:p>
        </w:tc>
      </w:tr>
      <w:tr>
        <w:trPr>
          <w:trHeight w:val="364"/>
        </w:trPr>
        <w:tc>
          <w:tcPr>
            <w:tcW w:w="1840" w:type="dxa"/>
            <w:vAlign w:val="bottom"/>
            <w:shd w:val="clear" w:color="auto" w:fill="E8F5EA"/>
          </w:tcPr>
          <w:p>
            <w:pPr>
              <w:spacing w:after="0"/>
              <w:rPr>
                <w:sz w:val="24"/>
                <w:szCs w:val="24"/>
                <w:color w:val="auto"/>
              </w:rPr>
            </w:pPr>
          </w:p>
        </w:tc>
        <w:tc>
          <w:tcPr>
            <w:tcW w:w="300" w:type="dxa"/>
            <w:vAlign w:val="bottom"/>
            <w:tcBorders>
              <w:right w:val="single" w:sz="8" w:color="D0CECE"/>
            </w:tcBorders>
            <w:shd w:val="clear" w:color="auto" w:fill="E8F5EA"/>
          </w:tcPr>
          <w:p>
            <w:pPr>
              <w:spacing w:after="0"/>
              <w:rPr>
                <w:sz w:val="24"/>
                <w:szCs w:val="24"/>
                <w:color w:val="auto"/>
              </w:rPr>
            </w:pPr>
          </w:p>
        </w:tc>
        <w:tc>
          <w:tcPr>
            <w:tcW w:w="9120" w:type="dxa"/>
            <w:vAlign w:val="bottom"/>
          </w:tcPr>
          <w:p>
            <w:pPr>
              <w:ind w:left="14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Overseeing director orientation and continuing education programs.</w:t>
            </w:r>
          </w:p>
        </w:tc>
        <w:tc>
          <w:tcPr>
            <w:tcW w:w="0" w:type="dxa"/>
            <w:vAlign w:val="bottom"/>
          </w:tcPr>
          <w:p>
            <w:pPr>
              <w:spacing w:after="0"/>
              <w:rPr>
                <w:sz w:val="1"/>
                <w:szCs w:val="1"/>
                <w:color w:val="auto"/>
              </w:rPr>
            </w:pPr>
          </w:p>
        </w:tc>
      </w:tr>
      <w:tr>
        <w:trPr>
          <w:trHeight w:val="364"/>
        </w:trPr>
        <w:tc>
          <w:tcPr>
            <w:tcW w:w="1840" w:type="dxa"/>
            <w:vAlign w:val="bottom"/>
            <w:shd w:val="clear" w:color="auto" w:fill="E8F5EA"/>
          </w:tcPr>
          <w:p>
            <w:pPr>
              <w:spacing w:after="0"/>
              <w:rPr>
                <w:sz w:val="24"/>
                <w:szCs w:val="24"/>
                <w:color w:val="auto"/>
              </w:rPr>
            </w:pPr>
          </w:p>
        </w:tc>
        <w:tc>
          <w:tcPr>
            <w:tcW w:w="300" w:type="dxa"/>
            <w:vAlign w:val="bottom"/>
            <w:tcBorders>
              <w:right w:val="single" w:sz="8" w:color="D0CECE"/>
            </w:tcBorders>
            <w:shd w:val="clear" w:color="auto" w:fill="E8F5EA"/>
          </w:tcPr>
          <w:p>
            <w:pPr>
              <w:spacing w:after="0"/>
              <w:rPr>
                <w:sz w:val="24"/>
                <w:szCs w:val="24"/>
                <w:color w:val="auto"/>
              </w:rPr>
            </w:pPr>
          </w:p>
        </w:tc>
        <w:tc>
          <w:tcPr>
            <w:tcW w:w="9120" w:type="dxa"/>
            <w:vAlign w:val="bottom"/>
          </w:tcPr>
          <w:p>
            <w:pPr>
              <w:ind w:left="14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Overseeing corporate social responsibility matters affecting the Company.</w:t>
            </w:r>
          </w:p>
        </w:tc>
        <w:tc>
          <w:tcPr>
            <w:tcW w:w="0" w:type="dxa"/>
            <w:vAlign w:val="bottom"/>
          </w:tcPr>
          <w:p>
            <w:pPr>
              <w:spacing w:after="0"/>
              <w:rPr>
                <w:sz w:val="1"/>
                <w:szCs w:val="1"/>
                <w:color w:val="auto"/>
              </w:rPr>
            </w:pPr>
          </w:p>
        </w:tc>
      </w:tr>
      <w:tr>
        <w:trPr>
          <w:trHeight w:val="333"/>
        </w:trPr>
        <w:tc>
          <w:tcPr>
            <w:tcW w:w="1840" w:type="dxa"/>
            <w:vAlign w:val="bottom"/>
            <w:shd w:val="clear" w:color="auto" w:fill="E8F5EA"/>
          </w:tcPr>
          <w:p>
            <w:pPr>
              <w:spacing w:after="0"/>
              <w:rPr>
                <w:sz w:val="24"/>
                <w:szCs w:val="24"/>
                <w:color w:val="auto"/>
              </w:rPr>
            </w:pPr>
          </w:p>
        </w:tc>
        <w:tc>
          <w:tcPr>
            <w:tcW w:w="300" w:type="dxa"/>
            <w:vAlign w:val="bottom"/>
            <w:tcBorders>
              <w:right w:val="single" w:sz="8" w:color="D0CECE"/>
            </w:tcBorders>
            <w:shd w:val="clear" w:color="auto" w:fill="E8F5EA"/>
          </w:tcPr>
          <w:p>
            <w:pPr>
              <w:spacing w:after="0"/>
              <w:rPr>
                <w:sz w:val="24"/>
                <w:szCs w:val="24"/>
                <w:color w:val="auto"/>
              </w:rPr>
            </w:pPr>
          </w:p>
        </w:tc>
        <w:tc>
          <w:tcPr>
            <w:tcW w:w="9120" w:type="dxa"/>
            <w:vAlign w:val="bottom"/>
          </w:tcPr>
          <w:p>
            <w:pPr>
              <w:ind w:left="140"/>
              <w:spacing w:after="0"/>
              <w:rPr>
                <w:sz w:val="20"/>
                <w:szCs w:val="20"/>
                <w:color w:val="auto"/>
              </w:rPr>
            </w:pPr>
            <w:r>
              <w:rPr>
                <w:rFonts w:ascii="Arial" w:cs="Arial" w:eastAsia="Arial" w:hAnsi="Arial"/>
                <w:sz w:val="16"/>
                <w:szCs w:val="16"/>
                <w:color w:val="auto"/>
              </w:rPr>
              <w:t>Please see "Corporate Governance — Director Nominations" for additional information on the Corporate Governance</w:t>
            </w:r>
          </w:p>
        </w:tc>
        <w:tc>
          <w:tcPr>
            <w:tcW w:w="0" w:type="dxa"/>
            <w:vAlign w:val="bottom"/>
          </w:tcPr>
          <w:p>
            <w:pPr>
              <w:spacing w:after="0"/>
              <w:rPr>
                <w:sz w:val="1"/>
                <w:szCs w:val="1"/>
                <w:color w:val="auto"/>
              </w:rPr>
            </w:pPr>
          </w:p>
        </w:tc>
      </w:tr>
      <w:tr>
        <w:trPr>
          <w:trHeight w:val="216"/>
        </w:trPr>
        <w:tc>
          <w:tcPr>
            <w:tcW w:w="1840" w:type="dxa"/>
            <w:vAlign w:val="bottom"/>
            <w:tcBorders>
              <w:bottom w:val="single" w:sz="8" w:color="53C072"/>
            </w:tcBorders>
            <w:shd w:val="clear" w:color="auto" w:fill="E8F5EA"/>
          </w:tcPr>
          <w:p>
            <w:pPr>
              <w:spacing w:after="0"/>
              <w:rPr>
                <w:sz w:val="18"/>
                <w:szCs w:val="18"/>
                <w:color w:val="auto"/>
              </w:rPr>
            </w:pPr>
          </w:p>
        </w:tc>
        <w:tc>
          <w:tcPr>
            <w:tcW w:w="300" w:type="dxa"/>
            <w:vAlign w:val="bottom"/>
            <w:tcBorders>
              <w:bottom w:val="single" w:sz="8" w:color="53C072"/>
              <w:right w:val="single" w:sz="8" w:color="D0CECE"/>
            </w:tcBorders>
            <w:shd w:val="clear" w:color="auto" w:fill="E8F5EA"/>
          </w:tcPr>
          <w:p>
            <w:pPr>
              <w:spacing w:after="0"/>
              <w:rPr>
                <w:sz w:val="18"/>
                <w:szCs w:val="18"/>
                <w:color w:val="auto"/>
              </w:rPr>
            </w:pPr>
          </w:p>
        </w:tc>
        <w:tc>
          <w:tcPr>
            <w:tcW w:w="9120" w:type="dxa"/>
            <w:vAlign w:val="bottom"/>
            <w:tcBorders>
              <w:bottom w:val="single" w:sz="8" w:color="53C072"/>
            </w:tcBorders>
          </w:tcPr>
          <w:p>
            <w:pPr>
              <w:ind w:left="140"/>
              <w:spacing w:after="0"/>
              <w:rPr>
                <w:sz w:val="20"/>
                <w:szCs w:val="20"/>
                <w:color w:val="auto"/>
              </w:rPr>
            </w:pPr>
            <w:r>
              <w:rPr>
                <w:rFonts w:ascii="Arial" w:cs="Arial" w:eastAsia="Arial" w:hAnsi="Arial"/>
                <w:sz w:val="16"/>
                <w:szCs w:val="16"/>
                <w:color w:val="auto"/>
              </w:rPr>
              <w:t>Committee.</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All the members of the Corporate Governance Committee meet the independence requirements of Nasdaq listing standards and the independence standards adopted by the Board of Directors.</w:t>
      </w:r>
    </w:p>
    <w:p>
      <w:pPr>
        <w:spacing w:after="0" w:line="137"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 xml:space="preserve">The Corporate Governance Committee operates under a written charter that outlines the Committee's purpose, member qualifications, authority and responsibilities. The Corporate Governance Committee reviews its charter and conducts an evaluation of its own effectiveness annually. The charter is available on the Company's website at </w:t>
      </w:r>
      <w:r>
        <w:rPr>
          <w:rFonts w:ascii="Arial" w:cs="Arial" w:eastAsia="Arial" w:hAnsi="Arial"/>
          <w:sz w:val="16"/>
          <w:szCs w:val="16"/>
          <w:u w:val="single" w:color="auto"/>
          <w:color w:val="auto"/>
        </w:rPr>
        <w:t>www.ir.avnet.com/documents-charters.</w:t>
      </w:r>
    </w:p>
    <w:p>
      <w:pPr>
        <w:spacing w:after="0" w:line="123" w:lineRule="exact"/>
        <w:rPr>
          <w:sz w:val="20"/>
          <w:szCs w:val="20"/>
          <w:color w:val="auto"/>
        </w:rPr>
      </w:pPr>
    </w:p>
    <w:p>
      <w:pPr>
        <w:jc w:val="both"/>
        <w:ind w:left="10720"/>
        <w:spacing w:after="0"/>
        <w:tabs>
          <w:tab w:leader="none" w:pos="11060" w:val="left"/>
        </w:tabs>
        <w:rPr>
          <w:sz w:val="20"/>
          <w:szCs w:val="20"/>
          <w:color w:val="auto"/>
        </w:rPr>
      </w:pPr>
      <w:r>
        <w:rPr>
          <w:rFonts w:ascii="Arial" w:cs="Arial" w:eastAsia="Arial" w:hAnsi="Arial"/>
          <w:sz w:val="23"/>
          <w:szCs w:val="23"/>
          <w:b w:val="1"/>
          <w:bCs w:val="1"/>
          <w:color w:val="53C072"/>
        </w:rPr>
        <w:t>|</w:t>
      </w:r>
      <w:r>
        <w:rPr>
          <w:sz w:val="20"/>
          <w:szCs w:val="20"/>
          <w:color w:val="auto"/>
        </w:rPr>
        <w:tab/>
      </w: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7151370" cy="203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-130175</wp:posOffset>
            </wp:positionV>
            <wp:extent cx="1664970" cy="1231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30" w:name="page31"/>
    <w:bookmarkEnd w:id="30"/>
    <w:tbl>
      <w:tblPr>
        <w:tblLayout w:type="fixed"/>
        <w:tblInd w:w="3" w:type="dxa"/>
        <w:tblCellMar>
          <w:top w:w="0" w:type="dxa"/>
          <w:left w:w="0" w:type="dxa"/>
          <w:bottom w:w="0" w:type="dxa"/>
          <w:right w:w="0" w:type="dxa"/>
        </w:tblCellMar>
      </w:tblPr>
      <w:tr>
        <w:trPr>
          <w:trHeight w:val="213"/>
        </w:trPr>
        <w:tc>
          <w:tcPr>
            <w:tcW w:w="502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6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02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6240" w:type="dxa"/>
            <w:vAlign w:val="bottom"/>
            <w:vMerge w:val="restart"/>
          </w:tcPr>
          <w:p>
            <w:pPr>
              <w:ind w:left="3780"/>
              <w:spacing w:after="0"/>
              <w:rPr>
                <w:sz w:val="20"/>
                <w:szCs w:val="20"/>
                <w:color w:val="auto"/>
              </w:rPr>
            </w:pPr>
            <w:r>
              <w:rPr>
                <w:rFonts w:ascii="Arial" w:cs="Arial" w:eastAsia="Arial" w:hAnsi="Arial"/>
                <w:sz w:val="13"/>
                <w:szCs w:val="13"/>
                <w:color w:val="auto"/>
                <w:w w:val="99"/>
              </w:rPr>
              <w:t>The Board of Directors and Its Committees</w:t>
            </w:r>
          </w:p>
        </w:tc>
        <w:tc>
          <w:tcPr>
            <w:tcW w:w="0" w:type="dxa"/>
            <w:vAlign w:val="bottom"/>
          </w:tcPr>
          <w:p>
            <w:pPr>
              <w:spacing w:after="0"/>
              <w:rPr>
                <w:sz w:val="1"/>
                <w:szCs w:val="1"/>
                <w:color w:val="auto"/>
              </w:rPr>
            </w:pPr>
          </w:p>
        </w:tc>
      </w:tr>
      <w:tr>
        <w:trPr>
          <w:trHeight w:val="102"/>
        </w:trPr>
        <w:tc>
          <w:tcPr>
            <w:tcW w:w="502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6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020" w:type="dxa"/>
            <w:vAlign w:val="bottom"/>
            <w:vMerge w:val="continue"/>
          </w:tcPr>
          <w:p>
            <w:pPr>
              <w:spacing w:after="0"/>
              <w:rPr>
                <w:sz w:val="7"/>
                <w:szCs w:val="7"/>
                <w:color w:val="auto"/>
              </w:rPr>
            </w:pPr>
          </w:p>
        </w:tc>
        <w:tc>
          <w:tcPr>
            <w:tcW w:w="6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53C072"/>
        </w:rPr>
        <w:t>FINANCE COMMITTEE</w:t>
      </w:r>
    </w:p>
    <w:p>
      <w:pPr>
        <w:sectPr>
          <w:pgSz w:w="11900" w:h="16838" w:orient="portrait"/>
          <w:cols w:equalWidth="0" w:num="1">
            <w:col w:w="11263"/>
          </w:cols>
          <w:pgMar w:left="317" w:top="122" w:right="319" w:bottom="1440" w:gutter="0" w:footer="0" w:header="0"/>
        </w:sectPr>
      </w:pPr>
    </w:p>
    <w:p>
      <w:pPr>
        <w:spacing w:after="0" w:line="207" w:lineRule="exact"/>
        <w:rPr>
          <w:sz w:val="20"/>
          <w:szCs w:val="20"/>
          <w:color w:val="auto"/>
        </w:rPr>
      </w:pPr>
    </w:p>
    <w:p>
      <w:pPr>
        <w:ind w:left="3"/>
        <w:spacing w:after="0"/>
        <w:rPr>
          <w:sz w:val="20"/>
          <w:szCs w:val="20"/>
          <w:color w:val="auto"/>
        </w:rPr>
      </w:pPr>
      <w:r>
        <w:rPr>
          <w:rFonts w:ascii="Arial" w:cs="Arial" w:eastAsia="Arial" w:hAnsi="Arial"/>
          <w:sz w:val="15"/>
          <w:szCs w:val="15"/>
          <w:b w:val="1"/>
          <w:bCs w:val="1"/>
          <w:color w:val="FFFFFE"/>
        </w:rPr>
        <w:t>FINANCE COMMITTEE</w:t>
      </w:r>
    </w:p>
    <w:p>
      <w:pPr>
        <w:spacing w:after="0" w:line="192"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Members:</w:t>
      </w:r>
    </w:p>
    <w:p>
      <w:pPr>
        <w:spacing w:after="0" w:line="18" w:lineRule="exact"/>
        <w:rPr>
          <w:sz w:val="20"/>
          <w:szCs w:val="20"/>
          <w:color w:val="auto"/>
        </w:rPr>
      </w:pPr>
    </w:p>
    <w:p>
      <w:pPr>
        <w:ind w:left="3"/>
        <w:spacing w:after="0"/>
        <w:rPr>
          <w:sz w:val="20"/>
          <w:szCs w:val="20"/>
          <w:color w:val="auto"/>
        </w:rPr>
      </w:pPr>
      <w:r>
        <w:rPr>
          <w:rFonts w:ascii="Arial" w:cs="Arial" w:eastAsia="Arial" w:hAnsi="Arial"/>
          <w:sz w:val="16"/>
          <w:szCs w:val="16"/>
          <w:color w:val="auto"/>
        </w:rPr>
        <w:t>William H.</w:t>
      </w:r>
    </w:p>
    <w:p>
      <w:pPr>
        <w:ind w:left="3"/>
        <w:spacing w:after="0"/>
        <w:rPr>
          <w:sz w:val="20"/>
          <w:szCs w:val="20"/>
          <w:color w:val="auto"/>
        </w:rPr>
      </w:pPr>
      <w:r>
        <w:rPr>
          <w:rFonts w:ascii="Arial" w:cs="Arial" w:eastAsia="Arial" w:hAnsi="Arial"/>
          <w:sz w:val="15"/>
          <w:szCs w:val="15"/>
          <w:color w:val="auto"/>
        </w:rPr>
        <w:t>Schumann, III (Chair)</w:t>
      </w:r>
    </w:p>
    <w:p>
      <w:pPr>
        <w:spacing w:after="0" w:line="8" w:lineRule="exact"/>
        <w:rPr>
          <w:sz w:val="20"/>
          <w:szCs w:val="20"/>
          <w:color w:val="auto"/>
        </w:rPr>
      </w:pPr>
    </w:p>
    <w:p>
      <w:pPr>
        <w:ind w:left="3"/>
        <w:spacing w:after="0"/>
        <w:rPr>
          <w:sz w:val="20"/>
          <w:szCs w:val="20"/>
          <w:color w:val="auto"/>
        </w:rPr>
      </w:pPr>
      <w:r>
        <w:rPr>
          <w:rFonts w:ascii="Arial" w:cs="Arial" w:eastAsia="Arial" w:hAnsi="Arial"/>
          <w:sz w:val="16"/>
          <w:szCs w:val="16"/>
          <w:color w:val="auto"/>
        </w:rPr>
        <w:t>Michael A. Bradley</w:t>
      </w:r>
    </w:p>
    <w:p>
      <w:pPr>
        <w:ind w:left="3"/>
        <w:spacing w:after="0" w:line="237" w:lineRule="auto"/>
        <w:rPr>
          <w:sz w:val="20"/>
          <w:szCs w:val="20"/>
          <w:color w:val="auto"/>
        </w:rPr>
      </w:pPr>
      <w:r>
        <w:rPr>
          <w:rFonts w:ascii="Arial" w:cs="Arial" w:eastAsia="Arial" w:hAnsi="Arial"/>
          <w:sz w:val="16"/>
          <w:szCs w:val="16"/>
          <w:color w:val="auto"/>
        </w:rPr>
        <w:t>Brenda L. Freeman</w:t>
      </w:r>
    </w:p>
    <w:p>
      <w:pPr>
        <w:ind w:left="3"/>
        <w:spacing w:after="0" w:line="238" w:lineRule="auto"/>
        <w:rPr>
          <w:sz w:val="20"/>
          <w:szCs w:val="20"/>
          <w:color w:val="auto"/>
        </w:rPr>
      </w:pPr>
      <w:r>
        <w:rPr>
          <w:rFonts w:ascii="Arial" w:cs="Arial" w:eastAsia="Arial" w:hAnsi="Arial"/>
          <w:sz w:val="16"/>
          <w:szCs w:val="16"/>
          <w:color w:val="auto"/>
        </w:rPr>
        <w:t>Oleg Khaykin</w:t>
      </w:r>
    </w:p>
    <w:p>
      <w:pPr>
        <w:ind w:left="3"/>
        <w:spacing w:after="0"/>
        <w:rPr>
          <w:sz w:val="20"/>
          <w:szCs w:val="20"/>
          <w:color w:val="auto"/>
        </w:rPr>
      </w:pPr>
      <w:r>
        <w:rPr>
          <w:rFonts w:ascii="Arial" w:cs="Arial" w:eastAsia="Arial" w:hAnsi="Arial"/>
          <w:sz w:val="16"/>
          <w:szCs w:val="16"/>
          <w:color w:val="auto"/>
        </w:rPr>
        <w:t>James A. Lawrence</w:t>
      </w:r>
    </w:p>
    <w:p>
      <w:pPr>
        <w:spacing w:after="0" w:line="170" w:lineRule="exact"/>
        <w:rPr>
          <w:sz w:val="20"/>
          <w:szCs w:val="20"/>
          <w:color w:val="auto"/>
        </w:rPr>
      </w:pPr>
    </w:p>
    <w:p>
      <w:pPr>
        <w:ind w:left="3" w:right="360"/>
        <w:spacing w:after="0" w:line="288" w:lineRule="auto"/>
        <w:rPr>
          <w:sz w:val="20"/>
          <w:szCs w:val="20"/>
          <w:color w:val="auto"/>
        </w:rPr>
      </w:pPr>
      <w:r>
        <w:rPr>
          <w:rFonts w:ascii="Arial" w:cs="Arial" w:eastAsia="Arial" w:hAnsi="Arial"/>
          <w:sz w:val="16"/>
          <w:szCs w:val="16"/>
          <w:b w:val="1"/>
          <w:bCs w:val="1"/>
          <w:color w:val="auto"/>
        </w:rPr>
        <w:t>Meetings in fiscal 2020: 1</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-1245870</wp:posOffset>
            </wp:positionH>
            <wp:positionV relativeFrom="paragraph">
              <wp:posOffset>-219710</wp:posOffset>
            </wp:positionV>
            <wp:extent cx="7146290" cy="22275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6290" cy="222758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Finance Committee is charged with:</w:t>
      </w:r>
    </w:p>
    <w:p>
      <w:pPr>
        <w:spacing w:after="0" w:line="180" w:lineRule="exact"/>
        <w:rPr>
          <w:sz w:val="20"/>
          <w:szCs w:val="20"/>
          <w:color w:val="auto"/>
        </w:rPr>
      </w:pPr>
    </w:p>
    <w:p>
      <w:pPr>
        <w:ind w:left="300" w:hanging="296"/>
        <w:spacing w:after="0"/>
        <w:tabs>
          <w:tab w:leader="none" w:pos="300" w:val="left"/>
        </w:tabs>
        <w:numPr>
          <w:ilvl w:val="0"/>
          <w:numId w:val="29"/>
        </w:numPr>
        <w:rPr>
          <w:rFonts w:ascii="Arial" w:cs="Arial" w:eastAsia="Arial" w:hAnsi="Arial"/>
          <w:sz w:val="16"/>
          <w:szCs w:val="16"/>
          <w:color w:val="53C072"/>
        </w:rPr>
      </w:pPr>
      <w:r>
        <w:rPr>
          <w:rFonts w:ascii="Arial" w:cs="Arial" w:eastAsia="Arial" w:hAnsi="Arial"/>
          <w:sz w:val="16"/>
          <w:szCs w:val="16"/>
          <w:color w:val="auto"/>
        </w:rPr>
        <w:t>Assisting the Board with its oversight responsibilities with respect to financial matters.</w:t>
      </w:r>
    </w:p>
    <w:p>
      <w:pPr>
        <w:spacing w:after="0" w:line="180" w:lineRule="exact"/>
        <w:rPr>
          <w:rFonts w:ascii="Arial" w:cs="Arial" w:eastAsia="Arial" w:hAnsi="Arial"/>
          <w:sz w:val="16"/>
          <w:szCs w:val="16"/>
          <w:color w:val="53C072"/>
        </w:rPr>
      </w:pPr>
    </w:p>
    <w:p>
      <w:pPr>
        <w:ind w:left="300" w:right="600" w:hanging="296"/>
        <w:spacing w:after="0" w:line="275" w:lineRule="auto"/>
        <w:tabs>
          <w:tab w:leader="none" w:pos="300" w:val="left"/>
        </w:tabs>
        <w:numPr>
          <w:ilvl w:val="0"/>
          <w:numId w:val="29"/>
        </w:numPr>
        <w:rPr>
          <w:rFonts w:ascii="Arial" w:cs="Arial" w:eastAsia="Arial" w:hAnsi="Arial"/>
          <w:sz w:val="16"/>
          <w:szCs w:val="16"/>
          <w:color w:val="53C072"/>
        </w:rPr>
      </w:pPr>
      <w:r>
        <w:rPr>
          <w:rFonts w:ascii="Arial" w:cs="Arial" w:eastAsia="Arial" w:hAnsi="Arial"/>
          <w:sz w:val="16"/>
          <w:szCs w:val="16"/>
          <w:color w:val="auto"/>
        </w:rPr>
        <w:t>Reviewing and providing guidance to the Board and management about capital allocation, capital structure, mergers and acquisitions, financial strategies, capital markets and share buybacks.</w:t>
      </w:r>
    </w:p>
    <w:p>
      <w:pPr>
        <w:spacing w:after="0" w:line="124" w:lineRule="exact"/>
        <w:rPr>
          <w:rFonts w:ascii="Arial" w:cs="Arial" w:eastAsia="Arial" w:hAnsi="Arial"/>
          <w:sz w:val="16"/>
          <w:szCs w:val="16"/>
          <w:color w:val="53C072"/>
        </w:rPr>
      </w:pPr>
    </w:p>
    <w:p>
      <w:pPr>
        <w:ind w:left="300" w:right="260" w:hanging="296"/>
        <w:spacing w:after="0" w:line="275" w:lineRule="auto"/>
        <w:tabs>
          <w:tab w:leader="none" w:pos="300" w:val="left"/>
        </w:tabs>
        <w:numPr>
          <w:ilvl w:val="0"/>
          <w:numId w:val="29"/>
        </w:numPr>
        <w:rPr>
          <w:rFonts w:ascii="Arial" w:cs="Arial" w:eastAsia="Arial" w:hAnsi="Arial"/>
          <w:sz w:val="16"/>
          <w:szCs w:val="16"/>
          <w:color w:val="53C072"/>
        </w:rPr>
      </w:pPr>
      <w:r>
        <w:rPr>
          <w:rFonts w:ascii="Arial" w:cs="Arial" w:eastAsia="Arial" w:hAnsi="Arial"/>
          <w:sz w:val="16"/>
          <w:szCs w:val="16"/>
          <w:color w:val="auto"/>
        </w:rPr>
        <w:t>Approving secured borrowings, loans and credit facilities, for amounts exceeding management's delegated authority up to the Finance Committee's delegated authority.</w:t>
      </w:r>
    </w:p>
    <w:p>
      <w:pPr>
        <w:spacing w:after="0" w:line="124" w:lineRule="exact"/>
        <w:rPr>
          <w:rFonts w:ascii="Arial" w:cs="Arial" w:eastAsia="Arial" w:hAnsi="Arial"/>
          <w:sz w:val="16"/>
          <w:szCs w:val="16"/>
          <w:color w:val="53C072"/>
        </w:rPr>
      </w:pPr>
    </w:p>
    <w:p>
      <w:pPr>
        <w:ind w:left="300" w:right="80" w:hanging="296"/>
        <w:spacing w:after="0" w:line="275" w:lineRule="auto"/>
        <w:tabs>
          <w:tab w:leader="none" w:pos="300" w:val="left"/>
        </w:tabs>
        <w:numPr>
          <w:ilvl w:val="0"/>
          <w:numId w:val="29"/>
        </w:numPr>
        <w:rPr>
          <w:rFonts w:ascii="Arial" w:cs="Arial" w:eastAsia="Arial" w:hAnsi="Arial"/>
          <w:sz w:val="16"/>
          <w:szCs w:val="16"/>
          <w:color w:val="53C072"/>
        </w:rPr>
      </w:pPr>
      <w:r>
        <w:rPr>
          <w:rFonts w:ascii="Arial" w:cs="Arial" w:eastAsia="Arial" w:hAnsi="Arial"/>
          <w:sz w:val="16"/>
          <w:szCs w:val="16"/>
          <w:color w:val="auto"/>
        </w:rPr>
        <w:t>Approving real estate transactions (i.e. leases, sales, purchases and similar transactions) for amounts exceeding management's delegated authority.</w:t>
      </w:r>
    </w:p>
    <w:p>
      <w:pPr>
        <w:spacing w:after="0" w:line="124" w:lineRule="exact"/>
        <w:rPr>
          <w:rFonts w:ascii="Arial" w:cs="Arial" w:eastAsia="Arial" w:hAnsi="Arial"/>
          <w:sz w:val="16"/>
          <w:szCs w:val="16"/>
          <w:color w:val="53C072"/>
        </w:rPr>
      </w:pPr>
    </w:p>
    <w:p>
      <w:pPr>
        <w:ind w:left="300" w:hanging="296"/>
        <w:spacing w:after="0"/>
        <w:tabs>
          <w:tab w:leader="none" w:pos="300" w:val="left"/>
        </w:tabs>
        <w:numPr>
          <w:ilvl w:val="0"/>
          <w:numId w:val="29"/>
        </w:numPr>
        <w:rPr>
          <w:rFonts w:ascii="Arial" w:cs="Arial" w:eastAsia="Arial" w:hAnsi="Arial"/>
          <w:sz w:val="16"/>
          <w:szCs w:val="16"/>
          <w:color w:val="53C072"/>
        </w:rPr>
      </w:pPr>
      <w:r>
        <w:rPr>
          <w:rFonts w:ascii="Arial" w:cs="Arial" w:eastAsia="Arial" w:hAnsi="Arial"/>
          <w:sz w:val="16"/>
          <w:szCs w:val="16"/>
          <w:color w:val="auto"/>
        </w:rPr>
        <w:t>Approving company guarantees and similar instruments for amounts exceeding management's delegated authority.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Board established the Finance Committee as a standing committee on May 20, 2020.</w:t>
      </w:r>
    </w:p>
    <w:p>
      <w:pPr>
        <w:spacing w:after="0" w:line="200" w:lineRule="exact"/>
        <w:rPr>
          <w:sz w:val="20"/>
          <w:szCs w:val="20"/>
          <w:color w:val="auto"/>
        </w:rPr>
      </w:pPr>
    </w:p>
    <w:p>
      <w:pPr>
        <w:sectPr>
          <w:pgSz w:w="11900" w:h="16838" w:orient="portrait"/>
          <w:cols w:equalWidth="0" w:num="2">
            <w:col w:w="1683" w:space="280"/>
            <w:col w:w="9300"/>
          </w:cols>
          <w:pgMar w:left="317" w:top="122" w:right="319" w:bottom="1440" w:gutter="0" w:footer="0" w:header="0"/>
          <w:type w:val="continuous"/>
        </w:sectPr>
      </w:pPr>
    </w:p>
    <w:p>
      <w:pPr>
        <w:spacing w:after="0" w:line="29" w:lineRule="exact"/>
        <w:rPr>
          <w:sz w:val="20"/>
          <w:szCs w:val="20"/>
          <w:color w:val="auto"/>
        </w:rPr>
      </w:pPr>
    </w:p>
    <w:p>
      <w:pPr>
        <w:ind w:left="3" w:right="240"/>
        <w:spacing w:after="0" w:line="275" w:lineRule="auto"/>
        <w:rPr>
          <w:sz w:val="20"/>
          <w:szCs w:val="20"/>
          <w:color w:val="auto"/>
        </w:rPr>
      </w:pPr>
      <w:r>
        <w:rPr>
          <w:rFonts w:ascii="Arial" w:cs="Arial" w:eastAsia="Arial" w:hAnsi="Arial"/>
          <w:sz w:val="16"/>
          <w:szCs w:val="16"/>
          <w:color w:val="auto"/>
        </w:rPr>
        <w:t>All the members of the Finance Committee meet the independence requirements of Nasdaq listing standards and the independence standards adopted by the Board of Directors.</w:t>
      </w:r>
    </w:p>
    <w:p>
      <w:pPr>
        <w:spacing w:after="0" w:line="137" w:lineRule="exact"/>
        <w:rPr>
          <w:sz w:val="20"/>
          <w:szCs w:val="20"/>
          <w:color w:val="auto"/>
        </w:rPr>
      </w:pPr>
    </w:p>
    <w:p>
      <w:pPr>
        <w:jc w:val="both"/>
        <w:ind w:left="3" w:right="540"/>
        <w:spacing w:after="0" w:line="256" w:lineRule="auto"/>
        <w:rPr>
          <w:sz w:val="20"/>
          <w:szCs w:val="20"/>
          <w:color w:val="auto"/>
        </w:rPr>
      </w:pPr>
      <w:r>
        <w:rPr>
          <w:rFonts w:ascii="Arial" w:cs="Arial" w:eastAsia="Arial" w:hAnsi="Arial"/>
          <w:sz w:val="16"/>
          <w:szCs w:val="16"/>
          <w:color w:val="auto"/>
        </w:rPr>
        <w:t xml:space="preserve">The Finance Committee operates under a written charter that outlines the Committee's purpose, member qualifications, authority and responsibilities. The Finance Committee reviews its charter and conducts an evaluation of its own effectiveness annually. The charter is available on the Company's website at </w:t>
      </w:r>
      <w:r>
        <w:rPr>
          <w:rFonts w:ascii="Arial" w:cs="Arial" w:eastAsia="Arial" w:hAnsi="Arial"/>
          <w:sz w:val="16"/>
          <w:szCs w:val="16"/>
          <w:u w:val="single" w:color="auto"/>
          <w:color w:val="auto"/>
        </w:rPr>
        <w:t>www.ir.avnet.com/documents-charters</w:t>
      </w:r>
      <w:r>
        <w:rPr>
          <w:rFonts w:ascii="Arial" w:cs="Arial" w:eastAsia="Arial" w:hAnsi="Arial"/>
          <w:sz w:val="16"/>
          <w:szCs w:val="16"/>
          <w:color w:val="auto"/>
        </w:rPr>
        <w:t>.</w:t>
      </w:r>
    </w:p>
    <w:p>
      <w:pPr>
        <w:spacing w:after="0" w:line="137"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53C072"/>
        </w:rPr>
        <w:t>EXECUTIVE COMMITTEE</w:t>
      </w:r>
    </w:p>
    <w:p>
      <w:pPr>
        <w:spacing w:after="0" w:line="20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FFFFFE"/>
        </w:rPr>
        <w:t>EXECUTIVE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-104140</wp:posOffset>
            </wp:positionV>
            <wp:extent cx="7146290" cy="22275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6290" cy="2227580"/>
                    </a:xfrm>
                    <a:prstGeom prst="rect">
                      <a:avLst/>
                    </a:prstGeom>
                    <a:noFill/>
                  </pic:spPr>
                </pic:pic>
              </a:graphicData>
            </a:graphic>
          </wp:anchor>
        </w:drawing>
      </w:r>
    </w:p>
    <w:tbl>
      <w:tblPr>
        <w:tblLayout w:type="fixed"/>
        <w:tblInd w:w="3" w:type="dxa"/>
        <w:tblCellMar>
          <w:top w:w="0" w:type="dxa"/>
          <w:left w:w="0" w:type="dxa"/>
          <w:bottom w:w="0" w:type="dxa"/>
          <w:right w:w="0" w:type="dxa"/>
        </w:tblCellMar>
      </w:tblPr>
      <w:tr>
        <w:trPr>
          <w:trHeight w:val="223"/>
        </w:trPr>
        <w:tc>
          <w:tcPr>
            <w:tcW w:w="1020" w:type="dxa"/>
            <w:vAlign w:val="bottom"/>
            <w:vMerge w:val="restart"/>
          </w:tcPr>
          <w:p>
            <w:pPr>
              <w:spacing w:after="0"/>
              <w:rPr>
                <w:sz w:val="20"/>
                <w:szCs w:val="20"/>
                <w:color w:val="auto"/>
              </w:rPr>
            </w:pPr>
            <w:r>
              <w:rPr>
                <w:rFonts w:ascii="Arial" w:cs="Arial" w:eastAsia="Arial" w:hAnsi="Arial"/>
                <w:sz w:val="16"/>
                <w:szCs w:val="16"/>
                <w:b w:val="1"/>
                <w:bCs w:val="1"/>
                <w:color w:val="auto"/>
              </w:rPr>
              <w:t>Members:</w:t>
            </w:r>
          </w:p>
        </w:tc>
        <w:tc>
          <w:tcPr>
            <w:tcW w:w="9900" w:type="dxa"/>
            <w:vAlign w:val="bottom"/>
          </w:tcPr>
          <w:p>
            <w:pPr>
              <w:ind w:left="220"/>
              <w:spacing w:after="0"/>
              <w:rPr>
                <w:sz w:val="20"/>
                <w:szCs w:val="20"/>
                <w:color w:val="auto"/>
              </w:rPr>
            </w:pPr>
            <w:r>
              <w:rPr>
                <w:rFonts w:ascii="Arial" w:cs="Arial" w:eastAsia="Arial" w:hAnsi="Arial"/>
                <w:sz w:val="16"/>
                <w:szCs w:val="16"/>
                <w:b w:val="1"/>
                <w:bCs w:val="1"/>
                <w:color w:val="auto"/>
              </w:rPr>
              <w:t>Responsibilities</w:t>
            </w:r>
          </w:p>
        </w:tc>
        <w:tc>
          <w:tcPr>
            <w:tcW w:w="0" w:type="dxa"/>
            <w:vAlign w:val="bottom"/>
          </w:tcPr>
          <w:p>
            <w:pPr>
              <w:spacing w:after="0"/>
              <w:rPr>
                <w:sz w:val="1"/>
                <w:szCs w:val="1"/>
                <w:color w:val="auto"/>
              </w:rPr>
            </w:pPr>
          </w:p>
        </w:tc>
      </w:tr>
      <w:tr>
        <w:trPr>
          <w:trHeight w:val="121"/>
        </w:trPr>
        <w:tc>
          <w:tcPr>
            <w:tcW w:w="1020" w:type="dxa"/>
            <w:vAlign w:val="bottom"/>
            <w:vMerge w:val="continue"/>
          </w:tcPr>
          <w:p>
            <w:pPr>
              <w:spacing w:after="0"/>
              <w:rPr>
                <w:sz w:val="10"/>
                <w:szCs w:val="10"/>
                <w:color w:val="auto"/>
              </w:rPr>
            </w:pPr>
          </w:p>
        </w:tc>
        <w:tc>
          <w:tcPr>
            <w:tcW w:w="9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020" w:type="dxa"/>
            <w:vAlign w:val="bottom"/>
          </w:tcPr>
          <w:p>
            <w:pPr>
              <w:spacing w:after="0" w:line="182" w:lineRule="exact"/>
              <w:rPr>
                <w:sz w:val="20"/>
                <w:szCs w:val="20"/>
                <w:color w:val="auto"/>
              </w:rPr>
            </w:pPr>
            <w:r>
              <w:rPr>
                <w:rFonts w:ascii="Arial" w:cs="Arial" w:eastAsia="Arial" w:hAnsi="Arial"/>
                <w:sz w:val="16"/>
                <w:szCs w:val="16"/>
                <w:color w:val="auto"/>
              </w:rPr>
              <w:t>Rodney C.</w:t>
            </w:r>
          </w:p>
        </w:tc>
        <w:tc>
          <w:tcPr>
            <w:tcW w:w="9900" w:type="dxa"/>
            <w:vAlign w:val="bottom"/>
          </w:tcPr>
          <w:p>
            <w:pPr>
              <w:ind w:left="220"/>
              <w:spacing w:after="0" w:line="182" w:lineRule="exact"/>
              <w:rPr>
                <w:sz w:val="20"/>
                <w:szCs w:val="20"/>
                <w:color w:val="auto"/>
              </w:rPr>
            </w:pPr>
            <w:r>
              <w:rPr>
                <w:rFonts w:ascii="Arial" w:cs="Arial" w:eastAsia="Arial" w:hAnsi="Arial"/>
                <w:sz w:val="16"/>
                <w:szCs w:val="16"/>
                <w:color w:val="auto"/>
              </w:rPr>
              <w:t>The Board established the Executive Committee to exercise the powers and authority of the Board during the intervals between Board</w:t>
            </w:r>
          </w:p>
        </w:tc>
        <w:tc>
          <w:tcPr>
            <w:tcW w:w="0" w:type="dxa"/>
            <w:vAlign w:val="bottom"/>
          </w:tcPr>
          <w:p>
            <w:pPr>
              <w:spacing w:after="0"/>
              <w:rPr>
                <w:sz w:val="1"/>
                <w:szCs w:val="1"/>
                <w:color w:val="auto"/>
              </w:rPr>
            </w:pPr>
          </w:p>
        </w:tc>
      </w:tr>
      <w:tr>
        <w:trPr>
          <w:trHeight w:val="182"/>
        </w:trPr>
        <w:tc>
          <w:tcPr>
            <w:tcW w:w="1020" w:type="dxa"/>
            <w:vAlign w:val="bottom"/>
          </w:tcPr>
          <w:p>
            <w:pPr>
              <w:spacing w:after="0" w:line="182" w:lineRule="exact"/>
              <w:rPr>
                <w:sz w:val="20"/>
                <w:szCs w:val="20"/>
                <w:color w:val="auto"/>
              </w:rPr>
            </w:pPr>
            <w:r>
              <w:rPr>
                <w:rFonts w:ascii="Arial" w:cs="Arial" w:eastAsia="Arial" w:hAnsi="Arial"/>
                <w:sz w:val="16"/>
                <w:szCs w:val="16"/>
                <w:color w:val="auto"/>
              </w:rPr>
              <w:t>Adkins</w:t>
            </w:r>
          </w:p>
        </w:tc>
        <w:tc>
          <w:tcPr>
            <w:tcW w:w="9900" w:type="dxa"/>
            <w:vAlign w:val="bottom"/>
          </w:tcPr>
          <w:p>
            <w:pPr>
              <w:ind w:left="220"/>
              <w:spacing w:after="0" w:line="182" w:lineRule="exact"/>
              <w:rPr>
                <w:sz w:val="20"/>
                <w:szCs w:val="20"/>
                <w:color w:val="auto"/>
              </w:rPr>
            </w:pPr>
            <w:r>
              <w:rPr>
                <w:rFonts w:ascii="Arial" w:cs="Arial" w:eastAsia="Arial" w:hAnsi="Arial"/>
                <w:sz w:val="16"/>
                <w:szCs w:val="16"/>
                <w:color w:val="auto"/>
                <w:w w:val="98"/>
              </w:rPr>
              <w:t>meetings when the Chair of the Board determines that convening a special Board meeting is not warranted. The Executive Committee may</w:t>
            </w:r>
          </w:p>
        </w:tc>
        <w:tc>
          <w:tcPr>
            <w:tcW w:w="0" w:type="dxa"/>
            <w:vAlign w:val="bottom"/>
          </w:tcPr>
          <w:p>
            <w:pPr>
              <w:spacing w:after="0"/>
              <w:rPr>
                <w:sz w:val="1"/>
                <w:szCs w:val="1"/>
                <w:color w:val="auto"/>
              </w:rPr>
            </w:pPr>
          </w:p>
        </w:tc>
      </w:tr>
      <w:tr>
        <w:trPr>
          <w:trHeight w:val="182"/>
        </w:trPr>
        <w:tc>
          <w:tcPr>
            <w:tcW w:w="1020" w:type="dxa"/>
            <w:vAlign w:val="bottom"/>
          </w:tcPr>
          <w:p>
            <w:pPr>
              <w:spacing w:after="0" w:line="182" w:lineRule="exact"/>
              <w:rPr>
                <w:sz w:val="20"/>
                <w:szCs w:val="20"/>
                <w:color w:val="auto"/>
              </w:rPr>
            </w:pPr>
            <w:r>
              <w:rPr>
                <w:rFonts w:ascii="Arial" w:cs="Arial" w:eastAsia="Arial" w:hAnsi="Arial"/>
                <w:sz w:val="16"/>
                <w:szCs w:val="16"/>
                <w:color w:val="auto"/>
              </w:rPr>
              <w:t>(Chair)</w:t>
            </w:r>
          </w:p>
        </w:tc>
        <w:tc>
          <w:tcPr>
            <w:tcW w:w="9900" w:type="dxa"/>
            <w:vAlign w:val="bottom"/>
          </w:tcPr>
          <w:p>
            <w:pPr>
              <w:ind w:left="220"/>
              <w:spacing w:after="0" w:line="182" w:lineRule="exact"/>
              <w:rPr>
                <w:sz w:val="20"/>
                <w:szCs w:val="20"/>
                <w:color w:val="auto"/>
              </w:rPr>
            </w:pPr>
            <w:r>
              <w:rPr>
                <w:rFonts w:ascii="Arial" w:cs="Arial" w:eastAsia="Arial" w:hAnsi="Arial"/>
                <w:sz w:val="16"/>
                <w:szCs w:val="16"/>
                <w:color w:val="auto"/>
              </w:rPr>
              <w:t>exercise the powers and authority of the Board except those not permitted by law or the Company's Bylaws. Therefore, the Executive</w:t>
            </w:r>
          </w:p>
        </w:tc>
        <w:tc>
          <w:tcPr>
            <w:tcW w:w="0" w:type="dxa"/>
            <w:vAlign w:val="bottom"/>
          </w:tcPr>
          <w:p>
            <w:pPr>
              <w:spacing w:after="0"/>
              <w:rPr>
                <w:sz w:val="1"/>
                <w:szCs w:val="1"/>
                <w:color w:val="auto"/>
              </w:rPr>
            </w:pPr>
          </w:p>
        </w:tc>
      </w:tr>
      <w:tr>
        <w:trPr>
          <w:trHeight w:val="182"/>
        </w:trPr>
        <w:tc>
          <w:tcPr>
            <w:tcW w:w="1020" w:type="dxa"/>
            <w:vAlign w:val="bottom"/>
          </w:tcPr>
          <w:p>
            <w:pPr>
              <w:spacing w:after="0" w:line="182" w:lineRule="exact"/>
              <w:rPr>
                <w:sz w:val="20"/>
                <w:szCs w:val="20"/>
                <w:color w:val="auto"/>
              </w:rPr>
            </w:pPr>
            <w:r>
              <w:rPr>
                <w:rFonts w:ascii="Arial" w:cs="Arial" w:eastAsia="Arial" w:hAnsi="Arial"/>
                <w:sz w:val="16"/>
                <w:szCs w:val="16"/>
                <w:color w:val="auto"/>
              </w:rPr>
              <w:t>Michael A.</w:t>
            </w:r>
          </w:p>
        </w:tc>
        <w:tc>
          <w:tcPr>
            <w:tcW w:w="9900" w:type="dxa"/>
            <w:vAlign w:val="bottom"/>
          </w:tcPr>
          <w:p>
            <w:pPr>
              <w:ind w:left="220"/>
              <w:spacing w:after="0" w:line="182" w:lineRule="exact"/>
              <w:rPr>
                <w:sz w:val="20"/>
                <w:szCs w:val="20"/>
                <w:color w:val="auto"/>
              </w:rPr>
            </w:pPr>
            <w:r>
              <w:rPr>
                <w:rFonts w:ascii="Arial" w:cs="Arial" w:eastAsia="Arial" w:hAnsi="Arial"/>
                <w:sz w:val="16"/>
                <w:szCs w:val="16"/>
                <w:color w:val="auto"/>
              </w:rPr>
              <w:t>Committee does not have the authority to:</w:t>
            </w:r>
          </w:p>
        </w:tc>
        <w:tc>
          <w:tcPr>
            <w:tcW w:w="0" w:type="dxa"/>
            <w:vAlign w:val="bottom"/>
          </w:tcPr>
          <w:p>
            <w:pPr>
              <w:spacing w:after="0"/>
              <w:rPr>
                <w:sz w:val="1"/>
                <w:szCs w:val="1"/>
                <w:color w:val="auto"/>
              </w:rPr>
            </w:pPr>
          </w:p>
        </w:tc>
      </w:tr>
      <w:tr>
        <w:trPr>
          <w:trHeight w:val="182"/>
        </w:trPr>
        <w:tc>
          <w:tcPr>
            <w:tcW w:w="1020" w:type="dxa"/>
            <w:vAlign w:val="bottom"/>
          </w:tcPr>
          <w:p>
            <w:pPr>
              <w:spacing w:after="0" w:line="182" w:lineRule="exact"/>
              <w:rPr>
                <w:sz w:val="20"/>
                <w:szCs w:val="20"/>
                <w:color w:val="auto"/>
              </w:rPr>
            </w:pPr>
            <w:r>
              <w:rPr>
                <w:rFonts w:ascii="Arial" w:cs="Arial" w:eastAsia="Arial" w:hAnsi="Arial"/>
                <w:sz w:val="16"/>
                <w:szCs w:val="16"/>
                <w:color w:val="auto"/>
              </w:rPr>
              <w:t>Bradley</w:t>
            </w:r>
          </w:p>
        </w:tc>
        <w:tc>
          <w:tcPr>
            <w:tcW w:w="9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20" w:type="dxa"/>
            <w:vAlign w:val="bottom"/>
          </w:tcPr>
          <w:p>
            <w:pPr>
              <w:spacing w:after="0" w:line="182" w:lineRule="exact"/>
              <w:rPr>
                <w:sz w:val="20"/>
                <w:szCs w:val="20"/>
                <w:color w:val="auto"/>
              </w:rPr>
            </w:pPr>
            <w:r>
              <w:rPr>
                <w:rFonts w:ascii="Arial" w:cs="Arial" w:eastAsia="Arial" w:hAnsi="Arial"/>
                <w:sz w:val="16"/>
                <w:szCs w:val="16"/>
                <w:color w:val="auto"/>
              </w:rPr>
              <w:t>James A.</w:t>
            </w:r>
          </w:p>
        </w:tc>
        <w:tc>
          <w:tcPr>
            <w:tcW w:w="9900" w:type="dxa"/>
            <w:vAlign w:val="bottom"/>
          </w:tcPr>
          <w:p>
            <w:pPr>
              <w:ind w:left="220"/>
              <w:spacing w:after="0" w:line="182" w:lineRule="exact"/>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Submit to shareholders any action that needs shareholders' approval under applicable law,</w:t>
            </w:r>
          </w:p>
        </w:tc>
        <w:tc>
          <w:tcPr>
            <w:tcW w:w="0" w:type="dxa"/>
            <w:vAlign w:val="bottom"/>
          </w:tcPr>
          <w:p>
            <w:pPr>
              <w:spacing w:after="0"/>
              <w:rPr>
                <w:sz w:val="1"/>
                <w:szCs w:val="1"/>
                <w:color w:val="auto"/>
              </w:rPr>
            </w:pPr>
          </w:p>
        </w:tc>
      </w:tr>
      <w:tr>
        <w:trPr>
          <w:trHeight w:val="182"/>
        </w:trPr>
        <w:tc>
          <w:tcPr>
            <w:tcW w:w="1020" w:type="dxa"/>
            <w:vAlign w:val="bottom"/>
          </w:tcPr>
          <w:p>
            <w:pPr>
              <w:spacing w:after="0" w:line="182" w:lineRule="exact"/>
              <w:rPr>
                <w:sz w:val="20"/>
                <w:szCs w:val="20"/>
                <w:color w:val="auto"/>
              </w:rPr>
            </w:pPr>
            <w:r>
              <w:rPr>
                <w:rFonts w:ascii="Arial" w:cs="Arial" w:eastAsia="Arial" w:hAnsi="Arial"/>
                <w:sz w:val="16"/>
                <w:szCs w:val="16"/>
                <w:color w:val="auto"/>
              </w:rPr>
              <w:t>Lawrence</w:t>
            </w:r>
          </w:p>
        </w:tc>
        <w:tc>
          <w:tcPr>
            <w:tcW w:w="9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20" w:type="dxa"/>
            <w:vAlign w:val="bottom"/>
          </w:tcPr>
          <w:p>
            <w:pPr>
              <w:spacing w:after="0" w:line="182" w:lineRule="exact"/>
              <w:rPr>
                <w:sz w:val="20"/>
                <w:szCs w:val="20"/>
                <w:color w:val="auto"/>
              </w:rPr>
            </w:pPr>
            <w:r>
              <w:rPr>
                <w:rFonts w:ascii="Arial" w:cs="Arial" w:eastAsia="Arial" w:hAnsi="Arial"/>
                <w:sz w:val="16"/>
                <w:szCs w:val="16"/>
                <w:color w:val="auto"/>
              </w:rPr>
              <w:t>Avid</w:t>
            </w:r>
          </w:p>
        </w:tc>
        <w:tc>
          <w:tcPr>
            <w:tcW w:w="9900" w:type="dxa"/>
            <w:vAlign w:val="bottom"/>
          </w:tcPr>
          <w:p>
            <w:pPr>
              <w:ind w:left="220"/>
              <w:spacing w:after="0" w:line="182" w:lineRule="exact"/>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Fill vacancies in the Board or any Board Committee,</w:t>
            </w:r>
          </w:p>
        </w:tc>
        <w:tc>
          <w:tcPr>
            <w:tcW w:w="0" w:type="dxa"/>
            <w:vAlign w:val="bottom"/>
          </w:tcPr>
          <w:p>
            <w:pPr>
              <w:spacing w:after="0"/>
              <w:rPr>
                <w:sz w:val="1"/>
                <w:szCs w:val="1"/>
                <w:color w:val="auto"/>
              </w:rPr>
            </w:pPr>
          </w:p>
        </w:tc>
      </w:tr>
      <w:tr>
        <w:trPr>
          <w:trHeight w:val="182"/>
        </w:trPr>
        <w:tc>
          <w:tcPr>
            <w:tcW w:w="1020" w:type="dxa"/>
            <w:vAlign w:val="bottom"/>
          </w:tcPr>
          <w:p>
            <w:pPr>
              <w:spacing w:after="0" w:line="182" w:lineRule="exact"/>
              <w:rPr>
                <w:sz w:val="20"/>
                <w:szCs w:val="20"/>
                <w:color w:val="auto"/>
              </w:rPr>
            </w:pPr>
            <w:r>
              <w:rPr>
                <w:rFonts w:ascii="Arial" w:cs="Arial" w:eastAsia="Arial" w:hAnsi="Arial"/>
                <w:sz w:val="16"/>
                <w:szCs w:val="16"/>
                <w:color w:val="auto"/>
              </w:rPr>
              <w:t>Modjtabai</w:t>
            </w:r>
          </w:p>
        </w:tc>
        <w:tc>
          <w:tcPr>
            <w:tcW w:w="9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20" w:type="dxa"/>
            <w:vAlign w:val="bottom"/>
          </w:tcPr>
          <w:p>
            <w:pPr>
              <w:spacing w:after="0" w:line="182" w:lineRule="exact"/>
              <w:rPr>
                <w:sz w:val="20"/>
                <w:szCs w:val="20"/>
                <w:color w:val="auto"/>
              </w:rPr>
            </w:pPr>
            <w:r>
              <w:rPr>
                <w:rFonts w:ascii="Arial" w:cs="Arial" w:eastAsia="Arial" w:hAnsi="Arial"/>
                <w:sz w:val="16"/>
                <w:szCs w:val="16"/>
                <w:color w:val="auto"/>
              </w:rPr>
              <w:t>William H.</w:t>
            </w:r>
          </w:p>
        </w:tc>
        <w:tc>
          <w:tcPr>
            <w:tcW w:w="9900" w:type="dxa"/>
            <w:vAlign w:val="bottom"/>
          </w:tcPr>
          <w:p>
            <w:pPr>
              <w:ind w:left="220"/>
              <w:spacing w:after="0" w:line="182" w:lineRule="exact"/>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Fix compensation for Directors serving on the Board or any Board Committee,</w:t>
            </w:r>
          </w:p>
        </w:tc>
        <w:tc>
          <w:tcPr>
            <w:tcW w:w="0" w:type="dxa"/>
            <w:vAlign w:val="bottom"/>
          </w:tcPr>
          <w:p>
            <w:pPr>
              <w:spacing w:after="0"/>
              <w:rPr>
                <w:sz w:val="1"/>
                <w:szCs w:val="1"/>
                <w:color w:val="auto"/>
              </w:rPr>
            </w:pPr>
          </w:p>
        </w:tc>
      </w:tr>
      <w:tr>
        <w:trPr>
          <w:trHeight w:val="202"/>
        </w:trPr>
        <w:tc>
          <w:tcPr>
            <w:tcW w:w="1020" w:type="dxa"/>
            <w:vAlign w:val="bottom"/>
          </w:tcPr>
          <w:p>
            <w:pPr>
              <w:spacing w:after="0"/>
              <w:rPr>
                <w:sz w:val="20"/>
                <w:szCs w:val="20"/>
                <w:color w:val="auto"/>
              </w:rPr>
            </w:pPr>
            <w:r>
              <w:rPr>
                <w:rFonts w:ascii="Arial" w:cs="Arial" w:eastAsia="Arial" w:hAnsi="Arial"/>
                <w:sz w:val="16"/>
                <w:szCs w:val="16"/>
                <w:color w:val="auto"/>
              </w:rPr>
              <w:t>Schumann,</w:t>
            </w:r>
          </w:p>
        </w:tc>
        <w:tc>
          <w:tcPr>
            <w:tcW w:w="9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243" w:hanging="1243"/>
        <w:spacing w:after="0"/>
        <w:tabs>
          <w:tab w:leader="none" w:pos="1243" w:val="left"/>
        </w:tabs>
        <w:numPr>
          <w:ilvl w:val="0"/>
          <w:numId w:val="30"/>
        </w:numPr>
        <w:rPr>
          <w:rFonts w:ascii="Arial" w:cs="Arial" w:eastAsia="Arial" w:hAnsi="Arial"/>
          <w:sz w:val="16"/>
          <w:szCs w:val="16"/>
          <w:color w:val="auto"/>
        </w:rPr>
      </w:pPr>
      <w:r>
        <w:rPr>
          <w:rFonts w:ascii="Arial" w:cs="Arial" w:eastAsia="Arial" w:hAnsi="Arial"/>
          <w:sz w:val="16"/>
          <w:szCs w:val="16"/>
          <w:color w:val="53C072"/>
        </w:rPr>
        <w:t xml:space="preserve">•   </w:t>
      </w:r>
      <w:r>
        <w:rPr>
          <w:rFonts w:ascii="Arial" w:cs="Arial" w:eastAsia="Arial" w:hAnsi="Arial"/>
          <w:sz w:val="16"/>
          <w:szCs w:val="16"/>
          <w:color w:val="000000"/>
        </w:rPr>
        <w:t>Amend or repeal the Bylaws or adopt new bylaws or</w:t>
      </w:r>
    </w:p>
    <w:p>
      <w:pPr>
        <w:spacing w:after="0" w:line="160" w:lineRule="exact"/>
        <w:rPr>
          <w:sz w:val="20"/>
          <w:szCs w:val="20"/>
          <w:color w:val="auto"/>
        </w:rPr>
      </w:pPr>
    </w:p>
    <w:tbl>
      <w:tblPr>
        <w:tblLayout w:type="fixed"/>
        <w:tblInd w:w="3" w:type="dxa"/>
        <w:tblCellMar>
          <w:top w:w="0" w:type="dxa"/>
          <w:left w:w="0" w:type="dxa"/>
          <w:bottom w:w="0" w:type="dxa"/>
          <w:right w:w="0" w:type="dxa"/>
        </w:tblCellMar>
      </w:tblPr>
      <w:tr>
        <w:trPr>
          <w:trHeight w:val="192"/>
        </w:trPr>
        <w:tc>
          <w:tcPr>
            <w:tcW w:w="940" w:type="dxa"/>
            <w:vAlign w:val="bottom"/>
          </w:tcPr>
          <w:p>
            <w:pPr>
              <w:spacing w:after="0"/>
              <w:rPr>
                <w:sz w:val="20"/>
                <w:szCs w:val="20"/>
                <w:color w:val="auto"/>
              </w:rPr>
            </w:pPr>
            <w:r>
              <w:rPr>
                <w:rFonts w:ascii="Arial" w:cs="Arial" w:eastAsia="Arial" w:hAnsi="Arial"/>
                <w:sz w:val="16"/>
                <w:szCs w:val="16"/>
                <w:b w:val="1"/>
                <w:bCs w:val="1"/>
                <w:color w:val="auto"/>
              </w:rPr>
              <w:t>Meetings</w:t>
            </w:r>
          </w:p>
        </w:tc>
        <w:tc>
          <w:tcPr>
            <w:tcW w:w="10320" w:type="dxa"/>
            <w:vAlign w:val="bottom"/>
          </w:tcPr>
          <w:p>
            <w:pPr>
              <w:ind w:left="30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Amend or repeal any Board resolutions which, by its terms, are not amendable or repealable.</w:t>
            </w:r>
          </w:p>
        </w:tc>
      </w:tr>
      <w:tr>
        <w:trPr>
          <w:trHeight w:val="182"/>
        </w:trPr>
        <w:tc>
          <w:tcPr>
            <w:tcW w:w="940" w:type="dxa"/>
            <w:vAlign w:val="bottom"/>
          </w:tcPr>
          <w:p>
            <w:pPr>
              <w:spacing w:after="0" w:line="182" w:lineRule="exact"/>
              <w:rPr>
                <w:sz w:val="20"/>
                <w:szCs w:val="20"/>
                <w:color w:val="auto"/>
              </w:rPr>
            </w:pPr>
            <w:r>
              <w:rPr>
                <w:rFonts w:ascii="Arial" w:cs="Arial" w:eastAsia="Arial" w:hAnsi="Arial"/>
                <w:sz w:val="16"/>
                <w:szCs w:val="16"/>
                <w:b w:val="1"/>
                <w:bCs w:val="1"/>
                <w:color w:val="auto"/>
              </w:rPr>
              <w:t>in fiscal</w:t>
            </w:r>
          </w:p>
        </w:tc>
        <w:tc>
          <w:tcPr>
            <w:tcW w:w="10320" w:type="dxa"/>
            <w:vAlign w:val="bottom"/>
          </w:tcPr>
          <w:p>
            <w:pPr>
              <w:spacing w:after="0"/>
              <w:rPr>
                <w:sz w:val="15"/>
                <w:szCs w:val="15"/>
                <w:color w:val="auto"/>
              </w:rPr>
            </w:pPr>
          </w:p>
        </w:tc>
      </w:tr>
      <w:tr>
        <w:trPr>
          <w:trHeight w:val="218"/>
        </w:trPr>
        <w:tc>
          <w:tcPr>
            <w:tcW w:w="940" w:type="dxa"/>
            <w:vAlign w:val="bottom"/>
            <w:tcBorders>
              <w:bottom w:val="single" w:sz="8" w:color="53C072"/>
            </w:tcBorders>
          </w:tcPr>
          <w:p>
            <w:pPr>
              <w:spacing w:after="0"/>
              <w:rPr>
                <w:sz w:val="20"/>
                <w:szCs w:val="20"/>
                <w:color w:val="auto"/>
              </w:rPr>
            </w:pPr>
            <w:r>
              <w:rPr>
                <w:rFonts w:ascii="Arial" w:cs="Arial" w:eastAsia="Arial" w:hAnsi="Arial"/>
                <w:sz w:val="16"/>
                <w:szCs w:val="16"/>
                <w:b w:val="1"/>
                <w:bCs w:val="1"/>
                <w:color w:val="auto"/>
              </w:rPr>
              <w:t>2020: 0</w:t>
            </w:r>
          </w:p>
        </w:tc>
        <w:tc>
          <w:tcPr>
            <w:tcW w:w="10320" w:type="dxa"/>
            <w:vAlign w:val="bottom"/>
            <w:tcBorders>
              <w:bottom w:val="single" w:sz="8" w:color="53C072"/>
            </w:tcBorders>
          </w:tcPr>
          <w:p>
            <w:pPr>
              <w:ind w:left="300"/>
              <w:spacing w:after="0"/>
              <w:rPr>
                <w:sz w:val="20"/>
                <w:szCs w:val="20"/>
                <w:color w:val="auto"/>
              </w:rPr>
            </w:pPr>
            <w:r>
              <w:rPr>
                <w:rFonts w:ascii="Arial" w:cs="Arial" w:eastAsia="Arial" w:hAnsi="Arial"/>
                <w:sz w:val="16"/>
                <w:szCs w:val="16"/>
                <w:color w:val="auto"/>
              </w:rPr>
              <w:t>The Board established the Executive Committee on May 20, 2020.</w:t>
            </w:r>
          </w:p>
        </w:tc>
      </w:tr>
    </w:tbl>
    <w:p>
      <w:pPr>
        <w:spacing w:after="0" w:line="177" w:lineRule="exact"/>
        <w:rPr>
          <w:sz w:val="20"/>
          <w:szCs w:val="20"/>
          <w:color w:val="auto"/>
        </w:rPr>
      </w:pPr>
    </w:p>
    <w:p>
      <w:pPr>
        <w:ind w:left="3" w:right="120"/>
        <w:spacing w:after="0" w:line="275" w:lineRule="auto"/>
        <w:rPr>
          <w:sz w:val="20"/>
          <w:szCs w:val="20"/>
          <w:color w:val="auto"/>
        </w:rPr>
      </w:pPr>
      <w:r>
        <w:rPr>
          <w:rFonts w:ascii="Arial" w:cs="Arial" w:eastAsia="Arial" w:hAnsi="Arial"/>
          <w:sz w:val="16"/>
          <w:szCs w:val="16"/>
          <w:color w:val="auto"/>
        </w:rPr>
        <w:t>All the members of the Executive Committee meet the independence requirements of Nasdaq listing standards and the independence standards adopted by the Board of Directors.</w:t>
      </w:r>
    </w:p>
    <w:p>
      <w:pPr>
        <w:spacing w:after="0" w:line="160" w:lineRule="exact"/>
        <w:rPr>
          <w:sz w:val="20"/>
          <w:szCs w:val="20"/>
          <w:color w:val="auto"/>
        </w:rPr>
      </w:pPr>
    </w:p>
    <w:p>
      <w:pPr>
        <w:ind w:left="3"/>
        <w:spacing w:after="0"/>
        <w:tabs>
          <w:tab w:leader="none" w:pos="442" w:val="left"/>
        </w:tabs>
        <w:rPr>
          <w:sz w:val="20"/>
          <w:szCs w:val="20"/>
          <w:color w:val="auto"/>
        </w:rPr>
      </w:pPr>
      <w:r>
        <w:rPr>
          <w:rFonts w:ascii="Arial" w:cs="Arial" w:eastAsia="Arial" w:hAnsi="Arial"/>
          <w:sz w:val="16"/>
          <w:szCs w:val="16"/>
          <w:color w:val="auto"/>
        </w:rPr>
        <w:t>26</w:t>
      </w:r>
      <w:r>
        <w:rPr>
          <w:sz w:val="20"/>
          <w:szCs w:val="20"/>
          <w:color w:val="auto"/>
        </w:rPr>
        <w:tab/>
      </w:r>
      <w:r>
        <w:rPr>
          <w:rFonts w:ascii="Arial" w:cs="Arial" w:eastAsia="Arial" w:hAnsi="Arial"/>
          <w:sz w:val="23"/>
          <w:szCs w:val="23"/>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118745</wp:posOffset>
            </wp:positionV>
            <wp:extent cx="7151370" cy="203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-163195</wp:posOffset>
            </wp:positionV>
            <wp:extent cx="1664970" cy="1231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3"/>
          </w:cols>
          <w:pgMar w:left="317" w:top="122" w:right="31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b w:val="1"/>
          <w:bCs w:val="1"/>
          <w:color w:val="53C072"/>
        </w:rPr>
        <w:t>2020 ANNUAL</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118110</wp:posOffset>
            </wp:positionV>
            <wp:extent cx="7146290" cy="2546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6290" cy="254635"/>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FFFE"/>
        </w:rPr>
        <w:t>DIRECTOR COMPENSATION</w:t>
      </w:r>
    </w:p>
    <w:p>
      <w:pPr>
        <w:spacing w:after="0" w:line="220"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Directors who are also officers or employees of the Company do not receive any special or additional remuneration for service on the Board. Upon the recommendations of the Compensation Committee and approvals of the Board of Directors, non-employee Directors received compensation for their services on the Board for fiscal 2020 as set out below.</w:t>
      </w:r>
    </w:p>
    <w:p>
      <w:pPr>
        <w:spacing w:after="0" w:line="167" w:lineRule="exact"/>
        <w:rPr>
          <w:sz w:val="20"/>
          <w:szCs w:val="20"/>
          <w:color w:val="auto"/>
        </w:rPr>
      </w:pPr>
    </w:p>
    <w:tbl>
      <w:tblPr>
        <w:tblLayout w:type="fixed"/>
        <w:tblInd w:w="1680" w:type="dxa"/>
        <w:tblCellMar>
          <w:top w:w="0" w:type="dxa"/>
          <w:left w:w="0" w:type="dxa"/>
          <w:bottom w:w="0" w:type="dxa"/>
          <w:right w:w="0" w:type="dxa"/>
        </w:tblCellMar>
      </w:tblPr>
      <w:tr>
        <w:trPr>
          <w:trHeight w:val="184"/>
        </w:trPr>
        <w:tc>
          <w:tcPr>
            <w:tcW w:w="4080" w:type="dxa"/>
            <w:vAlign w:val="bottom"/>
            <w:shd w:val="clear" w:color="auto" w:fill="53C072"/>
          </w:tcPr>
          <w:p>
            <w:pPr>
              <w:ind w:left="20"/>
              <w:spacing w:after="0"/>
              <w:rPr>
                <w:sz w:val="20"/>
                <w:szCs w:val="20"/>
                <w:color w:val="auto"/>
              </w:rPr>
            </w:pPr>
            <w:r>
              <w:rPr>
                <w:rFonts w:ascii="Arial" w:cs="Arial" w:eastAsia="Arial" w:hAnsi="Arial"/>
                <w:sz w:val="16"/>
                <w:szCs w:val="16"/>
                <w:b w:val="1"/>
                <w:bCs w:val="1"/>
                <w:color w:val="FFFFFE"/>
              </w:rPr>
              <w:t>Annual Compensation Components</w:t>
            </w:r>
          </w:p>
        </w:tc>
        <w:tc>
          <w:tcPr>
            <w:tcW w:w="1960" w:type="dxa"/>
            <w:vAlign w:val="bottom"/>
            <w:shd w:val="clear" w:color="auto" w:fill="53C072"/>
          </w:tcPr>
          <w:p>
            <w:pPr>
              <w:spacing w:after="0"/>
              <w:rPr>
                <w:sz w:val="16"/>
                <w:szCs w:val="16"/>
                <w:color w:val="auto"/>
              </w:rPr>
            </w:pPr>
          </w:p>
        </w:tc>
        <w:tc>
          <w:tcPr>
            <w:tcW w:w="1680" w:type="dxa"/>
            <w:vAlign w:val="bottom"/>
            <w:shd w:val="clear" w:color="auto" w:fill="53C072"/>
          </w:tcPr>
          <w:p>
            <w:pPr>
              <w:jc w:val="right"/>
              <w:spacing w:after="0"/>
              <w:rPr>
                <w:sz w:val="20"/>
                <w:szCs w:val="20"/>
                <w:color w:val="auto"/>
              </w:rPr>
            </w:pPr>
            <w:r>
              <w:rPr>
                <w:rFonts w:ascii="Arial" w:cs="Arial" w:eastAsia="Arial" w:hAnsi="Arial"/>
                <w:sz w:val="16"/>
                <w:szCs w:val="16"/>
                <w:b w:val="1"/>
                <w:bCs w:val="1"/>
                <w:color w:val="FFFFFE"/>
              </w:rPr>
              <w:t>Effective 01-01-19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80" w:type="dxa"/>
            <w:vAlign w:val="bottom"/>
          </w:tcPr>
          <w:p>
            <w:pPr>
              <w:ind w:left="20"/>
              <w:spacing w:after="0" w:line="218" w:lineRule="exact"/>
              <w:rPr>
                <w:sz w:val="20"/>
                <w:szCs w:val="20"/>
                <w:color w:val="auto"/>
              </w:rPr>
            </w:pPr>
            <w:r>
              <w:rPr>
                <w:rFonts w:ascii="Arial" w:cs="Arial" w:eastAsia="Arial" w:hAnsi="Arial"/>
                <w:sz w:val="15"/>
                <w:szCs w:val="15"/>
                <w:color w:val="auto"/>
              </w:rPr>
              <w:t>Cash Retainer</w:t>
            </w:r>
            <w:r>
              <w:rPr>
                <w:rFonts w:ascii="Arial" w:cs="Arial" w:eastAsia="Arial" w:hAnsi="Arial"/>
                <w:sz w:val="25"/>
                <w:szCs w:val="25"/>
                <w:color w:val="auto"/>
                <w:vertAlign w:val="superscript"/>
              </w:rPr>
              <w:t>(1)</w:t>
            </w:r>
          </w:p>
        </w:tc>
        <w:tc>
          <w:tcPr>
            <w:tcW w:w="196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19"/>
        </w:trPr>
        <w:tc>
          <w:tcPr>
            <w:tcW w:w="4080" w:type="dxa"/>
            <w:vAlign w:val="bottom"/>
            <w:shd w:val="clear" w:color="auto" w:fill="E8F5EA"/>
          </w:tcPr>
          <w:p>
            <w:pPr>
              <w:ind w:left="20"/>
              <w:spacing w:after="0" w:line="218" w:lineRule="exact"/>
              <w:rPr>
                <w:sz w:val="20"/>
                <w:szCs w:val="20"/>
                <w:color w:val="auto"/>
              </w:rPr>
            </w:pPr>
            <w:r>
              <w:rPr>
                <w:rFonts w:ascii="Arial" w:cs="Arial" w:eastAsia="Arial" w:hAnsi="Arial"/>
                <w:sz w:val="15"/>
                <w:szCs w:val="15"/>
                <w:color w:val="auto"/>
              </w:rPr>
              <w:t>Equity</w:t>
            </w:r>
            <w:r>
              <w:rPr>
                <w:rFonts w:ascii="Arial" w:cs="Arial" w:eastAsia="Arial" w:hAnsi="Arial"/>
                <w:sz w:val="25"/>
                <w:szCs w:val="25"/>
                <w:color w:val="auto"/>
                <w:vertAlign w:val="superscript"/>
              </w:rPr>
              <w:t>(2)</w:t>
            </w:r>
          </w:p>
        </w:tc>
        <w:tc>
          <w:tcPr>
            <w:tcW w:w="1960" w:type="dxa"/>
            <w:vAlign w:val="bottom"/>
            <w:shd w:val="clear" w:color="auto" w:fill="E8F5EA"/>
          </w:tcPr>
          <w:p>
            <w:pPr>
              <w:spacing w:after="0"/>
              <w:rPr>
                <w:sz w:val="19"/>
                <w:szCs w:val="19"/>
                <w:color w:val="auto"/>
              </w:rPr>
            </w:pPr>
          </w:p>
        </w:tc>
        <w:tc>
          <w:tcPr>
            <w:tcW w:w="1680" w:type="dxa"/>
            <w:vAlign w:val="bottom"/>
            <w:shd w:val="clear" w:color="auto" w:fill="E8F5EA"/>
          </w:tcPr>
          <w:p>
            <w:pPr>
              <w:jc w:val="right"/>
              <w:spacing w:after="0"/>
              <w:rPr>
                <w:sz w:val="20"/>
                <w:szCs w:val="20"/>
                <w:color w:val="auto"/>
              </w:rPr>
            </w:pPr>
            <w:r>
              <w:rPr>
                <w:rFonts w:ascii="Arial" w:cs="Arial" w:eastAsia="Arial" w:hAnsi="Arial"/>
                <w:sz w:val="16"/>
                <w:szCs w:val="16"/>
                <w:color w:val="auto"/>
              </w:rPr>
              <w:t>$160,000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080" w:type="dxa"/>
            <w:vAlign w:val="bottom"/>
          </w:tcPr>
          <w:p>
            <w:pPr>
              <w:ind w:left="180"/>
              <w:spacing w:after="0" w:line="182" w:lineRule="exact"/>
              <w:rPr>
                <w:sz w:val="20"/>
                <w:szCs w:val="20"/>
                <w:color w:val="auto"/>
              </w:rPr>
            </w:pPr>
            <w:r>
              <w:rPr>
                <w:rFonts w:ascii="Arial" w:cs="Arial" w:eastAsia="Arial" w:hAnsi="Arial"/>
                <w:sz w:val="16"/>
                <w:szCs w:val="16"/>
                <w:color w:val="auto"/>
              </w:rPr>
              <w:t>Total:</w:t>
            </w:r>
          </w:p>
        </w:tc>
        <w:tc>
          <w:tcPr>
            <w:tcW w:w="1960" w:type="dxa"/>
            <w:vAlign w:val="bottom"/>
          </w:tcPr>
          <w:p>
            <w:pPr>
              <w:spacing w:after="0"/>
              <w:rPr>
                <w:sz w:val="15"/>
                <w:szCs w:val="15"/>
                <w:color w:val="auto"/>
              </w:rPr>
            </w:pPr>
          </w:p>
        </w:tc>
        <w:tc>
          <w:tcPr>
            <w:tcW w:w="1680" w:type="dxa"/>
            <w:vAlign w:val="bottom"/>
          </w:tcPr>
          <w:p>
            <w:pPr>
              <w:jc w:val="right"/>
              <w:spacing w:after="0" w:line="182" w:lineRule="exact"/>
              <w:rPr>
                <w:sz w:val="20"/>
                <w:szCs w:val="20"/>
                <w:color w:val="auto"/>
              </w:rPr>
            </w:pPr>
            <w:r>
              <w:rPr>
                <w:rFonts w:ascii="Arial" w:cs="Arial" w:eastAsia="Arial" w:hAnsi="Arial"/>
                <w:sz w:val="16"/>
                <w:szCs w:val="16"/>
                <w:color w:val="auto"/>
              </w:rPr>
              <w:t>$260,000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080" w:type="dxa"/>
            <w:vAlign w:val="bottom"/>
            <w:tcBorders>
              <w:bottom w:val="single" w:sz="8" w:color="53C072"/>
            </w:tcBorders>
            <w:shd w:val="clear" w:color="auto" w:fill="E8F5EA"/>
          </w:tcPr>
          <w:p>
            <w:pPr>
              <w:ind w:left="180"/>
              <w:spacing w:after="0" w:line="182" w:lineRule="exact"/>
              <w:rPr>
                <w:sz w:val="20"/>
                <w:szCs w:val="20"/>
                <w:color w:val="auto"/>
              </w:rPr>
            </w:pPr>
            <w:r>
              <w:rPr>
                <w:rFonts w:ascii="Arial" w:cs="Arial" w:eastAsia="Arial" w:hAnsi="Arial"/>
                <w:sz w:val="16"/>
                <w:szCs w:val="16"/>
                <w:color w:val="auto"/>
              </w:rPr>
              <w:t>% of Cash to Equity</w:t>
            </w:r>
          </w:p>
        </w:tc>
        <w:tc>
          <w:tcPr>
            <w:tcW w:w="1960" w:type="dxa"/>
            <w:vAlign w:val="bottom"/>
            <w:tcBorders>
              <w:bottom w:val="single" w:sz="8" w:color="53C072"/>
            </w:tcBorders>
            <w:shd w:val="clear" w:color="auto" w:fill="E8F5EA"/>
          </w:tcPr>
          <w:p>
            <w:pPr>
              <w:spacing w:after="0"/>
              <w:rPr>
                <w:sz w:val="17"/>
                <w:szCs w:val="17"/>
                <w:color w:val="auto"/>
              </w:rPr>
            </w:pPr>
          </w:p>
        </w:tc>
        <w:tc>
          <w:tcPr>
            <w:tcW w:w="1680" w:type="dxa"/>
            <w:vAlign w:val="bottom"/>
            <w:tcBorders>
              <w:bottom w:val="single" w:sz="8" w:color="53C072"/>
            </w:tcBorders>
            <w:shd w:val="clear" w:color="auto" w:fill="E8F5EA"/>
          </w:tcPr>
          <w:p>
            <w:pPr>
              <w:jc w:val="right"/>
              <w:spacing w:after="0" w:line="182" w:lineRule="exact"/>
              <w:rPr>
                <w:sz w:val="20"/>
                <w:szCs w:val="20"/>
                <w:color w:val="auto"/>
              </w:rPr>
            </w:pPr>
            <w:r>
              <w:rPr>
                <w:rFonts w:ascii="Arial" w:cs="Arial" w:eastAsia="Arial" w:hAnsi="Arial"/>
                <w:sz w:val="16"/>
                <w:szCs w:val="16"/>
                <w:color w:val="auto"/>
              </w:rPr>
              <w:t>38/62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1"/>
        </w:trPr>
        <w:tc>
          <w:tcPr>
            <w:tcW w:w="40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080" w:type="dxa"/>
            <w:vAlign w:val="bottom"/>
            <w:shd w:val="clear" w:color="auto" w:fill="53C072"/>
          </w:tcPr>
          <w:p>
            <w:pPr>
              <w:ind w:left="20"/>
              <w:spacing w:after="0"/>
              <w:rPr>
                <w:sz w:val="20"/>
                <w:szCs w:val="20"/>
                <w:color w:val="auto"/>
              </w:rPr>
            </w:pPr>
            <w:r>
              <w:rPr>
                <w:rFonts w:ascii="Arial" w:cs="Arial" w:eastAsia="Arial" w:hAnsi="Arial"/>
                <w:sz w:val="16"/>
                <w:szCs w:val="16"/>
                <w:b w:val="1"/>
                <w:bCs w:val="1"/>
                <w:color w:val="FFFFFE"/>
              </w:rPr>
              <w:t>Additional Annual Amounts:</w:t>
            </w:r>
          </w:p>
        </w:tc>
        <w:tc>
          <w:tcPr>
            <w:tcW w:w="1960" w:type="dxa"/>
            <w:vAlign w:val="bottom"/>
            <w:shd w:val="clear" w:color="auto" w:fill="53C072"/>
          </w:tcPr>
          <w:p>
            <w:pPr>
              <w:jc w:val="right"/>
              <w:ind w:right="121"/>
              <w:spacing w:after="0"/>
              <w:rPr>
                <w:sz w:val="20"/>
                <w:szCs w:val="20"/>
                <w:color w:val="auto"/>
              </w:rPr>
            </w:pPr>
            <w:r>
              <w:rPr>
                <w:rFonts w:ascii="Arial" w:cs="Arial" w:eastAsia="Arial" w:hAnsi="Arial"/>
                <w:sz w:val="16"/>
                <w:szCs w:val="16"/>
                <w:b w:val="1"/>
                <w:bCs w:val="1"/>
                <w:color w:val="FFFFFE"/>
              </w:rPr>
              <w:t>Effective 01-01-19</w:t>
            </w:r>
          </w:p>
        </w:tc>
        <w:tc>
          <w:tcPr>
            <w:tcW w:w="1680" w:type="dxa"/>
            <w:vAlign w:val="bottom"/>
            <w:shd w:val="clear" w:color="auto" w:fill="53C072"/>
          </w:tcPr>
          <w:p>
            <w:pPr>
              <w:jc w:val="right"/>
              <w:spacing w:after="0" w:line="218" w:lineRule="exact"/>
              <w:rPr>
                <w:sz w:val="20"/>
                <w:szCs w:val="20"/>
                <w:color w:val="auto"/>
              </w:rPr>
            </w:pPr>
            <w:r>
              <w:rPr>
                <w:rFonts w:ascii="Arial" w:cs="Arial" w:eastAsia="Arial" w:hAnsi="Arial"/>
                <w:sz w:val="15"/>
                <w:szCs w:val="15"/>
                <w:b w:val="1"/>
                <w:bCs w:val="1"/>
                <w:color w:val="FFFFFE"/>
              </w:rPr>
              <w:t>Effective 05-20-20</w:t>
            </w:r>
            <w:r>
              <w:rPr>
                <w:rFonts w:ascii="Arial" w:cs="Arial" w:eastAsia="Arial" w:hAnsi="Arial"/>
                <w:sz w:val="25"/>
                <w:szCs w:val="25"/>
                <w:b w:val="1"/>
                <w:bCs w:val="1"/>
                <w:color w:val="FFFFFE"/>
                <w:vertAlign w:val="superscript"/>
              </w:rPr>
              <w:t>(3)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80" w:type="dxa"/>
            <w:vAlign w:val="bottom"/>
          </w:tcPr>
          <w:p>
            <w:pPr>
              <w:ind w:left="20"/>
              <w:spacing w:after="0" w:line="218" w:lineRule="exact"/>
              <w:rPr>
                <w:sz w:val="20"/>
                <w:szCs w:val="20"/>
                <w:color w:val="auto"/>
              </w:rPr>
            </w:pPr>
            <w:r>
              <w:rPr>
                <w:rFonts w:ascii="Arial" w:cs="Arial" w:eastAsia="Arial" w:hAnsi="Arial"/>
                <w:sz w:val="15"/>
                <w:szCs w:val="15"/>
                <w:color w:val="auto"/>
              </w:rPr>
              <w:t>Independent Chair Retainer</w:t>
            </w:r>
            <w:r>
              <w:rPr>
                <w:rFonts w:ascii="Arial" w:cs="Arial" w:eastAsia="Arial" w:hAnsi="Arial"/>
                <w:sz w:val="25"/>
                <w:szCs w:val="25"/>
                <w:color w:val="auto"/>
                <w:vertAlign w:val="superscript"/>
              </w:rPr>
              <w:t>(1)(4)</w:t>
            </w:r>
          </w:p>
        </w:tc>
        <w:tc>
          <w:tcPr>
            <w:tcW w:w="1960" w:type="dxa"/>
            <w:vAlign w:val="bottom"/>
          </w:tcPr>
          <w:p>
            <w:pPr>
              <w:jc w:val="right"/>
              <w:ind w:right="121"/>
              <w:spacing w:after="0"/>
              <w:rPr>
                <w:sz w:val="20"/>
                <w:szCs w:val="20"/>
                <w:color w:val="auto"/>
              </w:rPr>
            </w:pPr>
            <w:r>
              <w:rPr>
                <w:rFonts w:ascii="Arial" w:cs="Arial" w:eastAsia="Arial" w:hAnsi="Arial"/>
                <w:sz w:val="16"/>
                <w:szCs w:val="16"/>
                <w:color w:val="auto"/>
              </w:rPr>
              <w:t>$175,000</w:t>
            </w: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80" w:type="dxa"/>
            <w:vAlign w:val="bottom"/>
            <w:shd w:val="clear" w:color="auto" w:fill="E8F5EA"/>
          </w:tcPr>
          <w:p>
            <w:pPr>
              <w:ind w:left="20"/>
              <w:spacing w:after="0" w:line="218" w:lineRule="exact"/>
              <w:rPr>
                <w:sz w:val="20"/>
                <w:szCs w:val="20"/>
                <w:color w:val="auto"/>
              </w:rPr>
            </w:pPr>
            <w:r>
              <w:rPr>
                <w:rFonts w:ascii="Arial" w:cs="Arial" w:eastAsia="Arial" w:hAnsi="Arial"/>
                <w:sz w:val="15"/>
                <w:szCs w:val="15"/>
                <w:color w:val="auto"/>
              </w:rPr>
              <w:t>Audit Committee Chair Retainer</w:t>
            </w:r>
            <w:r>
              <w:rPr>
                <w:rFonts w:ascii="Arial" w:cs="Arial" w:eastAsia="Arial" w:hAnsi="Arial"/>
                <w:sz w:val="25"/>
                <w:szCs w:val="25"/>
                <w:color w:val="auto"/>
                <w:vertAlign w:val="superscript"/>
              </w:rPr>
              <w:t>(1)</w:t>
            </w:r>
          </w:p>
        </w:tc>
        <w:tc>
          <w:tcPr>
            <w:tcW w:w="1960" w:type="dxa"/>
            <w:vAlign w:val="bottom"/>
            <w:shd w:val="clear" w:color="auto" w:fill="E8F5EA"/>
          </w:tcPr>
          <w:p>
            <w:pPr>
              <w:jc w:val="right"/>
              <w:ind w:right="121"/>
              <w:spacing w:after="0"/>
              <w:rPr>
                <w:sz w:val="20"/>
                <w:szCs w:val="20"/>
                <w:color w:val="auto"/>
              </w:rPr>
            </w:pPr>
            <w:r>
              <w:rPr>
                <w:rFonts w:ascii="Arial" w:cs="Arial" w:eastAsia="Arial" w:hAnsi="Arial"/>
                <w:sz w:val="16"/>
                <w:szCs w:val="16"/>
                <w:color w:val="auto"/>
              </w:rPr>
              <w:t>$25,000</w:t>
            </w:r>
          </w:p>
        </w:tc>
        <w:tc>
          <w:tcPr>
            <w:tcW w:w="1680" w:type="dxa"/>
            <w:vAlign w:val="bottom"/>
            <w:shd w:val="clear" w:color="auto" w:fill="E8F5EA"/>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80" w:type="dxa"/>
            <w:vAlign w:val="bottom"/>
          </w:tcPr>
          <w:p>
            <w:pPr>
              <w:ind w:left="20"/>
              <w:spacing w:after="0" w:line="218" w:lineRule="exact"/>
              <w:rPr>
                <w:sz w:val="20"/>
                <w:szCs w:val="20"/>
                <w:color w:val="auto"/>
              </w:rPr>
            </w:pPr>
            <w:r>
              <w:rPr>
                <w:rFonts w:ascii="Arial" w:cs="Arial" w:eastAsia="Arial" w:hAnsi="Arial"/>
                <w:sz w:val="15"/>
                <w:szCs w:val="15"/>
                <w:color w:val="auto"/>
              </w:rPr>
              <w:t>Audit Committee Retainer</w:t>
            </w:r>
            <w:r>
              <w:rPr>
                <w:rFonts w:ascii="Arial" w:cs="Arial" w:eastAsia="Arial" w:hAnsi="Arial"/>
                <w:sz w:val="25"/>
                <w:szCs w:val="25"/>
                <w:color w:val="auto"/>
                <w:vertAlign w:val="superscript"/>
              </w:rPr>
              <w:t>(1)</w:t>
            </w:r>
          </w:p>
        </w:tc>
        <w:tc>
          <w:tcPr>
            <w:tcW w:w="1960" w:type="dxa"/>
            <w:vAlign w:val="bottom"/>
          </w:tcPr>
          <w:p>
            <w:pPr>
              <w:jc w:val="right"/>
              <w:ind w:right="121"/>
              <w:spacing w:after="0"/>
              <w:rPr>
                <w:sz w:val="20"/>
                <w:szCs w:val="20"/>
                <w:color w:val="auto"/>
              </w:rPr>
            </w:pPr>
            <w:r>
              <w:rPr>
                <w:rFonts w:ascii="Arial" w:cs="Arial" w:eastAsia="Arial" w:hAnsi="Arial"/>
                <w:sz w:val="16"/>
                <w:szCs w:val="16"/>
                <w:color w:val="auto"/>
              </w:rPr>
              <w:t>$7,500</w:t>
            </w: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80" w:type="dxa"/>
            <w:vAlign w:val="bottom"/>
            <w:shd w:val="clear" w:color="auto" w:fill="E8F5EA"/>
          </w:tcPr>
          <w:p>
            <w:pPr>
              <w:ind w:left="20"/>
              <w:spacing w:after="0" w:line="218" w:lineRule="exact"/>
              <w:rPr>
                <w:sz w:val="20"/>
                <w:szCs w:val="20"/>
                <w:color w:val="auto"/>
              </w:rPr>
            </w:pPr>
            <w:r>
              <w:rPr>
                <w:rFonts w:ascii="Arial" w:cs="Arial" w:eastAsia="Arial" w:hAnsi="Arial"/>
                <w:sz w:val="15"/>
                <w:szCs w:val="15"/>
                <w:color w:val="auto"/>
              </w:rPr>
              <w:t>Compensation Committee Chair Retainer</w:t>
            </w:r>
            <w:r>
              <w:rPr>
                <w:rFonts w:ascii="Arial" w:cs="Arial" w:eastAsia="Arial" w:hAnsi="Arial"/>
                <w:sz w:val="25"/>
                <w:szCs w:val="25"/>
                <w:color w:val="auto"/>
                <w:vertAlign w:val="superscript"/>
              </w:rPr>
              <w:t>(1)</w:t>
            </w:r>
          </w:p>
        </w:tc>
        <w:tc>
          <w:tcPr>
            <w:tcW w:w="1960" w:type="dxa"/>
            <w:vAlign w:val="bottom"/>
            <w:shd w:val="clear" w:color="auto" w:fill="E8F5EA"/>
          </w:tcPr>
          <w:p>
            <w:pPr>
              <w:jc w:val="right"/>
              <w:ind w:right="121"/>
              <w:spacing w:after="0"/>
              <w:rPr>
                <w:sz w:val="20"/>
                <w:szCs w:val="20"/>
                <w:color w:val="auto"/>
              </w:rPr>
            </w:pPr>
            <w:r>
              <w:rPr>
                <w:rFonts w:ascii="Arial" w:cs="Arial" w:eastAsia="Arial" w:hAnsi="Arial"/>
                <w:sz w:val="16"/>
                <w:szCs w:val="16"/>
                <w:color w:val="auto"/>
              </w:rPr>
              <w:t>$20,000</w:t>
            </w:r>
          </w:p>
        </w:tc>
        <w:tc>
          <w:tcPr>
            <w:tcW w:w="1680" w:type="dxa"/>
            <w:vAlign w:val="bottom"/>
            <w:shd w:val="clear" w:color="auto" w:fill="E8F5EA"/>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80" w:type="dxa"/>
            <w:vAlign w:val="bottom"/>
          </w:tcPr>
          <w:p>
            <w:pPr>
              <w:ind w:left="20"/>
              <w:spacing w:after="0" w:line="218" w:lineRule="exact"/>
              <w:rPr>
                <w:sz w:val="20"/>
                <w:szCs w:val="20"/>
                <w:color w:val="auto"/>
              </w:rPr>
            </w:pPr>
            <w:r>
              <w:rPr>
                <w:rFonts w:ascii="Arial" w:cs="Arial" w:eastAsia="Arial" w:hAnsi="Arial"/>
                <w:sz w:val="15"/>
                <w:szCs w:val="15"/>
                <w:color w:val="auto"/>
              </w:rPr>
              <w:t>Corporate Governance Committee Chair Retainer</w:t>
            </w:r>
            <w:r>
              <w:rPr>
                <w:rFonts w:ascii="Arial" w:cs="Arial" w:eastAsia="Arial" w:hAnsi="Arial"/>
                <w:sz w:val="25"/>
                <w:szCs w:val="25"/>
                <w:color w:val="auto"/>
                <w:vertAlign w:val="superscript"/>
              </w:rPr>
              <w:t>(1)</w:t>
            </w:r>
          </w:p>
        </w:tc>
        <w:tc>
          <w:tcPr>
            <w:tcW w:w="1960" w:type="dxa"/>
            <w:vAlign w:val="bottom"/>
          </w:tcPr>
          <w:p>
            <w:pPr>
              <w:jc w:val="right"/>
              <w:ind w:right="121"/>
              <w:spacing w:after="0"/>
              <w:rPr>
                <w:sz w:val="20"/>
                <w:szCs w:val="20"/>
                <w:color w:val="auto"/>
              </w:rPr>
            </w:pPr>
            <w:r>
              <w:rPr>
                <w:rFonts w:ascii="Arial" w:cs="Arial" w:eastAsia="Arial" w:hAnsi="Arial"/>
                <w:sz w:val="16"/>
                <w:szCs w:val="16"/>
                <w:color w:val="auto"/>
              </w:rPr>
              <w:t>$20,000</w:t>
            </w: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080" w:type="dxa"/>
            <w:vAlign w:val="bottom"/>
            <w:tcBorders>
              <w:bottom w:val="single" w:sz="8" w:color="53C072"/>
            </w:tcBorders>
            <w:shd w:val="clear" w:color="auto" w:fill="E8F5EA"/>
          </w:tcPr>
          <w:p>
            <w:pPr>
              <w:ind w:left="20"/>
              <w:spacing w:after="0" w:line="218" w:lineRule="exact"/>
              <w:rPr>
                <w:sz w:val="20"/>
                <w:szCs w:val="20"/>
                <w:color w:val="auto"/>
              </w:rPr>
            </w:pPr>
            <w:r>
              <w:rPr>
                <w:rFonts w:ascii="Arial" w:cs="Arial" w:eastAsia="Arial" w:hAnsi="Arial"/>
                <w:sz w:val="15"/>
                <w:szCs w:val="15"/>
                <w:color w:val="auto"/>
              </w:rPr>
              <w:t>Finance Committee Chair Retainer</w:t>
            </w:r>
            <w:r>
              <w:rPr>
                <w:rFonts w:ascii="Arial" w:cs="Arial" w:eastAsia="Arial" w:hAnsi="Arial"/>
                <w:sz w:val="25"/>
                <w:szCs w:val="25"/>
                <w:color w:val="auto"/>
                <w:vertAlign w:val="superscript"/>
              </w:rPr>
              <w:t>(1)</w:t>
            </w:r>
          </w:p>
        </w:tc>
        <w:tc>
          <w:tcPr>
            <w:tcW w:w="1960" w:type="dxa"/>
            <w:vAlign w:val="bottom"/>
            <w:tcBorders>
              <w:bottom w:val="single" w:sz="8" w:color="53C072"/>
            </w:tcBorders>
            <w:shd w:val="clear" w:color="auto" w:fill="E8F5EA"/>
          </w:tcPr>
          <w:p>
            <w:pPr>
              <w:jc w:val="right"/>
              <w:ind w:right="121"/>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53C072"/>
            </w:tcBorders>
            <w:shd w:val="clear" w:color="auto" w:fill="E8F5EA"/>
          </w:tcPr>
          <w:p>
            <w:pPr>
              <w:jc w:val="right"/>
              <w:spacing w:after="0"/>
              <w:rPr>
                <w:sz w:val="20"/>
                <w:szCs w:val="20"/>
                <w:color w:val="auto"/>
              </w:rPr>
            </w:pPr>
            <w:r>
              <w:rPr>
                <w:rFonts w:ascii="Arial" w:cs="Arial" w:eastAsia="Arial" w:hAnsi="Arial"/>
                <w:sz w:val="16"/>
                <w:szCs w:val="16"/>
                <w:color w:val="auto"/>
              </w:rPr>
              <w:t>$15,000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left="2180" w:right="160" w:hanging="495"/>
        <w:spacing w:after="0" w:line="256" w:lineRule="auto"/>
        <w:tabs>
          <w:tab w:leader="none" w:pos="2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Paid in equal quarterly installments, unless the Director elects to defer under the Avnet Deferred Compensation Plan for Outside Directors, which is described in more detail under the caption "Deferred Compensation Plan" below. If elected as a Director after January 1st, the amount is prorated based on the date of election.</w:t>
      </w:r>
    </w:p>
    <w:p>
      <w:pPr>
        <w:spacing w:after="0" w:line="151" w:lineRule="exact"/>
        <w:rPr>
          <w:rFonts w:ascii="Arial" w:cs="Arial" w:eastAsia="Arial" w:hAnsi="Arial"/>
          <w:sz w:val="16"/>
          <w:szCs w:val="16"/>
          <w:color w:val="auto"/>
        </w:rPr>
      </w:pPr>
    </w:p>
    <w:p>
      <w:pPr>
        <w:jc w:val="both"/>
        <w:ind w:left="2180" w:right="260" w:hanging="495"/>
        <w:spacing w:after="0" w:line="256" w:lineRule="auto"/>
        <w:tabs>
          <w:tab w:leader="none" w:pos="2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Generally delivered each January, unless the Director elects to defer under the Avnet Deferred Compensation Plan for Outside Directors. If elected as a Director after January 1st, the amount is prorated based on the date of election and delivered at such time.</w:t>
      </w:r>
    </w:p>
    <w:p>
      <w:pPr>
        <w:spacing w:after="0" w:line="139" w:lineRule="exact"/>
        <w:rPr>
          <w:rFonts w:ascii="Arial" w:cs="Arial" w:eastAsia="Arial" w:hAnsi="Arial"/>
          <w:sz w:val="16"/>
          <w:szCs w:val="16"/>
          <w:color w:val="auto"/>
        </w:rPr>
      </w:pPr>
    </w:p>
    <w:p>
      <w:pPr>
        <w:ind w:left="2180" w:hanging="495"/>
        <w:spacing w:after="0"/>
        <w:tabs>
          <w:tab w:leader="none" w:pos="2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Board established the Finance Committee as a standing committee on May 20, 2020.</w:t>
      </w:r>
    </w:p>
    <w:p>
      <w:pPr>
        <w:spacing w:after="0" w:line="180" w:lineRule="exact"/>
        <w:rPr>
          <w:rFonts w:ascii="Arial" w:cs="Arial" w:eastAsia="Arial" w:hAnsi="Arial"/>
          <w:sz w:val="16"/>
          <w:szCs w:val="16"/>
          <w:color w:val="auto"/>
        </w:rPr>
      </w:pPr>
    </w:p>
    <w:p>
      <w:pPr>
        <w:ind w:left="2180" w:hanging="495"/>
        <w:spacing w:after="0"/>
        <w:tabs>
          <w:tab w:leader="none" w:pos="2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Audit Committee Retainer.</w:t>
      </w:r>
    </w:p>
    <w:p>
      <w:pPr>
        <w:spacing w:after="0" w:line="164" w:lineRule="exact"/>
        <w:rPr>
          <w:sz w:val="20"/>
          <w:szCs w:val="20"/>
          <w:color w:val="auto"/>
        </w:rPr>
      </w:pPr>
    </w:p>
    <w:p>
      <w:pPr>
        <w:jc w:val="both"/>
        <w:ind w:left="10720"/>
        <w:spacing w:after="0"/>
        <w:tabs>
          <w:tab w:leader="none" w:pos="11060" w:val="left"/>
        </w:tabs>
        <w:rPr>
          <w:sz w:val="20"/>
          <w:szCs w:val="20"/>
          <w:color w:val="auto"/>
        </w:rPr>
      </w:pPr>
      <w:r>
        <w:rPr>
          <w:rFonts w:ascii="Arial" w:cs="Arial" w:eastAsia="Arial" w:hAnsi="Arial"/>
          <w:sz w:val="23"/>
          <w:szCs w:val="23"/>
          <w:b w:val="1"/>
          <w:bCs w:val="1"/>
          <w:color w:val="53C072"/>
        </w:rPr>
        <w:t>|</w:t>
      </w:r>
      <w:r>
        <w:rPr>
          <w:sz w:val="20"/>
          <w:szCs w:val="20"/>
          <w:color w:val="auto"/>
        </w:rPr>
        <w:tab/>
      </w: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7151370" cy="203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-130175</wp:posOffset>
            </wp:positionV>
            <wp:extent cx="1664970" cy="1231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3"/>
        </w:trPr>
        <w:tc>
          <w:tcPr>
            <w:tcW w:w="560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5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60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5660" w:type="dxa"/>
            <w:vAlign w:val="bottom"/>
            <w:vMerge w:val="restart"/>
          </w:tcPr>
          <w:p>
            <w:pPr>
              <w:ind w:left="4320"/>
              <w:spacing w:after="0"/>
              <w:rPr>
                <w:sz w:val="20"/>
                <w:szCs w:val="20"/>
                <w:color w:val="auto"/>
              </w:rPr>
            </w:pPr>
            <w:r>
              <w:rPr>
                <w:rFonts w:ascii="Arial" w:cs="Arial" w:eastAsia="Arial" w:hAnsi="Arial"/>
                <w:sz w:val="13"/>
                <w:szCs w:val="13"/>
                <w:color w:val="auto"/>
                <w:w w:val="99"/>
              </w:rPr>
              <w:t>Director Compensation</w:t>
            </w:r>
          </w:p>
        </w:tc>
        <w:tc>
          <w:tcPr>
            <w:tcW w:w="0" w:type="dxa"/>
            <w:vAlign w:val="bottom"/>
          </w:tcPr>
          <w:p>
            <w:pPr>
              <w:spacing w:after="0"/>
              <w:rPr>
                <w:sz w:val="1"/>
                <w:szCs w:val="1"/>
                <w:color w:val="auto"/>
              </w:rPr>
            </w:pPr>
          </w:p>
        </w:tc>
      </w:tr>
      <w:tr>
        <w:trPr>
          <w:trHeight w:val="102"/>
        </w:trPr>
        <w:tc>
          <w:tcPr>
            <w:tcW w:w="560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5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600" w:type="dxa"/>
            <w:vAlign w:val="bottom"/>
            <w:vMerge w:val="continue"/>
          </w:tcPr>
          <w:p>
            <w:pPr>
              <w:spacing w:after="0"/>
              <w:rPr>
                <w:sz w:val="7"/>
                <w:szCs w:val="7"/>
                <w:color w:val="auto"/>
              </w:rPr>
            </w:pPr>
          </w:p>
        </w:tc>
        <w:tc>
          <w:tcPr>
            <w:tcW w:w="5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The following table shows the total dollar value of all fees earned by and paid in cash to all non-employee Directors in fiscal 2020 and the grant date fair value of stock awards to non-employee Directors made in fiscal 2020.</w:t>
      </w:r>
    </w:p>
    <w:p>
      <w:pPr>
        <w:spacing w:after="0" w:line="133" w:lineRule="exact"/>
        <w:rPr>
          <w:sz w:val="20"/>
          <w:szCs w:val="20"/>
          <w:color w:val="auto"/>
        </w:rPr>
      </w:pPr>
    </w:p>
    <w:tbl>
      <w:tblPr>
        <w:tblLayout w:type="fixed"/>
        <w:tblInd w:w="1340" w:type="dxa"/>
        <w:tblCellMar>
          <w:top w:w="0" w:type="dxa"/>
          <w:left w:w="0" w:type="dxa"/>
          <w:bottom w:w="0" w:type="dxa"/>
          <w:right w:w="0" w:type="dxa"/>
        </w:tblCellMar>
      </w:tblPr>
      <w:tr>
        <w:trPr>
          <w:trHeight w:val="184"/>
        </w:trPr>
        <w:tc>
          <w:tcPr>
            <w:tcW w:w="2700" w:type="dxa"/>
            <w:vAlign w:val="bottom"/>
            <w:shd w:val="clear" w:color="auto" w:fill="53C072"/>
          </w:tcPr>
          <w:p>
            <w:pPr>
              <w:spacing w:after="0"/>
              <w:rPr>
                <w:sz w:val="16"/>
                <w:szCs w:val="16"/>
                <w:color w:val="auto"/>
              </w:rPr>
            </w:pPr>
          </w:p>
        </w:tc>
        <w:tc>
          <w:tcPr>
            <w:tcW w:w="3400" w:type="dxa"/>
            <w:vAlign w:val="bottom"/>
            <w:shd w:val="clear" w:color="auto" w:fill="53C072"/>
          </w:tcPr>
          <w:p>
            <w:pPr>
              <w:jc w:val="right"/>
              <w:ind w:right="242"/>
              <w:spacing w:after="0"/>
              <w:rPr>
                <w:sz w:val="20"/>
                <w:szCs w:val="20"/>
                <w:color w:val="auto"/>
              </w:rPr>
            </w:pPr>
            <w:r>
              <w:rPr>
                <w:rFonts w:ascii="Arial" w:cs="Arial" w:eastAsia="Arial" w:hAnsi="Arial"/>
                <w:sz w:val="16"/>
                <w:szCs w:val="16"/>
                <w:b w:val="1"/>
                <w:bCs w:val="1"/>
                <w:color w:val="FFFFFE"/>
              </w:rPr>
              <w:t>Fees Earned or Paid in Cash</w:t>
            </w:r>
          </w:p>
        </w:tc>
        <w:tc>
          <w:tcPr>
            <w:tcW w:w="1500" w:type="dxa"/>
            <w:vAlign w:val="bottom"/>
            <w:shd w:val="clear" w:color="auto" w:fill="53C072"/>
          </w:tcPr>
          <w:p>
            <w:pPr>
              <w:jc w:val="right"/>
              <w:ind w:right="62"/>
              <w:spacing w:after="0"/>
              <w:rPr>
                <w:sz w:val="20"/>
                <w:szCs w:val="20"/>
                <w:color w:val="auto"/>
              </w:rPr>
            </w:pPr>
            <w:r>
              <w:rPr>
                <w:rFonts w:ascii="Arial" w:cs="Arial" w:eastAsia="Arial" w:hAnsi="Arial"/>
                <w:sz w:val="16"/>
                <w:szCs w:val="16"/>
                <w:b w:val="1"/>
                <w:bCs w:val="1"/>
                <w:color w:val="FFFFFE"/>
              </w:rPr>
              <w:t>Stock Awards</w:t>
            </w:r>
          </w:p>
        </w:tc>
        <w:tc>
          <w:tcPr>
            <w:tcW w:w="700" w:type="dxa"/>
            <w:vAlign w:val="bottom"/>
            <w:shd w:val="clear" w:color="auto" w:fill="53C072"/>
          </w:tcPr>
          <w:p>
            <w:pPr>
              <w:jc w:val="right"/>
              <w:spacing w:after="0"/>
              <w:rPr>
                <w:sz w:val="20"/>
                <w:szCs w:val="20"/>
                <w:color w:val="auto"/>
              </w:rPr>
            </w:pPr>
            <w:r>
              <w:rPr>
                <w:rFonts w:ascii="Arial" w:cs="Arial" w:eastAsia="Arial" w:hAnsi="Arial"/>
                <w:sz w:val="16"/>
                <w:szCs w:val="16"/>
                <w:b w:val="1"/>
                <w:bCs w:val="1"/>
                <w:color w:val="FFFFFE"/>
              </w:rPr>
              <w:t>Total</w:t>
            </w:r>
          </w:p>
        </w:tc>
      </w:tr>
      <w:tr>
        <w:trPr>
          <w:trHeight w:val="201"/>
        </w:trPr>
        <w:tc>
          <w:tcPr>
            <w:tcW w:w="2700" w:type="dxa"/>
            <w:vAlign w:val="bottom"/>
            <w:shd w:val="clear" w:color="auto" w:fill="53C072"/>
          </w:tcPr>
          <w:p>
            <w:pPr>
              <w:spacing w:after="0"/>
              <w:rPr>
                <w:sz w:val="20"/>
                <w:szCs w:val="20"/>
                <w:color w:val="auto"/>
              </w:rPr>
            </w:pPr>
            <w:r>
              <w:rPr>
                <w:rFonts w:ascii="Arial" w:cs="Arial" w:eastAsia="Arial" w:hAnsi="Arial"/>
                <w:sz w:val="16"/>
                <w:szCs w:val="16"/>
                <w:b w:val="1"/>
                <w:bCs w:val="1"/>
                <w:color w:val="FFFFFE"/>
              </w:rPr>
              <w:t>Name</w:t>
            </w:r>
          </w:p>
        </w:tc>
        <w:tc>
          <w:tcPr>
            <w:tcW w:w="3400" w:type="dxa"/>
            <w:vAlign w:val="bottom"/>
            <w:shd w:val="clear" w:color="auto" w:fill="53C072"/>
          </w:tcPr>
          <w:p>
            <w:pPr>
              <w:jc w:val="right"/>
              <w:ind w:right="242"/>
              <w:spacing w:after="0"/>
              <w:rPr>
                <w:sz w:val="20"/>
                <w:szCs w:val="20"/>
                <w:color w:val="auto"/>
              </w:rPr>
            </w:pPr>
            <w:r>
              <w:rPr>
                <w:rFonts w:ascii="Arial" w:cs="Arial" w:eastAsia="Arial" w:hAnsi="Arial"/>
                <w:sz w:val="16"/>
                <w:szCs w:val="16"/>
                <w:b w:val="1"/>
                <w:bCs w:val="1"/>
                <w:color w:val="FFFFFE"/>
              </w:rPr>
              <w:t>($)</w:t>
            </w:r>
          </w:p>
        </w:tc>
        <w:tc>
          <w:tcPr>
            <w:tcW w:w="1500" w:type="dxa"/>
            <w:vAlign w:val="bottom"/>
            <w:shd w:val="clear" w:color="auto" w:fill="53C072"/>
          </w:tcPr>
          <w:p>
            <w:pPr>
              <w:jc w:val="right"/>
              <w:ind w:right="62"/>
              <w:spacing w:after="0"/>
              <w:rPr>
                <w:sz w:val="20"/>
                <w:szCs w:val="20"/>
                <w:color w:val="auto"/>
              </w:rPr>
            </w:pPr>
            <w:r>
              <w:rPr>
                <w:rFonts w:ascii="Arial" w:cs="Arial" w:eastAsia="Arial" w:hAnsi="Arial"/>
                <w:sz w:val="16"/>
                <w:szCs w:val="16"/>
                <w:b w:val="1"/>
                <w:bCs w:val="1"/>
                <w:color w:val="FFFFFE"/>
              </w:rPr>
              <w:t>($)</w:t>
            </w:r>
          </w:p>
        </w:tc>
        <w:tc>
          <w:tcPr>
            <w:tcW w:w="700" w:type="dxa"/>
            <w:vAlign w:val="bottom"/>
            <w:shd w:val="clear" w:color="auto" w:fill="53C072"/>
          </w:tcPr>
          <w:p>
            <w:pPr>
              <w:jc w:val="right"/>
              <w:spacing w:after="0"/>
              <w:rPr>
                <w:sz w:val="20"/>
                <w:szCs w:val="20"/>
                <w:color w:val="auto"/>
              </w:rPr>
            </w:pPr>
            <w:r>
              <w:rPr>
                <w:rFonts w:ascii="Arial" w:cs="Arial" w:eastAsia="Arial" w:hAnsi="Arial"/>
                <w:sz w:val="16"/>
                <w:szCs w:val="16"/>
                <w:b w:val="1"/>
                <w:bCs w:val="1"/>
                <w:color w:val="FFFFFE"/>
              </w:rPr>
              <w:t>($)</w:t>
            </w:r>
          </w:p>
        </w:tc>
      </w:tr>
      <w:tr>
        <w:trPr>
          <w:trHeight w:val="146"/>
        </w:trPr>
        <w:tc>
          <w:tcPr>
            <w:tcW w:w="2700" w:type="dxa"/>
            <w:vAlign w:val="bottom"/>
          </w:tcPr>
          <w:p>
            <w:pPr>
              <w:spacing w:after="0" w:line="146" w:lineRule="exact"/>
              <w:rPr>
                <w:sz w:val="20"/>
                <w:szCs w:val="20"/>
                <w:color w:val="auto"/>
              </w:rPr>
            </w:pPr>
            <w:r>
              <w:rPr>
                <w:rFonts w:ascii="Arial" w:cs="Arial" w:eastAsia="Arial" w:hAnsi="Arial"/>
                <w:sz w:val="13"/>
                <w:szCs w:val="13"/>
                <w:b w:val="1"/>
                <w:bCs w:val="1"/>
                <w:color w:val="auto"/>
              </w:rPr>
              <w:t>(a)</w:t>
            </w:r>
          </w:p>
        </w:tc>
        <w:tc>
          <w:tcPr>
            <w:tcW w:w="3400" w:type="dxa"/>
            <w:vAlign w:val="bottom"/>
          </w:tcPr>
          <w:p>
            <w:pPr>
              <w:jc w:val="right"/>
              <w:ind w:right="242"/>
              <w:spacing w:after="0" w:line="146" w:lineRule="exact"/>
              <w:rPr>
                <w:sz w:val="20"/>
                <w:szCs w:val="20"/>
                <w:color w:val="auto"/>
              </w:rPr>
            </w:pPr>
            <w:r>
              <w:rPr>
                <w:rFonts w:ascii="Arial" w:cs="Arial" w:eastAsia="Arial" w:hAnsi="Arial"/>
                <w:sz w:val="13"/>
                <w:szCs w:val="13"/>
                <w:b w:val="1"/>
                <w:bCs w:val="1"/>
                <w:color w:val="auto"/>
              </w:rPr>
              <w:t>(b)</w:t>
            </w:r>
          </w:p>
        </w:tc>
        <w:tc>
          <w:tcPr>
            <w:tcW w:w="1500" w:type="dxa"/>
            <w:vAlign w:val="bottom"/>
          </w:tcPr>
          <w:p>
            <w:pPr>
              <w:jc w:val="right"/>
              <w:ind w:right="62"/>
              <w:spacing w:after="0" w:line="146" w:lineRule="exact"/>
              <w:rPr>
                <w:sz w:val="20"/>
                <w:szCs w:val="20"/>
                <w:color w:val="auto"/>
              </w:rPr>
            </w:pPr>
            <w:r>
              <w:rPr>
                <w:rFonts w:ascii="Arial" w:cs="Arial" w:eastAsia="Arial" w:hAnsi="Arial"/>
                <w:sz w:val="13"/>
                <w:szCs w:val="13"/>
                <w:b w:val="1"/>
                <w:bCs w:val="1"/>
                <w:color w:val="auto"/>
              </w:rPr>
              <w:t>(c)</w:t>
            </w:r>
          </w:p>
        </w:tc>
        <w:tc>
          <w:tcPr>
            <w:tcW w:w="700" w:type="dxa"/>
            <w:vAlign w:val="bottom"/>
          </w:tcPr>
          <w:p>
            <w:pPr>
              <w:jc w:val="right"/>
              <w:spacing w:after="0" w:line="146" w:lineRule="exact"/>
              <w:rPr>
                <w:sz w:val="20"/>
                <w:szCs w:val="20"/>
                <w:color w:val="auto"/>
              </w:rPr>
            </w:pPr>
            <w:r>
              <w:rPr>
                <w:rFonts w:ascii="Arial" w:cs="Arial" w:eastAsia="Arial" w:hAnsi="Arial"/>
                <w:sz w:val="13"/>
                <w:szCs w:val="13"/>
                <w:b w:val="1"/>
                <w:bCs w:val="1"/>
                <w:color w:val="auto"/>
              </w:rPr>
              <w:t>(h)</w:t>
            </w:r>
          </w:p>
        </w:tc>
      </w:tr>
      <w:tr>
        <w:trPr>
          <w:trHeight w:val="182"/>
        </w:trPr>
        <w:tc>
          <w:tcPr>
            <w:tcW w:w="2700" w:type="dxa"/>
            <w:vAlign w:val="bottom"/>
            <w:shd w:val="clear" w:color="auto" w:fill="E8F5EA"/>
          </w:tcPr>
          <w:p>
            <w:pPr>
              <w:spacing w:after="0" w:line="182" w:lineRule="exact"/>
              <w:rPr>
                <w:sz w:val="20"/>
                <w:szCs w:val="20"/>
                <w:color w:val="auto"/>
              </w:rPr>
            </w:pPr>
            <w:r>
              <w:rPr>
                <w:rFonts w:ascii="Arial" w:cs="Arial" w:eastAsia="Arial" w:hAnsi="Arial"/>
                <w:sz w:val="16"/>
                <w:szCs w:val="16"/>
                <w:color w:val="auto"/>
              </w:rPr>
              <w:t>Rodney C. Adkins</w:t>
            </w:r>
          </w:p>
        </w:tc>
        <w:tc>
          <w:tcPr>
            <w:tcW w:w="3400" w:type="dxa"/>
            <w:vAlign w:val="bottom"/>
            <w:shd w:val="clear" w:color="auto" w:fill="E8F5EA"/>
          </w:tcPr>
          <w:p>
            <w:pPr>
              <w:jc w:val="right"/>
              <w:ind w:right="242"/>
              <w:spacing w:after="0" w:line="182" w:lineRule="exact"/>
              <w:rPr>
                <w:sz w:val="20"/>
                <w:szCs w:val="20"/>
                <w:color w:val="auto"/>
              </w:rPr>
            </w:pPr>
            <w:r>
              <w:rPr>
                <w:rFonts w:ascii="Arial" w:cs="Arial" w:eastAsia="Arial" w:hAnsi="Arial"/>
                <w:sz w:val="16"/>
                <w:szCs w:val="16"/>
                <w:color w:val="auto"/>
              </w:rPr>
              <w:t>275,000</w:t>
            </w:r>
          </w:p>
        </w:tc>
        <w:tc>
          <w:tcPr>
            <w:tcW w:w="1500" w:type="dxa"/>
            <w:vAlign w:val="bottom"/>
            <w:shd w:val="clear" w:color="auto" w:fill="E8F5EA"/>
          </w:tcPr>
          <w:p>
            <w:pPr>
              <w:jc w:val="right"/>
              <w:ind w:right="62"/>
              <w:spacing w:after="0" w:line="182" w:lineRule="exact"/>
              <w:rPr>
                <w:sz w:val="20"/>
                <w:szCs w:val="20"/>
                <w:color w:val="auto"/>
              </w:rPr>
            </w:pPr>
            <w:r>
              <w:rPr>
                <w:rFonts w:ascii="Arial" w:cs="Arial" w:eastAsia="Arial" w:hAnsi="Arial"/>
                <w:sz w:val="16"/>
                <w:szCs w:val="16"/>
                <w:color w:val="auto"/>
              </w:rPr>
              <w:t>160,000</w:t>
            </w:r>
          </w:p>
        </w:tc>
        <w:tc>
          <w:tcPr>
            <w:tcW w:w="70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435,000</w:t>
            </w:r>
          </w:p>
        </w:tc>
      </w:tr>
      <w:tr>
        <w:trPr>
          <w:trHeight w:val="219"/>
        </w:trPr>
        <w:tc>
          <w:tcPr>
            <w:tcW w:w="2700" w:type="dxa"/>
            <w:vAlign w:val="bottom"/>
          </w:tcPr>
          <w:p>
            <w:pPr>
              <w:spacing w:after="0" w:line="218" w:lineRule="exact"/>
              <w:rPr>
                <w:sz w:val="20"/>
                <w:szCs w:val="20"/>
                <w:color w:val="auto"/>
              </w:rPr>
            </w:pPr>
            <w:r>
              <w:rPr>
                <w:rFonts w:ascii="Arial" w:cs="Arial" w:eastAsia="Arial" w:hAnsi="Arial"/>
                <w:sz w:val="15"/>
                <w:szCs w:val="15"/>
                <w:color w:val="auto"/>
              </w:rPr>
              <w:t>Carlo Bozotti</w:t>
            </w:r>
            <w:r>
              <w:rPr>
                <w:rFonts w:ascii="Arial" w:cs="Arial" w:eastAsia="Arial" w:hAnsi="Arial"/>
                <w:sz w:val="25"/>
                <w:szCs w:val="25"/>
                <w:color w:val="auto"/>
                <w:vertAlign w:val="superscript"/>
              </w:rPr>
              <w:t>(1)</w:t>
            </w:r>
          </w:p>
        </w:tc>
        <w:tc>
          <w:tcPr>
            <w:tcW w:w="3400" w:type="dxa"/>
            <w:vAlign w:val="bottom"/>
          </w:tcPr>
          <w:p>
            <w:pPr>
              <w:jc w:val="right"/>
              <w:ind w:right="242"/>
              <w:spacing w:after="0"/>
              <w:rPr>
                <w:sz w:val="20"/>
                <w:szCs w:val="20"/>
                <w:color w:val="auto"/>
              </w:rPr>
            </w:pPr>
            <w:r>
              <w:rPr>
                <w:rFonts w:ascii="Arial" w:cs="Arial" w:eastAsia="Arial" w:hAnsi="Arial"/>
                <w:sz w:val="16"/>
                <w:szCs w:val="16"/>
                <w:color w:val="auto"/>
              </w:rPr>
              <w:t>66,019</w:t>
            </w:r>
          </w:p>
        </w:tc>
        <w:tc>
          <w:tcPr>
            <w:tcW w:w="1500" w:type="dxa"/>
            <w:vAlign w:val="bottom"/>
          </w:tcPr>
          <w:p>
            <w:pPr>
              <w:jc w:val="right"/>
              <w:ind w:right="62"/>
              <w:spacing w:after="0"/>
              <w:rPr>
                <w:sz w:val="20"/>
                <w:szCs w:val="20"/>
                <w:color w:val="auto"/>
              </w:rPr>
            </w:pPr>
            <w:r>
              <w:rPr>
                <w:rFonts w:ascii="Arial" w:cs="Arial" w:eastAsia="Arial" w:hAnsi="Arial"/>
                <w:sz w:val="16"/>
                <w:szCs w:val="16"/>
                <w:color w:val="auto"/>
              </w:rPr>
              <w:t>178,411</w:t>
            </w:r>
          </w:p>
        </w:tc>
        <w:tc>
          <w:tcPr>
            <w:tcW w:w="700" w:type="dxa"/>
            <w:vAlign w:val="bottom"/>
          </w:tcPr>
          <w:p>
            <w:pPr>
              <w:jc w:val="right"/>
              <w:spacing w:after="0"/>
              <w:rPr>
                <w:sz w:val="20"/>
                <w:szCs w:val="20"/>
                <w:color w:val="auto"/>
              </w:rPr>
            </w:pPr>
            <w:r>
              <w:rPr>
                <w:rFonts w:ascii="Arial" w:cs="Arial" w:eastAsia="Arial" w:hAnsi="Arial"/>
                <w:sz w:val="16"/>
                <w:szCs w:val="16"/>
                <w:color w:val="auto"/>
              </w:rPr>
              <w:t>244,430</w:t>
            </w:r>
          </w:p>
        </w:tc>
      </w:tr>
      <w:tr>
        <w:trPr>
          <w:trHeight w:val="182"/>
        </w:trPr>
        <w:tc>
          <w:tcPr>
            <w:tcW w:w="2700" w:type="dxa"/>
            <w:vAlign w:val="bottom"/>
            <w:shd w:val="clear" w:color="auto" w:fill="E8F5EA"/>
          </w:tcPr>
          <w:p>
            <w:pPr>
              <w:spacing w:after="0" w:line="182" w:lineRule="exact"/>
              <w:rPr>
                <w:sz w:val="20"/>
                <w:szCs w:val="20"/>
                <w:color w:val="auto"/>
              </w:rPr>
            </w:pPr>
            <w:r>
              <w:rPr>
                <w:rFonts w:ascii="Arial" w:cs="Arial" w:eastAsia="Arial" w:hAnsi="Arial"/>
                <w:sz w:val="16"/>
                <w:szCs w:val="16"/>
                <w:color w:val="auto"/>
              </w:rPr>
              <w:t>Michael A. Bradley</w:t>
            </w:r>
          </w:p>
        </w:tc>
        <w:tc>
          <w:tcPr>
            <w:tcW w:w="3400" w:type="dxa"/>
            <w:vAlign w:val="bottom"/>
            <w:shd w:val="clear" w:color="auto" w:fill="E8F5EA"/>
          </w:tcPr>
          <w:p>
            <w:pPr>
              <w:jc w:val="right"/>
              <w:ind w:right="242"/>
              <w:spacing w:after="0" w:line="182" w:lineRule="exact"/>
              <w:rPr>
                <w:sz w:val="20"/>
                <w:szCs w:val="20"/>
                <w:color w:val="auto"/>
              </w:rPr>
            </w:pPr>
            <w:r>
              <w:rPr>
                <w:rFonts w:ascii="Arial" w:cs="Arial" w:eastAsia="Arial" w:hAnsi="Arial"/>
                <w:sz w:val="16"/>
                <w:szCs w:val="16"/>
                <w:color w:val="auto"/>
              </w:rPr>
              <w:t>125,000</w:t>
            </w:r>
          </w:p>
        </w:tc>
        <w:tc>
          <w:tcPr>
            <w:tcW w:w="1500" w:type="dxa"/>
            <w:vAlign w:val="bottom"/>
            <w:shd w:val="clear" w:color="auto" w:fill="E8F5EA"/>
          </w:tcPr>
          <w:p>
            <w:pPr>
              <w:jc w:val="right"/>
              <w:ind w:right="62"/>
              <w:spacing w:after="0" w:line="182" w:lineRule="exact"/>
              <w:rPr>
                <w:sz w:val="20"/>
                <w:szCs w:val="20"/>
                <w:color w:val="auto"/>
              </w:rPr>
            </w:pPr>
            <w:r>
              <w:rPr>
                <w:rFonts w:ascii="Arial" w:cs="Arial" w:eastAsia="Arial" w:hAnsi="Arial"/>
                <w:sz w:val="16"/>
                <w:szCs w:val="16"/>
                <w:color w:val="auto"/>
              </w:rPr>
              <w:t>160,000</w:t>
            </w:r>
          </w:p>
        </w:tc>
        <w:tc>
          <w:tcPr>
            <w:tcW w:w="70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285,000</w:t>
            </w:r>
          </w:p>
        </w:tc>
      </w:tr>
      <w:tr>
        <w:trPr>
          <w:trHeight w:val="219"/>
        </w:trPr>
        <w:tc>
          <w:tcPr>
            <w:tcW w:w="2700" w:type="dxa"/>
            <w:vAlign w:val="bottom"/>
          </w:tcPr>
          <w:p>
            <w:pPr>
              <w:spacing w:after="0" w:line="218" w:lineRule="exact"/>
              <w:rPr>
                <w:sz w:val="20"/>
                <w:szCs w:val="20"/>
                <w:color w:val="auto"/>
              </w:rPr>
            </w:pPr>
            <w:r>
              <w:rPr>
                <w:rFonts w:ascii="Arial" w:cs="Arial" w:eastAsia="Arial" w:hAnsi="Arial"/>
                <w:sz w:val="15"/>
                <w:szCs w:val="15"/>
                <w:color w:val="auto"/>
              </w:rPr>
              <w:t>R. Kerry Clark</w:t>
            </w:r>
            <w:r>
              <w:rPr>
                <w:rFonts w:ascii="Arial" w:cs="Arial" w:eastAsia="Arial" w:hAnsi="Arial"/>
                <w:sz w:val="25"/>
                <w:szCs w:val="25"/>
                <w:color w:val="auto"/>
                <w:vertAlign w:val="superscript"/>
              </w:rPr>
              <w:t>(2)</w:t>
            </w:r>
          </w:p>
        </w:tc>
        <w:tc>
          <w:tcPr>
            <w:tcW w:w="3400" w:type="dxa"/>
            <w:vAlign w:val="bottom"/>
          </w:tcPr>
          <w:p>
            <w:pPr>
              <w:jc w:val="right"/>
              <w:ind w:right="242"/>
              <w:spacing w:after="0"/>
              <w:rPr>
                <w:sz w:val="20"/>
                <w:szCs w:val="20"/>
                <w:color w:val="auto"/>
              </w:rPr>
            </w:pPr>
            <w:r>
              <w:rPr>
                <w:rFonts w:ascii="Arial" w:cs="Arial" w:eastAsia="Arial" w:hAnsi="Arial"/>
                <w:sz w:val="16"/>
                <w:szCs w:val="16"/>
                <w:color w:val="auto"/>
              </w:rPr>
              <w:t>50,000</w:t>
            </w:r>
          </w:p>
        </w:tc>
        <w:tc>
          <w:tcPr>
            <w:tcW w:w="15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50,000</w:t>
            </w:r>
          </w:p>
        </w:tc>
      </w:tr>
      <w:tr>
        <w:trPr>
          <w:trHeight w:val="182"/>
        </w:trPr>
        <w:tc>
          <w:tcPr>
            <w:tcW w:w="2700" w:type="dxa"/>
            <w:vAlign w:val="bottom"/>
            <w:shd w:val="clear" w:color="auto" w:fill="E8F5EA"/>
          </w:tcPr>
          <w:p>
            <w:pPr>
              <w:spacing w:after="0" w:line="182" w:lineRule="exact"/>
              <w:rPr>
                <w:sz w:val="20"/>
                <w:szCs w:val="20"/>
                <w:color w:val="auto"/>
              </w:rPr>
            </w:pPr>
            <w:r>
              <w:rPr>
                <w:rFonts w:ascii="Arial" w:cs="Arial" w:eastAsia="Arial" w:hAnsi="Arial"/>
                <w:sz w:val="16"/>
                <w:szCs w:val="16"/>
                <w:color w:val="auto"/>
              </w:rPr>
              <w:t>Brenda L. Freeman</w:t>
            </w:r>
          </w:p>
        </w:tc>
        <w:tc>
          <w:tcPr>
            <w:tcW w:w="3400" w:type="dxa"/>
            <w:vAlign w:val="bottom"/>
            <w:shd w:val="clear" w:color="auto" w:fill="E8F5EA"/>
          </w:tcPr>
          <w:p>
            <w:pPr>
              <w:jc w:val="right"/>
              <w:ind w:right="242"/>
              <w:spacing w:after="0" w:line="182" w:lineRule="exact"/>
              <w:rPr>
                <w:sz w:val="20"/>
                <w:szCs w:val="20"/>
                <w:color w:val="auto"/>
              </w:rPr>
            </w:pPr>
            <w:r>
              <w:rPr>
                <w:rFonts w:ascii="Arial" w:cs="Arial" w:eastAsia="Arial" w:hAnsi="Arial"/>
                <w:sz w:val="16"/>
                <w:szCs w:val="16"/>
                <w:color w:val="auto"/>
              </w:rPr>
              <w:t>107,500</w:t>
            </w:r>
          </w:p>
        </w:tc>
        <w:tc>
          <w:tcPr>
            <w:tcW w:w="1500" w:type="dxa"/>
            <w:vAlign w:val="bottom"/>
            <w:shd w:val="clear" w:color="auto" w:fill="E8F5EA"/>
          </w:tcPr>
          <w:p>
            <w:pPr>
              <w:jc w:val="right"/>
              <w:ind w:right="62"/>
              <w:spacing w:after="0" w:line="182" w:lineRule="exact"/>
              <w:rPr>
                <w:sz w:val="20"/>
                <w:szCs w:val="20"/>
                <w:color w:val="auto"/>
              </w:rPr>
            </w:pPr>
            <w:r>
              <w:rPr>
                <w:rFonts w:ascii="Arial" w:cs="Arial" w:eastAsia="Arial" w:hAnsi="Arial"/>
                <w:sz w:val="16"/>
                <w:szCs w:val="16"/>
                <w:color w:val="auto"/>
              </w:rPr>
              <w:t>160,000</w:t>
            </w:r>
          </w:p>
        </w:tc>
        <w:tc>
          <w:tcPr>
            <w:tcW w:w="70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267,500</w:t>
            </w:r>
          </w:p>
        </w:tc>
      </w:tr>
      <w:tr>
        <w:trPr>
          <w:trHeight w:val="182"/>
        </w:trPr>
        <w:tc>
          <w:tcPr>
            <w:tcW w:w="2700" w:type="dxa"/>
            <w:vAlign w:val="bottom"/>
          </w:tcPr>
          <w:p>
            <w:pPr>
              <w:spacing w:after="0" w:line="182" w:lineRule="exact"/>
              <w:rPr>
                <w:sz w:val="20"/>
                <w:szCs w:val="20"/>
                <w:color w:val="auto"/>
              </w:rPr>
            </w:pPr>
            <w:r>
              <w:rPr>
                <w:rFonts w:ascii="Arial" w:cs="Arial" w:eastAsia="Arial" w:hAnsi="Arial"/>
                <w:sz w:val="16"/>
                <w:szCs w:val="16"/>
                <w:color w:val="auto"/>
              </w:rPr>
              <w:t>Jo Ann Jenkins</w:t>
            </w:r>
          </w:p>
        </w:tc>
        <w:tc>
          <w:tcPr>
            <w:tcW w:w="3400" w:type="dxa"/>
            <w:vAlign w:val="bottom"/>
          </w:tcPr>
          <w:p>
            <w:pPr>
              <w:jc w:val="right"/>
              <w:ind w:right="242"/>
              <w:spacing w:after="0" w:line="182" w:lineRule="exact"/>
              <w:rPr>
                <w:sz w:val="20"/>
                <w:szCs w:val="20"/>
                <w:color w:val="auto"/>
              </w:rPr>
            </w:pPr>
            <w:r>
              <w:rPr>
                <w:rFonts w:ascii="Arial" w:cs="Arial" w:eastAsia="Arial" w:hAnsi="Arial"/>
                <w:sz w:val="16"/>
                <w:szCs w:val="16"/>
                <w:color w:val="auto"/>
              </w:rPr>
              <w:t>103,750</w:t>
            </w:r>
          </w:p>
        </w:tc>
        <w:tc>
          <w:tcPr>
            <w:tcW w:w="1500" w:type="dxa"/>
            <w:vAlign w:val="bottom"/>
          </w:tcPr>
          <w:p>
            <w:pPr>
              <w:jc w:val="right"/>
              <w:ind w:right="62"/>
              <w:spacing w:after="0" w:line="182" w:lineRule="exact"/>
              <w:rPr>
                <w:sz w:val="20"/>
                <w:szCs w:val="20"/>
                <w:color w:val="auto"/>
              </w:rPr>
            </w:pPr>
            <w:r>
              <w:rPr>
                <w:rFonts w:ascii="Arial" w:cs="Arial" w:eastAsia="Arial" w:hAnsi="Arial"/>
                <w:sz w:val="16"/>
                <w:szCs w:val="16"/>
                <w:color w:val="auto"/>
              </w:rPr>
              <w:t>160,000</w:t>
            </w:r>
          </w:p>
        </w:tc>
        <w:tc>
          <w:tcPr>
            <w:tcW w:w="700" w:type="dxa"/>
            <w:vAlign w:val="bottom"/>
          </w:tcPr>
          <w:p>
            <w:pPr>
              <w:jc w:val="right"/>
              <w:spacing w:after="0" w:line="182" w:lineRule="exact"/>
              <w:rPr>
                <w:sz w:val="20"/>
                <w:szCs w:val="20"/>
                <w:color w:val="auto"/>
              </w:rPr>
            </w:pPr>
            <w:r>
              <w:rPr>
                <w:rFonts w:ascii="Arial" w:cs="Arial" w:eastAsia="Arial" w:hAnsi="Arial"/>
                <w:sz w:val="16"/>
                <w:szCs w:val="16"/>
                <w:color w:val="auto"/>
              </w:rPr>
              <w:t>263,750</w:t>
            </w:r>
          </w:p>
        </w:tc>
      </w:tr>
      <w:tr>
        <w:trPr>
          <w:trHeight w:val="182"/>
        </w:trPr>
        <w:tc>
          <w:tcPr>
            <w:tcW w:w="2700" w:type="dxa"/>
            <w:vAlign w:val="bottom"/>
            <w:shd w:val="clear" w:color="auto" w:fill="E8F5EA"/>
          </w:tcPr>
          <w:p>
            <w:pPr>
              <w:spacing w:after="0" w:line="182" w:lineRule="exact"/>
              <w:rPr>
                <w:sz w:val="20"/>
                <w:szCs w:val="20"/>
                <w:color w:val="auto"/>
              </w:rPr>
            </w:pPr>
            <w:r>
              <w:rPr>
                <w:rFonts w:ascii="Arial" w:cs="Arial" w:eastAsia="Arial" w:hAnsi="Arial"/>
                <w:sz w:val="16"/>
                <w:szCs w:val="16"/>
                <w:color w:val="auto"/>
              </w:rPr>
              <w:t>Oleg Khaykin</w:t>
            </w:r>
          </w:p>
        </w:tc>
        <w:tc>
          <w:tcPr>
            <w:tcW w:w="3400" w:type="dxa"/>
            <w:vAlign w:val="bottom"/>
            <w:shd w:val="clear" w:color="auto" w:fill="E8F5EA"/>
          </w:tcPr>
          <w:p>
            <w:pPr>
              <w:jc w:val="right"/>
              <w:ind w:right="242"/>
              <w:spacing w:after="0" w:line="182" w:lineRule="exact"/>
              <w:rPr>
                <w:sz w:val="20"/>
                <w:szCs w:val="20"/>
                <w:color w:val="auto"/>
              </w:rPr>
            </w:pPr>
            <w:r>
              <w:rPr>
                <w:rFonts w:ascii="Arial" w:cs="Arial" w:eastAsia="Arial" w:hAnsi="Arial"/>
                <w:sz w:val="16"/>
                <w:szCs w:val="16"/>
                <w:color w:val="auto"/>
              </w:rPr>
              <w:t>107,500</w:t>
            </w:r>
          </w:p>
        </w:tc>
        <w:tc>
          <w:tcPr>
            <w:tcW w:w="1500" w:type="dxa"/>
            <w:vAlign w:val="bottom"/>
            <w:shd w:val="clear" w:color="auto" w:fill="E8F5EA"/>
          </w:tcPr>
          <w:p>
            <w:pPr>
              <w:jc w:val="right"/>
              <w:ind w:right="62"/>
              <w:spacing w:after="0" w:line="182" w:lineRule="exact"/>
              <w:rPr>
                <w:sz w:val="20"/>
                <w:szCs w:val="20"/>
                <w:color w:val="auto"/>
              </w:rPr>
            </w:pPr>
            <w:r>
              <w:rPr>
                <w:rFonts w:ascii="Arial" w:cs="Arial" w:eastAsia="Arial" w:hAnsi="Arial"/>
                <w:sz w:val="16"/>
                <w:szCs w:val="16"/>
                <w:color w:val="auto"/>
              </w:rPr>
              <w:t>160,000</w:t>
            </w:r>
          </w:p>
        </w:tc>
        <w:tc>
          <w:tcPr>
            <w:tcW w:w="70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267,500</w:t>
            </w:r>
          </w:p>
        </w:tc>
      </w:tr>
      <w:tr>
        <w:trPr>
          <w:trHeight w:val="182"/>
        </w:trPr>
        <w:tc>
          <w:tcPr>
            <w:tcW w:w="2700" w:type="dxa"/>
            <w:vAlign w:val="bottom"/>
          </w:tcPr>
          <w:p>
            <w:pPr>
              <w:spacing w:after="0" w:line="182" w:lineRule="exact"/>
              <w:rPr>
                <w:sz w:val="20"/>
                <w:szCs w:val="20"/>
                <w:color w:val="auto"/>
              </w:rPr>
            </w:pPr>
            <w:r>
              <w:rPr>
                <w:rFonts w:ascii="Arial" w:cs="Arial" w:eastAsia="Arial" w:hAnsi="Arial"/>
                <w:sz w:val="16"/>
                <w:szCs w:val="16"/>
                <w:color w:val="auto"/>
              </w:rPr>
              <w:t>James A. Lawrence</w:t>
            </w:r>
          </w:p>
        </w:tc>
        <w:tc>
          <w:tcPr>
            <w:tcW w:w="3400" w:type="dxa"/>
            <w:vAlign w:val="bottom"/>
          </w:tcPr>
          <w:p>
            <w:pPr>
              <w:jc w:val="right"/>
              <w:ind w:right="242"/>
              <w:spacing w:after="0" w:line="182" w:lineRule="exact"/>
              <w:rPr>
                <w:sz w:val="20"/>
                <w:szCs w:val="20"/>
                <w:color w:val="auto"/>
              </w:rPr>
            </w:pPr>
            <w:r>
              <w:rPr>
                <w:rFonts w:ascii="Arial" w:cs="Arial" w:eastAsia="Arial" w:hAnsi="Arial"/>
                <w:sz w:val="16"/>
                <w:szCs w:val="16"/>
                <w:color w:val="auto"/>
              </w:rPr>
              <w:t>120,000</w:t>
            </w:r>
          </w:p>
        </w:tc>
        <w:tc>
          <w:tcPr>
            <w:tcW w:w="1500" w:type="dxa"/>
            <w:vAlign w:val="bottom"/>
          </w:tcPr>
          <w:p>
            <w:pPr>
              <w:jc w:val="right"/>
              <w:ind w:right="62"/>
              <w:spacing w:after="0" w:line="182" w:lineRule="exact"/>
              <w:rPr>
                <w:sz w:val="20"/>
                <w:szCs w:val="20"/>
                <w:color w:val="auto"/>
              </w:rPr>
            </w:pPr>
            <w:r>
              <w:rPr>
                <w:rFonts w:ascii="Arial" w:cs="Arial" w:eastAsia="Arial" w:hAnsi="Arial"/>
                <w:sz w:val="16"/>
                <w:szCs w:val="16"/>
                <w:color w:val="auto"/>
              </w:rPr>
              <w:t>160,000</w:t>
            </w:r>
          </w:p>
        </w:tc>
        <w:tc>
          <w:tcPr>
            <w:tcW w:w="700" w:type="dxa"/>
            <w:vAlign w:val="bottom"/>
          </w:tcPr>
          <w:p>
            <w:pPr>
              <w:jc w:val="right"/>
              <w:spacing w:after="0" w:line="182" w:lineRule="exact"/>
              <w:rPr>
                <w:sz w:val="20"/>
                <w:szCs w:val="20"/>
                <w:color w:val="auto"/>
              </w:rPr>
            </w:pPr>
            <w:r>
              <w:rPr>
                <w:rFonts w:ascii="Arial" w:cs="Arial" w:eastAsia="Arial" w:hAnsi="Arial"/>
                <w:sz w:val="16"/>
                <w:szCs w:val="16"/>
                <w:color w:val="auto"/>
              </w:rPr>
              <w:t>280,000</w:t>
            </w:r>
          </w:p>
        </w:tc>
      </w:tr>
      <w:tr>
        <w:trPr>
          <w:trHeight w:val="182"/>
        </w:trPr>
        <w:tc>
          <w:tcPr>
            <w:tcW w:w="2700" w:type="dxa"/>
            <w:vAlign w:val="bottom"/>
            <w:shd w:val="clear" w:color="auto" w:fill="E8F5EA"/>
          </w:tcPr>
          <w:p>
            <w:pPr>
              <w:spacing w:after="0" w:line="182" w:lineRule="exact"/>
              <w:rPr>
                <w:sz w:val="20"/>
                <w:szCs w:val="20"/>
                <w:color w:val="auto"/>
              </w:rPr>
            </w:pPr>
            <w:r>
              <w:rPr>
                <w:rFonts w:ascii="Arial" w:cs="Arial" w:eastAsia="Arial" w:hAnsi="Arial"/>
                <w:sz w:val="16"/>
                <w:szCs w:val="16"/>
                <w:color w:val="auto"/>
              </w:rPr>
              <w:t>Avid Modjtabai</w:t>
            </w:r>
          </w:p>
        </w:tc>
        <w:tc>
          <w:tcPr>
            <w:tcW w:w="3400" w:type="dxa"/>
            <w:vAlign w:val="bottom"/>
            <w:shd w:val="clear" w:color="auto" w:fill="E8F5EA"/>
          </w:tcPr>
          <w:p>
            <w:pPr>
              <w:jc w:val="right"/>
              <w:ind w:right="242"/>
              <w:spacing w:after="0" w:line="182" w:lineRule="exact"/>
              <w:rPr>
                <w:sz w:val="20"/>
                <w:szCs w:val="20"/>
                <w:color w:val="auto"/>
              </w:rPr>
            </w:pPr>
            <w:r>
              <w:rPr>
                <w:rFonts w:ascii="Arial" w:cs="Arial" w:eastAsia="Arial" w:hAnsi="Arial"/>
                <w:sz w:val="16"/>
                <w:szCs w:val="16"/>
                <w:color w:val="auto"/>
              </w:rPr>
              <w:t>120,000</w:t>
            </w:r>
          </w:p>
        </w:tc>
        <w:tc>
          <w:tcPr>
            <w:tcW w:w="1500" w:type="dxa"/>
            <w:vAlign w:val="bottom"/>
            <w:shd w:val="clear" w:color="auto" w:fill="E8F5EA"/>
          </w:tcPr>
          <w:p>
            <w:pPr>
              <w:jc w:val="right"/>
              <w:ind w:right="62"/>
              <w:spacing w:after="0" w:line="182" w:lineRule="exact"/>
              <w:rPr>
                <w:sz w:val="20"/>
                <w:szCs w:val="20"/>
                <w:color w:val="auto"/>
              </w:rPr>
            </w:pPr>
            <w:r>
              <w:rPr>
                <w:rFonts w:ascii="Arial" w:cs="Arial" w:eastAsia="Arial" w:hAnsi="Arial"/>
                <w:sz w:val="16"/>
                <w:szCs w:val="16"/>
                <w:color w:val="auto"/>
              </w:rPr>
              <w:t>160,000</w:t>
            </w:r>
          </w:p>
        </w:tc>
        <w:tc>
          <w:tcPr>
            <w:tcW w:w="70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280,000</w:t>
            </w:r>
          </w:p>
        </w:tc>
      </w:tr>
      <w:tr>
        <w:trPr>
          <w:trHeight w:val="219"/>
        </w:trPr>
        <w:tc>
          <w:tcPr>
            <w:tcW w:w="2700" w:type="dxa"/>
            <w:vAlign w:val="bottom"/>
          </w:tcPr>
          <w:p>
            <w:pPr>
              <w:spacing w:after="0" w:line="218" w:lineRule="exact"/>
              <w:rPr>
                <w:sz w:val="20"/>
                <w:szCs w:val="20"/>
                <w:color w:val="auto"/>
              </w:rPr>
            </w:pPr>
            <w:r>
              <w:rPr>
                <w:rFonts w:ascii="Arial" w:cs="Arial" w:eastAsia="Arial" w:hAnsi="Arial"/>
                <w:sz w:val="15"/>
                <w:szCs w:val="15"/>
                <w:color w:val="auto"/>
              </w:rPr>
              <w:t>Adalio T. Sanchez</w:t>
            </w:r>
            <w:r>
              <w:rPr>
                <w:rFonts w:ascii="Arial" w:cs="Arial" w:eastAsia="Arial" w:hAnsi="Arial"/>
                <w:sz w:val="25"/>
                <w:szCs w:val="25"/>
                <w:color w:val="auto"/>
                <w:vertAlign w:val="superscript"/>
              </w:rPr>
              <w:t>(1)</w:t>
            </w:r>
          </w:p>
        </w:tc>
        <w:tc>
          <w:tcPr>
            <w:tcW w:w="3400" w:type="dxa"/>
            <w:vAlign w:val="bottom"/>
          </w:tcPr>
          <w:p>
            <w:pPr>
              <w:jc w:val="right"/>
              <w:ind w:right="242"/>
              <w:spacing w:after="0"/>
              <w:rPr>
                <w:sz w:val="20"/>
                <w:szCs w:val="20"/>
                <w:color w:val="auto"/>
              </w:rPr>
            </w:pPr>
            <w:r>
              <w:rPr>
                <w:rFonts w:ascii="Arial" w:cs="Arial" w:eastAsia="Arial" w:hAnsi="Arial"/>
                <w:sz w:val="16"/>
                <w:szCs w:val="16"/>
                <w:color w:val="auto"/>
              </w:rPr>
              <w:t>66,019</w:t>
            </w:r>
          </w:p>
        </w:tc>
        <w:tc>
          <w:tcPr>
            <w:tcW w:w="1500" w:type="dxa"/>
            <w:vAlign w:val="bottom"/>
          </w:tcPr>
          <w:p>
            <w:pPr>
              <w:jc w:val="right"/>
              <w:ind w:right="62"/>
              <w:spacing w:after="0"/>
              <w:rPr>
                <w:sz w:val="20"/>
                <w:szCs w:val="20"/>
                <w:color w:val="auto"/>
              </w:rPr>
            </w:pPr>
            <w:r>
              <w:rPr>
                <w:rFonts w:ascii="Arial" w:cs="Arial" w:eastAsia="Arial" w:hAnsi="Arial"/>
                <w:sz w:val="16"/>
                <w:szCs w:val="16"/>
                <w:color w:val="auto"/>
              </w:rPr>
              <w:t>178,411</w:t>
            </w:r>
          </w:p>
        </w:tc>
        <w:tc>
          <w:tcPr>
            <w:tcW w:w="700" w:type="dxa"/>
            <w:vAlign w:val="bottom"/>
          </w:tcPr>
          <w:p>
            <w:pPr>
              <w:jc w:val="right"/>
              <w:spacing w:after="0"/>
              <w:rPr>
                <w:sz w:val="20"/>
                <w:szCs w:val="20"/>
                <w:color w:val="auto"/>
              </w:rPr>
            </w:pPr>
            <w:r>
              <w:rPr>
                <w:rFonts w:ascii="Arial" w:cs="Arial" w:eastAsia="Arial" w:hAnsi="Arial"/>
                <w:sz w:val="16"/>
                <w:szCs w:val="16"/>
                <w:color w:val="auto"/>
              </w:rPr>
              <w:t>244,430</w:t>
            </w:r>
          </w:p>
        </w:tc>
      </w:tr>
      <w:tr>
        <w:trPr>
          <w:trHeight w:val="199"/>
        </w:trPr>
        <w:tc>
          <w:tcPr>
            <w:tcW w:w="2700" w:type="dxa"/>
            <w:vAlign w:val="bottom"/>
            <w:tcBorders>
              <w:bottom w:val="single" w:sz="8" w:color="53C072"/>
            </w:tcBorders>
            <w:shd w:val="clear" w:color="auto" w:fill="E8F5EA"/>
          </w:tcPr>
          <w:p>
            <w:pPr>
              <w:spacing w:after="0" w:line="182" w:lineRule="exact"/>
              <w:rPr>
                <w:sz w:val="20"/>
                <w:szCs w:val="20"/>
                <w:color w:val="auto"/>
              </w:rPr>
            </w:pPr>
            <w:r>
              <w:rPr>
                <w:rFonts w:ascii="Arial" w:cs="Arial" w:eastAsia="Arial" w:hAnsi="Arial"/>
                <w:sz w:val="16"/>
                <w:szCs w:val="16"/>
                <w:color w:val="auto"/>
              </w:rPr>
              <w:t>William H. Schumann, III</w:t>
            </w:r>
          </w:p>
        </w:tc>
        <w:tc>
          <w:tcPr>
            <w:tcW w:w="3400" w:type="dxa"/>
            <w:vAlign w:val="bottom"/>
            <w:tcBorders>
              <w:bottom w:val="single" w:sz="8" w:color="53C072"/>
            </w:tcBorders>
            <w:shd w:val="clear" w:color="auto" w:fill="E8F5EA"/>
          </w:tcPr>
          <w:p>
            <w:pPr>
              <w:jc w:val="right"/>
              <w:ind w:right="242"/>
              <w:spacing w:after="0" w:line="182" w:lineRule="exact"/>
              <w:rPr>
                <w:sz w:val="20"/>
                <w:szCs w:val="20"/>
                <w:color w:val="auto"/>
              </w:rPr>
            </w:pPr>
            <w:r>
              <w:rPr>
                <w:rFonts w:ascii="Arial" w:cs="Arial" w:eastAsia="Arial" w:hAnsi="Arial"/>
                <w:sz w:val="16"/>
                <w:szCs w:val="16"/>
                <w:color w:val="auto"/>
              </w:rPr>
              <w:t>109,190</w:t>
            </w:r>
          </w:p>
        </w:tc>
        <w:tc>
          <w:tcPr>
            <w:tcW w:w="1500" w:type="dxa"/>
            <w:vAlign w:val="bottom"/>
            <w:tcBorders>
              <w:bottom w:val="single" w:sz="8" w:color="53C072"/>
            </w:tcBorders>
            <w:shd w:val="clear" w:color="auto" w:fill="E8F5EA"/>
          </w:tcPr>
          <w:p>
            <w:pPr>
              <w:jc w:val="right"/>
              <w:ind w:right="62"/>
              <w:spacing w:after="0" w:line="182" w:lineRule="exact"/>
              <w:rPr>
                <w:sz w:val="20"/>
                <w:szCs w:val="20"/>
                <w:color w:val="auto"/>
              </w:rPr>
            </w:pPr>
            <w:r>
              <w:rPr>
                <w:rFonts w:ascii="Arial" w:cs="Arial" w:eastAsia="Arial" w:hAnsi="Arial"/>
                <w:sz w:val="16"/>
                <w:szCs w:val="16"/>
                <w:color w:val="auto"/>
              </w:rPr>
              <w:t>160,000</w:t>
            </w:r>
          </w:p>
        </w:tc>
        <w:tc>
          <w:tcPr>
            <w:tcW w:w="700" w:type="dxa"/>
            <w:vAlign w:val="bottom"/>
            <w:tcBorders>
              <w:bottom w:val="single" w:sz="8" w:color="53C072"/>
            </w:tcBorders>
            <w:shd w:val="clear" w:color="auto" w:fill="E8F5EA"/>
          </w:tcPr>
          <w:p>
            <w:pPr>
              <w:jc w:val="right"/>
              <w:spacing w:after="0" w:line="182" w:lineRule="exact"/>
              <w:rPr>
                <w:sz w:val="20"/>
                <w:szCs w:val="20"/>
                <w:color w:val="auto"/>
              </w:rPr>
            </w:pPr>
            <w:r>
              <w:rPr>
                <w:rFonts w:ascii="Arial" w:cs="Arial" w:eastAsia="Arial" w:hAnsi="Arial"/>
                <w:sz w:val="16"/>
                <w:szCs w:val="16"/>
                <w:color w:val="auto"/>
              </w:rPr>
              <w:t>269,190</w:t>
            </w:r>
          </w:p>
        </w:tc>
      </w:tr>
    </w:tbl>
    <w:p>
      <w:pPr>
        <w:spacing w:after="0" w:line="177" w:lineRule="exact"/>
        <w:rPr>
          <w:sz w:val="20"/>
          <w:szCs w:val="20"/>
          <w:color w:val="auto"/>
        </w:rPr>
      </w:pPr>
    </w:p>
    <w:p>
      <w:pPr>
        <w:ind w:left="1840" w:right="20" w:hanging="492"/>
        <w:spacing w:after="0" w:line="275" w:lineRule="auto"/>
        <w:tabs>
          <w:tab w:leader="none" w:pos="18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Messrs. Bozotti and Sanchez were elected to the Company's Board effective November 19, 2019, and as such the above retainers and stock awards have been accordingly prorated.</w:t>
      </w:r>
    </w:p>
    <w:p>
      <w:pPr>
        <w:spacing w:after="0" w:line="136" w:lineRule="exact"/>
        <w:rPr>
          <w:rFonts w:ascii="Arial" w:cs="Arial" w:eastAsia="Arial" w:hAnsi="Arial"/>
          <w:sz w:val="16"/>
          <w:szCs w:val="16"/>
          <w:color w:val="auto"/>
        </w:rPr>
      </w:pPr>
    </w:p>
    <w:p>
      <w:pPr>
        <w:ind w:left="1840" w:hanging="492"/>
        <w:spacing w:after="0"/>
        <w:tabs>
          <w:tab w:leader="none" w:pos="18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Mr. Clark served on the Board until the 2019 Annual Meeting on November 19, 2019, when he did not stand for re-election.</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PROCESS FOR REVIEWING NON-EMPLOYEE DIRECTOR COMPENSATION</w:t>
      </w:r>
    </w:p>
    <w:p>
      <w:pPr>
        <w:spacing w:after="0" w:line="209" w:lineRule="exact"/>
        <w:rPr>
          <w:sz w:val="20"/>
          <w:szCs w:val="20"/>
          <w:color w:val="auto"/>
        </w:rPr>
      </w:pPr>
    </w:p>
    <w:p>
      <w:pPr>
        <w:ind w:right="200"/>
        <w:spacing w:after="0" w:line="224" w:lineRule="auto"/>
        <w:rPr>
          <w:sz w:val="20"/>
          <w:szCs w:val="20"/>
          <w:color w:val="auto"/>
        </w:rPr>
      </w:pPr>
      <w:r>
        <w:rPr>
          <w:rFonts w:ascii="Arial" w:cs="Arial" w:eastAsia="Arial" w:hAnsi="Arial"/>
          <w:sz w:val="16"/>
          <w:szCs w:val="16"/>
          <w:color w:val="auto"/>
        </w:rPr>
        <w:t>The Board's practice is to review the Company's non-employee Director compensation program periodically based on recommendations from the Committee tasked with Director compensation oversight, and any changes are generally made effective as of January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of the following calendar year. At least every two years, the Committee tasked with Director compensation oversight performs a comprehensive benchmarking review of the program, including each element of the program as well as the compensation in total.</w:t>
      </w:r>
    </w:p>
    <w:p>
      <w:pPr>
        <w:spacing w:after="0" w:line="165" w:lineRule="exact"/>
        <w:rPr>
          <w:sz w:val="20"/>
          <w:szCs w:val="20"/>
          <w:color w:val="auto"/>
        </w:rPr>
      </w:pPr>
    </w:p>
    <w:p>
      <w:pPr>
        <w:ind w:right="40"/>
        <w:spacing w:after="0" w:line="245" w:lineRule="auto"/>
        <w:rPr>
          <w:sz w:val="20"/>
          <w:szCs w:val="20"/>
          <w:color w:val="auto"/>
        </w:rPr>
      </w:pPr>
      <w:r>
        <w:rPr>
          <w:rFonts w:ascii="Arial" w:cs="Arial" w:eastAsia="Arial" w:hAnsi="Arial"/>
          <w:sz w:val="16"/>
          <w:szCs w:val="16"/>
          <w:color w:val="auto"/>
        </w:rPr>
        <w:t>In August 2019, the Compensation Committee reviewed the results of a benchmarking study of non-employee Director compensation conducted by Meridian, the independent compensation consultant, which analyzed market practices among the same peer group used by the Compensation Committee for purposes of benchmarking executive compensation as well as a summary of practices from the Fortune 250. The Board's compensation philosophy is to benchmark total non-employee Director compensation at mid-way between the medians of the peer group and Fortune 250. The study showed that the Company's non-employee Director compensation program for fiscal 2020 was slightly below the benchmark reference level between the medians of the peer group and the Fortune 250. The Compensation Committee recommended to the Board that no changes be made to non-employee Director compensation at such time.</w:t>
      </w:r>
    </w:p>
    <w:p>
      <w:pPr>
        <w:spacing w:after="0" w:line="145"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DEFERRED COMPENSATION PLAN</w:t>
      </w:r>
    </w:p>
    <w:p>
      <w:pPr>
        <w:spacing w:after="0" w:line="209" w:lineRule="exact"/>
        <w:rPr>
          <w:sz w:val="20"/>
          <w:szCs w:val="20"/>
          <w:color w:val="auto"/>
        </w:rPr>
      </w:pPr>
    </w:p>
    <w:p>
      <w:pPr>
        <w:ind w:right="300"/>
        <w:spacing w:after="0" w:line="309" w:lineRule="auto"/>
        <w:rPr>
          <w:sz w:val="20"/>
          <w:szCs w:val="20"/>
          <w:color w:val="auto"/>
        </w:rPr>
      </w:pPr>
      <w:r>
        <w:rPr>
          <w:rFonts w:ascii="Arial" w:cs="Arial" w:eastAsia="Arial" w:hAnsi="Arial"/>
          <w:sz w:val="15"/>
          <w:szCs w:val="15"/>
          <w:color w:val="auto"/>
        </w:rPr>
        <w:t>Under the Avnet Deferred Compensation Plan for Outside Directors, a non-employee Director may elect to defer all or a portion of his or her annual equity compensation and receive phantom stock units instead. Each phantom stock unit is the economic equivalent of one share of Common Stock, and is settled in</w:t>
      </w:r>
    </w:p>
    <w:p>
      <w:pPr>
        <w:spacing w:after="0" w:line="125"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28</w:t>
      </w:r>
      <w:r>
        <w:rPr>
          <w:sz w:val="20"/>
          <w:szCs w:val="20"/>
          <w:color w:val="auto"/>
        </w:rPr>
        <w:tab/>
      </w:r>
      <w:r>
        <w:rPr>
          <w:rFonts w:ascii="Arial" w:cs="Arial" w:eastAsia="Arial" w:hAnsi="Arial"/>
          <w:sz w:val="23"/>
          <w:szCs w:val="23"/>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7151370" cy="203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-155575</wp:posOffset>
            </wp:positionV>
            <wp:extent cx="1664970" cy="1231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3"/>
        </w:trPr>
        <w:tc>
          <w:tcPr>
            <w:tcW w:w="560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5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60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5660" w:type="dxa"/>
            <w:vAlign w:val="bottom"/>
            <w:vMerge w:val="restart"/>
          </w:tcPr>
          <w:p>
            <w:pPr>
              <w:ind w:left="4320"/>
              <w:spacing w:after="0"/>
              <w:rPr>
                <w:sz w:val="20"/>
                <w:szCs w:val="20"/>
                <w:color w:val="auto"/>
              </w:rPr>
            </w:pPr>
            <w:r>
              <w:rPr>
                <w:rFonts w:ascii="Arial" w:cs="Arial" w:eastAsia="Arial" w:hAnsi="Arial"/>
                <w:sz w:val="13"/>
                <w:szCs w:val="13"/>
                <w:color w:val="auto"/>
                <w:w w:val="99"/>
              </w:rPr>
              <w:t>Director Compensation</w:t>
            </w:r>
          </w:p>
        </w:tc>
        <w:tc>
          <w:tcPr>
            <w:tcW w:w="0" w:type="dxa"/>
            <w:vAlign w:val="bottom"/>
          </w:tcPr>
          <w:p>
            <w:pPr>
              <w:spacing w:after="0"/>
              <w:rPr>
                <w:sz w:val="1"/>
                <w:szCs w:val="1"/>
                <w:color w:val="auto"/>
              </w:rPr>
            </w:pPr>
          </w:p>
        </w:tc>
      </w:tr>
      <w:tr>
        <w:trPr>
          <w:trHeight w:val="102"/>
        </w:trPr>
        <w:tc>
          <w:tcPr>
            <w:tcW w:w="560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5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600" w:type="dxa"/>
            <w:vAlign w:val="bottom"/>
            <w:vMerge w:val="continue"/>
          </w:tcPr>
          <w:p>
            <w:pPr>
              <w:spacing w:after="0"/>
              <w:rPr>
                <w:sz w:val="7"/>
                <w:szCs w:val="7"/>
                <w:color w:val="auto"/>
              </w:rPr>
            </w:pPr>
          </w:p>
        </w:tc>
        <w:tc>
          <w:tcPr>
            <w:tcW w:w="5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right="400"/>
        <w:spacing w:after="0" w:line="275" w:lineRule="auto"/>
        <w:rPr>
          <w:sz w:val="20"/>
          <w:szCs w:val="20"/>
          <w:color w:val="auto"/>
        </w:rPr>
      </w:pPr>
      <w:r>
        <w:rPr>
          <w:rFonts w:ascii="Arial" w:cs="Arial" w:eastAsia="Arial" w:hAnsi="Arial"/>
          <w:sz w:val="16"/>
          <w:szCs w:val="16"/>
          <w:color w:val="auto"/>
        </w:rPr>
        <w:t>Common Stock on a one-for-one basis with fractional shares payable in cash. Phantom stock units will be settled upon the Director no longer serving on the Board or upon a change of control of the Company, as provided under the plan.</w:t>
      </w:r>
    </w:p>
    <w:p>
      <w:pPr>
        <w:spacing w:after="0" w:line="137"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number of phantom stock units is determined by dividing the grant date fair value of the annual equity compensation by the average of the high and low price of the Common Stock on the national stock exchange constituting the primary market for the Common Stock on the first business day in January of each year then multiplying by the percentage of the equity compensation deferred.</w:t>
      </w:r>
    </w:p>
    <w:p>
      <w:pPr>
        <w:spacing w:after="0" w:line="152" w:lineRule="exact"/>
        <w:rPr>
          <w:sz w:val="20"/>
          <w:szCs w:val="20"/>
          <w:color w:val="auto"/>
        </w:rPr>
      </w:pPr>
    </w:p>
    <w:p>
      <w:pPr>
        <w:ind w:right="300"/>
        <w:spacing w:after="0" w:line="246" w:lineRule="auto"/>
        <w:rPr>
          <w:sz w:val="20"/>
          <w:szCs w:val="20"/>
          <w:color w:val="auto"/>
        </w:rPr>
      </w:pPr>
      <w:r>
        <w:rPr>
          <w:rFonts w:ascii="Arial" w:cs="Arial" w:eastAsia="Arial" w:hAnsi="Arial"/>
          <w:sz w:val="16"/>
          <w:szCs w:val="16"/>
          <w:color w:val="auto"/>
        </w:rPr>
        <w:t>In addition, under the plan, a non-employee Director may elect to defer all or a portion of his or her cash compensation either as cash or phantom stock units. Cash compensation deferred as cash is credited to a cash account established under the plan for the Director at the beginning of each quarter and earns monthly interest at a rate corresponding to the rate of interest on U.S. Treasury 10-year notes on the first day of the month. During fiscal 2020, there were no "above market" earnings. The cash account is payable to the Director upon the Director no longer serving on the Board or upon a change of control of the Company, as provided under the plan.</w:t>
      </w:r>
    </w:p>
    <w:p>
      <w:pPr>
        <w:spacing w:after="0" w:line="162" w:lineRule="exact"/>
        <w:rPr>
          <w:sz w:val="20"/>
          <w:szCs w:val="20"/>
          <w:color w:val="auto"/>
        </w:rPr>
      </w:pPr>
    </w:p>
    <w:p>
      <w:pPr>
        <w:jc w:val="both"/>
        <w:ind w:right="160"/>
        <w:spacing w:after="0" w:line="256" w:lineRule="auto"/>
        <w:rPr>
          <w:sz w:val="20"/>
          <w:szCs w:val="20"/>
          <w:color w:val="auto"/>
        </w:rPr>
      </w:pPr>
      <w:r>
        <w:rPr>
          <w:rFonts w:ascii="Arial" w:cs="Arial" w:eastAsia="Arial" w:hAnsi="Arial"/>
          <w:sz w:val="16"/>
          <w:szCs w:val="16"/>
          <w:color w:val="auto"/>
        </w:rPr>
        <w:t>Except in connection with a change of control, the settlement of PSUs with Common Stock and payment of the cash account in cash will be made in ten annual installments unless the Director elects to receive in a single lump sum or annual installments not exceeding ten, with such election made within the timeframes required by the plan. In connection with a change of control, the settlement and payment will be made in a single lump sum.</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In the event of the death of a Director before receipt of all payments, all remaining payments shall be made to the Director's designated beneficiary.</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D&amp;O INSURANCE</w:t>
      </w:r>
    </w:p>
    <w:p>
      <w:pPr>
        <w:spacing w:after="0" w:line="209" w:lineRule="exact"/>
        <w:rPr>
          <w:sz w:val="20"/>
          <w:szCs w:val="20"/>
          <w:color w:val="auto"/>
        </w:rPr>
      </w:pPr>
    </w:p>
    <w:p>
      <w:pPr>
        <w:ind w:right="80"/>
        <w:spacing w:after="0" w:line="242" w:lineRule="auto"/>
        <w:rPr>
          <w:sz w:val="20"/>
          <w:szCs w:val="20"/>
          <w:color w:val="auto"/>
        </w:rPr>
      </w:pPr>
      <w:r>
        <w:rPr>
          <w:rFonts w:ascii="Arial" w:cs="Arial" w:eastAsia="Arial" w:hAnsi="Arial"/>
          <w:sz w:val="16"/>
          <w:szCs w:val="16"/>
          <w:color w:val="auto"/>
        </w:rPr>
        <w:t>As permitted by Section 726 of the Business Corporation Law of New York, the Company has in force directors' and officers' liability insurance and corporate reimbursement insurance. The policy insures the Company against losses from claims against its Directors and officers when they are entitled to indemnification by the Company, and insures the Company's Directors and officers against certain losses from claims against them in their official capacities. All duly elected Directors and officers of the Company and its subsidiaries are covered under this insurance. The primary insurer is Federal Insurance Company, a Chubb Group insurance company. Excess insurers include XL Specialty Insurance Company, Zurich American Insurance Company, National Union Fire Insurance Co. of Pittsburgh, PA, Travelers Casualty and Surety Company of America, Endurance American Insurance Company and Lloyd's of London. The coverage was renewed effective August 1, 2020, for a one-year term. The total premium paid for both primary and excess insurance was $987,285. No claims were made or sums paid out under such insurance policies during fiscal 2020.</w:t>
      </w:r>
    </w:p>
    <w:p>
      <w:pPr>
        <w:spacing w:after="0" w:line="138" w:lineRule="exact"/>
        <w:rPr>
          <w:sz w:val="20"/>
          <w:szCs w:val="20"/>
          <w:color w:val="auto"/>
        </w:rPr>
      </w:pPr>
    </w:p>
    <w:p>
      <w:pPr>
        <w:jc w:val="both"/>
        <w:ind w:left="10720"/>
        <w:spacing w:after="0"/>
        <w:tabs>
          <w:tab w:leader="none" w:pos="11060" w:val="left"/>
        </w:tabs>
        <w:rPr>
          <w:sz w:val="20"/>
          <w:szCs w:val="20"/>
          <w:color w:val="auto"/>
        </w:rPr>
      </w:pPr>
      <w:r>
        <w:rPr>
          <w:rFonts w:ascii="Arial" w:cs="Arial" w:eastAsia="Arial" w:hAnsi="Arial"/>
          <w:sz w:val="23"/>
          <w:szCs w:val="23"/>
          <w:b w:val="1"/>
          <w:bCs w:val="1"/>
          <w:color w:val="53C072"/>
        </w:rPr>
        <w:t>|</w:t>
      </w:r>
      <w:r>
        <w:rPr>
          <w:sz w:val="20"/>
          <w:szCs w:val="20"/>
          <w:color w:val="auto"/>
        </w:rPr>
        <w:tab/>
      </w: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7151370" cy="203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-130175</wp:posOffset>
            </wp:positionV>
            <wp:extent cx="1664970" cy="1231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b w:val="1"/>
          <w:bCs w:val="1"/>
          <w:color w:val="53C072"/>
        </w:rPr>
        <w:t>2020 ANNUAL</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118110</wp:posOffset>
            </wp:positionV>
            <wp:extent cx="7146290" cy="2546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6290" cy="254635"/>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FFFE"/>
        </w:rPr>
        <w:t>EXECUTIVE OFFICERS OF THE COMPANY</w:t>
      </w:r>
    </w:p>
    <w:p>
      <w:pPr>
        <w:spacing w:after="0" w:line="220"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Below are the names, ages and titles of each of the Company's current executive officers and a certain significant employee as of October 2, 2020, as well as a summary of their backgrounds and business experience.</w:t>
      </w:r>
    </w:p>
    <w:p>
      <w:pPr>
        <w:spacing w:after="0" w:line="137"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Executive officers are generally appointed each year by the Board at a meeting following the annual meeting of shareholders and hold office until the next annual meeting or until their earlier death, resignation or removal.</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20" w:type="dxa"/>
            <w:vAlign w:val="bottom"/>
            <w:shd w:val="clear" w:color="auto" w:fill="53C072"/>
          </w:tcPr>
          <w:p>
            <w:pPr>
              <w:spacing w:after="0"/>
              <w:rPr>
                <w:sz w:val="20"/>
                <w:szCs w:val="20"/>
                <w:color w:val="auto"/>
              </w:rPr>
            </w:pPr>
            <w:r>
              <w:rPr>
                <w:rFonts w:ascii="Arial" w:cs="Arial" w:eastAsia="Arial" w:hAnsi="Arial"/>
                <w:sz w:val="16"/>
                <w:szCs w:val="16"/>
                <w:b w:val="1"/>
                <w:bCs w:val="1"/>
                <w:color w:val="FFFFFE"/>
              </w:rPr>
              <w:t>Name</w:t>
            </w:r>
          </w:p>
        </w:tc>
        <w:tc>
          <w:tcPr>
            <w:tcW w:w="720" w:type="dxa"/>
            <w:vAlign w:val="bottom"/>
            <w:shd w:val="clear" w:color="auto" w:fill="53C072"/>
          </w:tcPr>
          <w:p>
            <w:pPr>
              <w:jc w:val="right"/>
              <w:ind w:right="21"/>
              <w:spacing w:after="0"/>
              <w:rPr>
                <w:sz w:val="20"/>
                <w:szCs w:val="20"/>
                <w:color w:val="auto"/>
              </w:rPr>
            </w:pPr>
            <w:r>
              <w:rPr>
                <w:rFonts w:ascii="Arial" w:cs="Arial" w:eastAsia="Arial" w:hAnsi="Arial"/>
                <w:sz w:val="16"/>
                <w:szCs w:val="16"/>
                <w:b w:val="1"/>
                <w:bCs w:val="1"/>
                <w:color w:val="FFFFFE"/>
              </w:rPr>
              <w:t>Age</w:t>
            </w:r>
          </w:p>
        </w:tc>
        <w:tc>
          <w:tcPr>
            <w:tcW w:w="8720" w:type="dxa"/>
            <w:vAlign w:val="bottom"/>
            <w:shd w:val="clear" w:color="auto" w:fill="53C072"/>
          </w:tcPr>
          <w:p>
            <w:pPr>
              <w:ind w:left="60"/>
              <w:spacing w:after="0"/>
              <w:rPr>
                <w:sz w:val="20"/>
                <w:szCs w:val="20"/>
                <w:color w:val="auto"/>
              </w:rPr>
            </w:pPr>
            <w:r>
              <w:rPr>
                <w:rFonts w:ascii="Arial" w:cs="Arial" w:eastAsia="Arial" w:hAnsi="Arial"/>
                <w:sz w:val="16"/>
                <w:szCs w:val="16"/>
                <w:b w:val="1"/>
                <w:bCs w:val="1"/>
                <w:color w:val="FFFFFE"/>
              </w:rPr>
              <w:t>Office</w:t>
            </w:r>
          </w:p>
        </w:tc>
      </w:tr>
      <w:tr>
        <w:trPr>
          <w:trHeight w:val="182"/>
        </w:trPr>
        <w:tc>
          <w:tcPr>
            <w:tcW w:w="1820" w:type="dxa"/>
            <w:vAlign w:val="bottom"/>
          </w:tcPr>
          <w:p>
            <w:pPr>
              <w:spacing w:after="0" w:line="182" w:lineRule="exact"/>
              <w:rPr>
                <w:sz w:val="20"/>
                <w:szCs w:val="20"/>
                <w:color w:val="auto"/>
              </w:rPr>
            </w:pPr>
            <w:r>
              <w:rPr>
                <w:rFonts w:ascii="Arial" w:cs="Arial" w:eastAsia="Arial" w:hAnsi="Arial"/>
                <w:sz w:val="16"/>
                <w:szCs w:val="16"/>
                <w:color w:val="auto"/>
              </w:rPr>
              <w:t>Philip R. Gallagher</w:t>
            </w:r>
          </w:p>
        </w:tc>
        <w:tc>
          <w:tcPr>
            <w:tcW w:w="720" w:type="dxa"/>
            <w:vAlign w:val="bottom"/>
          </w:tcPr>
          <w:p>
            <w:pPr>
              <w:jc w:val="right"/>
              <w:ind w:right="1"/>
              <w:spacing w:after="0" w:line="182" w:lineRule="exact"/>
              <w:rPr>
                <w:sz w:val="20"/>
                <w:szCs w:val="20"/>
                <w:color w:val="auto"/>
              </w:rPr>
            </w:pPr>
            <w:r>
              <w:rPr>
                <w:rFonts w:ascii="Arial" w:cs="Arial" w:eastAsia="Arial" w:hAnsi="Arial"/>
                <w:sz w:val="16"/>
                <w:szCs w:val="16"/>
                <w:color w:val="auto"/>
              </w:rPr>
              <w:t>59</w:t>
            </w:r>
          </w:p>
        </w:tc>
        <w:tc>
          <w:tcPr>
            <w:tcW w:w="8720" w:type="dxa"/>
            <w:vAlign w:val="bottom"/>
          </w:tcPr>
          <w:p>
            <w:pPr>
              <w:ind w:left="60"/>
              <w:spacing w:after="0" w:line="182" w:lineRule="exact"/>
              <w:rPr>
                <w:sz w:val="20"/>
                <w:szCs w:val="20"/>
                <w:color w:val="auto"/>
              </w:rPr>
            </w:pPr>
            <w:r>
              <w:rPr>
                <w:rFonts w:ascii="Arial" w:cs="Arial" w:eastAsia="Arial" w:hAnsi="Arial"/>
                <w:sz w:val="16"/>
                <w:szCs w:val="16"/>
                <w:color w:val="auto"/>
              </w:rPr>
              <w:t>Interim Chief Executive Officer and President, Electronic Components</w:t>
            </w:r>
          </w:p>
        </w:tc>
      </w:tr>
      <w:tr>
        <w:trPr>
          <w:trHeight w:val="182"/>
        </w:trPr>
        <w:tc>
          <w:tcPr>
            <w:tcW w:w="1820" w:type="dxa"/>
            <w:vAlign w:val="bottom"/>
            <w:shd w:val="clear" w:color="auto" w:fill="E8F5EA"/>
          </w:tcPr>
          <w:p>
            <w:pPr>
              <w:spacing w:after="0" w:line="182" w:lineRule="exact"/>
              <w:rPr>
                <w:sz w:val="20"/>
                <w:szCs w:val="20"/>
                <w:color w:val="auto"/>
              </w:rPr>
            </w:pPr>
            <w:r>
              <w:rPr>
                <w:rFonts w:ascii="Arial" w:cs="Arial" w:eastAsia="Arial" w:hAnsi="Arial"/>
                <w:sz w:val="16"/>
                <w:szCs w:val="16"/>
                <w:color w:val="auto"/>
              </w:rPr>
              <w:t>Thomas Liguori</w:t>
            </w:r>
          </w:p>
        </w:tc>
        <w:tc>
          <w:tcPr>
            <w:tcW w:w="720" w:type="dxa"/>
            <w:vAlign w:val="bottom"/>
            <w:shd w:val="clear" w:color="auto" w:fill="E8F5EA"/>
          </w:tcPr>
          <w:p>
            <w:pPr>
              <w:jc w:val="right"/>
              <w:ind w:right="1"/>
              <w:spacing w:after="0" w:line="182" w:lineRule="exact"/>
              <w:rPr>
                <w:sz w:val="20"/>
                <w:szCs w:val="20"/>
                <w:color w:val="auto"/>
              </w:rPr>
            </w:pPr>
            <w:r>
              <w:rPr>
                <w:rFonts w:ascii="Arial" w:cs="Arial" w:eastAsia="Arial" w:hAnsi="Arial"/>
                <w:sz w:val="16"/>
                <w:szCs w:val="16"/>
                <w:color w:val="auto"/>
              </w:rPr>
              <w:t>62</w:t>
            </w:r>
          </w:p>
        </w:tc>
        <w:tc>
          <w:tcPr>
            <w:tcW w:w="8720" w:type="dxa"/>
            <w:vAlign w:val="bottom"/>
            <w:shd w:val="clear" w:color="auto" w:fill="E8F5EA"/>
          </w:tcPr>
          <w:p>
            <w:pPr>
              <w:ind w:left="60"/>
              <w:spacing w:after="0" w:line="182" w:lineRule="exact"/>
              <w:rPr>
                <w:sz w:val="20"/>
                <w:szCs w:val="20"/>
                <w:color w:val="auto"/>
              </w:rPr>
            </w:pPr>
            <w:r>
              <w:rPr>
                <w:rFonts w:ascii="Arial" w:cs="Arial" w:eastAsia="Arial" w:hAnsi="Arial"/>
                <w:sz w:val="16"/>
                <w:szCs w:val="16"/>
                <w:color w:val="auto"/>
              </w:rPr>
              <w:t>Chief Financial Officer</w:t>
            </w:r>
          </w:p>
        </w:tc>
      </w:tr>
      <w:tr>
        <w:trPr>
          <w:trHeight w:val="182"/>
        </w:trPr>
        <w:tc>
          <w:tcPr>
            <w:tcW w:w="1820" w:type="dxa"/>
            <w:vAlign w:val="bottom"/>
          </w:tcPr>
          <w:p>
            <w:pPr>
              <w:spacing w:after="0" w:line="182" w:lineRule="exact"/>
              <w:rPr>
                <w:sz w:val="20"/>
                <w:szCs w:val="20"/>
                <w:color w:val="auto"/>
              </w:rPr>
            </w:pPr>
            <w:r>
              <w:rPr>
                <w:rFonts w:ascii="Arial" w:cs="Arial" w:eastAsia="Arial" w:hAnsi="Arial"/>
                <w:sz w:val="16"/>
                <w:szCs w:val="16"/>
                <w:color w:val="auto"/>
              </w:rPr>
              <w:t>Ken E. Arnold</w:t>
            </w:r>
          </w:p>
        </w:tc>
        <w:tc>
          <w:tcPr>
            <w:tcW w:w="720" w:type="dxa"/>
            <w:vAlign w:val="bottom"/>
          </w:tcPr>
          <w:p>
            <w:pPr>
              <w:jc w:val="right"/>
              <w:ind w:right="1"/>
              <w:spacing w:after="0" w:line="182" w:lineRule="exact"/>
              <w:rPr>
                <w:sz w:val="20"/>
                <w:szCs w:val="20"/>
                <w:color w:val="auto"/>
              </w:rPr>
            </w:pPr>
            <w:r>
              <w:rPr>
                <w:rFonts w:ascii="Arial" w:cs="Arial" w:eastAsia="Arial" w:hAnsi="Arial"/>
                <w:sz w:val="16"/>
                <w:szCs w:val="16"/>
                <w:color w:val="auto"/>
              </w:rPr>
              <w:t>56</w:t>
            </w:r>
          </w:p>
        </w:tc>
        <w:tc>
          <w:tcPr>
            <w:tcW w:w="8720" w:type="dxa"/>
            <w:vAlign w:val="bottom"/>
          </w:tcPr>
          <w:p>
            <w:pPr>
              <w:ind w:left="60"/>
              <w:spacing w:after="0" w:line="182" w:lineRule="exact"/>
              <w:rPr>
                <w:sz w:val="20"/>
                <w:szCs w:val="20"/>
                <w:color w:val="auto"/>
              </w:rPr>
            </w:pPr>
            <w:r>
              <w:rPr>
                <w:rFonts w:ascii="Arial" w:cs="Arial" w:eastAsia="Arial" w:hAnsi="Arial"/>
                <w:sz w:val="16"/>
                <w:szCs w:val="16"/>
                <w:color w:val="auto"/>
              </w:rPr>
              <w:t>Senior Vice President and Chief People Officer</w:t>
            </w:r>
          </w:p>
        </w:tc>
      </w:tr>
      <w:tr>
        <w:trPr>
          <w:trHeight w:val="182"/>
        </w:trPr>
        <w:tc>
          <w:tcPr>
            <w:tcW w:w="1820" w:type="dxa"/>
            <w:vAlign w:val="bottom"/>
            <w:shd w:val="clear" w:color="auto" w:fill="E8F5EA"/>
          </w:tcPr>
          <w:p>
            <w:pPr>
              <w:spacing w:after="0" w:line="182" w:lineRule="exact"/>
              <w:rPr>
                <w:sz w:val="20"/>
                <w:szCs w:val="20"/>
                <w:color w:val="auto"/>
              </w:rPr>
            </w:pPr>
            <w:r>
              <w:rPr>
                <w:rFonts w:ascii="Arial" w:cs="Arial" w:eastAsia="Arial" w:hAnsi="Arial"/>
                <w:sz w:val="16"/>
                <w:szCs w:val="16"/>
                <w:color w:val="auto"/>
              </w:rPr>
              <w:t>Michael R. McCoy</w:t>
            </w:r>
          </w:p>
        </w:tc>
        <w:tc>
          <w:tcPr>
            <w:tcW w:w="720" w:type="dxa"/>
            <w:vAlign w:val="bottom"/>
            <w:shd w:val="clear" w:color="auto" w:fill="E8F5EA"/>
          </w:tcPr>
          <w:p>
            <w:pPr>
              <w:jc w:val="right"/>
              <w:ind w:right="1"/>
              <w:spacing w:after="0" w:line="182" w:lineRule="exact"/>
              <w:rPr>
                <w:sz w:val="20"/>
                <w:szCs w:val="20"/>
                <w:color w:val="auto"/>
              </w:rPr>
            </w:pPr>
            <w:r>
              <w:rPr>
                <w:rFonts w:ascii="Arial" w:cs="Arial" w:eastAsia="Arial" w:hAnsi="Arial"/>
                <w:sz w:val="16"/>
                <w:szCs w:val="16"/>
                <w:color w:val="auto"/>
              </w:rPr>
              <w:t>44</w:t>
            </w:r>
          </w:p>
        </w:tc>
        <w:tc>
          <w:tcPr>
            <w:tcW w:w="8720" w:type="dxa"/>
            <w:vAlign w:val="bottom"/>
            <w:shd w:val="clear" w:color="auto" w:fill="E8F5EA"/>
          </w:tcPr>
          <w:p>
            <w:pPr>
              <w:ind w:left="60"/>
              <w:spacing w:after="0" w:line="182" w:lineRule="exact"/>
              <w:rPr>
                <w:sz w:val="20"/>
                <w:szCs w:val="20"/>
                <w:color w:val="auto"/>
              </w:rPr>
            </w:pPr>
            <w:r>
              <w:rPr>
                <w:rFonts w:ascii="Arial" w:cs="Arial" w:eastAsia="Arial" w:hAnsi="Arial"/>
                <w:sz w:val="16"/>
                <w:szCs w:val="16"/>
                <w:color w:val="auto"/>
              </w:rPr>
              <w:t>Senior Vice President, General Counsel and Chief Legal Officer</w:t>
            </w:r>
          </w:p>
        </w:tc>
      </w:tr>
      <w:tr>
        <w:trPr>
          <w:trHeight w:val="182"/>
        </w:trPr>
        <w:tc>
          <w:tcPr>
            <w:tcW w:w="1820" w:type="dxa"/>
            <w:vAlign w:val="bottom"/>
          </w:tcPr>
          <w:p>
            <w:pPr>
              <w:spacing w:after="0" w:line="182" w:lineRule="exact"/>
              <w:rPr>
                <w:sz w:val="20"/>
                <w:szCs w:val="20"/>
                <w:color w:val="auto"/>
              </w:rPr>
            </w:pPr>
            <w:r>
              <w:rPr>
                <w:rFonts w:ascii="Arial" w:cs="Arial" w:eastAsia="Arial" w:hAnsi="Arial"/>
                <w:sz w:val="16"/>
                <w:szCs w:val="16"/>
                <w:color w:val="auto"/>
              </w:rPr>
              <w:t>MaryAnn G. Miller</w:t>
            </w:r>
          </w:p>
        </w:tc>
        <w:tc>
          <w:tcPr>
            <w:tcW w:w="720" w:type="dxa"/>
            <w:vAlign w:val="bottom"/>
          </w:tcPr>
          <w:p>
            <w:pPr>
              <w:jc w:val="right"/>
              <w:ind w:right="1"/>
              <w:spacing w:after="0" w:line="182" w:lineRule="exact"/>
              <w:rPr>
                <w:sz w:val="20"/>
                <w:szCs w:val="20"/>
                <w:color w:val="auto"/>
              </w:rPr>
            </w:pPr>
            <w:r>
              <w:rPr>
                <w:rFonts w:ascii="Arial" w:cs="Arial" w:eastAsia="Arial" w:hAnsi="Arial"/>
                <w:sz w:val="16"/>
                <w:szCs w:val="16"/>
                <w:color w:val="auto"/>
              </w:rPr>
              <w:t>63</w:t>
            </w:r>
          </w:p>
        </w:tc>
        <w:tc>
          <w:tcPr>
            <w:tcW w:w="8720" w:type="dxa"/>
            <w:vAlign w:val="bottom"/>
          </w:tcPr>
          <w:p>
            <w:pPr>
              <w:ind w:left="60"/>
              <w:spacing w:after="0" w:line="182" w:lineRule="exact"/>
              <w:rPr>
                <w:sz w:val="20"/>
                <w:szCs w:val="20"/>
                <w:color w:val="auto"/>
              </w:rPr>
            </w:pPr>
            <w:r>
              <w:rPr>
                <w:rFonts w:ascii="Arial" w:cs="Arial" w:eastAsia="Arial" w:hAnsi="Arial"/>
                <w:sz w:val="16"/>
                <w:szCs w:val="16"/>
                <w:color w:val="auto"/>
              </w:rPr>
              <w:t>Senior Vice President and Chief Administrative Officer</w:t>
            </w:r>
          </w:p>
        </w:tc>
      </w:tr>
      <w:tr>
        <w:trPr>
          <w:trHeight w:val="199"/>
        </w:trPr>
        <w:tc>
          <w:tcPr>
            <w:tcW w:w="1820" w:type="dxa"/>
            <w:vAlign w:val="bottom"/>
            <w:tcBorders>
              <w:bottom w:val="single" w:sz="8" w:color="53C072"/>
            </w:tcBorders>
            <w:shd w:val="clear" w:color="auto" w:fill="E8F5EA"/>
          </w:tcPr>
          <w:p>
            <w:pPr>
              <w:spacing w:after="0" w:line="182" w:lineRule="exact"/>
              <w:rPr>
                <w:sz w:val="20"/>
                <w:szCs w:val="20"/>
                <w:color w:val="auto"/>
              </w:rPr>
            </w:pPr>
            <w:r>
              <w:rPr>
                <w:rFonts w:ascii="Arial" w:cs="Arial" w:eastAsia="Arial" w:hAnsi="Arial"/>
                <w:sz w:val="16"/>
                <w:szCs w:val="16"/>
                <w:color w:val="auto"/>
              </w:rPr>
              <w:t>Kenneth A. Jacobson</w:t>
            </w:r>
          </w:p>
        </w:tc>
        <w:tc>
          <w:tcPr>
            <w:tcW w:w="720" w:type="dxa"/>
            <w:vAlign w:val="bottom"/>
            <w:tcBorders>
              <w:bottom w:val="single" w:sz="8" w:color="53C072"/>
            </w:tcBorders>
            <w:shd w:val="clear" w:color="auto" w:fill="E8F5EA"/>
          </w:tcPr>
          <w:p>
            <w:pPr>
              <w:jc w:val="right"/>
              <w:ind w:right="1"/>
              <w:spacing w:after="0" w:line="182" w:lineRule="exact"/>
              <w:rPr>
                <w:sz w:val="20"/>
                <w:szCs w:val="20"/>
                <w:color w:val="auto"/>
              </w:rPr>
            </w:pPr>
            <w:r>
              <w:rPr>
                <w:rFonts w:ascii="Arial" w:cs="Arial" w:eastAsia="Arial" w:hAnsi="Arial"/>
                <w:sz w:val="16"/>
                <w:szCs w:val="16"/>
                <w:color w:val="auto"/>
              </w:rPr>
              <w:t>42</w:t>
            </w:r>
          </w:p>
        </w:tc>
        <w:tc>
          <w:tcPr>
            <w:tcW w:w="8720" w:type="dxa"/>
            <w:vAlign w:val="bottom"/>
            <w:tcBorders>
              <w:bottom w:val="single" w:sz="8" w:color="53C072"/>
            </w:tcBorders>
            <w:shd w:val="clear" w:color="auto" w:fill="E8F5EA"/>
          </w:tcPr>
          <w:p>
            <w:pPr>
              <w:ind w:left="60"/>
              <w:spacing w:after="0" w:line="182" w:lineRule="exact"/>
              <w:rPr>
                <w:sz w:val="20"/>
                <w:szCs w:val="20"/>
                <w:color w:val="auto"/>
              </w:rPr>
            </w:pPr>
            <w:r>
              <w:rPr>
                <w:rFonts w:ascii="Arial" w:cs="Arial" w:eastAsia="Arial" w:hAnsi="Arial"/>
                <w:sz w:val="16"/>
                <w:szCs w:val="16"/>
                <w:color w:val="auto"/>
              </w:rPr>
              <w:t>Principal Accounting Officer and Corporate Controller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362585</wp:posOffset>
            </wp:positionV>
            <wp:extent cx="7146290" cy="11334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6290" cy="1133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380"/>
        <w:spacing w:after="0"/>
        <w:rPr>
          <w:sz w:val="20"/>
          <w:szCs w:val="20"/>
          <w:color w:val="auto"/>
        </w:rPr>
      </w:pPr>
      <w:r>
        <w:rPr>
          <w:rFonts w:ascii="Arial" w:cs="Arial" w:eastAsia="Arial" w:hAnsi="Arial"/>
          <w:sz w:val="16"/>
          <w:szCs w:val="16"/>
          <w:b w:val="1"/>
          <w:bCs w:val="1"/>
          <w:color w:val="FFFFFE"/>
        </w:rPr>
        <w:t>PHILIP R. GALLAGHER</w:t>
      </w:r>
    </w:p>
    <w:p>
      <w:pPr>
        <w:spacing w:after="0" w:line="219" w:lineRule="exact"/>
        <w:rPr>
          <w:sz w:val="20"/>
          <w:szCs w:val="20"/>
          <w:color w:val="auto"/>
        </w:rPr>
      </w:pPr>
    </w:p>
    <w:p>
      <w:pPr>
        <w:ind w:left="2280" w:right="140"/>
        <w:spacing w:after="0" w:line="262" w:lineRule="auto"/>
        <w:rPr>
          <w:sz w:val="20"/>
          <w:szCs w:val="20"/>
          <w:color w:val="auto"/>
        </w:rPr>
      </w:pPr>
      <w:r>
        <w:rPr>
          <w:rFonts w:ascii="Arial" w:cs="Arial" w:eastAsia="Arial" w:hAnsi="Arial"/>
          <w:sz w:val="15"/>
          <w:szCs w:val="15"/>
          <w:color w:val="auto"/>
        </w:rPr>
        <w:t>Philip R. Gallagher has served as the Company's Interim Chief Executive Officer since July 31, 2020, and President, Electronic Components since August 2018. Previously he had served as the Global President, Core Distribution Business from May 2017 to August 2018. He began his career with the Company in 1983 and held executive leadership positions in sales, marketing and operations during his 30 years at the Company, with his last role as Global President of Technology Solutions from 2009 to 2014. He left the Company in 2014, and served as President, Americas Sales and Marketing at TTI, a leading authorized distributor of interconnect, passive, electromechanical and discrete components, from 2016 to 2017. He rejoined the Company in May 2017. Mr. Gallagher currently serves on the advisory boards for Axxess Unlimited and AON (Access Digital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361315</wp:posOffset>
            </wp:positionV>
            <wp:extent cx="7146290" cy="10172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6290" cy="1017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380"/>
        <w:spacing w:after="0"/>
        <w:rPr>
          <w:sz w:val="20"/>
          <w:szCs w:val="20"/>
          <w:color w:val="auto"/>
        </w:rPr>
      </w:pPr>
      <w:r>
        <w:rPr>
          <w:rFonts w:ascii="Arial" w:cs="Arial" w:eastAsia="Arial" w:hAnsi="Arial"/>
          <w:sz w:val="16"/>
          <w:szCs w:val="16"/>
          <w:b w:val="1"/>
          <w:bCs w:val="1"/>
          <w:color w:val="FFFFFE"/>
        </w:rPr>
        <w:t>THOMAS LIGUORI</w:t>
      </w:r>
    </w:p>
    <w:p>
      <w:pPr>
        <w:spacing w:after="0" w:line="219" w:lineRule="exact"/>
        <w:rPr>
          <w:sz w:val="20"/>
          <w:szCs w:val="20"/>
          <w:color w:val="auto"/>
        </w:rPr>
      </w:pPr>
    </w:p>
    <w:p>
      <w:pPr>
        <w:ind w:left="2280" w:right="240"/>
        <w:spacing w:after="0" w:line="245" w:lineRule="auto"/>
        <w:rPr>
          <w:sz w:val="20"/>
          <w:szCs w:val="20"/>
          <w:color w:val="auto"/>
        </w:rPr>
      </w:pPr>
      <w:r>
        <w:rPr>
          <w:rFonts w:ascii="Arial" w:cs="Arial" w:eastAsia="Arial" w:hAnsi="Arial"/>
          <w:sz w:val="16"/>
          <w:szCs w:val="16"/>
          <w:color w:val="auto"/>
        </w:rPr>
        <w:t>Thomas Liguori has served as the Company's Chief Financial Officer since January 2018. He previously served as the Executive Vice President and Chief Financial Officer of Advanced Energy Industries, Inc. (Nasdaq: AEIS), a product and services provider for semi and industrial power applications, from May 2015 to December 2017. Prior to that, Mr. Liguori served as the Executive Vice President and Chief Financial Officer of MFLEX (Nasdaq: MFLX), a global provider of flexible circuits and assemblies for smartphones and tablets, from February 2008 to May 2015. Mr. Liguori is a Certified Management Accountant and a Certified Financial Manager.</w:t>
      </w:r>
    </w:p>
    <w:p>
      <w:pPr>
        <w:spacing w:after="0" w:line="207"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30</w:t>
      </w:r>
      <w:r>
        <w:rPr>
          <w:sz w:val="20"/>
          <w:szCs w:val="20"/>
          <w:color w:val="auto"/>
        </w:rPr>
        <w:tab/>
      </w:r>
      <w:r>
        <w:rPr>
          <w:rFonts w:ascii="Arial" w:cs="Arial" w:eastAsia="Arial" w:hAnsi="Arial"/>
          <w:sz w:val="23"/>
          <w:szCs w:val="23"/>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118745</wp:posOffset>
            </wp:positionV>
            <wp:extent cx="7151370" cy="203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-163195</wp:posOffset>
            </wp:positionV>
            <wp:extent cx="1664970" cy="1231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3"/>
        </w:trPr>
        <w:tc>
          <w:tcPr>
            <w:tcW w:w="526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6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26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6000" w:type="dxa"/>
            <w:vAlign w:val="bottom"/>
            <w:vMerge w:val="restart"/>
          </w:tcPr>
          <w:p>
            <w:pPr>
              <w:ind w:left="4000"/>
              <w:spacing w:after="0"/>
              <w:rPr>
                <w:sz w:val="20"/>
                <w:szCs w:val="20"/>
                <w:color w:val="auto"/>
              </w:rPr>
            </w:pPr>
            <w:r>
              <w:rPr>
                <w:rFonts w:ascii="Arial" w:cs="Arial" w:eastAsia="Arial" w:hAnsi="Arial"/>
                <w:sz w:val="13"/>
                <w:szCs w:val="13"/>
                <w:color w:val="auto"/>
                <w:w w:val="98"/>
              </w:rPr>
              <w:t>Executive Officers of the Company</w:t>
            </w:r>
          </w:p>
        </w:tc>
        <w:tc>
          <w:tcPr>
            <w:tcW w:w="0" w:type="dxa"/>
            <w:vAlign w:val="bottom"/>
          </w:tcPr>
          <w:p>
            <w:pPr>
              <w:spacing w:after="0"/>
              <w:rPr>
                <w:sz w:val="1"/>
                <w:szCs w:val="1"/>
                <w:color w:val="auto"/>
              </w:rPr>
            </w:pPr>
          </w:p>
        </w:tc>
      </w:tr>
      <w:tr>
        <w:trPr>
          <w:trHeight w:val="102"/>
        </w:trPr>
        <w:tc>
          <w:tcPr>
            <w:tcW w:w="526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6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260" w:type="dxa"/>
            <w:vAlign w:val="bottom"/>
            <w:vMerge w:val="continue"/>
          </w:tcPr>
          <w:p>
            <w:pPr>
              <w:spacing w:after="0"/>
              <w:rPr>
                <w:sz w:val="7"/>
                <w:szCs w:val="7"/>
                <w:color w:val="auto"/>
              </w:rPr>
            </w:pPr>
          </w:p>
        </w:tc>
        <w:tc>
          <w:tcPr>
            <w:tcW w:w="60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347345</wp:posOffset>
            </wp:positionV>
            <wp:extent cx="7146290" cy="10020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6290" cy="100203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2380"/>
        <w:spacing w:after="0"/>
        <w:rPr>
          <w:sz w:val="20"/>
          <w:szCs w:val="20"/>
          <w:color w:val="auto"/>
        </w:rPr>
      </w:pPr>
      <w:r>
        <w:rPr>
          <w:rFonts w:ascii="Arial" w:cs="Arial" w:eastAsia="Arial" w:hAnsi="Arial"/>
          <w:sz w:val="16"/>
          <w:szCs w:val="16"/>
          <w:b w:val="1"/>
          <w:bCs w:val="1"/>
          <w:color w:val="FFFFFE"/>
        </w:rPr>
        <w:t>KEN E. ARNOLD</w:t>
      </w:r>
    </w:p>
    <w:p>
      <w:pPr>
        <w:spacing w:after="0" w:line="219" w:lineRule="exact"/>
        <w:rPr>
          <w:sz w:val="20"/>
          <w:szCs w:val="20"/>
          <w:color w:val="auto"/>
        </w:rPr>
      </w:pPr>
    </w:p>
    <w:p>
      <w:pPr>
        <w:jc w:val="both"/>
        <w:ind w:left="2280" w:right="440"/>
        <w:spacing w:after="0" w:line="256" w:lineRule="auto"/>
        <w:rPr>
          <w:sz w:val="20"/>
          <w:szCs w:val="20"/>
          <w:color w:val="auto"/>
        </w:rPr>
      </w:pPr>
      <w:r>
        <w:rPr>
          <w:rFonts w:ascii="Arial" w:cs="Arial" w:eastAsia="Arial" w:hAnsi="Arial"/>
          <w:sz w:val="16"/>
          <w:szCs w:val="16"/>
          <w:color w:val="auto"/>
        </w:rPr>
        <w:t>Ken E. Arnold has served as Senior Vice President and Chief People Officer since February 2019. He previously served in various human resource leadership roles with the Company, including as Vice President, Human Resources from 2009 to February 2019 and Director, Human Resources — Talent Acquisition and HR Services from 2007 to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693420</wp:posOffset>
            </wp:positionV>
            <wp:extent cx="7146290" cy="10020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6290" cy="100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380"/>
        <w:spacing w:after="0"/>
        <w:rPr>
          <w:sz w:val="20"/>
          <w:szCs w:val="20"/>
          <w:color w:val="auto"/>
        </w:rPr>
      </w:pPr>
      <w:r>
        <w:rPr>
          <w:rFonts w:ascii="Arial" w:cs="Arial" w:eastAsia="Arial" w:hAnsi="Arial"/>
          <w:sz w:val="16"/>
          <w:szCs w:val="16"/>
          <w:b w:val="1"/>
          <w:bCs w:val="1"/>
          <w:color w:val="FFFFFE"/>
        </w:rPr>
        <w:t>MICHAEL R. MCCOY</w:t>
      </w:r>
    </w:p>
    <w:p>
      <w:pPr>
        <w:spacing w:after="0" w:line="219" w:lineRule="exact"/>
        <w:rPr>
          <w:sz w:val="20"/>
          <w:szCs w:val="20"/>
          <w:color w:val="auto"/>
        </w:rPr>
      </w:pPr>
    </w:p>
    <w:p>
      <w:pPr>
        <w:jc w:val="both"/>
        <w:ind w:left="2280" w:right="200"/>
        <w:spacing w:after="0" w:line="246" w:lineRule="auto"/>
        <w:rPr>
          <w:sz w:val="20"/>
          <w:szCs w:val="20"/>
          <w:color w:val="auto"/>
        </w:rPr>
      </w:pPr>
      <w:r>
        <w:rPr>
          <w:rFonts w:ascii="Arial" w:cs="Arial" w:eastAsia="Arial" w:hAnsi="Arial"/>
          <w:sz w:val="16"/>
          <w:szCs w:val="16"/>
          <w:color w:val="auto"/>
        </w:rPr>
        <w:t>Michael R. McCoy has served as Senior Vice President, General Counsel and Chief Legal Officer since April 2020. He joined the Company in 2010 and previously served as General Counsel, International from May 2019 to April 2020; Vice President, Assistant General Counsel, EMEA General Counsel from 2017 to 2019; and Secretary from 2013 to 2017. Prior to joining the Company, Mr. McCoy worked at two international law firms and at the U.S. Securities and Exchange Commission's Division of Corporation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467995</wp:posOffset>
            </wp:positionV>
            <wp:extent cx="7146290" cy="11334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6290" cy="1133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380"/>
        <w:spacing w:after="0"/>
        <w:rPr>
          <w:sz w:val="20"/>
          <w:szCs w:val="20"/>
          <w:color w:val="auto"/>
        </w:rPr>
      </w:pPr>
      <w:r>
        <w:rPr>
          <w:rFonts w:ascii="Arial" w:cs="Arial" w:eastAsia="Arial" w:hAnsi="Arial"/>
          <w:sz w:val="16"/>
          <w:szCs w:val="16"/>
          <w:b w:val="1"/>
          <w:bCs w:val="1"/>
          <w:color w:val="FFFFFE"/>
        </w:rPr>
        <w:t>MARYANN G. MILLER</w:t>
      </w:r>
    </w:p>
    <w:p>
      <w:pPr>
        <w:spacing w:after="0" w:line="219" w:lineRule="exact"/>
        <w:rPr>
          <w:sz w:val="20"/>
          <w:szCs w:val="20"/>
          <w:color w:val="auto"/>
        </w:rPr>
      </w:pPr>
    </w:p>
    <w:p>
      <w:pPr>
        <w:jc w:val="both"/>
        <w:ind w:left="2280" w:right="220"/>
        <w:spacing w:after="0" w:line="267" w:lineRule="auto"/>
        <w:rPr>
          <w:sz w:val="20"/>
          <w:szCs w:val="20"/>
          <w:color w:val="auto"/>
        </w:rPr>
      </w:pPr>
      <w:r>
        <w:rPr>
          <w:rFonts w:ascii="Arial" w:cs="Arial" w:eastAsia="Arial" w:hAnsi="Arial"/>
          <w:sz w:val="15"/>
          <w:szCs w:val="15"/>
          <w:color w:val="auto"/>
        </w:rPr>
        <w:t>MaryAnn G. Miller has served as Chief Administrative Officer since February 2019 and Senior Vice President since 2011. Previously, she had served as the Chief Human Resources Officer from 2009 to February 2019 and Head of Global Marketing</w:t>
      </w:r>
    </w:p>
    <w:p>
      <w:pPr>
        <w:ind w:left="2280" w:right="160" w:firstLine="3"/>
        <w:spacing w:after="0"/>
        <w:tabs>
          <w:tab w:leader="none" w:pos="2429"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Communications from 2013 to February 2019. Ms. Miller has served in various other leadership roles, including as Vice President from 2009 to 2011, Senior Vice President, Global Human Resources from 2008 to 2009 and Vice President of Talent and Organizational Effectiveness from 2006 to 2008. Prior to joining the Company, she had served as Vice President, Human Resources Electronic Systems at Goodrich Corporation. Ms. Miller served on the board of directors of Certive Solutions, Inc. (CNSX: CBP) from 2015 to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370205</wp:posOffset>
            </wp:positionV>
            <wp:extent cx="7146290" cy="10020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6290" cy="100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380"/>
        <w:spacing w:after="0"/>
        <w:rPr>
          <w:sz w:val="20"/>
          <w:szCs w:val="20"/>
          <w:color w:val="auto"/>
        </w:rPr>
      </w:pPr>
      <w:r>
        <w:rPr>
          <w:rFonts w:ascii="Arial" w:cs="Arial" w:eastAsia="Arial" w:hAnsi="Arial"/>
          <w:sz w:val="16"/>
          <w:szCs w:val="16"/>
          <w:b w:val="1"/>
          <w:bCs w:val="1"/>
          <w:color w:val="FFFFFE"/>
        </w:rPr>
        <w:t>KENNETH A. JACOBSON</w:t>
      </w:r>
    </w:p>
    <w:p>
      <w:pPr>
        <w:spacing w:after="0" w:line="219" w:lineRule="exact"/>
        <w:rPr>
          <w:sz w:val="20"/>
          <w:szCs w:val="20"/>
          <w:color w:val="auto"/>
        </w:rPr>
      </w:pPr>
    </w:p>
    <w:p>
      <w:pPr>
        <w:ind w:left="2280" w:right="260"/>
        <w:spacing w:after="0" w:line="246" w:lineRule="auto"/>
        <w:rPr>
          <w:sz w:val="20"/>
          <w:szCs w:val="20"/>
          <w:color w:val="auto"/>
        </w:rPr>
      </w:pPr>
      <w:r>
        <w:rPr>
          <w:rFonts w:ascii="Arial" w:cs="Arial" w:eastAsia="Arial" w:hAnsi="Arial"/>
          <w:sz w:val="16"/>
          <w:szCs w:val="16"/>
          <w:color w:val="auto"/>
        </w:rPr>
        <w:t>Kenneth A. Jacobson has served as the Corporate Controller since 2013 and Principal Accounting Officer since February 2018. From August 2017 to January 2018, he also served as the Interim Chief Financial Officer. Prior to joining the Company, Mr. Jacobson served as the Director of External Reporting and Accounting Research for First Solar Inc. from 2011 to 2013, where he led external reporting and provided accounting support for acquisitions and sales of solar power projects. Mr. Jacobson is a Certified Public Accountant.</w:t>
      </w:r>
    </w:p>
    <w:p>
      <w:pPr>
        <w:spacing w:after="0" w:line="315" w:lineRule="exact"/>
        <w:rPr>
          <w:sz w:val="20"/>
          <w:szCs w:val="20"/>
          <w:color w:val="auto"/>
        </w:rPr>
      </w:pPr>
    </w:p>
    <w:p>
      <w:pPr>
        <w:jc w:val="both"/>
        <w:ind w:left="10720"/>
        <w:spacing w:after="0"/>
        <w:tabs>
          <w:tab w:leader="none" w:pos="11060" w:val="left"/>
        </w:tabs>
        <w:rPr>
          <w:sz w:val="20"/>
          <w:szCs w:val="20"/>
          <w:color w:val="auto"/>
        </w:rPr>
      </w:pPr>
      <w:r>
        <w:rPr>
          <w:rFonts w:ascii="Arial" w:cs="Arial" w:eastAsia="Arial" w:hAnsi="Arial"/>
          <w:sz w:val="23"/>
          <w:szCs w:val="23"/>
          <w:b w:val="1"/>
          <w:bCs w:val="1"/>
          <w:color w:val="53C072"/>
        </w:rPr>
        <w:t>|</w:t>
      </w:r>
      <w:r>
        <w:rPr>
          <w:sz w:val="20"/>
          <w:szCs w:val="20"/>
          <w:color w:val="auto"/>
        </w:rPr>
        <w:tab/>
      </w: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7151370" cy="203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-130175</wp:posOffset>
            </wp:positionV>
            <wp:extent cx="1664970" cy="1231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b w:val="1"/>
          <w:bCs w:val="1"/>
          <w:color w:val="53C072"/>
        </w:rPr>
        <w:t>2020 ANNUAL</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118110</wp:posOffset>
            </wp:positionV>
            <wp:extent cx="7146290" cy="4705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6290" cy="470535"/>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FFFE"/>
        </w:rPr>
        <w:t>SECURITY OWNERSHIP OF CERTAIN</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FFFE"/>
        </w:rPr>
        <w:t>BENEFICIAL OWNERS AND MANAGEMENT</w:t>
      </w:r>
    </w:p>
    <w:p>
      <w:pPr>
        <w:spacing w:after="0" w:line="180"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Unless otherwise stated, the following table sets forth information with respect to the Company's Common Stock beneficially owned as of September 1, 2020 or, in respect of any 5% Holder, the date of such holder's most recent Schedule 13D or Schedule 13G filed with the Securities and Exchange Commission ("SEC") as of September 1, 2020, by: (a) persons that, to the Company's knowledge, were the beneficial owners of more than 5% of the Company's outstanding Common Stock ("5% Holders"), (b) each current Director and director nominee of the Company, (c) each of the executive officers named in the Summary Compensation Table in this Proxy Statement ("NEO"), and (d) all Directors and NEOs of the Company as a group. Except where specifically noted in the table, all the shares listed for a person or the group are directly held by such person or group members, with sole voting and dispositive power.</w:t>
      </w:r>
    </w:p>
    <w:p>
      <w:pPr>
        <w:spacing w:after="0" w:line="160" w:lineRule="exact"/>
        <w:rPr>
          <w:sz w:val="20"/>
          <w:szCs w:val="20"/>
          <w:color w:val="auto"/>
        </w:rPr>
      </w:pPr>
    </w:p>
    <w:tbl>
      <w:tblPr>
        <w:tblLayout w:type="fixed"/>
        <w:tblInd w:w="1340" w:type="dxa"/>
        <w:tblCellMar>
          <w:top w:w="0" w:type="dxa"/>
          <w:left w:w="0" w:type="dxa"/>
          <w:bottom w:w="0" w:type="dxa"/>
          <w:right w:w="0" w:type="dxa"/>
        </w:tblCellMar>
      </w:tblPr>
      <w:tr>
        <w:trPr>
          <w:trHeight w:val="149"/>
        </w:trPr>
        <w:tc>
          <w:tcPr>
            <w:tcW w:w="4720" w:type="dxa"/>
            <w:vAlign w:val="bottom"/>
            <w:shd w:val="clear" w:color="auto" w:fill="53C072"/>
          </w:tcPr>
          <w:p>
            <w:pPr>
              <w:spacing w:after="0"/>
              <w:rPr>
                <w:sz w:val="13"/>
                <w:szCs w:val="13"/>
                <w:color w:val="auto"/>
              </w:rPr>
            </w:pPr>
          </w:p>
        </w:tc>
        <w:tc>
          <w:tcPr>
            <w:tcW w:w="1160" w:type="dxa"/>
            <w:vAlign w:val="bottom"/>
            <w:shd w:val="clear" w:color="auto" w:fill="53C072"/>
          </w:tcPr>
          <w:p>
            <w:pPr>
              <w:spacing w:after="0"/>
              <w:rPr>
                <w:sz w:val="13"/>
                <w:szCs w:val="13"/>
                <w:color w:val="auto"/>
              </w:rPr>
            </w:pPr>
          </w:p>
        </w:tc>
        <w:tc>
          <w:tcPr>
            <w:tcW w:w="960" w:type="dxa"/>
            <w:vAlign w:val="bottom"/>
            <w:shd w:val="clear" w:color="auto" w:fill="53C072"/>
          </w:tcPr>
          <w:p>
            <w:pPr>
              <w:jc w:val="right"/>
              <w:ind w:right="45"/>
              <w:spacing w:after="0"/>
              <w:rPr>
                <w:sz w:val="20"/>
                <w:szCs w:val="20"/>
                <w:color w:val="auto"/>
              </w:rPr>
            </w:pPr>
            <w:r>
              <w:rPr>
                <w:rFonts w:ascii="Arial" w:cs="Arial" w:eastAsia="Arial" w:hAnsi="Arial"/>
                <w:sz w:val="13"/>
                <w:szCs w:val="13"/>
                <w:b w:val="1"/>
                <w:bCs w:val="1"/>
                <w:color w:val="FFFFFE"/>
              </w:rPr>
              <w:t>Stock</w:t>
            </w:r>
          </w:p>
        </w:tc>
        <w:tc>
          <w:tcPr>
            <w:tcW w:w="1000" w:type="dxa"/>
            <w:vAlign w:val="bottom"/>
            <w:shd w:val="clear" w:color="auto" w:fill="53C072"/>
          </w:tcPr>
          <w:p>
            <w:pPr>
              <w:jc w:val="right"/>
              <w:ind w:right="4"/>
              <w:spacing w:after="0"/>
              <w:rPr>
                <w:sz w:val="20"/>
                <w:szCs w:val="20"/>
                <w:color w:val="auto"/>
              </w:rPr>
            </w:pPr>
            <w:r>
              <w:rPr>
                <w:rFonts w:ascii="Arial" w:cs="Arial" w:eastAsia="Arial" w:hAnsi="Arial"/>
                <w:sz w:val="13"/>
                <w:szCs w:val="13"/>
                <w:b w:val="1"/>
                <w:bCs w:val="1"/>
                <w:color w:val="FFFFFE"/>
              </w:rPr>
              <w:t>Total</w:t>
            </w:r>
          </w:p>
        </w:tc>
        <w:tc>
          <w:tcPr>
            <w:tcW w:w="600" w:type="dxa"/>
            <w:vAlign w:val="bottom"/>
            <w:shd w:val="clear" w:color="auto" w:fill="53C072"/>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720" w:type="dxa"/>
            <w:vAlign w:val="bottom"/>
            <w:shd w:val="clear" w:color="auto" w:fill="53C072"/>
          </w:tcPr>
          <w:p>
            <w:pPr>
              <w:spacing w:after="0"/>
              <w:rPr>
                <w:sz w:val="12"/>
                <w:szCs w:val="12"/>
                <w:color w:val="auto"/>
              </w:rPr>
            </w:pPr>
          </w:p>
        </w:tc>
        <w:tc>
          <w:tcPr>
            <w:tcW w:w="1160" w:type="dxa"/>
            <w:vAlign w:val="bottom"/>
            <w:shd w:val="clear" w:color="auto" w:fill="53C072"/>
          </w:tcPr>
          <w:p>
            <w:pPr>
              <w:spacing w:after="0"/>
              <w:rPr>
                <w:sz w:val="12"/>
                <w:szCs w:val="12"/>
                <w:color w:val="auto"/>
              </w:rPr>
            </w:pPr>
          </w:p>
        </w:tc>
        <w:tc>
          <w:tcPr>
            <w:tcW w:w="960" w:type="dxa"/>
            <w:vAlign w:val="bottom"/>
            <w:shd w:val="clear" w:color="auto" w:fill="53C072"/>
          </w:tcPr>
          <w:p>
            <w:pPr>
              <w:jc w:val="right"/>
              <w:ind w:right="45"/>
              <w:spacing w:after="0" w:line="146" w:lineRule="exact"/>
              <w:rPr>
                <w:sz w:val="20"/>
                <w:szCs w:val="20"/>
                <w:color w:val="auto"/>
              </w:rPr>
            </w:pPr>
            <w:r>
              <w:rPr>
                <w:rFonts w:ascii="Arial" w:cs="Arial" w:eastAsia="Arial" w:hAnsi="Arial"/>
                <w:sz w:val="13"/>
                <w:szCs w:val="13"/>
                <w:b w:val="1"/>
                <w:bCs w:val="1"/>
                <w:color w:val="FFFFFE"/>
              </w:rPr>
              <w:t>Options</w:t>
            </w:r>
          </w:p>
        </w:tc>
        <w:tc>
          <w:tcPr>
            <w:tcW w:w="1000" w:type="dxa"/>
            <w:vAlign w:val="bottom"/>
            <w:shd w:val="clear" w:color="auto" w:fill="53C072"/>
          </w:tcPr>
          <w:p>
            <w:pPr>
              <w:jc w:val="right"/>
              <w:ind w:right="4"/>
              <w:spacing w:after="0" w:line="146" w:lineRule="exact"/>
              <w:rPr>
                <w:sz w:val="20"/>
                <w:szCs w:val="20"/>
                <w:color w:val="auto"/>
              </w:rPr>
            </w:pPr>
            <w:r>
              <w:rPr>
                <w:rFonts w:ascii="Arial" w:cs="Arial" w:eastAsia="Arial" w:hAnsi="Arial"/>
                <w:sz w:val="13"/>
                <w:szCs w:val="13"/>
                <w:b w:val="1"/>
                <w:bCs w:val="1"/>
                <w:color w:val="FFFFFE"/>
              </w:rPr>
              <w:t>Common</w:t>
            </w:r>
          </w:p>
        </w:tc>
        <w:tc>
          <w:tcPr>
            <w:tcW w:w="600" w:type="dxa"/>
            <w:vAlign w:val="bottom"/>
            <w:vMerge w:val="restart"/>
            <w:shd w:val="clear" w:color="auto" w:fill="53C072"/>
          </w:tcPr>
          <w:p>
            <w:pPr>
              <w:jc w:val="right"/>
              <w:spacing w:after="0"/>
              <w:rPr>
                <w:sz w:val="20"/>
                <w:szCs w:val="20"/>
                <w:color w:val="auto"/>
              </w:rPr>
            </w:pPr>
            <w:r>
              <w:rPr>
                <w:rFonts w:ascii="Arial" w:cs="Arial" w:eastAsia="Arial" w:hAnsi="Arial"/>
                <w:sz w:val="13"/>
                <w:szCs w:val="13"/>
                <w:b w:val="1"/>
                <w:bCs w:val="1"/>
                <w:color w:val="FFFFFE"/>
              </w:rPr>
              <w:t>Percent</w:t>
            </w:r>
          </w:p>
        </w:tc>
        <w:tc>
          <w:tcPr>
            <w:tcW w:w="0" w:type="dxa"/>
            <w:vAlign w:val="bottom"/>
          </w:tcPr>
          <w:p>
            <w:pPr>
              <w:spacing w:after="0"/>
              <w:rPr>
                <w:sz w:val="1"/>
                <w:szCs w:val="1"/>
                <w:color w:val="auto"/>
              </w:rPr>
            </w:pPr>
          </w:p>
        </w:tc>
      </w:tr>
      <w:tr>
        <w:trPr>
          <w:trHeight w:val="135"/>
        </w:trPr>
        <w:tc>
          <w:tcPr>
            <w:tcW w:w="4720" w:type="dxa"/>
            <w:vAlign w:val="bottom"/>
            <w:shd w:val="clear" w:color="auto" w:fill="53C072"/>
          </w:tcPr>
          <w:p>
            <w:pPr>
              <w:spacing w:after="0"/>
              <w:rPr>
                <w:sz w:val="11"/>
                <w:szCs w:val="11"/>
                <w:color w:val="auto"/>
              </w:rPr>
            </w:pPr>
          </w:p>
        </w:tc>
        <w:tc>
          <w:tcPr>
            <w:tcW w:w="1160" w:type="dxa"/>
            <w:vAlign w:val="bottom"/>
            <w:vMerge w:val="restart"/>
            <w:shd w:val="clear" w:color="auto" w:fill="53C072"/>
          </w:tcPr>
          <w:p>
            <w:pPr>
              <w:jc w:val="right"/>
              <w:ind w:right="43"/>
              <w:spacing w:after="0"/>
              <w:rPr>
                <w:sz w:val="20"/>
                <w:szCs w:val="20"/>
                <w:color w:val="auto"/>
              </w:rPr>
            </w:pPr>
            <w:r>
              <w:rPr>
                <w:rFonts w:ascii="Arial" w:cs="Arial" w:eastAsia="Arial" w:hAnsi="Arial"/>
                <w:sz w:val="13"/>
                <w:szCs w:val="13"/>
                <w:b w:val="1"/>
                <w:bCs w:val="1"/>
                <w:color w:val="FFFFFE"/>
              </w:rPr>
              <w:t>Common</w:t>
            </w:r>
          </w:p>
        </w:tc>
        <w:tc>
          <w:tcPr>
            <w:tcW w:w="960" w:type="dxa"/>
            <w:vAlign w:val="bottom"/>
            <w:shd w:val="clear" w:color="auto" w:fill="53C072"/>
          </w:tcPr>
          <w:p>
            <w:pPr>
              <w:jc w:val="right"/>
              <w:ind w:right="45"/>
              <w:spacing w:after="0" w:line="135" w:lineRule="exact"/>
              <w:rPr>
                <w:sz w:val="20"/>
                <w:szCs w:val="20"/>
                <w:color w:val="auto"/>
              </w:rPr>
            </w:pPr>
            <w:r>
              <w:rPr>
                <w:rFonts w:ascii="Arial" w:cs="Arial" w:eastAsia="Arial" w:hAnsi="Arial"/>
                <w:sz w:val="13"/>
                <w:szCs w:val="13"/>
                <w:b w:val="1"/>
                <w:bCs w:val="1"/>
                <w:color w:val="FFFFFE"/>
              </w:rPr>
              <w:t>Exercisable</w:t>
            </w:r>
          </w:p>
        </w:tc>
        <w:tc>
          <w:tcPr>
            <w:tcW w:w="1000" w:type="dxa"/>
            <w:vAlign w:val="bottom"/>
            <w:shd w:val="clear" w:color="auto" w:fill="53C072"/>
          </w:tcPr>
          <w:p>
            <w:pPr>
              <w:jc w:val="right"/>
              <w:ind w:right="4"/>
              <w:spacing w:after="0" w:line="135" w:lineRule="exact"/>
              <w:rPr>
                <w:sz w:val="20"/>
                <w:szCs w:val="20"/>
                <w:color w:val="auto"/>
              </w:rPr>
            </w:pPr>
            <w:r>
              <w:rPr>
                <w:rFonts w:ascii="Arial" w:cs="Arial" w:eastAsia="Arial" w:hAnsi="Arial"/>
                <w:sz w:val="13"/>
                <w:szCs w:val="13"/>
                <w:b w:val="1"/>
                <w:bCs w:val="1"/>
                <w:color w:val="FFFFFE"/>
              </w:rPr>
              <w:t>Stock</w:t>
            </w:r>
          </w:p>
        </w:tc>
        <w:tc>
          <w:tcPr>
            <w:tcW w:w="600" w:type="dxa"/>
            <w:vAlign w:val="bottom"/>
            <w:vMerge w:val="continue"/>
            <w:shd w:val="clear" w:color="auto" w:fill="53C072"/>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720" w:type="dxa"/>
            <w:vAlign w:val="bottom"/>
            <w:vMerge w:val="restart"/>
            <w:shd w:val="clear" w:color="auto" w:fill="53C072"/>
          </w:tcPr>
          <w:p>
            <w:pPr>
              <w:spacing w:after="0"/>
              <w:rPr>
                <w:sz w:val="20"/>
                <w:szCs w:val="20"/>
                <w:color w:val="auto"/>
              </w:rPr>
            </w:pPr>
            <w:r>
              <w:rPr>
                <w:rFonts w:ascii="Arial" w:cs="Arial" w:eastAsia="Arial" w:hAnsi="Arial"/>
                <w:sz w:val="13"/>
                <w:szCs w:val="13"/>
                <w:b w:val="1"/>
                <w:bCs w:val="1"/>
                <w:color w:val="FFFFFE"/>
              </w:rPr>
              <w:t>Name of Beneficial Owner</w:t>
            </w:r>
          </w:p>
        </w:tc>
        <w:tc>
          <w:tcPr>
            <w:tcW w:w="1160" w:type="dxa"/>
            <w:vAlign w:val="bottom"/>
            <w:vMerge w:val="continue"/>
            <w:shd w:val="clear" w:color="auto" w:fill="53C072"/>
          </w:tcPr>
          <w:p>
            <w:pPr>
              <w:spacing w:after="0"/>
              <w:rPr>
                <w:sz w:val="12"/>
                <w:szCs w:val="12"/>
                <w:color w:val="auto"/>
              </w:rPr>
            </w:pPr>
          </w:p>
        </w:tc>
        <w:tc>
          <w:tcPr>
            <w:tcW w:w="960" w:type="dxa"/>
            <w:vAlign w:val="bottom"/>
            <w:shd w:val="clear" w:color="auto" w:fill="53C072"/>
          </w:tcPr>
          <w:p>
            <w:pPr>
              <w:jc w:val="right"/>
              <w:ind w:right="45"/>
              <w:spacing w:after="0" w:line="146" w:lineRule="exact"/>
              <w:rPr>
                <w:sz w:val="20"/>
                <w:szCs w:val="20"/>
                <w:color w:val="auto"/>
              </w:rPr>
            </w:pPr>
            <w:r>
              <w:rPr>
                <w:rFonts w:ascii="Arial" w:cs="Arial" w:eastAsia="Arial" w:hAnsi="Arial"/>
                <w:sz w:val="13"/>
                <w:szCs w:val="13"/>
                <w:b w:val="1"/>
                <w:bCs w:val="1"/>
                <w:color w:val="FFFFFE"/>
              </w:rPr>
              <w:t>Within</w:t>
            </w:r>
          </w:p>
        </w:tc>
        <w:tc>
          <w:tcPr>
            <w:tcW w:w="1000" w:type="dxa"/>
            <w:vAlign w:val="bottom"/>
            <w:shd w:val="clear" w:color="auto" w:fill="53C072"/>
          </w:tcPr>
          <w:p>
            <w:pPr>
              <w:jc w:val="right"/>
              <w:ind w:right="4"/>
              <w:spacing w:after="0" w:line="146" w:lineRule="exact"/>
              <w:rPr>
                <w:sz w:val="20"/>
                <w:szCs w:val="20"/>
                <w:color w:val="auto"/>
              </w:rPr>
            </w:pPr>
            <w:r>
              <w:rPr>
                <w:rFonts w:ascii="Arial" w:cs="Arial" w:eastAsia="Arial" w:hAnsi="Arial"/>
                <w:sz w:val="13"/>
                <w:szCs w:val="13"/>
                <w:b w:val="1"/>
                <w:bCs w:val="1"/>
                <w:color w:val="FFFFFE"/>
              </w:rPr>
              <w:t>Beneficially</w:t>
            </w:r>
          </w:p>
        </w:tc>
        <w:tc>
          <w:tcPr>
            <w:tcW w:w="60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of</w:t>
            </w:r>
          </w:p>
        </w:tc>
        <w:tc>
          <w:tcPr>
            <w:tcW w:w="0" w:type="dxa"/>
            <w:vAlign w:val="bottom"/>
          </w:tcPr>
          <w:p>
            <w:pPr>
              <w:spacing w:after="0"/>
              <w:rPr>
                <w:sz w:val="1"/>
                <w:szCs w:val="1"/>
                <w:color w:val="auto"/>
              </w:rPr>
            </w:pPr>
          </w:p>
        </w:tc>
      </w:tr>
      <w:tr>
        <w:trPr>
          <w:trHeight w:val="170"/>
        </w:trPr>
        <w:tc>
          <w:tcPr>
            <w:tcW w:w="4720" w:type="dxa"/>
            <w:vAlign w:val="bottom"/>
            <w:vMerge w:val="continue"/>
            <w:shd w:val="clear" w:color="auto" w:fill="53C072"/>
          </w:tcPr>
          <w:p>
            <w:pPr>
              <w:spacing w:after="0"/>
              <w:rPr>
                <w:sz w:val="14"/>
                <w:szCs w:val="14"/>
                <w:color w:val="auto"/>
              </w:rPr>
            </w:pPr>
          </w:p>
        </w:tc>
        <w:tc>
          <w:tcPr>
            <w:tcW w:w="1160" w:type="dxa"/>
            <w:vAlign w:val="bottom"/>
            <w:shd w:val="clear" w:color="auto" w:fill="53C072"/>
          </w:tcPr>
          <w:p>
            <w:pPr>
              <w:jc w:val="right"/>
              <w:ind w:right="43"/>
              <w:spacing w:after="0" w:line="170" w:lineRule="exact"/>
              <w:rPr>
                <w:sz w:val="20"/>
                <w:szCs w:val="20"/>
                <w:color w:val="auto"/>
              </w:rPr>
            </w:pPr>
            <w:r>
              <w:rPr>
                <w:rFonts w:ascii="Arial" w:cs="Arial" w:eastAsia="Arial" w:hAnsi="Arial"/>
                <w:sz w:val="13"/>
                <w:szCs w:val="13"/>
                <w:b w:val="1"/>
                <w:bCs w:val="1"/>
                <w:color w:val="FFFFFE"/>
              </w:rPr>
              <w:t>Stock</w:t>
            </w:r>
            <w:r>
              <w:rPr>
                <w:rFonts w:ascii="Arial" w:cs="Arial" w:eastAsia="Arial" w:hAnsi="Arial"/>
                <w:sz w:val="19"/>
                <w:szCs w:val="19"/>
                <w:b w:val="1"/>
                <w:bCs w:val="1"/>
                <w:color w:val="FFFFFE"/>
                <w:vertAlign w:val="superscript"/>
              </w:rPr>
              <w:t>(a)</w:t>
            </w:r>
          </w:p>
        </w:tc>
        <w:tc>
          <w:tcPr>
            <w:tcW w:w="960" w:type="dxa"/>
            <w:vAlign w:val="bottom"/>
            <w:shd w:val="clear" w:color="auto" w:fill="53C072"/>
          </w:tcPr>
          <w:p>
            <w:pPr>
              <w:jc w:val="right"/>
              <w:ind w:right="45"/>
              <w:spacing w:after="0"/>
              <w:rPr>
                <w:sz w:val="20"/>
                <w:szCs w:val="20"/>
                <w:color w:val="auto"/>
              </w:rPr>
            </w:pPr>
            <w:r>
              <w:rPr>
                <w:rFonts w:ascii="Arial" w:cs="Arial" w:eastAsia="Arial" w:hAnsi="Arial"/>
                <w:sz w:val="13"/>
                <w:szCs w:val="13"/>
                <w:b w:val="1"/>
                <w:bCs w:val="1"/>
                <w:color w:val="FFFFFE"/>
              </w:rPr>
              <w:t>60 Days</w:t>
            </w:r>
          </w:p>
        </w:tc>
        <w:tc>
          <w:tcPr>
            <w:tcW w:w="1000" w:type="dxa"/>
            <w:vAlign w:val="bottom"/>
            <w:shd w:val="clear" w:color="auto" w:fill="53C072"/>
          </w:tcPr>
          <w:p>
            <w:pPr>
              <w:jc w:val="right"/>
              <w:ind w:right="4"/>
              <w:spacing w:after="0"/>
              <w:rPr>
                <w:sz w:val="20"/>
                <w:szCs w:val="20"/>
                <w:color w:val="auto"/>
              </w:rPr>
            </w:pPr>
            <w:r>
              <w:rPr>
                <w:rFonts w:ascii="Arial" w:cs="Arial" w:eastAsia="Arial" w:hAnsi="Arial"/>
                <w:sz w:val="13"/>
                <w:szCs w:val="13"/>
                <w:b w:val="1"/>
                <w:bCs w:val="1"/>
                <w:color w:val="FFFFFE"/>
              </w:rPr>
              <w:t>Owned</w:t>
            </w:r>
          </w:p>
        </w:tc>
        <w:tc>
          <w:tcPr>
            <w:tcW w:w="600" w:type="dxa"/>
            <w:vAlign w:val="bottom"/>
            <w:shd w:val="clear" w:color="auto" w:fill="53C072"/>
          </w:tcPr>
          <w:p>
            <w:pPr>
              <w:jc w:val="right"/>
              <w:spacing w:after="0" w:line="170" w:lineRule="exact"/>
              <w:rPr>
                <w:sz w:val="20"/>
                <w:szCs w:val="20"/>
                <w:color w:val="auto"/>
              </w:rPr>
            </w:pPr>
            <w:r>
              <w:rPr>
                <w:rFonts w:ascii="Arial" w:cs="Arial" w:eastAsia="Arial" w:hAnsi="Arial"/>
                <w:sz w:val="13"/>
                <w:szCs w:val="13"/>
                <w:b w:val="1"/>
                <w:bCs w:val="1"/>
                <w:color w:val="FFFFFE"/>
              </w:rPr>
              <w:t>Class</w:t>
            </w:r>
            <w:r>
              <w:rPr>
                <w:rFonts w:ascii="Arial" w:cs="Arial" w:eastAsia="Arial" w:hAnsi="Arial"/>
                <w:sz w:val="19"/>
                <w:szCs w:val="19"/>
                <w:b w:val="1"/>
                <w:bCs w:val="1"/>
                <w:color w:val="FFFFFE"/>
                <w:vertAlign w:val="superscript"/>
              </w:rPr>
              <w:t>(b)</w:t>
            </w:r>
          </w:p>
        </w:tc>
        <w:tc>
          <w:tcPr>
            <w:tcW w:w="0" w:type="dxa"/>
            <w:vAlign w:val="bottom"/>
          </w:tcPr>
          <w:p>
            <w:pPr>
              <w:spacing w:after="0"/>
              <w:rPr>
                <w:sz w:val="1"/>
                <w:szCs w:val="1"/>
                <w:color w:val="auto"/>
              </w:rPr>
            </w:pPr>
          </w:p>
        </w:tc>
      </w:tr>
      <w:tr>
        <w:trPr>
          <w:trHeight w:val="182"/>
        </w:trPr>
        <w:tc>
          <w:tcPr>
            <w:tcW w:w="4720" w:type="dxa"/>
            <w:vAlign w:val="bottom"/>
          </w:tcPr>
          <w:p>
            <w:pPr>
              <w:spacing w:after="0" w:line="182" w:lineRule="exact"/>
              <w:rPr>
                <w:sz w:val="20"/>
                <w:szCs w:val="20"/>
                <w:color w:val="auto"/>
              </w:rPr>
            </w:pPr>
            <w:r>
              <w:rPr>
                <w:rFonts w:ascii="Arial" w:cs="Arial" w:eastAsia="Arial" w:hAnsi="Arial"/>
                <w:sz w:val="16"/>
                <w:szCs w:val="16"/>
                <w:b w:val="1"/>
                <w:bCs w:val="1"/>
                <w:color w:val="auto"/>
              </w:rPr>
              <w:t>5% Holders</w:t>
            </w: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720" w:type="dxa"/>
            <w:vAlign w:val="bottom"/>
            <w:shd w:val="clear" w:color="auto" w:fill="E8F5EA"/>
          </w:tcPr>
          <w:p>
            <w:pPr>
              <w:spacing w:after="0" w:line="204" w:lineRule="exact"/>
              <w:rPr>
                <w:sz w:val="20"/>
                <w:szCs w:val="20"/>
                <w:color w:val="auto"/>
              </w:rPr>
            </w:pPr>
            <w:r>
              <w:rPr>
                <w:rFonts w:ascii="Arial" w:cs="Arial" w:eastAsia="Arial" w:hAnsi="Arial"/>
                <w:sz w:val="14"/>
                <w:szCs w:val="14"/>
                <w:color w:val="auto"/>
              </w:rPr>
              <w:t>BlackRock, Inc.</w:t>
            </w:r>
            <w:r>
              <w:rPr>
                <w:rFonts w:ascii="Arial" w:cs="Arial" w:eastAsia="Arial" w:hAnsi="Arial"/>
                <w:sz w:val="23"/>
                <w:szCs w:val="23"/>
                <w:color w:val="auto"/>
                <w:vertAlign w:val="superscript"/>
              </w:rPr>
              <w:t>(1)</w:t>
            </w:r>
          </w:p>
        </w:tc>
        <w:tc>
          <w:tcPr>
            <w:tcW w:w="1160" w:type="dxa"/>
            <w:vAlign w:val="bottom"/>
            <w:shd w:val="clear" w:color="auto" w:fill="E8F5EA"/>
          </w:tcPr>
          <w:p>
            <w:pPr>
              <w:jc w:val="right"/>
              <w:ind w:right="43"/>
              <w:spacing w:after="0"/>
              <w:rPr>
                <w:sz w:val="20"/>
                <w:szCs w:val="20"/>
                <w:color w:val="auto"/>
              </w:rPr>
            </w:pPr>
            <w:r>
              <w:rPr>
                <w:rFonts w:ascii="Arial" w:cs="Arial" w:eastAsia="Arial" w:hAnsi="Arial"/>
                <w:sz w:val="16"/>
                <w:szCs w:val="16"/>
                <w:color w:val="auto"/>
              </w:rPr>
              <w:t>10,598,933</w:t>
            </w:r>
          </w:p>
        </w:tc>
        <w:tc>
          <w:tcPr>
            <w:tcW w:w="960" w:type="dxa"/>
            <w:vAlign w:val="bottom"/>
            <w:shd w:val="clear" w:color="auto" w:fill="E8F5EA"/>
          </w:tcPr>
          <w:p>
            <w:pPr>
              <w:spacing w:after="0"/>
              <w:rPr>
                <w:sz w:val="17"/>
                <w:szCs w:val="17"/>
                <w:color w:val="auto"/>
              </w:rPr>
            </w:pPr>
          </w:p>
        </w:tc>
        <w:tc>
          <w:tcPr>
            <w:tcW w:w="1000" w:type="dxa"/>
            <w:vAlign w:val="bottom"/>
            <w:shd w:val="clear" w:color="auto" w:fill="E8F5EA"/>
          </w:tcPr>
          <w:p>
            <w:pPr>
              <w:jc w:val="right"/>
              <w:ind w:right="4"/>
              <w:spacing w:after="0"/>
              <w:rPr>
                <w:sz w:val="20"/>
                <w:szCs w:val="20"/>
                <w:color w:val="auto"/>
              </w:rPr>
            </w:pPr>
            <w:r>
              <w:rPr>
                <w:rFonts w:ascii="Arial" w:cs="Arial" w:eastAsia="Arial" w:hAnsi="Arial"/>
                <w:sz w:val="16"/>
                <w:szCs w:val="16"/>
                <w:b w:val="1"/>
                <w:bCs w:val="1"/>
                <w:color w:val="auto"/>
              </w:rPr>
              <w:t>10,598,933</w:t>
            </w:r>
          </w:p>
        </w:tc>
        <w:tc>
          <w:tcPr>
            <w:tcW w:w="600" w:type="dxa"/>
            <w:vAlign w:val="bottom"/>
            <w:shd w:val="clear" w:color="auto" w:fill="E8F5EA"/>
          </w:tcPr>
          <w:p>
            <w:pPr>
              <w:jc w:val="right"/>
              <w:spacing w:after="0"/>
              <w:rPr>
                <w:sz w:val="20"/>
                <w:szCs w:val="20"/>
                <w:color w:val="auto"/>
              </w:rPr>
            </w:pPr>
            <w:r>
              <w:rPr>
                <w:rFonts w:ascii="Arial" w:cs="Arial" w:eastAsia="Arial" w:hAnsi="Arial"/>
                <w:sz w:val="16"/>
                <w:szCs w:val="16"/>
                <w:b w:val="1"/>
                <w:bCs w:val="1"/>
                <w:color w:val="auto"/>
              </w:rPr>
              <w:t>10.73%</w:t>
            </w:r>
          </w:p>
        </w:tc>
        <w:tc>
          <w:tcPr>
            <w:tcW w:w="0" w:type="dxa"/>
            <w:vAlign w:val="bottom"/>
          </w:tcPr>
          <w:p>
            <w:pPr>
              <w:spacing w:after="0"/>
              <w:rPr>
                <w:sz w:val="1"/>
                <w:szCs w:val="1"/>
                <w:color w:val="auto"/>
              </w:rPr>
            </w:pPr>
          </w:p>
        </w:tc>
      </w:tr>
      <w:tr>
        <w:trPr>
          <w:trHeight w:val="215"/>
        </w:trPr>
        <w:tc>
          <w:tcPr>
            <w:tcW w:w="4720" w:type="dxa"/>
            <w:vAlign w:val="bottom"/>
            <w:shd w:val="clear" w:color="auto" w:fill="E8F5EA"/>
          </w:tcPr>
          <w:p>
            <w:pPr>
              <w:ind w:left="160"/>
              <w:spacing w:after="0" w:line="214" w:lineRule="exact"/>
              <w:rPr>
                <w:sz w:val="20"/>
                <w:szCs w:val="20"/>
                <w:color w:val="auto"/>
              </w:rPr>
            </w:pPr>
            <w:r>
              <w:rPr>
                <w:rFonts w:ascii="Arial" w:cs="Arial" w:eastAsia="Arial" w:hAnsi="Arial"/>
                <w:sz w:val="15"/>
                <w:szCs w:val="15"/>
                <w:color w:val="auto"/>
              </w:rPr>
              <w:t>55 East 52</w:t>
            </w:r>
            <w:r>
              <w:rPr>
                <w:rFonts w:ascii="Arial" w:cs="Arial" w:eastAsia="Arial" w:hAnsi="Arial"/>
                <w:sz w:val="24"/>
                <w:szCs w:val="24"/>
                <w:color w:val="auto"/>
                <w:vertAlign w:val="superscript"/>
              </w:rPr>
              <w:t>nd</w:t>
            </w:r>
            <w:r>
              <w:rPr>
                <w:rFonts w:ascii="Arial" w:cs="Arial" w:eastAsia="Arial" w:hAnsi="Arial"/>
                <w:sz w:val="15"/>
                <w:szCs w:val="15"/>
                <w:color w:val="auto"/>
              </w:rPr>
              <w:t xml:space="preserve"> Street</w:t>
            </w:r>
          </w:p>
        </w:tc>
        <w:tc>
          <w:tcPr>
            <w:tcW w:w="1160" w:type="dxa"/>
            <w:vAlign w:val="bottom"/>
            <w:shd w:val="clear" w:color="auto" w:fill="E8F5EA"/>
          </w:tcPr>
          <w:p>
            <w:pPr>
              <w:spacing w:after="0"/>
              <w:rPr>
                <w:sz w:val="18"/>
                <w:szCs w:val="18"/>
                <w:color w:val="auto"/>
              </w:rPr>
            </w:pPr>
          </w:p>
        </w:tc>
        <w:tc>
          <w:tcPr>
            <w:tcW w:w="960" w:type="dxa"/>
            <w:vAlign w:val="bottom"/>
            <w:shd w:val="clear" w:color="auto" w:fill="E8F5EA"/>
          </w:tcPr>
          <w:p>
            <w:pPr>
              <w:spacing w:after="0"/>
              <w:rPr>
                <w:sz w:val="18"/>
                <w:szCs w:val="18"/>
                <w:color w:val="auto"/>
              </w:rPr>
            </w:pPr>
          </w:p>
        </w:tc>
        <w:tc>
          <w:tcPr>
            <w:tcW w:w="1000" w:type="dxa"/>
            <w:vAlign w:val="bottom"/>
            <w:shd w:val="clear" w:color="auto" w:fill="E8F5EA"/>
          </w:tcPr>
          <w:p>
            <w:pPr>
              <w:spacing w:after="0"/>
              <w:rPr>
                <w:sz w:val="18"/>
                <w:szCs w:val="18"/>
                <w:color w:val="auto"/>
              </w:rPr>
            </w:pPr>
          </w:p>
        </w:tc>
        <w:tc>
          <w:tcPr>
            <w:tcW w:w="600" w:type="dxa"/>
            <w:vAlign w:val="bottom"/>
            <w:shd w:val="clear" w:color="auto" w:fill="E8F5EA"/>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720" w:type="dxa"/>
            <w:vAlign w:val="bottom"/>
            <w:shd w:val="clear" w:color="auto" w:fill="E8F5EA"/>
          </w:tcPr>
          <w:p>
            <w:pPr>
              <w:ind w:left="160"/>
              <w:spacing w:after="0"/>
              <w:rPr>
                <w:sz w:val="20"/>
                <w:szCs w:val="20"/>
                <w:color w:val="auto"/>
              </w:rPr>
            </w:pPr>
            <w:r>
              <w:rPr>
                <w:rFonts w:ascii="Arial" w:cs="Arial" w:eastAsia="Arial" w:hAnsi="Arial"/>
                <w:sz w:val="16"/>
                <w:szCs w:val="16"/>
                <w:color w:val="auto"/>
              </w:rPr>
              <w:t>New York, NY 10055</w:t>
            </w:r>
          </w:p>
        </w:tc>
        <w:tc>
          <w:tcPr>
            <w:tcW w:w="1160" w:type="dxa"/>
            <w:vAlign w:val="bottom"/>
            <w:shd w:val="clear" w:color="auto" w:fill="E8F5EA"/>
          </w:tcPr>
          <w:p>
            <w:pPr>
              <w:spacing w:after="0"/>
              <w:rPr>
                <w:sz w:val="17"/>
                <w:szCs w:val="17"/>
                <w:color w:val="auto"/>
              </w:rPr>
            </w:pPr>
          </w:p>
        </w:tc>
        <w:tc>
          <w:tcPr>
            <w:tcW w:w="960" w:type="dxa"/>
            <w:vAlign w:val="bottom"/>
            <w:shd w:val="clear" w:color="auto" w:fill="E8F5EA"/>
          </w:tcPr>
          <w:p>
            <w:pPr>
              <w:spacing w:after="0"/>
              <w:rPr>
                <w:sz w:val="17"/>
                <w:szCs w:val="17"/>
                <w:color w:val="auto"/>
              </w:rPr>
            </w:pPr>
          </w:p>
        </w:tc>
        <w:tc>
          <w:tcPr>
            <w:tcW w:w="1000" w:type="dxa"/>
            <w:vAlign w:val="bottom"/>
            <w:shd w:val="clear" w:color="auto" w:fill="E8F5EA"/>
          </w:tcPr>
          <w:p>
            <w:pPr>
              <w:spacing w:after="0"/>
              <w:rPr>
                <w:sz w:val="17"/>
                <w:szCs w:val="17"/>
                <w:color w:val="auto"/>
              </w:rPr>
            </w:pPr>
          </w:p>
        </w:tc>
        <w:tc>
          <w:tcPr>
            <w:tcW w:w="600" w:type="dxa"/>
            <w:vAlign w:val="bottom"/>
            <w:shd w:val="clear" w:color="auto" w:fill="E8F5EA"/>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20" w:type="dxa"/>
            <w:vAlign w:val="bottom"/>
          </w:tcPr>
          <w:p>
            <w:pPr>
              <w:spacing w:after="0" w:line="204" w:lineRule="exact"/>
              <w:rPr>
                <w:sz w:val="20"/>
                <w:szCs w:val="20"/>
                <w:color w:val="auto"/>
              </w:rPr>
            </w:pPr>
            <w:r>
              <w:rPr>
                <w:rFonts w:ascii="Arial" w:cs="Arial" w:eastAsia="Arial" w:hAnsi="Arial"/>
                <w:sz w:val="14"/>
                <w:szCs w:val="14"/>
                <w:color w:val="auto"/>
              </w:rPr>
              <w:t>Pzena Investment Management LLC.</w:t>
            </w:r>
            <w:r>
              <w:rPr>
                <w:rFonts w:ascii="Arial" w:cs="Arial" w:eastAsia="Arial" w:hAnsi="Arial"/>
                <w:sz w:val="23"/>
                <w:szCs w:val="23"/>
                <w:color w:val="auto"/>
                <w:vertAlign w:val="superscript"/>
              </w:rPr>
              <w:t>(2)</w:t>
            </w: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10,299,151</w:t>
            </w:r>
          </w:p>
        </w:tc>
        <w:tc>
          <w:tcPr>
            <w:tcW w:w="96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6"/>
                <w:szCs w:val="16"/>
                <w:b w:val="1"/>
                <w:bCs w:val="1"/>
                <w:color w:val="auto"/>
              </w:rPr>
              <w:t>10,299,151</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10.43%</w:t>
            </w:r>
          </w:p>
        </w:tc>
        <w:tc>
          <w:tcPr>
            <w:tcW w:w="0" w:type="dxa"/>
            <w:vAlign w:val="bottom"/>
          </w:tcPr>
          <w:p>
            <w:pPr>
              <w:spacing w:after="0"/>
              <w:rPr>
                <w:sz w:val="1"/>
                <w:szCs w:val="1"/>
                <w:color w:val="auto"/>
              </w:rPr>
            </w:pPr>
          </w:p>
        </w:tc>
      </w:tr>
      <w:tr>
        <w:trPr>
          <w:trHeight w:val="215"/>
        </w:trPr>
        <w:tc>
          <w:tcPr>
            <w:tcW w:w="4720" w:type="dxa"/>
            <w:vAlign w:val="bottom"/>
          </w:tcPr>
          <w:p>
            <w:pPr>
              <w:ind w:left="160"/>
              <w:spacing w:after="0" w:line="214" w:lineRule="exact"/>
              <w:rPr>
                <w:sz w:val="20"/>
                <w:szCs w:val="20"/>
                <w:color w:val="auto"/>
              </w:rPr>
            </w:pPr>
            <w:r>
              <w:rPr>
                <w:rFonts w:ascii="Arial" w:cs="Arial" w:eastAsia="Arial" w:hAnsi="Arial"/>
                <w:sz w:val="15"/>
                <w:szCs w:val="15"/>
                <w:color w:val="auto"/>
              </w:rPr>
              <w:t>320 Park Avenue, 8</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Floor</w:t>
            </w: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720" w:type="dxa"/>
            <w:vAlign w:val="bottom"/>
          </w:tcPr>
          <w:p>
            <w:pPr>
              <w:ind w:left="160"/>
              <w:spacing w:after="0"/>
              <w:rPr>
                <w:sz w:val="20"/>
                <w:szCs w:val="20"/>
                <w:color w:val="auto"/>
              </w:rPr>
            </w:pPr>
            <w:r>
              <w:rPr>
                <w:rFonts w:ascii="Arial" w:cs="Arial" w:eastAsia="Arial" w:hAnsi="Arial"/>
                <w:sz w:val="16"/>
                <w:szCs w:val="16"/>
                <w:color w:val="auto"/>
              </w:rPr>
              <w:t>New York, NY 10022</w:t>
            </w: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720" w:type="dxa"/>
            <w:vAlign w:val="bottom"/>
            <w:shd w:val="clear" w:color="auto" w:fill="E8F5EA"/>
          </w:tcPr>
          <w:p>
            <w:pPr>
              <w:spacing w:after="0" w:line="201" w:lineRule="exact"/>
              <w:rPr>
                <w:sz w:val="20"/>
                <w:szCs w:val="20"/>
                <w:color w:val="auto"/>
              </w:rPr>
            </w:pPr>
            <w:r>
              <w:rPr>
                <w:rFonts w:ascii="Arial" w:cs="Arial" w:eastAsia="Arial" w:hAnsi="Arial"/>
                <w:sz w:val="14"/>
                <w:szCs w:val="14"/>
                <w:color w:val="auto"/>
              </w:rPr>
              <w:t>The Vanguard Group</w:t>
            </w:r>
            <w:r>
              <w:rPr>
                <w:rFonts w:ascii="Arial" w:cs="Arial" w:eastAsia="Arial" w:hAnsi="Arial"/>
                <w:sz w:val="23"/>
                <w:szCs w:val="23"/>
                <w:color w:val="auto"/>
                <w:vertAlign w:val="superscript"/>
              </w:rPr>
              <w:t>(3)</w:t>
            </w:r>
          </w:p>
        </w:tc>
        <w:tc>
          <w:tcPr>
            <w:tcW w:w="1160" w:type="dxa"/>
            <w:vAlign w:val="bottom"/>
            <w:shd w:val="clear" w:color="auto" w:fill="E8F5EA"/>
          </w:tcPr>
          <w:p>
            <w:pPr>
              <w:jc w:val="right"/>
              <w:ind w:right="43"/>
              <w:spacing w:after="0"/>
              <w:rPr>
                <w:sz w:val="20"/>
                <w:szCs w:val="20"/>
                <w:color w:val="auto"/>
              </w:rPr>
            </w:pPr>
            <w:r>
              <w:rPr>
                <w:rFonts w:ascii="Arial" w:cs="Arial" w:eastAsia="Arial" w:hAnsi="Arial"/>
                <w:sz w:val="16"/>
                <w:szCs w:val="16"/>
                <w:color w:val="auto"/>
              </w:rPr>
              <w:t>10,976,528</w:t>
            </w:r>
          </w:p>
        </w:tc>
        <w:tc>
          <w:tcPr>
            <w:tcW w:w="960" w:type="dxa"/>
            <w:vAlign w:val="bottom"/>
            <w:shd w:val="clear" w:color="auto" w:fill="E8F5EA"/>
          </w:tcPr>
          <w:p>
            <w:pPr>
              <w:spacing w:after="0"/>
              <w:rPr>
                <w:sz w:val="17"/>
                <w:szCs w:val="17"/>
                <w:color w:val="auto"/>
              </w:rPr>
            </w:pPr>
          </w:p>
        </w:tc>
        <w:tc>
          <w:tcPr>
            <w:tcW w:w="1000" w:type="dxa"/>
            <w:vAlign w:val="bottom"/>
            <w:shd w:val="clear" w:color="auto" w:fill="E8F5EA"/>
          </w:tcPr>
          <w:p>
            <w:pPr>
              <w:jc w:val="right"/>
              <w:ind w:right="4"/>
              <w:spacing w:after="0"/>
              <w:rPr>
                <w:sz w:val="20"/>
                <w:szCs w:val="20"/>
                <w:color w:val="auto"/>
              </w:rPr>
            </w:pPr>
            <w:r>
              <w:rPr>
                <w:rFonts w:ascii="Arial" w:cs="Arial" w:eastAsia="Arial" w:hAnsi="Arial"/>
                <w:sz w:val="16"/>
                <w:szCs w:val="16"/>
                <w:b w:val="1"/>
                <w:bCs w:val="1"/>
                <w:color w:val="auto"/>
              </w:rPr>
              <w:t>10,976,528</w:t>
            </w:r>
          </w:p>
        </w:tc>
        <w:tc>
          <w:tcPr>
            <w:tcW w:w="600" w:type="dxa"/>
            <w:vAlign w:val="bottom"/>
            <w:shd w:val="clear" w:color="auto" w:fill="E8F5EA"/>
          </w:tcPr>
          <w:p>
            <w:pPr>
              <w:jc w:val="right"/>
              <w:spacing w:after="0"/>
              <w:rPr>
                <w:sz w:val="20"/>
                <w:szCs w:val="20"/>
                <w:color w:val="auto"/>
              </w:rPr>
            </w:pPr>
            <w:r>
              <w:rPr>
                <w:rFonts w:ascii="Arial" w:cs="Arial" w:eastAsia="Arial" w:hAnsi="Arial"/>
                <w:sz w:val="16"/>
                <w:szCs w:val="16"/>
                <w:b w:val="1"/>
                <w:bCs w:val="1"/>
                <w:color w:val="auto"/>
              </w:rPr>
              <w:t>11.11%</w:t>
            </w:r>
          </w:p>
        </w:tc>
        <w:tc>
          <w:tcPr>
            <w:tcW w:w="0" w:type="dxa"/>
            <w:vAlign w:val="bottom"/>
          </w:tcPr>
          <w:p>
            <w:pPr>
              <w:spacing w:after="0"/>
              <w:rPr>
                <w:sz w:val="1"/>
                <w:szCs w:val="1"/>
                <w:color w:val="auto"/>
              </w:rPr>
            </w:pPr>
          </w:p>
        </w:tc>
      </w:tr>
      <w:tr>
        <w:trPr>
          <w:trHeight w:val="182"/>
        </w:trPr>
        <w:tc>
          <w:tcPr>
            <w:tcW w:w="4720" w:type="dxa"/>
            <w:vAlign w:val="bottom"/>
            <w:shd w:val="clear" w:color="auto" w:fill="E8F5EA"/>
          </w:tcPr>
          <w:p>
            <w:pPr>
              <w:ind w:left="160"/>
              <w:spacing w:after="0" w:line="182" w:lineRule="exact"/>
              <w:rPr>
                <w:sz w:val="20"/>
                <w:szCs w:val="20"/>
                <w:color w:val="auto"/>
              </w:rPr>
            </w:pPr>
            <w:r>
              <w:rPr>
                <w:rFonts w:ascii="Arial" w:cs="Arial" w:eastAsia="Arial" w:hAnsi="Arial"/>
                <w:sz w:val="16"/>
                <w:szCs w:val="16"/>
                <w:color w:val="auto"/>
              </w:rPr>
              <w:t>100 Vanguard Blvd.</w:t>
            </w:r>
          </w:p>
        </w:tc>
        <w:tc>
          <w:tcPr>
            <w:tcW w:w="1160" w:type="dxa"/>
            <w:vAlign w:val="bottom"/>
            <w:shd w:val="clear" w:color="auto" w:fill="E8F5EA"/>
          </w:tcPr>
          <w:p>
            <w:pPr>
              <w:spacing w:after="0"/>
              <w:rPr>
                <w:sz w:val="15"/>
                <w:szCs w:val="15"/>
                <w:color w:val="auto"/>
              </w:rPr>
            </w:pPr>
          </w:p>
        </w:tc>
        <w:tc>
          <w:tcPr>
            <w:tcW w:w="960" w:type="dxa"/>
            <w:vAlign w:val="bottom"/>
            <w:shd w:val="clear" w:color="auto" w:fill="E8F5EA"/>
          </w:tcPr>
          <w:p>
            <w:pPr>
              <w:spacing w:after="0"/>
              <w:rPr>
                <w:sz w:val="15"/>
                <w:szCs w:val="15"/>
                <w:color w:val="auto"/>
              </w:rPr>
            </w:pPr>
          </w:p>
        </w:tc>
        <w:tc>
          <w:tcPr>
            <w:tcW w:w="1000" w:type="dxa"/>
            <w:vAlign w:val="bottom"/>
            <w:shd w:val="clear" w:color="auto" w:fill="E8F5EA"/>
          </w:tcPr>
          <w:p>
            <w:pPr>
              <w:spacing w:after="0"/>
              <w:rPr>
                <w:sz w:val="15"/>
                <w:szCs w:val="15"/>
                <w:color w:val="auto"/>
              </w:rPr>
            </w:pPr>
          </w:p>
        </w:tc>
        <w:tc>
          <w:tcPr>
            <w:tcW w:w="600" w:type="dxa"/>
            <w:vAlign w:val="bottom"/>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720" w:type="dxa"/>
            <w:vAlign w:val="bottom"/>
            <w:shd w:val="clear" w:color="auto" w:fill="E8F5EA"/>
          </w:tcPr>
          <w:p>
            <w:pPr>
              <w:ind w:left="160"/>
              <w:spacing w:after="0"/>
              <w:rPr>
                <w:sz w:val="20"/>
                <w:szCs w:val="20"/>
                <w:color w:val="auto"/>
              </w:rPr>
            </w:pPr>
            <w:r>
              <w:rPr>
                <w:rFonts w:ascii="Arial" w:cs="Arial" w:eastAsia="Arial" w:hAnsi="Arial"/>
                <w:sz w:val="16"/>
                <w:szCs w:val="16"/>
                <w:color w:val="auto"/>
              </w:rPr>
              <w:t>Malvern, PA 19355</w:t>
            </w:r>
          </w:p>
        </w:tc>
        <w:tc>
          <w:tcPr>
            <w:tcW w:w="1160" w:type="dxa"/>
            <w:vAlign w:val="bottom"/>
            <w:shd w:val="clear" w:color="auto" w:fill="E8F5EA"/>
          </w:tcPr>
          <w:p>
            <w:pPr>
              <w:spacing w:after="0"/>
              <w:rPr>
                <w:sz w:val="17"/>
                <w:szCs w:val="17"/>
                <w:color w:val="auto"/>
              </w:rPr>
            </w:pPr>
          </w:p>
        </w:tc>
        <w:tc>
          <w:tcPr>
            <w:tcW w:w="960" w:type="dxa"/>
            <w:vAlign w:val="bottom"/>
            <w:shd w:val="clear" w:color="auto" w:fill="E8F5EA"/>
          </w:tcPr>
          <w:p>
            <w:pPr>
              <w:spacing w:after="0"/>
              <w:rPr>
                <w:sz w:val="17"/>
                <w:szCs w:val="17"/>
                <w:color w:val="auto"/>
              </w:rPr>
            </w:pPr>
          </w:p>
        </w:tc>
        <w:tc>
          <w:tcPr>
            <w:tcW w:w="1000" w:type="dxa"/>
            <w:vAlign w:val="bottom"/>
            <w:shd w:val="clear" w:color="auto" w:fill="E8F5EA"/>
          </w:tcPr>
          <w:p>
            <w:pPr>
              <w:spacing w:after="0"/>
              <w:rPr>
                <w:sz w:val="17"/>
                <w:szCs w:val="17"/>
                <w:color w:val="auto"/>
              </w:rPr>
            </w:pPr>
          </w:p>
        </w:tc>
        <w:tc>
          <w:tcPr>
            <w:tcW w:w="600" w:type="dxa"/>
            <w:vAlign w:val="bottom"/>
            <w:shd w:val="clear" w:color="auto" w:fill="E8F5EA"/>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720" w:type="dxa"/>
            <w:vAlign w:val="bottom"/>
          </w:tcPr>
          <w:p>
            <w:pPr>
              <w:spacing w:after="0" w:line="182" w:lineRule="exact"/>
              <w:rPr>
                <w:sz w:val="20"/>
                <w:szCs w:val="20"/>
                <w:color w:val="auto"/>
              </w:rPr>
            </w:pPr>
            <w:r>
              <w:rPr>
                <w:rFonts w:ascii="Arial" w:cs="Arial" w:eastAsia="Arial" w:hAnsi="Arial"/>
                <w:sz w:val="16"/>
                <w:szCs w:val="16"/>
                <w:b w:val="1"/>
                <w:bCs w:val="1"/>
                <w:color w:val="auto"/>
              </w:rPr>
              <w:t>Directors, Director Nominees and Named Executive Officers</w:t>
            </w: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720" w:type="dxa"/>
            <w:vAlign w:val="bottom"/>
            <w:shd w:val="clear" w:color="auto" w:fill="E8F5EA"/>
          </w:tcPr>
          <w:p>
            <w:pPr>
              <w:spacing w:after="0"/>
              <w:rPr>
                <w:sz w:val="20"/>
                <w:szCs w:val="20"/>
                <w:color w:val="auto"/>
              </w:rPr>
            </w:pPr>
            <w:r>
              <w:rPr>
                <w:rFonts w:ascii="Arial" w:cs="Arial" w:eastAsia="Arial" w:hAnsi="Arial"/>
                <w:sz w:val="16"/>
                <w:szCs w:val="16"/>
                <w:color w:val="auto"/>
              </w:rPr>
              <w:t>Rodney C. Adkins, Chair</w:t>
            </w:r>
          </w:p>
        </w:tc>
        <w:tc>
          <w:tcPr>
            <w:tcW w:w="1160" w:type="dxa"/>
            <w:vAlign w:val="bottom"/>
            <w:shd w:val="clear" w:color="auto" w:fill="E8F5EA"/>
          </w:tcPr>
          <w:p>
            <w:pPr>
              <w:jc w:val="right"/>
              <w:ind w:right="43"/>
              <w:spacing w:after="0" w:line="218" w:lineRule="exact"/>
              <w:rPr>
                <w:sz w:val="20"/>
                <w:szCs w:val="20"/>
                <w:color w:val="auto"/>
              </w:rPr>
            </w:pPr>
            <w:r>
              <w:rPr>
                <w:rFonts w:ascii="Arial" w:cs="Arial" w:eastAsia="Arial" w:hAnsi="Arial"/>
                <w:sz w:val="15"/>
                <w:szCs w:val="15"/>
                <w:color w:val="auto"/>
              </w:rPr>
              <w:t>20,314</w:t>
            </w:r>
            <w:r>
              <w:rPr>
                <w:rFonts w:ascii="Arial" w:cs="Arial" w:eastAsia="Arial" w:hAnsi="Arial"/>
                <w:sz w:val="25"/>
                <w:szCs w:val="25"/>
                <w:color w:val="auto"/>
                <w:vertAlign w:val="superscript"/>
              </w:rPr>
              <w:t>(4)</w:t>
            </w:r>
          </w:p>
        </w:tc>
        <w:tc>
          <w:tcPr>
            <w:tcW w:w="960" w:type="dxa"/>
            <w:vAlign w:val="bottom"/>
            <w:shd w:val="clear" w:color="auto" w:fill="E8F5EA"/>
          </w:tcPr>
          <w:p>
            <w:pPr>
              <w:jc w:val="right"/>
              <w:ind w:right="45"/>
              <w:spacing w:after="0"/>
              <w:rPr>
                <w:sz w:val="20"/>
                <w:szCs w:val="20"/>
                <w:color w:val="auto"/>
              </w:rPr>
            </w:pPr>
            <w:r>
              <w:rPr>
                <w:rFonts w:ascii="Arial" w:cs="Arial" w:eastAsia="Arial" w:hAnsi="Arial"/>
                <w:sz w:val="16"/>
                <w:szCs w:val="16"/>
                <w:color w:val="auto"/>
              </w:rPr>
              <w:t>0</w:t>
            </w:r>
          </w:p>
        </w:tc>
        <w:tc>
          <w:tcPr>
            <w:tcW w:w="1000" w:type="dxa"/>
            <w:vAlign w:val="bottom"/>
            <w:shd w:val="clear" w:color="auto" w:fill="E8F5EA"/>
          </w:tcPr>
          <w:p>
            <w:pPr>
              <w:jc w:val="right"/>
              <w:ind w:right="4"/>
              <w:spacing w:after="0"/>
              <w:rPr>
                <w:sz w:val="20"/>
                <w:szCs w:val="20"/>
                <w:color w:val="auto"/>
              </w:rPr>
            </w:pPr>
            <w:r>
              <w:rPr>
                <w:rFonts w:ascii="Arial" w:cs="Arial" w:eastAsia="Arial" w:hAnsi="Arial"/>
                <w:sz w:val="16"/>
                <w:szCs w:val="16"/>
                <w:b w:val="1"/>
                <w:bCs w:val="1"/>
                <w:color w:val="auto"/>
              </w:rPr>
              <w:t>20,314</w:t>
            </w:r>
          </w:p>
        </w:tc>
        <w:tc>
          <w:tcPr>
            <w:tcW w:w="600" w:type="dxa"/>
            <w:vAlign w:val="bottom"/>
            <w:shd w:val="clear" w:color="auto" w:fill="E8F5EA"/>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2"/>
        </w:trPr>
        <w:tc>
          <w:tcPr>
            <w:tcW w:w="4720" w:type="dxa"/>
            <w:vAlign w:val="bottom"/>
          </w:tcPr>
          <w:p>
            <w:pPr>
              <w:spacing w:after="0" w:line="182" w:lineRule="exact"/>
              <w:rPr>
                <w:sz w:val="20"/>
                <w:szCs w:val="20"/>
                <w:color w:val="auto"/>
              </w:rPr>
            </w:pPr>
            <w:r>
              <w:rPr>
                <w:rFonts w:ascii="Arial" w:cs="Arial" w:eastAsia="Arial" w:hAnsi="Arial"/>
                <w:sz w:val="16"/>
                <w:szCs w:val="16"/>
                <w:color w:val="auto"/>
              </w:rPr>
              <w:t>Carlo Bozotti, Director</w:t>
            </w:r>
          </w:p>
        </w:tc>
        <w:tc>
          <w:tcPr>
            <w:tcW w:w="1160" w:type="dxa"/>
            <w:vAlign w:val="bottom"/>
          </w:tcPr>
          <w:p>
            <w:pPr>
              <w:jc w:val="right"/>
              <w:ind w:right="43"/>
              <w:spacing w:after="0" w:line="182" w:lineRule="exact"/>
              <w:rPr>
                <w:sz w:val="20"/>
                <w:szCs w:val="20"/>
                <w:color w:val="auto"/>
              </w:rPr>
            </w:pPr>
            <w:r>
              <w:rPr>
                <w:rFonts w:ascii="Arial" w:cs="Arial" w:eastAsia="Arial" w:hAnsi="Arial"/>
                <w:sz w:val="16"/>
                <w:szCs w:val="16"/>
                <w:color w:val="auto"/>
              </w:rPr>
              <w:t>4,211</w:t>
            </w:r>
          </w:p>
        </w:tc>
        <w:tc>
          <w:tcPr>
            <w:tcW w:w="960" w:type="dxa"/>
            <w:vAlign w:val="bottom"/>
          </w:tcPr>
          <w:p>
            <w:pPr>
              <w:jc w:val="right"/>
              <w:ind w:right="45"/>
              <w:spacing w:after="0" w:line="182" w:lineRule="exact"/>
              <w:rPr>
                <w:sz w:val="20"/>
                <w:szCs w:val="20"/>
                <w:color w:val="auto"/>
              </w:rPr>
            </w:pPr>
            <w:r>
              <w:rPr>
                <w:rFonts w:ascii="Arial" w:cs="Arial" w:eastAsia="Arial" w:hAnsi="Arial"/>
                <w:sz w:val="16"/>
                <w:szCs w:val="16"/>
                <w:color w:val="auto"/>
              </w:rPr>
              <w:t>0</w:t>
            </w:r>
          </w:p>
        </w:tc>
        <w:tc>
          <w:tcPr>
            <w:tcW w:w="1000" w:type="dxa"/>
            <w:vAlign w:val="bottom"/>
          </w:tcPr>
          <w:p>
            <w:pPr>
              <w:jc w:val="right"/>
              <w:ind w:right="4"/>
              <w:spacing w:after="0" w:line="182" w:lineRule="exact"/>
              <w:rPr>
                <w:sz w:val="20"/>
                <w:szCs w:val="20"/>
                <w:color w:val="auto"/>
              </w:rPr>
            </w:pPr>
            <w:r>
              <w:rPr>
                <w:rFonts w:ascii="Arial" w:cs="Arial" w:eastAsia="Arial" w:hAnsi="Arial"/>
                <w:sz w:val="16"/>
                <w:szCs w:val="16"/>
                <w:b w:val="1"/>
                <w:bCs w:val="1"/>
                <w:color w:val="auto"/>
              </w:rPr>
              <w:t>4,211</w:t>
            </w:r>
          </w:p>
        </w:tc>
        <w:tc>
          <w:tcPr>
            <w:tcW w:w="600" w:type="dxa"/>
            <w:vAlign w:val="bottom"/>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4720" w:type="dxa"/>
            <w:vAlign w:val="bottom"/>
            <w:shd w:val="clear" w:color="auto" w:fill="E8F5EA"/>
          </w:tcPr>
          <w:p>
            <w:pPr>
              <w:spacing w:after="0"/>
              <w:rPr>
                <w:sz w:val="20"/>
                <w:szCs w:val="20"/>
                <w:color w:val="auto"/>
              </w:rPr>
            </w:pPr>
            <w:r>
              <w:rPr>
                <w:rFonts w:ascii="Arial" w:cs="Arial" w:eastAsia="Arial" w:hAnsi="Arial"/>
                <w:sz w:val="16"/>
                <w:szCs w:val="16"/>
                <w:color w:val="auto"/>
              </w:rPr>
              <w:t>Michael A. Bradley, Director</w:t>
            </w:r>
          </w:p>
        </w:tc>
        <w:tc>
          <w:tcPr>
            <w:tcW w:w="1160" w:type="dxa"/>
            <w:vAlign w:val="bottom"/>
            <w:shd w:val="clear" w:color="auto" w:fill="E8F5EA"/>
          </w:tcPr>
          <w:p>
            <w:pPr>
              <w:jc w:val="right"/>
              <w:ind w:right="43"/>
              <w:spacing w:after="0" w:line="218" w:lineRule="exact"/>
              <w:rPr>
                <w:sz w:val="20"/>
                <w:szCs w:val="20"/>
                <w:color w:val="auto"/>
              </w:rPr>
            </w:pPr>
            <w:r>
              <w:rPr>
                <w:rFonts w:ascii="Arial" w:cs="Arial" w:eastAsia="Arial" w:hAnsi="Arial"/>
                <w:sz w:val="15"/>
                <w:szCs w:val="15"/>
                <w:color w:val="auto"/>
              </w:rPr>
              <w:t>28,876</w:t>
            </w:r>
            <w:r>
              <w:rPr>
                <w:rFonts w:ascii="Arial" w:cs="Arial" w:eastAsia="Arial" w:hAnsi="Arial"/>
                <w:sz w:val="25"/>
                <w:szCs w:val="25"/>
                <w:color w:val="auto"/>
                <w:vertAlign w:val="superscript"/>
              </w:rPr>
              <w:t>(5)</w:t>
            </w:r>
          </w:p>
        </w:tc>
        <w:tc>
          <w:tcPr>
            <w:tcW w:w="960" w:type="dxa"/>
            <w:vAlign w:val="bottom"/>
            <w:shd w:val="clear" w:color="auto" w:fill="E8F5EA"/>
          </w:tcPr>
          <w:p>
            <w:pPr>
              <w:jc w:val="right"/>
              <w:ind w:right="45"/>
              <w:spacing w:after="0"/>
              <w:rPr>
                <w:sz w:val="20"/>
                <w:szCs w:val="20"/>
                <w:color w:val="auto"/>
              </w:rPr>
            </w:pPr>
            <w:r>
              <w:rPr>
                <w:rFonts w:ascii="Arial" w:cs="Arial" w:eastAsia="Arial" w:hAnsi="Arial"/>
                <w:sz w:val="16"/>
                <w:szCs w:val="16"/>
                <w:color w:val="auto"/>
              </w:rPr>
              <w:t>0</w:t>
            </w:r>
          </w:p>
        </w:tc>
        <w:tc>
          <w:tcPr>
            <w:tcW w:w="1000" w:type="dxa"/>
            <w:vAlign w:val="bottom"/>
            <w:shd w:val="clear" w:color="auto" w:fill="E8F5EA"/>
          </w:tcPr>
          <w:p>
            <w:pPr>
              <w:jc w:val="right"/>
              <w:ind w:right="4"/>
              <w:spacing w:after="0"/>
              <w:rPr>
                <w:sz w:val="20"/>
                <w:szCs w:val="20"/>
                <w:color w:val="auto"/>
              </w:rPr>
            </w:pPr>
            <w:r>
              <w:rPr>
                <w:rFonts w:ascii="Arial" w:cs="Arial" w:eastAsia="Arial" w:hAnsi="Arial"/>
                <w:sz w:val="16"/>
                <w:szCs w:val="16"/>
                <w:b w:val="1"/>
                <w:bCs w:val="1"/>
                <w:color w:val="auto"/>
              </w:rPr>
              <w:t>28,876</w:t>
            </w:r>
          </w:p>
        </w:tc>
        <w:tc>
          <w:tcPr>
            <w:tcW w:w="600" w:type="dxa"/>
            <w:vAlign w:val="bottom"/>
            <w:shd w:val="clear" w:color="auto" w:fill="E8F5EA"/>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4720" w:type="dxa"/>
            <w:vAlign w:val="bottom"/>
          </w:tcPr>
          <w:p>
            <w:pPr>
              <w:spacing w:after="0"/>
              <w:rPr>
                <w:sz w:val="20"/>
                <w:szCs w:val="20"/>
                <w:color w:val="auto"/>
              </w:rPr>
            </w:pPr>
            <w:r>
              <w:rPr>
                <w:rFonts w:ascii="Arial" w:cs="Arial" w:eastAsia="Arial" w:hAnsi="Arial"/>
                <w:sz w:val="16"/>
                <w:szCs w:val="16"/>
                <w:color w:val="auto"/>
              </w:rPr>
              <w:t>Brenda L. Freeman, Director</w:t>
            </w:r>
          </w:p>
        </w:tc>
        <w:tc>
          <w:tcPr>
            <w:tcW w:w="1160" w:type="dxa"/>
            <w:vAlign w:val="bottom"/>
          </w:tcPr>
          <w:p>
            <w:pPr>
              <w:jc w:val="right"/>
              <w:ind w:right="43"/>
              <w:spacing w:after="0" w:line="218" w:lineRule="exact"/>
              <w:rPr>
                <w:sz w:val="20"/>
                <w:szCs w:val="20"/>
                <w:color w:val="auto"/>
              </w:rPr>
            </w:pPr>
            <w:r>
              <w:rPr>
                <w:rFonts w:ascii="Arial" w:cs="Arial" w:eastAsia="Arial" w:hAnsi="Arial"/>
                <w:sz w:val="15"/>
                <w:szCs w:val="15"/>
                <w:color w:val="auto"/>
              </w:rPr>
              <w:t>8,908</w:t>
            </w:r>
            <w:r>
              <w:rPr>
                <w:rFonts w:ascii="Arial" w:cs="Arial" w:eastAsia="Arial" w:hAnsi="Arial"/>
                <w:sz w:val="25"/>
                <w:szCs w:val="25"/>
                <w:color w:val="auto"/>
                <w:vertAlign w:val="superscript"/>
              </w:rPr>
              <w:t>(6)</w:t>
            </w:r>
          </w:p>
        </w:tc>
        <w:tc>
          <w:tcPr>
            <w:tcW w:w="960" w:type="dxa"/>
            <w:vAlign w:val="bottom"/>
          </w:tcPr>
          <w:p>
            <w:pPr>
              <w:jc w:val="right"/>
              <w:ind w:right="45"/>
              <w:spacing w:after="0"/>
              <w:rPr>
                <w:sz w:val="20"/>
                <w:szCs w:val="20"/>
                <w:color w:val="auto"/>
              </w:rPr>
            </w:pPr>
            <w:r>
              <w:rPr>
                <w:rFonts w:ascii="Arial" w:cs="Arial" w:eastAsia="Arial" w:hAnsi="Arial"/>
                <w:sz w:val="16"/>
                <w:szCs w:val="16"/>
                <w:color w:val="auto"/>
              </w:rPr>
              <w:t>0</w:t>
            </w:r>
          </w:p>
        </w:tc>
        <w:tc>
          <w:tcPr>
            <w:tcW w:w="1000" w:type="dxa"/>
            <w:vAlign w:val="bottom"/>
          </w:tcPr>
          <w:p>
            <w:pPr>
              <w:jc w:val="right"/>
              <w:ind w:right="4"/>
              <w:spacing w:after="0"/>
              <w:rPr>
                <w:sz w:val="20"/>
                <w:szCs w:val="20"/>
                <w:color w:val="auto"/>
              </w:rPr>
            </w:pPr>
            <w:r>
              <w:rPr>
                <w:rFonts w:ascii="Arial" w:cs="Arial" w:eastAsia="Arial" w:hAnsi="Arial"/>
                <w:sz w:val="16"/>
                <w:szCs w:val="16"/>
                <w:b w:val="1"/>
                <w:bCs w:val="1"/>
                <w:color w:val="auto"/>
              </w:rPr>
              <w:t>8,908</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2"/>
        </w:trPr>
        <w:tc>
          <w:tcPr>
            <w:tcW w:w="4720" w:type="dxa"/>
            <w:vAlign w:val="bottom"/>
            <w:shd w:val="clear" w:color="auto" w:fill="E8F5EA"/>
          </w:tcPr>
          <w:p>
            <w:pPr>
              <w:spacing w:after="0" w:line="182" w:lineRule="exact"/>
              <w:rPr>
                <w:sz w:val="20"/>
                <w:szCs w:val="20"/>
                <w:color w:val="auto"/>
              </w:rPr>
            </w:pPr>
            <w:r>
              <w:rPr>
                <w:rFonts w:ascii="Arial" w:cs="Arial" w:eastAsia="Arial" w:hAnsi="Arial"/>
                <w:sz w:val="16"/>
                <w:szCs w:val="16"/>
                <w:color w:val="auto"/>
              </w:rPr>
              <w:t>Jo Ann Jenkins, Director</w:t>
            </w:r>
          </w:p>
        </w:tc>
        <w:tc>
          <w:tcPr>
            <w:tcW w:w="1160" w:type="dxa"/>
            <w:vAlign w:val="bottom"/>
            <w:shd w:val="clear" w:color="auto" w:fill="E8F5EA"/>
          </w:tcPr>
          <w:p>
            <w:pPr>
              <w:jc w:val="right"/>
              <w:ind w:right="43"/>
              <w:spacing w:after="0" w:line="182" w:lineRule="exact"/>
              <w:rPr>
                <w:sz w:val="20"/>
                <w:szCs w:val="20"/>
                <w:color w:val="auto"/>
              </w:rPr>
            </w:pPr>
            <w:r>
              <w:rPr>
                <w:rFonts w:ascii="Arial" w:cs="Arial" w:eastAsia="Arial" w:hAnsi="Arial"/>
                <w:sz w:val="16"/>
                <w:szCs w:val="16"/>
                <w:color w:val="auto"/>
              </w:rPr>
              <w:t>9,269</w:t>
            </w:r>
          </w:p>
        </w:tc>
        <w:tc>
          <w:tcPr>
            <w:tcW w:w="960" w:type="dxa"/>
            <w:vAlign w:val="bottom"/>
            <w:shd w:val="clear" w:color="auto" w:fill="E8F5EA"/>
          </w:tcPr>
          <w:p>
            <w:pPr>
              <w:jc w:val="right"/>
              <w:ind w:right="45"/>
              <w:spacing w:after="0" w:line="182" w:lineRule="exact"/>
              <w:rPr>
                <w:sz w:val="20"/>
                <w:szCs w:val="20"/>
                <w:color w:val="auto"/>
              </w:rPr>
            </w:pPr>
            <w:r>
              <w:rPr>
                <w:rFonts w:ascii="Arial" w:cs="Arial" w:eastAsia="Arial" w:hAnsi="Arial"/>
                <w:sz w:val="16"/>
                <w:szCs w:val="16"/>
                <w:color w:val="auto"/>
              </w:rPr>
              <w:t>0</w:t>
            </w:r>
          </w:p>
        </w:tc>
        <w:tc>
          <w:tcPr>
            <w:tcW w:w="1000" w:type="dxa"/>
            <w:vAlign w:val="bottom"/>
            <w:shd w:val="clear" w:color="auto" w:fill="E8F5EA"/>
          </w:tcPr>
          <w:p>
            <w:pPr>
              <w:jc w:val="right"/>
              <w:ind w:right="4"/>
              <w:spacing w:after="0" w:line="182" w:lineRule="exact"/>
              <w:rPr>
                <w:sz w:val="20"/>
                <w:szCs w:val="20"/>
                <w:color w:val="auto"/>
              </w:rPr>
            </w:pPr>
            <w:r>
              <w:rPr>
                <w:rFonts w:ascii="Arial" w:cs="Arial" w:eastAsia="Arial" w:hAnsi="Arial"/>
                <w:sz w:val="16"/>
                <w:szCs w:val="16"/>
                <w:b w:val="1"/>
                <w:bCs w:val="1"/>
                <w:color w:val="auto"/>
              </w:rPr>
              <w:t>9,269</w:t>
            </w:r>
          </w:p>
        </w:tc>
        <w:tc>
          <w:tcPr>
            <w:tcW w:w="60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4720" w:type="dxa"/>
            <w:vAlign w:val="bottom"/>
          </w:tcPr>
          <w:p>
            <w:pPr>
              <w:spacing w:after="0"/>
              <w:rPr>
                <w:sz w:val="20"/>
                <w:szCs w:val="20"/>
                <w:color w:val="auto"/>
              </w:rPr>
            </w:pPr>
            <w:r>
              <w:rPr>
                <w:rFonts w:ascii="Arial" w:cs="Arial" w:eastAsia="Arial" w:hAnsi="Arial"/>
                <w:sz w:val="16"/>
                <w:szCs w:val="16"/>
                <w:color w:val="auto"/>
              </w:rPr>
              <w:t>Oleg Khaykin, Director</w:t>
            </w:r>
          </w:p>
        </w:tc>
        <w:tc>
          <w:tcPr>
            <w:tcW w:w="1160" w:type="dxa"/>
            <w:vAlign w:val="bottom"/>
          </w:tcPr>
          <w:p>
            <w:pPr>
              <w:jc w:val="right"/>
              <w:ind w:right="43"/>
              <w:spacing w:after="0" w:line="218" w:lineRule="exact"/>
              <w:rPr>
                <w:sz w:val="20"/>
                <w:szCs w:val="20"/>
                <w:color w:val="auto"/>
              </w:rPr>
            </w:pPr>
            <w:r>
              <w:rPr>
                <w:rFonts w:ascii="Arial" w:cs="Arial" w:eastAsia="Arial" w:hAnsi="Arial"/>
                <w:sz w:val="15"/>
                <w:szCs w:val="15"/>
                <w:color w:val="auto"/>
              </w:rPr>
              <w:t>13,274</w:t>
            </w:r>
            <w:r>
              <w:rPr>
                <w:rFonts w:ascii="Arial" w:cs="Arial" w:eastAsia="Arial" w:hAnsi="Arial"/>
                <w:sz w:val="25"/>
                <w:szCs w:val="25"/>
                <w:color w:val="auto"/>
                <w:vertAlign w:val="superscript"/>
              </w:rPr>
              <w:t>(6)</w:t>
            </w:r>
          </w:p>
        </w:tc>
        <w:tc>
          <w:tcPr>
            <w:tcW w:w="960" w:type="dxa"/>
            <w:vAlign w:val="bottom"/>
          </w:tcPr>
          <w:p>
            <w:pPr>
              <w:jc w:val="right"/>
              <w:ind w:right="45"/>
              <w:spacing w:after="0"/>
              <w:rPr>
                <w:sz w:val="20"/>
                <w:szCs w:val="20"/>
                <w:color w:val="auto"/>
              </w:rPr>
            </w:pPr>
            <w:r>
              <w:rPr>
                <w:rFonts w:ascii="Arial" w:cs="Arial" w:eastAsia="Arial" w:hAnsi="Arial"/>
                <w:sz w:val="16"/>
                <w:szCs w:val="16"/>
                <w:color w:val="auto"/>
              </w:rPr>
              <w:t>0</w:t>
            </w:r>
          </w:p>
        </w:tc>
        <w:tc>
          <w:tcPr>
            <w:tcW w:w="1000" w:type="dxa"/>
            <w:vAlign w:val="bottom"/>
          </w:tcPr>
          <w:p>
            <w:pPr>
              <w:jc w:val="right"/>
              <w:ind w:right="4"/>
              <w:spacing w:after="0"/>
              <w:rPr>
                <w:sz w:val="20"/>
                <w:szCs w:val="20"/>
                <w:color w:val="auto"/>
              </w:rPr>
            </w:pPr>
            <w:r>
              <w:rPr>
                <w:rFonts w:ascii="Arial" w:cs="Arial" w:eastAsia="Arial" w:hAnsi="Arial"/>
                <w:sz w:val="16"/>
                <w:szCs w:val="16"/>
                <w:b w:val="1"/>
                <w:bCs w:val="1"/>
                <w:color w:val="auto"/>
              </w:rPr>
              <w:t>13,274</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2"/>
        </w:trPr>
        <w:tc>
          <w:tcPr>
            <w:tcW w:w="4720" w:type="dxa"/>
            <w:vAlign w:val="bottom"/>
            <w:shd w:val="clear" w:color="auto" w:fill="E8F5EA"/>
          </w:tcPr>
          <w:p>
            <w:pPr>
              <w:spacing w:after="0" w:line="182" w:lineRule="exact"/>
              <w:rPr>
                <w:sz w:val="20"/>
                <w:szCs w:val="20"/>
                <w:color w:val="auto"/>
              </w:rPr>
            </w:pPr>
            <w:r>
              <w:rPr>
                <w:rFonts w:ascii="Arial" w:cs="Arial" w:eastAsia="Arial" w:hAnsi="Arial"/>
                <w:sz w:val="16"/>
                <w:szCs w:val="16"/>
                <w:color w:val="auto"/>
              </w:rPr>
              <w:t>James A. Lawrence, Director</w:t>
            </w:r>
          </w:p>
        </w:tc>
        <w:tc>
          <w:tcPr>
            <w:tcW w:w="1160" w:type="dxa"/>
            <w:vAlign w:val="bottom"/>
            <w:shd w:val="clear" w:color="auto" w:fill="E8F5EA"/>
          </w:tcPr>
          <w:p>
            <w:pPr>
              <w:jc w:val="right"/>
              <w:ind w:right="43"/>
              <w:spacing w:after="0" w:line="182" w:lineRule="exact"/>
              <w:rPr>
                <w:sz w:val="20"/>
                <w:szCs w:val="20"/>
                <w:color w:val="auto"/>
              </w:rPr>
            </w:pPr>
            <w:r>
              <w:rPr>
                <w:rFonts w:ascii="Arial" w:cs="Arial" w:eastAsia="Arial" w:hAnsi="Arial"/>
                <w:sz w:val="16"/>
                <w:szCs w:val="16"/>
                <w:color w:val="auto"/>
              </w:rPr>
              <w:t>214,193</w:t>
            </w:r>
          </w:p>
        </w:tc>
        <w:tc>
          <w:tcPr>
            <w:tcW w:w="960" w:type="dxa"/>
            <w:vAlign w:val="bottom"/>
            <w:shd w:val="clear" w:color="auto" w:fill="E8F5EA"/>
          </w:tcPr>
          <w:p>
            <w:pPr>
              <w:jc w:val="right"/>
              <w:ind w:right="45"/>
              <w:spacing w:after="0" w:line="182" w:lineRule="exact"/>
              <w:rPr>
                <w:sz w:val="20"/>
                <w:szCs w:val="20"/>
                <w:color w:val="auto"/>
              </w:rPr>
            </w:pPr>
            <w:r>
              <w:rPr>
                <w:rFonts w:ascii="Arial" w:cs="Arial" w:eastAsia="Arial" w:hAnsi="Arial"/>
                <w:sz w:val="16"/>
                <w:szCs w:val="16"/>
                <w:color w:val="auto"/>
              </w:rPr>
              <w:t>0</w:t>
            </w:r>
          </w:p>
        </w:tc>
        <w:tc>
          <w:tcPr>
            <w:tcW w:w="1000" w:type="dxa"/>
            <w:vAlign w:val="bottom"/>
            <w:shd w:val="clear" w:color="auto" w:fill="E8F5EA"/>
          </w:tcPr>
          <w:p>
            <w:pPr>
              <w:jc w:val="right"/>
              <w:ind w:right="4"/>
              <w:spacing w:after="0" w:line="182" w:lineRule="exact"/>
              <w:rPr>
                <w:sz w:val="20"/>
                <w:szCs w:val="20"/>
                <w:color w:val="auto"/>
              </w:rPr>
            </w:pPr>
            <w:r>
              <w:rPr>
                <w:rFonts w:ascii="Arial" w:cs="Arial" w:eastAsia="Arial" w:hAnsi="Arial"/>
                <w:sz w:val="16"/>
                <w:szCs w:val="16"/>
                <w:b w:val="1"/>
                <w:bCs w:val="1"/>
                <w:color w:val="auto"/>
              </w:rPr>
              <w:t>214,193</w:t>
            </w:r>
          </w:p>
        </w:tc>
        <w:tc>
          <w:tcPr>
            <w:tcW w:w="60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2"/>
        </w:trPr>
        <w:tc>
          <w:tcPr>
            <w:tcW w:w="4720" w:type="dxa"/>
            <w:vAlign w:val="bottom"/>
          </w:tcPr>
          <w:p>
            <w:pPr>
              <w:spacing w:after="0" w:line="182" w:lineRule="exact"/>
              <w:rPr>
                <w:sz w:val="20"/>
                <w:szCs w:val="20"/>
                <w:color w:val="auto"/>
              </w:rPr>
            </w:pPr>
            <w:r>
              <w:rPr>
                <w:rFonts w:ascii="Arial" w:cs="Arial" w:eastAsia="Arial" w:hAnsi="Arial"/>
                <w:sz w:val="16"/>
                <w:szCs w:val="16"/>
                <w:color w:val="auto"/>
              </w:rPr>
              <w:t>Avid Modjtabai, Director</w:t>
            </w:r>
          </w:p>
        </w:tc>
        <w:tc>
          <w:tcPr>
            <w:tcW w:w="1160" w:type="dxa"/>
            <w:vAlign w:val="bottom"/>
          </w:tcPr>
          <w:p>
            <w:pPr>
              <w:jc w:val="right"/>
              <w:ind w:right="43"/>
              <w:spacing w:after="0" w:line="182" w:lineRule="exact"/>
              <w:rPr>
                <w:sz w:val="20"/>
                <w:szCs w:val="20"/>
                <w:color w:val="auto"/>
              </w:rPr>
            </w:pPr>
            <w:r>
              <w:rPr>
                <w:rFonts w:ascii="Arial" w:cs="Arial" w:eastAsia="Arial" w:hAnsi="Arial"/>
                <w:sz w:val="16"/>
                <w:szCs w:val="16"/>
                <w:color w:val="auto"/>
              </w:rPr>
              <w:t>21,890</w:t>
            </w:r>
          </w:p>
        </w:tc>
        <w:tc>
          <w:tcPr>
            <w:tcW w:w="960" w:type="dxa"/>
            <w:vAlign w:val="bottom"/>
          </w:tcPr>
          <w:p>
            <w:pPr>
              <w:jc w:val="right"/>
              <w:ind w:right="45"/>
              <w:spacing w:after="0" w:line="182" w:lineRule="exact"/>
              <w:rPr>
                <w:sz w:val="20"/>
                <w:szCs w:val="20"/>
                <w:color w:val="auto"/>
              </w:rPr>
            </w:pPr>
            <w:r>
              <w:rPr>
                <w:rFonts w:ascii="Arial" w:cs="Arial" w:eastAsia="Arial" w:hAnsi="Arial"/>
                <w:sz w:val="16"/>
                <w:szCs w:val="16"/>
                <w:color w:val="auto"/>
              </w:rPr>
              <w:t>0</w:t>
            </w:r>
          </w:p>
        </w:tc>
        <w:tc>
          <w:tcPr>
            <w:tcW w:w="1000" w:type="dxa"/>
            <w:vAlign w:val="bottom"/>
          </w:tcPr>
          <w:p>
            <w:pPr>
              <w:jc w:val="right"/>
              <w:ind w:right="4"/>
              <w:spacing w:after="0" w:line="182" w:lineRule="exact"/>
              <w:rPr>
                <w:sz w:val="20"/>
                <w:szCs w:val="20"/>
                <w:color w:val="auto"/>
              </w:rPr>
            </w:pPr>
            <w:r>
              <w:rPr>
                <w:rFonts w:ascii="Arial" w:cs="Arial" w:eastAsia="Arial" w:hAnsi="Arial"/>
                <w:sz w:val="16"/>
                <w:szCs w:val="16"/>
                <w:b w:val="1"/>
                <w:bCs w:val="1"/>
                <w:color w:val="auto"/>
              </w:rPr>
              <w:t>21,890</w:t>
            </w:r>
          </w:p>
        </w:tc>
        <w:tc>
          <w:tcPr>
            <w:tcW w:w="600" w:type="dxa"/>
            <w:vAlign w:val="bottom"/>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2"/>
        </w:trPr>
        <w:tc>
          <w:tcPr>
            <w:tcW w:w="4720" w:type="dxa"/>
            <w:vAlign w:val="bottom"/>
            <w:shd w:val="clear" w:color="auto" w:fill="E8F5EA"/>
          </w:tcPr>
          <w:p>
            <w:pPr>
              <w:spacing w:after="0" w:line="182" w:lineRule="exact"/>
              <w:rPr>
                <w:sz w:val="20"/>
                <w:szCs w:val="20"/>
                <w:color w:val="auto"/>
              </w:rPr>
            </w:pPr>
            <w:r>
              <w:rPr>
                <w:rFonts w:ascii="Arial" w:cs="Arial" w:eastAsia="Arial" w:hAnsi="Arial"/>
                <w:sz w:val="16"/>
                <w:szCs w:val="16"/>
                <w:color w:val="auto"/>
              </w:rPr>
              <w:t>Adalio T. Sanchez, Director</w:t>
            </w:r>
          </w:p>
        </w:tc>
        <w:tc>
          <w:tcPr>
            <w:tcW w:w="1160" w:type="dxa"/>
            <w:vAlign w:val="bottom"/>
            <w:shd w:val="clear" w:color="auto" w:fill="E8F5EA"/>
          </w:tcPr>
          <w:p>
            <w:pPr>
              <w:jc w:val="right"/>
              <w:ind w:right="43"/>
              <w:spacing w:after="0" w:line="182" w:lineRule="exact"/>
              <w:rPr>
                <w:sz w:val="20"/>
                <w:szCs w:val="20"/>
                <w:color w:val="auto"/>
              </w:rPr>
            </w:pPr>
            <w:r>
              <w:rPr>
                <w:rFonts w:ascii="Arial" w:cs="Arial" w:eastAsia="Arial" w:hAnsi="Arial"/>
                <w:sz w:val="16"/>
                <w:szCs w:val="16"/>
                <w:color w:val="auto"/>
              </w:rPr>
              <w:t>4,211</w:t>
            </w:r>
          </w:p>
        </w:tc>
        <w:tc>
          <w:tcPr>
            <w:tcW w:w="960" w:type="dxa"/>
            <w:vAlign w:val="bottom"/>
            <w:shd w:val="clear" w:color="auto" w:fill="E8F5EA"/>
          </w:tcPr>
          <w:p>
            <w:pPr>
              <w:jc w:val="right"/>
              <w:ind w:right="45"/>
              <w:spacing w:after="0" w:line="182" w:lineRule="exact"/>
              <w:rPr>
                <w:sz w:val="20"/>
                <w:szCs w:val="20"/>
                <w:color w:val="auto"/>
              </w:rPr>
            </w:pPr>
            <w:r>
              <w:rPr>
                <w:rFonts w:ascii="Arial" w:cs="Arial" w:eastAsia="Arial" w:hAnsi="Arial"/>
                <w:sz w:val="16"/>
                <w:szCs w:val="16"/>
                <w:color w:val="auto"/>
              </w:rPr>
              <w:t>0</w:t>
            </w:r>
          </w:p>
        </w:tc>
        <w:tc>
          <w:tcPr>
            <w:tcW w:w="1000" w:type="dxa"/>
            <w:vAlign w:val="bottom"/>
            <w:shd w:val="clear" w:color="auto" w:fill="E8F5EA"/>
          </w:tcPr>
          <w:p>
            <w:pPr>
              <w:jc w:val="right"/>
              <w:ind w:right="4"/>
              <w:spacing w:after="0" w:line="182" w:lineRule="exact"/>
              <w:rPr>
                <w:sz w:val="20"/>
                <w:szCs w:val="20"/>
                <w:color w:val="auto"/>
              </w:rPr>
            </w:pPr>
            <w:r>
              <w:rPr>
                <w:rFonts w:ascii="Arial" w:cs="Arial" w:eastAsia="Arial" w:hAnsi="Arial"/>
                <w:sz w:val="16"/>
                <w:szCs w:val="16"/>
                <w:b w:val="1"/>
                <w:bCs w:val="1"/>
                <w:color w:val="auto"/>
              </w:rPr>
              <w:t>4,211</w:t>
            </w:r>
          </w:p>
        </w:tc>
        <w:tc>
          <w:tcPr>
            <w:tcW w:w="60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2"/>
        </w:trPr>
        <w:tc>
          <w:tcPr>
            <w:tcW w:w="4720" w:type="dxa"/>
            <w:vAlign w:val="bottom"/>
          </w:tcPr>
          <w:p>
            <w:pPr>
              <w:spacing w:after="0" w:line="182" w:lineRule="exact"/>
              <w:rPr>
                <w:sz w:val="20"/>
                <w:szCs w:val="20"/>
                <w:color w:val="auto"/>
              </w:rPr>
            </w:pPr>
            <w:r>
              <w:rPr>
                <w:rFonts w:ascii="Arial" w:cs="Arial" w:eastAsia="Arial" w:hAnsi="Arial"/>
                <w:sz w:val="16"/>
                <w:szCs w:val="16"/>
                <w:color w:val="auto"/>
              </w:rPr>
              <w:t>William H. Schumann, III, Director</w:t>
            </w:r>
          </w:p>
        </w:tc>
        <w:tc>
          <w:tcPr>
            <w:tcW w:w="1160" w:type="dxa"/>
            <w:vAlign w:val="bottom"/>
          </w:tcPr>
          <w:p>
            <w:pPr>
              <w:jc w:val="right"/>
              <w:ind w:right="43"/>
              <w:spacing w:after="0" w:line="182" w:lineRule="exact"/>
              <w:rPr>
                <w:sz w:val="20"/>
                <w:szCs w:val="20"/>
                <w:color w:val="auto"/>
              </w:rPr>
            </w:pPr>
            <w:r>
              <w:rPr>
                <w:rFonts w:ascii="Arial" w:cs="Arial" w:eastAsia="Arial" w:hAnsi="Arial"/>
                <w:sz w:val="16"/>
                <w:szCs w:val="16"/>
                <w:color w:val="auto"/>
              </w:rPr>
              <w:t>44,769</w:t>
            </w:r>
          </w:p>
        </w:tc>
        <w:tc>
          <w:tcPr>
            <w:tcW w:w="960" w:type="dxa"/>
            <w:vAlign w:val="bottom"/>
          </w:tcPr>
          <w:p>
            <w:pPr>
              <w:jc w:val="right"/>
              <w:ind w:right="45"/>
              <w:spacing w:after="0" w:line="182" w:lineRule="exact"/>
              <w:rPr>
                <w:sz w:val="20"/>
                <w:szCs w:val="20"/>
                <w:color w:val="auto"/>
              </w:rPr>
            </w:pPr>
            <w:r>
              <w:rPr>
                <w:rFonts w:ascii="Arial" w:cs="Arial" w:eastAsia="Arial" w:hAnsi="Arial"/>
                <w:sz w:val="16"/>
                <w:szCs w:val="16"/>
                <w:color w:val="auto"/>
              </w:rPr>
              <w:t>0</w:t>
            </w:r>
          </w:p>
        </w:tc>
        <w:tc>
          <w:tcPr>
            <w:tcW w:w="1000" w:type="dxa"/>
            <w:vAlign w:val="bottom"/>
          </w:tcPr>
          <w:p>
            <w:pPr>
              <w:jc w:val="right"/>
              <w:ind w:right="4"/>
              <w:spacing w:after="0" w:line="182" w:lineRule="exact"/>
              <w:rPr>
                <w:sz w:val="20"/>
                <w:szCs w:val="20"/>
                <w:color w:val="auto"/>
              </w:rPr>
            </w:pPr>
            <w:r>
              <w:rPr>
                <w:rFonts w:ascii="Arial" w:cs="Arial" w:eastAsia="Arial" w:hAnsi="Arial"/>
                <w:sz w:val="16"/>
                <w:szCs w:val="16"/>
                <w:b w:val="1"/>
                <w:bCs w:val="1"/>
                <w:color w:val="auto"/>
              </w:rPr>
              <w:t>44,769</w:t>
            </w:r>
          </w:p>
        </w:tc>
        <w:tc>
          <w:tcPr>
            <w:tcW w:w="600" w:type="dxa"/>
            <w:vAlign w:val="bottom"/>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65"/>
        </w:trPr>
        <w:tc>
          <w:tcPr>
            <w:tcW w:w="4720" w:type="dxa"/>
            <w:vAlign w:val="bottom"/>
            <w:shd w:val="clear" w:color="auto" w:fill="E8F5EA"/>
          </w:tcPr>
          <w:p>
            <w:pPr>
              <w:spacing w:after="0" w:line="165" w:lineRule="exact"/>
              <w:rPr>
                <w:sz w:val="20"/>
                <w:szCs w:val="20"/>
                <w:color w:val="auto"/>
              </w:rPr>
            </w:pPr>
            <w:r>
              <w:rPr>
                <w:rFonts w:ascii="Arial" w:cs="Arial" w:eastAsia="Arial" w:hAnsi="Arial"/>
                <w:sz w:val="16"/>
                <w:szCs w:val="16"/>
                <w:color w:val="auto"/>
              </w:rPr>
              <w:t>Philip R. Gallagher, Interim Chief Executive Officer and President,</w:t>
            </w:r>
          </w:p>
        </w:tc>
        <w:tc>
          <w:tcPr>
            <w:tcW w:w="1160" w:type="dxa"/>
            <w:vAlign w:val="bottom"/>
            <w:vMerge w:val="restart"/>
            <w:shd w:val="clear" w:color="auto" w:fill="E8F5EA"/>
          </w:tcPr>
          <w:p>
            <w:pPr>
              <w:jc w:val="right"/>
              <w:ind w:right="43"/>
              <w:spacing w:after="0"/>
              <w:rPr>
                <w:sz w:val="20"/>
                <w:szCs w:val="20"/>
                <w:color w:val="auto"/>
              </w:rPr>
            </w:pPr>
            <w:r>
              <w:rPr>
                <w:rFonts w:ascii="Arial" w:cs="Arial" w:eastAsia="Arial" w:hAnsi="Arial"/>
                <w:sz w:val="16"/>
                <w:szCs w:val="16"/>
                <w:color w:val="auto"/>
              </w:rPr>
              <w:t>65,272</w:t>
            </w:r>
            <w:r>
              <w:rPr>
                <w:rFonts w:ascii="Arial" w:cs="Arial" w:eastAsia="Arial" w:hAnsi="Arial"/>
                <w:sz w:val="26"/>
                <w:szCs w:val="26"/>
                <w:color w:val="auto"/>
                <w:vertAlign w:val="superscript"/>
              </w:rPr>
              <w:t>(7)</w:t>
            </w:r>
          </w:p>
        </w:tc>
        <w:tc>
          <w:tcPr>
            <w:tcW w:w="960" w:type="dxa"/>
            <w:vAlign w:val="bottom"/>
            <w:shd w:val="clear" w:color="auto" w:fill="E8F5EA"/>
          </w:tcPr>
          <w:p>
            <w:pPr>
              <w:spacing w:after="0"/>
              <w:rPr>
                <w:sz w:val="14"/>
                <w:szCs w:val="14"/>
                <w:color w:val="auto"/>
              </w:rPr>
            </w:pPr>
          </w:p>
        </w:tc>
        <w:tc>
          <w:tcPr>
            <w:tcW w:w="1000" w:type="dxa"/>
            <w:vAlign w:val="bottom"/>
            <w:vMerge w:val="restart"/>
            <w:shd w:val="clear" w:color="auto" w:fill="E8F5EA"/>
          </w:tcPr>
          <w:p>
            <w:pPr>
              <w:jc w:val="right"/>
              <w:ind w:right="4"/>
              <w:spacing w:after="0"/>
              <w:rPr>
                <w:sz w:val="20"/>
                <w:szCs w:val="20"/>
                <w:color w:val="auto"/>
              </w:rPr>
            </w:pPr>
            <w:r>
              <w:rPr>
                <w:rFonts w:ascii="Arial" w:cs="Arial" w:eastAsia="Arial" w:hAnsi="Arial"/>
                <w:sz w:val="16"/>
                <w:szCs w:val="16"/>
                <w:b w:val="1"/>
                <w:bCs w:val="1"/>
                <w:color w:val="auto"/>
              </w:rPr>
              <w:t>200,560</w:t>
            </w:r>
          </w:p>
        </w:tc>
        <w:tc>
          <w:tcPr>
            <w:tcW w:w="600" w:type="dxa"/>
            <w:vAlign w:val="bottom"/>
            <w:vMerge w:val="restart"/>
            <w:shd w:val="clear" w:color="auto" w:fill="E8F5EA"/>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9"/>
        </w:trPr>
        <w:tc>
          <w:tcPr>
            <w:tcW w:w="4720" w:type="dxa"/>
            <w:vAlign w:val="bottom"/>
            <w:shd w:val="clear" w:color="auto" w:fill="E8F5EA"/>
          </w:tcPr>
          <w:p>
            <w:pPr>
              <w:ind w:left="160"/>
              <w:spacing w:after="0"/>
              <w:rPr>
                <w:sz w:val="20"/>
                <w:szCs w:val="20"/>
                <w:color w:val="auto"/>
              </w:rPr>
            </w:pPr>
            <w:r>
              <w:rPr>
                <w:rFonts w:ascii="Arial" w:cs="Arial" w:eastAsia="Arial" w:hAnsi="Arial"/>
                <w:sz w:val="16"/>
                <w:szCs w:val="16"/>
                <w:color w:val="auto"/>
              </w:rPr>
              <w:t>Electronic Components</w:t>
            </w:r>
          </w:p>
        </w:tc>
        <w:tc>
          <w:tcPr>
            <w:tcW w:w="1160" w:type="dxa"/>
            <w:vAlign w:val="bottom"/>
            <w:vMerge w:val="continue"/>
            <w:shd w:val="clear" w:color="auto" w:fill="E8F5EA"/>
          </w:tcPr>
          <w:p>
            <w:pPr>
              <w:spacing w:after="0"/>
              <w:rPr>
                <w:sz w:val="17"/>
                <w:szCs w:val="17"/>
                <w:color w:val="auto"/>
              </w:rPr>
            </w:pPr>
          </w:p>
        </w:tc>
        <w:tc>
          <w:tcPr>
            <w:tcW w:w="960" w:type="dxa"/>
            <w:vAlign w:val="bottom"/>
            <w:shd w:val="clear" w:color="auto" w:fill="E8F5EA"/>
          </w:tcPr>
          <w:p>
            <w:pPr>
              <w:jc w:val="right"/>
              <w:ind w:right="45"/>
              <w:spacing w:after="0"/>
              <w:rPr>
                <w:sz w:val="20"/>
                <w:szCs w:val="20"/>
                <w:color w:val="auto"/>
              </w:rPr>
            </w:pPr>
            <w:r>
              <w:rPr>
                <w:rFonts w:ascii="Arial" w:cs="Arial" w:eastAsia="Arial" w:hAnsi="Arial"/>
                <w:sz w:val="16"/>
                <w:szCs w:val="16"/>
                <w:color w:val="auto"/>
              </w:rPr>
              <w:t>135,288</w:t>
            </w:r>
          </w:p>
        </w:tc>
        <w:tc>
          <w:tcPr>
            <w:tcW w:w="1000" w:type="dxa"/>
            <w:vAlign w:val="bottom"/>
            <w:vMerge w:val="continue"/>
            <w:shd w:val="clear" w:color="auto" w:fill="E8F5EA"/>
          </w:tcPr>
          <w:p>
            <w:pPr>
              <w:spacing w:after="0"/>
              <w:rPr>
                <w:sz w:val="17"/>
                <w:szCs w:val="17"/>
                <w:color w:val="auto"/>
              </w:rPr>
            </w:pPr>
          </w:p>
        </w:tc>
        <w:tc>
          <w:tcPr>
            <w:tcW w:w="600" w:type="dxa"/>
            <w:vAlign w:val="bottom"/>
            <w:vMerge w:val="continue"/>
            <w:shd w:val="clear" w:color="auto" w:fill="E8F5EA"/>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720" w:type="dxa"/>
            <w:vAlign w:val="bottom"/>
          </w:tcPr>
          <w:p>
            <w:pPr>
              <w:spacing w:after="0"/>
              <w:rPr>
                <w:sz w:val="20"/>
                <w:szCs w:val="20"/>
                <w:color w:val="auto"/>
              </w:rPr>
            </w:pPr>
            <w:r>
              <w:rPr>
                <w:rFonts w:ascii="Arial" w:cs="Arial" w:eastAsia="Arial" w:hAnsi="Arial"/>
                <w:sz w:val="16"/>
                <w:szCs w:val="16"/>
                <w:color w:val="auto"/>
              </w:rPr>
              <w:t>Thomas Liguori, Chief Financial Officer</w:t>
            </w:r>
          </w:p>
        </w:tc>
        <w:tc>
          <w:tcPr>
            <w:tcW w:w="1160" w:type="dxa"/>
            <w:vAlign w:val="bottom"/>
          </w:tcPr>
          <w:p>
            <w:pPr>
              <w:jc w:val="right"/>
              <w:ind w:right="43"/>
              <w:spacing w:after="0" w:line="218" w:lineRule="exact"/>
              <w:rPr>
                <w:sz w:val="20"/>
                <w:szCs w:val="20"/>
                <w:color w:val="auto"/>
              </w:rPr>
            </w:pPr>
            <w:r>
              <w:rPr>
                <w:rFonts w:ascii="Arial" w:cs="Arial" w:eastAsia="Arial" w:hAnsi="Arial"/>
                <w:sz w:val="15"/>
                <w:szCs w:val="15"/>
                <w:color w:val="auto"/>
              </w:rPr>
              <w:t>77,221</w:t>
            </w:r>
            <w:r>
              <w:rPr>
                <w:rFonts w:ascii="Arial" w:cs="Arial" w:eastAsia="Arial" w:hAnsi="Arial"/>
                <w:sz w:val="25"/>
                <w:szCs w:val="25"/>
                <w:color w:val="auto"/>
                <w:vertAlign w:val="superscript"/>
              </w:rPr>
              <w:t>(8)</w:t>
            </w:r>
          </w:p>
        </w:tc>
        <w:tc>
          <w:tcPr>
            <w:tcW w:w="960" w:type="dxa"/>
            <w:vAlign w:val="bottom"/>
          </w:tcPr>
          <w:p>
            <w:pPr>
              <w:jc w:val="right"/>
              <w:ind w:right="45"/>
              <w:spacing w:after="0"/>
              <w:rPr>
                <w:sz w:val="20"/>
                <w:szCs w:val="20"/>
                <w:color w:val="auto"/>
              </w:rPr>
            </w:pPr>
            <w:r>
              <w:rPr>
                <w:rFonts w:ascii="Arial" w:cs="Arial" w:eastAsia="Arial" w:hAnsi="Arial"/>
                <w:sz w:val="16"/>
                <w:szCs w:val="16"/>
                <w:color w:val="auto"/>
              </w:rPr>
              <w:t>24,951</w:t>
            </w:r>
          </w:p>
        </w:tc>
        <w:tc>
          <w:tcPr>
            <w:tcW w:w="1000" w:type="dxa"/>
            <w:vAlign w:val="bottom"/>
          </w:tcPr>
          <w:p>
            <w:pPr>
              <w:jc w:val="right"/>
              <w:ind w:right="4"/>
              <w:spacing w:after="0"/>
              <w:rPr>
                <w:sz w:val="20"/>
                <w:szCs w:val="20"/>
                <w:color w:val="auto"/>
              </w:rPr>
            </w:pPr>
            <w:r>
              <w:rPr>
                <w:rFonts w:ascii="Arial" w:cs="Arial" w:eastAsia="Arial" w:hAnsi="Arial"/>
                <w:sz w:val="16"/>
                <w:szCs w:val="16"/>
                <w:b w:val="1"/>
                <w:bCs w:val="1"/>
                <w:color w:val="auto"/>
              </w:rPr>
              <w:t>102,172</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4720" w:type="dxa"/>
            <w:vAlign w:val="bottom"/>
            <w:shd w:val="clear" w:color="auto" w:fill="E8F5EA"/>
          </w:tcPr>
          <w:p>
            <w:pPr>
              <w:spacing w:after="0"/>
              <w:rPr>
                <w:sz w:val="20"/>
                <w:szCs w:val="20"/>
                <w:color w:val="auto"/>
              </w:rPr>
            </w:pPr>
            <w:r>
              <w:rPr>
                <w:rFonts w:ascii="Arial" w:cs="Arial" w:eastAsia="Arial" w:hAnsi="Arial"/>
                <w:sz w:val="16"/>
                <w:szCs w:val="16"/>
                <w:color w:val="auto"/>
              </w:rPr>
              <w:t>MaryAnn G. Miller, SVP, Chief Administrative Officer</w:t>
            </w:r>
          </w:p>
        </w:tc>
        <w:tc>
          <w:tcPr>
            <w:tcW w:w="1160" w:type="dxa"/>
            <w:vAlign w:val="bottom"/>
            <w:shd w:val="clear" w:color="auto" w:fill="E8F5EA"/>
          </w:tcPr>
          <w:p>
            <w:pPr>
              <w:jc w:val="right"/>
              <w:ind w:right="43"/>
              <w:spacing w:after="0" w:line="218" w:lineRule="exact"/>
              <w:rPr>
                <w:sz w:val="20"/>
                <w:szCs w:val="20"/>
                <w:color w:val="auto"/>
              </w:rPr>
            </w:pPr>
            <w:r>
              <w:rPr>
                <w:rFonts w:ascii="Arial" w:cs="Arial" w:eastAsia="Arial" w:hAnsi="Arial"/>
                <w:sz w:val="15"/>
                <w:szCs w:val="15"/>
                <w:color w:val="auto"/>
              </w:rPr>
              <w:t>54,193</w:t>
            </w:r>
            <w:r>
              <w:rPr>
                <w:rFonts w:ascii="Arial" w:cs="Arial" w:eastAsia="Arial" w:hAnsi="Arial"/>
                <w:sz w:val="25"/>
                <w:szCs w:val="25"/>
                <w:color w:val="auto"/>
                <w:vertAlign w:val="superscript"/>
              </w:rPr>
              <w:t>(9)</w:t>
            </w:r>
          </w:p>
        </w:tc>
        <w:tc>
          <w:tcPr>
            <w:tcW w:w="960" w:type="dxa"/>
            <w:vAlign w:val="bottom"/>
            <w:shd w:val="clear" w:color="auto" w:fill="E8F5EA"/>
          </w:tcPr>
          <w:p>
            <w:pPr>
              <w:jc w:val="right"/>
              <w:ind w:right="45"/>
              <w:spacing w:after="0"/>
              <w:rPr>
                <w:sz w:val="20"/>
                <w:szCs w:val="20"/>
                <w:color w:val="auto"/>
              </w:rPr>
            </w:pPr>
            <w:r>
              <w:rPr>
                <w:rFonts w:ascii="Arial" w:cs="Arial" w:eastAsia="Arial" w:hAnsi="Arial"/>
                <w:sz w:val="16"/>
                <w:szCs w:val="16"/>
                <w:color w:val="auto"/>
              </w:rPr>
              <w:t>140,935</w:t>
            </w:r>
          </w:p>
        </w:tc>
        <w:tc>
          <w:tcPr>
            <w:tcW w:w="1000" w:type="dxa"/>
            <w:vAlign w:val="bottom"/>
            <w:shd w:val="clear" w:color="auto" w:fill="E8F5EA"/>
          </w:tcPr>
          <w:p>
            <w:pPr>
              <w:jc w:val="right"/>
              <w:ind w:right="4"/>
              <w:spacing w:after="0"/>
              <w:rPr>
                <w:sz w:val="20"/>
                <w:szCs w:val="20"/>
                <w:color w:val="auto"/>
              </w:rPr>
            </w:pPr>
            <w:r>
              <w:rPr>
                <w:rFonts w:ascii="Arial" w:cs="Arial" w:eastAsia="Arial" w:hAnsi="Arial"/>
                <w:sz w:val="16"/>
                <w:szCs w:val="16"/>
                <w:b w:val="1"/>
                <w:bCs w:val="1"/>
                <w:color w:val="auto"/>
              </w:rPr>
              <w:t>195,128</w:t>
            </w:r>
          </w:p>
        </w:tc>
        <w:tc>
          <w:tcPr>
            <w:tcW w:w="600" w:type="dxa"/>
            <w:vAlign w:val="bottom"/>
            <w:shd w:val="clear" w:color="auto" w:fill="E8F5EA"/>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65"/>
        </w:trPr>
        <w:tc>
          <w:tcPr>
            <w:tcW w:w="4720" w:type="dxa"/>
            <w:vAlign w:val="bottom"/>
          </w:tcPr>
          <w:p>
            <w:pPr>
              <w:spacing w:after="0" w:line="165" w:lineRule="exact"/>
              <w:rPr>
                <w:sz w:val="20"/>
                <w:szCs w:val="20"/>
                <w:color w:val="auto"/>
              </w:rPr>
            </w:pPr>
            <w:r>
              <w:rPr>
                <w:rFonts w:ascii="Arial" w:cs="Arial" w:eastAsia="Arial" w:hAnsi="Arial"/>
                <w:sz w:val="16"/>
                <w:szCs w:val="16"/>
                <w:color w:val="auto"/>
              </w:rPr>
              <w:t>William J. Amelio, Former Director and Former Chief Executive</w:t>
            </w:r>
          </w:p>
        </w:tc>
        <w:tc>
          <w:tcPr>
            <w:tcW w:w="1160" w:type="dxa"/>
            <w:vAlign w:val="bottom"/>
            <w:vMerge w:val="restart"/>
          </w:tcPr>
          <w:p>
            <w:pPr>
              <w:jc w:val="right"/>
              <w:ind w:right="43"/>
              <w:spacing w:after="0"/>
              <w:rPr>
                <w:sz w:val="20"/>
                <w:szCs w:val="20"/>
                <w:color w:val="auto"/>
              </w:rPr>
            </w:pPr>
            <w:r>
              <w:rPr>
                <w:rFonts w:ascii="Arial" w:cs="Arial" w:eastAsia="Arial" w:hAnsi="Arial"/>
                <w:sz w:val="16"/>
                <w:szCs w:val="16"/>
                <w:color w:val="auto"/>
              </w:rPr>
              <w:t>93,826</w:t>
            </w:r>
            <w:r>
              <w:rPr>
                <w:rFonts w:ascii="Arial" w:cs="Arial" w:eastAsia="Arial" w:hAnsi="Arial"/>
                <w:sz w:val="26"/>
                <w:szCs w:val="26"/>
                <w:color w:val="auto"/>
                <w:vertAlign w:val="superscript"/>
              </w:rPr>
              <w:t>(10)</w:t>
            </w:r>
          </w:p>
        </w:tc>
        <w:tc>
          <w:tcPr>
            <w:tcW w:w="960" w:type="dxa"/>
            <w:vAlign w:val="bottom"/>
            <w:vMerge w:val="restart"/>
          </w:tcPr>
          <w:p>
            <w:pPr>
              <w:jc w:val="right"/>
              <w:ind w:right="45"/>
              <w:spacing w:after="0"/>
              <w:rPr>
                <w:sz w:val="20"/>
                <w:szCs w:val="20"/>
                <w:color w:val="auto"/>
              </w:rPr>
            </w:pPr>
            <w:r>
              <w:rPr>
                <w:rFonts w:ascii="Arial" w:cs="Arial" w:eastAsia="Arial" w:hAnsi="Arial"/>
                <w:sz w:val="31"/>
                <w:szCs w:val="31"/>
                <w:color w:val="auto"/>
                <w:vertAlign w:val="subscript"/>
              </w:rPr>
              <w:t>0</w:t>
            </w:r>
            <w:r>
              <w:rPr>
                <w:rFonts w:ascii="Arial" w:cs="Arial" w:eastAsia="Arial" w:hAnsi="Arial"/>
                <w:sz w:val="13"/>
                <w:szCs w:val="13"/>
                <w:color w:val="auto"/>
              </w:rPr>
              <w:t>(10)</w:t>
            </w:r>
          </w:p>
        </w:tc>
        <w:tc>
          <w:tcPr>
            <w:tcW w:w="1000" w:type="dxa"/>
            <w:vAlign w:val="bottom"/>
            <w:vMerge w:val="restart"/>
          </w:tcPr>
          <w:p>
            <w:pPr>
              <w:jc w:val="right"/>
              <w:ind w:right="4"/>
              <w:spacing w:after="0"/>
              <w:rPr>
                <w:sz w:val="20"/>
                <w:szCs w:val="20"/>
                <w:color w:val="auto"/>
              </w:rPr>
            </w:pPr>
            <w:r>
              <w:rPr>
                <w:rFonts w:ascii="Arial" w:cs="Arial" w:eastAsia="Arial" w:hAnsi="Arial"/>
                <w:sz w:val="16"/>
                <w:szCs w:val="16"/>
                <w:b w:val="1"/>
                <w:bCs w:val="1"/>
                <w:color w:val="auto"/>
              </w:rPr>
              <w:t>93,826</w:t>
            </w:r>
          </w:p>
        </w:tc>
        <w:tc>
          <w:tcPr>
            <w:tcW w:w="6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9"/>
        </w:trPr>
        <w:tc>
          <w:tcPr>
            <w:tcW w:w="4720" w:type="dxa"/>
            <w:vAlign w:val="bottom"/>
          </w:tcPr>
          <w:p>
            <w:pPr>
              <w:ind w:left="160"/>
              <w:spacing w:after="0"/>
              <w:rPr>
                <w:sz w:val="20"/>
                <w:szCs w:val="20"/>
                <w:color w:val="auto"/>
              </w:rPr>
            </w:pPr>
            <w:r>
              <w:rPr>
                <w:rFonts w:ascii="Arial" w:cs="Arial" w:eastAsia="Arial" w:hAnsi="Arial"/>
                <w:sz w:val="16"/>
                <w:szCs w:val="16"/>
                <w:color w:val="auto"/>
              </w:rPr>
              <w:t>Officer</w:t>
            </w:r>
          </w:p>
        </w:tc>
        <w:tc>
          <w:tcPr>
            <w:tcW w:w="11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720" w:type="dxa"/>
            <w:vAlign w:val="bottom"/>
            <w:shd w:val="clear" w:color="auto" w:fill="E8F5EA"/>
          </w:tcPr>
          <w:p>
            <w:pPr>
              <w:spacing w:after="0" w:line="218" w:lineRule="exact"/>
              <w:rPr>
                <w:sz w:val="20"/>
                <w:szCs w:val="20"/>
                <w:color w:val="auto"/>
              </w:rPr>
            </w:pPr>
            <w:r>
              <w:rPr>
                <w:rFonts w:ascii="Arial" w:cs="Arial" w:eastAsia="Arial" w:hAnsi="Arial"/>
                <w:sz w:val="15"/>
                <w:szCs w:val="15"/>
                <w:color w:val="auto"/>
              </w:rPr>
              <w:t>Peter G. Bartolotta, Former President, Business Transformation</w:t>
            </w:r>
            <w:r>
              <w:rPr>
                <w:rFonts w:ascii="Arial" w:cs="Arial" w:eastAsia="Arial" w:hAnsi="Arial"/>
                <w:sz w:val="25"/>
                <w:szCs w:val="25"/>
                <w:color w:val="auto"/>
                <w:vertAlign w:val="superscript"/>
              </w:rPr>
              <w:t>(11)</w:t>
            </w:r>
          </w:p>
        </w:tc>
        <w:tc>
          <w:tcPr>
            <w:tcW w:w="1160" w:type="dxa"/>
            <w:vAlign w:val="bottom"/>
            <w:shd w:val="clear" w:color="auto" w:fill="E8F5EA"/>
          </w:tcPr>
          <w:p>
            <w:pPr>
              <w:jc w:val="right"/>
              <w:ind w:right="43"/>
              <w:spacing w:after="0" w:line="218" w:lineRule="exact"/>
              <w:rPr>
                <w:sz w:val="20"/>
                <w:szCs w:val="20"/>
                <w:color w:val="auto"/>
              </w:rPr>
            </w:pPr>
            <w:r>
              <w:rPr>
                <w:rFonts w:ascii="Arial" w:cs="Arial" w:eastAsia="Arial" w:hAnsi="Arial"/>
                <w:sz w:val="15"/>
                <w:szCs w:val="15"/>
                <w:color w:val="auto"/>
              </w:rPr>
              <w:t>20,766</w:t>
            </w:r>
            <w:r>
              <w:rPr>
                <w:rFonts w:ascii="Arial" w:cs="Arial" w:eastAsia="Arial" w:hAnsi="Arial"/>
                <w:sz w:val="25"/>
                <w:szCs w:val="25"/>
                <w:color w:val="auto"/>
                <w:vertAlign w:val="superscript"/>
              </w:rPr>
              <w:t>(11)</w:t>
            </w:r>
          </w:p>
        </w:tc>
        <w:tc>
          <w:tcPr>
            <w:tcW w:w="960" w:type="dxa"/>
            <w:vAlign w:val="bottom"/>
            <w:shd w:val="clear" w:color="auto" w:fill="E8F5EA"/>
          </w:tcPr>
          <w:p>
            <w:pPr>
              <w:jc w:val="right"/>
              <w:ind w:right="45"/>
              <w:spacing w:after="0"/>
              <w:rPr>
                <w:sz w:val="20"/>
                <w:szCs w:val="20"/>
                <w:color w:val="auto"/>
              </w:rPr>
            </w:pPr>
            <w:r>
              <w:rPr>
                <w:rFonts w:ascii="Arial" w:cs="Arial" w:eastAsia="Arial" w:hAnsi="Arial"/>
                <w:sz w:val="16"/>
                <w:szCs w:val="16"/>
                <w:color w:val="auto"/>
              </w:rPr>
              <w:t>43,131</w:t>
            </w:r>
          </w:p>
        </w:tc>
        <w:tc>
          <w:tcPr>
            <w:tcW w:w="1000" w:type="dxa"/>
            <w:vAlign w:val="bottom"/>
            <w:shd w:val="clear" w:color="auto" w:fill="E8F5EA"/>
          </w:tcPr>
          <w:p>
            <w:pPr>
              <w:jc w:val="right"/>
              <w:ind w:right="4"/>
              <w:spacing w:after="0"/>
              <w:rPr>
                <w:sz w:val="20"/>
                <w:szCs w:val="20"/>
                <w:color w:val="auto"/>
              </w:rPr>
            </w:pPr>
            <w:r>
              <w:rPr>
                <w:rFonts w:ascii="Arial" w:cs="Arial" w:eastAsia="Arial" w:hAnsi="Arial"/>
                <w:sz w:val="16"/>
                <w:szCs w:val="16"/>
                <w:b w:val="1"/>
                <w:bCs w:val="1"/>
                <w:color w:val="auto"/>
              </w:rPr>
              <w:t>63,897</w:t>
            </w:r>
          </w:p>
        </w:tc>
        <w:tc>
          <w:tcPr>
            <w:tcW w:w="600" w:type="dxa"/>
            <w:vAlign w:val="bottom"/>
            <w:shd w:val="clear" w:color="auto" w:fill="E8F5EA"/>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4720" w:type="dxa"/>
            <w:vAlign w:val="bottom"/>
          </w:tcPr>
          <w:p>
            <w:pPr>
              <w:spacing w:after="0"/>
              <w:rPr>
                <w:sz w:val="20"/>
                <w:szCs w:val="20"/>
                <w:color w:val="auto"/>
              </w:rPr>
            </w:pPr>
            <w:r>
              <w:rPr>
                <w:rFonts w:ascii="Arial" w:cs="Arial" w:eastAsia="Arial" w:hAnsi="Arial"/>
                <w:sz w:val="16"/>
                <w:szCs w:val="16"/>
                <w:color w:val="auto"/>
              </w:rPr>
              <w:t>Michael J. O'Neill, Former SVP, General Counsel</w:t>
            </w:r>
          </w:p>
        </w:tc>
        <w:tc>
          <w:tcPr>
            <w:tcW w:w="1160" w:type="dxa"/>
            <w:vAlign w:val="bottom"/>
          </w:tcPr>
          <w:p>
            <w:pPr>
              <w:jc w:val="right"/>
              <w:ind w:right="43"/>
              <w:spacing w:after="0" w:line="218" w:lineRule="exact"/>
              <w:rPr>
                <w:sz w:val="20"/>
                <w:szCs w:val="20"/>
                <w:color w:val="auto"/>
              </w:rPr>
            </w:pPr>
            <w:r>
              <w:rPr>
                <w:rFonts w:ascii="Arial" w:cs="Arial" w:eastAsia="Arial" w:hAnsi="Arial"/>
                <w:sz w:val="15"/>
                <w:szCs w:val="15"/>
                <w:color w:val="auto"/>
              </w:rPr>
              <w:t>19,052</w:t>
            </w:r>
            <w:r>
              <w:rPr>
                <w:rFonts w:ascii="Arial" w:cs="Arial" w:eastAsia="Arial" w:hAnsi="Arial"/>
                <w:sz w:val="25"/>
                <w:szCs w:val="25"/>
                <w:color w:val="auto"/>
                <w:vertAlign w:val="superscript"/>
              </w:rPr>
              <w:t>(12)</w:t>
            </w:r>
          </w:p>
        </w:tc>
        <w:tc>
          <w:tcPr>
            <w:tcW w:w="960" w:type="dxa"/>
            <w:vAlign w:val="bottom"/>
          </w:tcPr>
          <w:p>
            <w:pPr>
              <w:jc w:val="right"/>
              <w:ind w:right="45"/>
              <w:spacing w:after="0" w:line="218" w:lineRule="exact"/>
              <w:rPr>
                <w:sz w:val="20"/>
                <w:szCs w:val="20"/>
                <w:color w:val="auto"/>
              </w:rPr>
            </w:pPr>
            <w:r>
              <w:rPr>
                <w:rFonts w:ascii="Arial" w:cs="Arial" w:eastAsia="Arial" w:hAnsi="Arial"/>
                <w:sz w:val="15"/>
                <w:szCs w:val="15"/>
                <w:color w:val="auto"/>
              </w:rPr>
              <w:t>41,625</w:t>
            </w:r>
            <w:r>
              <w:rPr>
                <w:rFonts w:ascii="Arial" w:cs="Arial" w:eastAsia="Arial" w:hAnsi="Arial"/>
                <w:sz w:val="25"/>
                <w:szCs w:val="25"/>
                <w:color w:val="auto"/>
                <w:vertAlign w:val="superscript"/>
              </w:rPr>
              <w:t>(12)</w:t>
            </w:r>
          </w:p>
        </w:tc>
        <w:tc>
          <w:tcPr>
            <w:tcW w:w="1000" w:type="dxa"/>
            <w:vAlign w:val="bottom"/>
          </w:tcPr>
          <w:p>
            <w:pPr>
              <w:jc w:val="right"/>
              <w:ind w:right="4"/>
              <w:spacing w:after="0"/>
              <w:rPr>
                <w:sz w:val="20"/>
                <w:szCs w:val="20"/>
                <w:color w:val="auto"/>
              </w:rPr>
            </w:pPr>
            <w:r>
              <w:rPr>
                <w:rFonts w:ascii="Arial" w:cs="Arial" w:eastAsia="Arial" w:hAnsi="Arial"/>
                <w:sz w:val="16"/>
                <w:szCs w:val="16"/>
                <w:b w:val="1"/>
                <w:bCs w:val="1"/>
                <w:color w:val="auto"/>
              </w:rPr>
              <w:t>60,677</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4720" w:type="dxa"/>
            <w:vAlign w:val="bottom"/>
            <w:shd w:val="clear" w:color="auto" w:fill="E8F5EA"/>
          </w:tcPr>
          <w:p>
            <w:pPr>
              <w:spacing w:after="0" w:line="167" w:lineRule="exact"/>
              <w:rPr>
                <w:sz w:val="20"/>
                <w:szCs w:val="20"/>
                <w:color w:val="auto"/>
              </w:rPr>
            </w:pPr>
            <w:r>
              <w:rPr>
                <w:rFonts w:ascii="Arial" w:cs="Arial" w:eastAsia="Arial" w:hAnsi="Arial"/>
                <w:sz w:val="16"/>
                <w:szCs w:val="16"/>
                <w:b w:val="1"/>
                <w:bCs w:val="1"/>
                <w:color w:val="auto"/>
              </w:rPr>
              <w:t>All Directors and named executive officers as a group (16</w:t>
            </w:r>
          </w:p>
        </w:tc>
        <w:tc>
          <w:tcPr>
            <w:tcW w:w="1160" w:type="dxa"/>
            <w:vAlign w:val="bottom"/>
            <w:shd w:val="clear" w:color="auto" w:fill="E8F5EA"/>
          </w:tcPr>
          <w:p>
            <w:pPr>
              <w:spacing w:after="0"/>
              <w:rPr>
                <w:sz w:val="14"/>
                <w:szCs w:val="14"/>
                <w:color w:val="auto"/>
              </w:rPr>
            </w:pPr>
          </w:p>
        </w:tc>
        <w:tc>
          <w:tcPr>
            <w:tcW w:w="960" w:type="dxa"/>
            <w:vAlign w:val="bottom"/>
            <w:shd w:val="clear" w:color="auto" w:fill="E8F5EA"/>
          </w:tcPr>
          <w:p>
            <w:pPr>
              <w:spacing w:after="0"/>
              <w:rPr>
                <w:sz w:val="14"/>
                <w:szCs w:val="14"/>
                <w:color w:val="auto"/>
              </w:rPr>
            </w:pPr>
          </w:p>
        </w:tc>
        <w:tc>
          <w:tcPr>
            <w:tcW w:w="1000" w:type="dxa"/>
            <w:vAlign w:val="bottom"/>
            <w:shd w:val="clear" w:color="auto" w:fill="E8F5EA"/>
          </w:tcPr>
          <w:p>
            <w:pPr>
              <w:spacing w:after="0"/>
              <w:rPr>
                <w:sz w:val="14"/>
                <w:szCs w:val="14"/>
                <w:color w:val="auto"/>
              </w:rPr>
            </w:pPr>
          </w:p>
        </w:tc>
        <w:tc>
          <w:tcPr>
            <w:tcW w:w="600" w:type="dxa"/>
            <w:vAlign w:val="bottom"/>
            <w:shd w:val="clear" w:color="auto" w:fill="E8F5EA"/>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4720" w:type="dxa"/>
            <w:vAlign w:val="bottom"/>
            <w:tcBorders>
              <w:bottom w:val="single" w:sz="8" w:color="53C072"/>
            </w:tcBorders>
            <w:shd w:val="clear" w:color="auto" w:fill="E8F5EA"/>
          </w:tcPr>
          <w:p>
            <w:pPr>
              <w:ind w:left="160"/>
              <w:spacing w:after="0" w:line="233" w:lineRule="exact"/>
              <w:rPr>
                <w:sz w:val="20"/>
                <w:szCs w:val="20"/>
                <w:color w:val="auto"/>
              </w:rPr>
            </w:pPr>
            <w:r>
              <w:rPr>
                <w:rFonts w:ascii="Arial" w:cs="Arial" w:eastAsia="Arial" w:hAnsi="Arial"/>
                <w:sz w:val="16"/>
                <w:szCs w:val="16"/>
                <w:b w:val="1"/>
                <w:bCs w:val="1"/>
                <w:color w:val="auto"/>
              </w:rPr>
              <w:t>persons)</w:t>
            </w:r>
            <w:r>
              <w:rPr>
                <w:rFonts w:ascii="Arial" w:cs="Arial" w:eastAsia="Arial" w:hAnsi="Arial"/>
                <w:sz w:val="26"/>
                <w:szCs w:val="26"/>
                <w:b w:val="1"/>
                <w:bCs w:val="1"/>
                <w:color w:val="auto"/>
                <w:vertAlign w:val="superscript"/>
              </w:rPr>
              <w:t>(13)</w:t>
            </w:r>
          </w:p>
        </w:tc>
        <w:tc>
          <w:tcPr>
            <w:tcW w:w="1160" w:type="dxa"/>
            <w:vAlign w:val="bottom"/>
            <w:tcBorders>
              <w:bottom w:val="single" w:sz="8" w:color="53C072"/>
            </w:tcBorders>
            <w:shd w:val="clear" w:color="auto" w:fill="E8F5EA"/>
          </w:tcPr>
          <w:p>
            <w:pPr>
              <w:jc w:val="right"/>
              <w:ind w:right="43"/>
              <w:spacing w:after="0"/>
              <w:rPr>
                <w:sz w:val="20"/>
                <w:szCs w:val="20"/>
                <w:color w:val="auto"/>
              </w:rPr>
            </w:pPr>
            <w:r>
              <w:rPr>
                <w:rFonts w:ascii="Arial" w:cs="Arial" w:eastAsia="Arial" w:hAnsi="Arial"/>
                <w:sz w:val="16"/>
                <w:szCs w:val="16"/>
                <w:color w:val="auto"/>
              </w:rPr>
              <w:t>700,245</w:t>
            </w:r>
          </w:p>
        </w:tc>
        <w:tc>
          <w:tcPr>
            <w:tcW w:w="960" w:type="dxa"/>
            <w:vAlign w:val="bottom"/>
            <w:tcBorders>
              <w:bottom w:val="single" w:sz="8" w:color="53C072"/>
            </w:tcBorders>
            <w:shd w:val="clear" w:color="auto" w:fill="E8F5EA"/>
          </w:tcPr>
          <w:p>
            <w:pPr>
              <w:jc w:val="right"/>
              <w:ind w:right="45"/>
              <w:spacing w:after="0"/>
              <w:rPr>
                <w:sz w:val="20"/>
                <w:szCs w:val="20"/>
                <w:color w:val="auto"/>
              </w:rPr>
            </w:pPr>
            <w:r>
              <w:rPr>
                <w:rFonts w:ascii="Arial" w:cs="Arial" w:eastAsia="Arial" w:hAnsi="Arial"/>
                <w:sz w:val="16"/>
                <w:szCs w:val="16"/>
                <w:color w:val="auto"/>
              </w:rPr>
              <w:t>385,930</w:t>
            </w:r>
          </w:p>
        </w:tc>
        <w:tc>
          <w:tcPr>
            <w:tcW w:w="1000" w:type="dxa"/>
            <w:vAlign w:val="bottom"/>
            <w:tcBorders>
              <w:bottom w:val="single" w:sz="8" w:color="53C072"/>
            </w:tcBorders>
            <w:shd w:val="clear" w:color="auto" w:fill="E8F5EA"/>
          </w:tcPr>
          <w:p>
            <w:pPr>
              <w:jc w:val="right"/>
              <w:ind w:right="4"/>
              <w:spacing w:after="0"/>
              <w:rPr>
                <w:sz w:val="20"/>
                <w:szCs w:val="20"/>
                <w:color w:val="auto"/>
              </w:rPr>
            </w:pPr>
            <w:r>
              <w:rPr>
                <w:rFonts w:ascii="Arial" w:cs="Arial" w:eastAsia="Arial" w:hAnsi="Arial"/>
                <w:sz w:val="16"/>
                <w:szCs w:val="16"/>
                <w:b w:val="1"/>
                <w:bCs w:val="1"/>
                <w:color w:val="auto"/>
              </w:rPr>
              <w:t>1,086,175</w:t>
            </w:r>
          </w:p>
        </w:tc>
        <w:tc>
          <w:tcPr>
            <w:tcW w:w="600" w:type="dxa"/>
            <w:vAlign w:val="bottom"/>
            <w:tcBorders>
              <w:bottom w:val="single" w:sz="8" w:color="53C072"/>
            </w:tcBorders>
            <w:shd w:val="clear" w:color="auto" w:fill="E8F5EA"/>
          </w:tcPr>
          <w:p>
            <w:pPr>
              <w:jc w:val="right"/>
              <w:spacing w:after="0"/>
              <w:rPr>
                <w:sz w:val="20"/>
                <w:szCs w:val="20"/>
                <w:color w:val="auto"/>
              </w:rPr>
            </w:pPr>
            <w:r>
              <w:rPr>
                <w:rFonts w:ascii="Arial" w:cs="Arial" w:eastAsia="Arial" w:hAnsi="Arial"/>
                <w:sz w:val="16"/>
                <w:szCs w:val="16"/>
                <w:b w:val="1"/>
                <w:bCs w:val="1"/>
                <w:color w:val="auto"/>
              </w:rPr>
              <w:t>1.10%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23"/>
          <w:szCs w:val="23"/>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118745</wp:posOffset>
            </wp:positionV>
            <wp:extent cx="7151370" cy="203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-163195</wp:posOffset>
            </wp:positionV>
            <wp:extent cx="1664970" cy="1231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37" w:name="page38"/>
    <w:bookmarkEnd w:id="37"/>
    <w:p>
      <w:pPr>
        <w:ind w:left="3"/>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ectPr>
          <w:pgSz w:w="11900" w:h="16838" w:orient="portrait"/>
          <w:cols w:equalWidth="0" w:num="1">
            <w:col w:w="11263"/>
          </w:cols>
          <w:pgMar w:left="317" w:top="122" w:right="319" w:bottom="1440" w:gutter="0" w:footer="0" w:header="0"/>
        </w:sectPr>
      </w:pPr>
    </w:p>
    <w:p>
      <w:pPr>
        <w:spacing w:after="0" w:line="207"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53C072"/>
        </w:rPr>
        <w:t>2020 ANNUAL</w:t>
      </w:r>
    </w:p>
    <w:p>
      <w:pPr>
        <w:spacing w:after="0" w:line="14" w:lineRule="exact"/>
        <w:rPr>
          <w:sz w:val="20"/>
          <w:szCs w:val="20"/>
          <w:color w:val="auto"/>
        </w:rPr>
      </w:pPr>
    </w:p>
    <w:p>
      <w:pPr>
        <w:ind w:left="3"/>
        <w:spacing w:after="0"/>
        <w:rPr>
          <w:sz w:val="20"/>
          <w:szCs w:val="20"/>
          <w:color w:val="auto"/>
        </w:rPr>
      </w:pPr>
      <w:r>
        <w:rPr>
          <w:rFonts w:ascii="Arial" w:cs="Arial" w:eastAsia="Arial" w:hAnsi="Arial"/>
          <w:sz w:val="12"/>
          <w:szCs w:val="12"/>
          <w:b w:val="1"/>
          <w:bCs w:val="1"/>
          <w:color w:val="auto"/>
        </w:rPr>
        <w:t>PROXY STATEMENT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2"/>
          <w:szCs w:val="12"/>
          <w:color w:val="auto"/>
        </w:rPr>
        <w:t>Security Ownership of Certain</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Beneficial Owners and Management</w:t>
      </w:r>
    </w:p>
    <w:p>
      <w:pPr>
        <w:spacing w:after="0" w:line="169" w:lineRule="exact"/>
        <w:rPr>
          <w:sz w:val="20"/>
          <w:szCs w:val="20"/>
          <w:color w:val="auto"/>
        </w:rPr>
      </w:pPr>
    </w:p>
    <w:p>
      <w:pPr>
        <w:sectPr>
          <w:pgSz w:w="11900" w:h="16838" w:orient="portrait"/>
          <w:cols w:equalWidth="0" w:num="2">
            <w:col w:w="8443" w:space="720"/>
            <w:col w:w="2100"/>
          </w:cols>
          <w:pgMar w:left="317" w:top="122" w:right="319" w:bottom="1440" w:gutter="0" w:footer="0" w:header="0"/>
          <w:type w:val="continuous"/>
        </w:sectPr>
      </w:pPr>
    </w:p>
    <w:p>
      <w:pPr>
        <w:ind w:left="483" w:hanging="483"/>
        <w:spacing w:after="0"/>
        <w:tabs>
          <w:tab w:leader="none" w:pos="483"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less than 1%.</w:t>
      </w:r>
    </w:p>
    <w:p>
      <w:pPr>
        <w:spacing w:after="0" w:line="192" w:lineRule="exact"/>
        <w:rPr>
          <w:sz w:val="20"/>
          <w:szCs w:val="20"/>
          <w:color w:val="auto"/>
        </w:rPr>
      </w:pPr>
    </w:p>
    <w:p>
      <w:pPr>
        <w:ind w:left="483" w:right="240" w:hanging="483"/>
        <w:spacing w:after="0" w:line="275" w:lineRule="auto"/>
        <w:tabs>
          <w:tab w:leader="none" w:pos="483"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This column includes Restricted Stock Units allocated but not yet delivered to each executive officer and Phantom Stock Units owned by non-employee Directors.</w:t>
      </w:r>
    </w:p>
    <w:p>
      <w:pPr>
        <w:spacing w:after="0" w:line="124" w:lineRule="exact"/>
        <w:rPr>
          <w:rFonts w:ascii="Arial" w:cs="Arial" w:eastAsia="Arial" w:hAnsi="Arial"/>
          <w:sz w:val="16"/>
          <w:szCs w:val="16"/>
          <w:color w:val="auto"/>
        </w:rPr>
      </w:pPr>
    </w:p>
    <w:p>
      <w:pPr>
        <w:ind w:left="483" w:hanging="483"/>
        <w:spacing w:after="0"/>
        <w:tabs>
          <w:tab w:leader="none" w:pos="483"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98,791,642 shares of Common Stock outstanding (net of treasury shares) at September 1, 2020.</w:t>
      </w:r>
    </w:p>
    <w:p>
      <w:pPr>
        <w:spacing w:after="0" w:line="180" w:lineRule="exact"/>
        <w:rPr>
          <w:sz w:val="20"/>
          <w:szCs w:val="20"/>
          <w:color w:val="auto"/>
        </w:rPr>
      </w:pPr>
    </w:p>
    <w:p>
      <w:pPr>
        <w:ind w:left="483" w:right="720" w:hanging="483"/>
        <w:spacing w:after="0" w:line="309" w:lineRule="auto"/>
        <w:tabs>
          <w:tab w:leader="none" w:pos="483"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This information is based solely on information provided in Amendment No. 12 to a Schedule 13G filed with the SEC on February 4, 2020 by BlackRock, Inc., which reports sole voting power with respect to 9,783,329 shares and sole dispositive power with respect to 10,598,933 shares.</w:t>
      </w:r>
    </w:p>
    <w:p>
      <w:pPr>
        <w:spacing w:after="0" w:line="114" w:lineRule="exact"/>
        <w:rPr>
          <w:rFonts w:ascii="Arial" w:cs="Arial" w:eastAsia="Arial" w:hAnsi="Arial"/>
          <w:sz w:val="15"/>
          <w:szCs w:val="15"/>
          <w:color w:val="auto"/>
        </w:rPr>
      </w:pPr>
    </w:p>
    <w:p>
      <w:pPr>
        <w:ind w:left="483" w:right="120" w:hanging="483"/>
        <w:spacing w:after="0" w:line="309" w:lineRule="auto"/>
        <w:tabs>
          <w:tab w:leader="none" w:pos="483"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This information is based solely on information provided in Amendment No. 3 to a Schedule 13G filed with the SEC on July 6, 2020 by Pzena Investment Management, LLC, which reports sole voting power with respect to 8,760,576 shares and sole dispositive power with respect to 10,299,151 shares.</w:t>
      </w:r>
    </w:p>
    <w:p>
      <w:pPr>
        <w:spacing w:after="0" w:line="102" w:lineRule="exact"/>
        <w:rPr>
          <w:rFonts w:ascii="Arial" w:cs="Arial" w:eastAsia="Arial" w:hAnsi="Arial"/>
          <w:sz w:val="15"/>
          <w:szCs w:val="15"/>
          <w:color w:val="auto"/>
        </w:rPr>
      </w:pPr>
    </w:p>
    <w:p>
      <w:pPr>
        <w:ind w:left="483" w:right="440" w:hanging="483"/>
        <w:spacing w:after="0" w:line="256" w:lineRule="auto"/>
        <w:tabs>
          <w:tab w:leader="none" w:pos="483"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This information is based solely on information provided in Amendment No. 9 to a Schedule 13G filed with the SEC on February 12, 2020, by The Vanguard Group, which reports sole voting power with respect to 54,595 shares, shared voting power with respect to 31,174 shares, sole dispositive power with respect to 10,906,064 shares and shared dispositive power with respect to 70,464 shares.</w:t>
      </w:r>
    </w:p>
    <w:p>
      <w:pPr>
        <w:spacing w:after="0" w:line="139" w:lineRule="exact"/>
        <w:rPr>
          <w:rFonts w:ascii="Arial" w:cs="Arial" w:eastAsia="Arial" w:hAnsi="Arial"/>
          <w:sz w:val="16"/>
          <w:szCs w:val="16"/>
          <w:color w:val="auto"/>
        </w:rPr>
      </w:pPr>
    </w:p>
    <w:p>
      <w:pPr>
        <w:ind w:left="483" w:hanging="483"/>
        <w:spacing w:after="0"/>
        <w:tabs>
          <w:tab w:leader="none" w:pos="483"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Adkins' ownership includes 4,648 Phantom Stock Units.</w:t>
      </w:r>
    </w:p>
    <w:p>
      <w:pPr>
        <w:spacing w:after="0" w:line="192" w:lineRule="exact"/>
        <w:rPr>
          <w:rFonts w:ascii="Arial" w:cs="Arial" w:eastAsia="Arial" w:hAnsi="Arial"/>
          <w:sz w:val="16"/>
          <w:szCs w:val="16"/>
          <w:color w:val="auto"/>
        </w:rPr>
      </w:pPr>
    </w:p>
    <w:p>
      <w:pPr>
        <w:ind w:left="483" w:hanging="483"/>
        <w:spacing w:after="0"/>
        <w:tabs>
          <w:tab w:leader="none" w:pos="483"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Bradley's information consists of Common Stock owned by the Michael A. Bradley 2009 Revocable Trust.</w:t>
      </w:r>
    </w:p>
    <w:p>
      <w:pPr>
        <w:spacing w:after="0" w:line="180" w:lineRule="exact"/>
        <w:rPr>
          <w:rFonts w:ascii="Arial" w:cs="Arial" w:eastAsia="Arial" w:hAnsi="Arial"/>
          <w:sz w:val="16"/>
          <w:szCs w:val="16"/>
          <w:color w:val="auto"/>
        </w:rPr>
      </w:pPr>
    </w:p>
    <w:p>
      <w:pPr>
        <w:ind w:left="483" w:hanging="483"/>
        <w:spacing w:after="0"/>
        <w:tabs>
          <w:tab w:leader="none" w:pos="483" w:val="left"/>
        </w:tabs>
        <w:numPr>
          <w:ilvl w:val="0"/>
          <w:numId w:val="36"/>
        </w:numPr>
        <w:rPr>
          <w:rFonts w:ascii="Arial" w:cs="Arial" w:eastAsia="Arial" w:hAnsi="Arial"/>
          <w:sz w:val="16"/>
          <w:szCs w:val="16"/>
          <w:color w:val="auto"/>
        </w:rPr>
      </w:pPr>
      <w:r>
        <w:rPr>
          <w:rFonts w:ascii="Arial" w:cs="Arial" w:eastAsia="Arial" w:hAnsi="Arial"/>
          <w:sz w:val="16"/>
          <w:szCs w:val="16"/>
          <w:color w:val="auto"/>
        </w:rPr>
        <w:t>Ownership consists solely of Phantom Stock Units.</w:t>
      </w:r>
    </w:p>
    <w:p>
      <w:pPr>
        <w:spacing w:after="0" w:line="180" w:lineRule="exact"/>
        <w:rPr>
          <w:rFonts w:ascii="Arial" w:cs="Arial" w:eastAsia="Arial" w:hAnsi="Arial"/>
          <w:sz w:val="16"/>
          <w:szCs w:val="16"/>
          <w:color w:val="auto"/>
        </w:rPr>
      </w:pPr>
    </w:p>
    <w:p>
      <w:pPr>
        <w:ind w:left="483" w:right="220" w:hanging="483"/>
        <w:spacing w:after="0" w:line="275" w:lineRule="auto"/>
        <w:tabs>
          <w:tab w:leader="none" w:pos="483"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Gallagher's information consists of 53,562 Common Stock owned by the Gallagher Family Trust and 11,710 Restricted Stock Units allocated but not yet vested.</w:t>
      </w:r>
    </w:p>
    <w:p>
      <w:pPr>
        <w:spacing w:after="0" w:line="136" w:lineRule="exact"/>
        <w:rPr>
          <w:rFonts w:ascii="Arial" w:cs="Arial" w:eastAsia="Arial" w:hAnsi="Arial"/>
          <w:sz w:val="16"/>
          <w:szCs w:val="16"/>
          <w:color w:val="auto"/>
        </w:rPr>
      </w:pPr>
    </w:p>
    <w:p>
      <w:pPr>
        <w:ind w:left="483" w:hanging="483"/>
        <w:spacing w:after="0"/>
        <w:tabs>
          <w:tab w:leader="none" w:pos="483"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Liguori's information includes of 45,086 Restricted Stock Units allocated but not yet vested.</w:t>
      </w:r>
    </w:p>
    <w:p>
      <w:pPr>
        <w:spacing w:after="0" w:line="180" w:lineRule="exact"/>
        <w:rPr>
          <w:rFonts w:ascii="Arial" w:cs="Arial" w:eastAsia="Arial" w:hAnsi="Arial"/>
          <w:sz w:val="16"/>
          <w:szCs w:val="16"/>
          <w:color w:val="auto"/>
        </w:rPr>
      </w:pPr>
    </w:p>
    <w:p>
      <w:pPr>
        <w:ind w:left="483" w:hanging="483"/>
        <w:spacing w:after="0"/>
        <w:tabs>
          <w:tab w:leader="none" w:pos="483" w:val="left"/>
        </w:tabs>
        <w:numPr>
          <w:ilvl w:val="0"/>
          <w:numId w:val="36"/>
        </w:numPr>
        <w:rPr>
          <w:rFonts w:ascii="Arial" w:cs="Arial" w:eastAsia="Arial" w:hAnsi="Arial"/>
          <w:sz w:val="16"/>
          <w:szCs w:val="16"/>
          <w:color w:val="auto"/>
        </w:rPr>
      </w:pPr>
      <w:r>
        <w:rPr>
          <w:rFonts w:ascii="Arial" w:cs="Arial" w:eastAsia="Arial" w:hAnsi="Arial"/>
          <w:sz w:val="16"/>
          <w:szCs w:val="16"/>
          <w:color w:val="auto"/>
        </w:rPr>
        <w:t>Ms. Miller's information includes 10,717 Restricted Stock Units allocated but not yet vested.</w:t>
      </w:r>
    </w:p>
    <w:p>
      <w:pPr>
        <w:spacing w:after="0" w:line="180" w:lineRule="exact"/>
        <w:rPr>
          <w:rFonts w:ascii="Arial" w:cs="Arial" w:eastAsia="Arial" w:hAnsi="Arial"/>
          <w:sz w:val="16"/>
          <w:szCs w:val="16"/>
          <w:color w:val="auto"/>
        </w:rPr>
      </w:pPr>
    </w:p>
    <w:p>
      <w:pPr>
        <w:ind w:left="483" w:right="100" w:hanging="483"/>
        <w:spacing w:after="0" w:line="275" w:lineRule="auto"/>
        <w:tabs>
          <w:tab w:leader="none" w:pos="483"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Amelio's information is as of July 31, 2020, when he ceased to be the Chief Executive Officer. Previously granted but unvested Restricted Stock Units and stock options have been cancelled as of July 31, 2020 and are reflected as such in this table.</w:t>
      </w:r>
    </w:p>
    <w:p>
      <w:pPr>
        <w:spacing w:after="0" w:line="136" w:lineRule="exact"/>
        <w:rPr>
          <w:rFonts w:ascii="Arial" w:cs="Arial" w:eastAsia="Arial" w:hAnsi="Arial"/>
          <w:sz w:val="16"/>
          <w:szCs w:val="16"/>
          <w:color w:val="auto"/>
        </w:rPr>
      </w:pPr>
    </w:p>
    <w:p>
      <w:pPr>
        <w:ind w:left="483" w:hanging="483"/>
        <w:spacing w:after="0"/>
        <w:tabs>
          <w:tab w:leader="none" w:pos="483"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Bartolotta's information includes 9,889 Restricted Stock Units allocated but not yet vested. Mr. Bartolotta ceased to be an officer on October 1, 2020.</w:t>
      </w:r>
    </w:p>
    <w:p>
      <w:pPr>
        <w:spacing w:after="0" w:line="180" w:lineRule="exact"/>
        <w:rPr>
          <w:rFonts w:ascii="Arial" w:cs="Arial" w:eastAsia="Arial" w:hAnsi="Arial"/>
          <w:sz w:val="16"/>
          <w:szCs w:val="16"/>
          <w:color w:val="auto"/>
        </w:rPr>
      </w:pPr>
    </w:p>
    <w:p>
      <w:pPr>
        <w:jc w:val="both"/>
        <w:ind w:left="483" w:right="240" w:hanging="483"/>
        <w:spacing w:after="0" w:line="256" w:lineRule="auto"/>
        <w:tabs>
          <w:tab w:leader="none" w:pos="483"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O'Neill's information is as of March 31, 2020, when he ceased to be the General Counsel. Under the terms of his separation agreement, previously granted but unvested Restricted Stock Units and stock options will continue to vest in the normal course. The number of Common Stock includes 9,269 Restricted Stock Units allocated but not yet vested.</w:t>
      </w:r>
    </w:p>
    <w:p>
      <w:pPr>
        <w:spacing w:after="0" w:line="151" w:lineRule="exact"/>
        <w:rPr>
          <w:rFonts w:ascii="Arial" w:cs="Arial" w:eastAsia="Arial" w:hAnsi="Arial"/>
          <w:sz w:val="16"/>
          <w:szCs w:val="16"/>
          <w:color w:val="auto"/>
        </w:rPr>
      </w:pPr>
    </w:p>
    <w:p>
      <w:pPr>
        <w:ind w:left="483" w:hanging="483"/>
        <w:spacing w:after="0"/>
        <w:tabs>
          <w:tab w:leader="none" w:pos="483"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representations by Directors and current Officers, none of the shares have been pledged as security.</w:t>
      </w:r>
    </w:p>
    <w:p>
      <w:pPr>
        <w:spacing w:after="0" w:line="151" w:lineRule="exact"/>
        <w:rPr>
          <w:sz w:val="20"/>
          <w:szCs w:val="20"/>
          <w:color w:val="auto"/>
        </w:rPr>
      </w:pPr>
    </w:p>
    <w:p>
      <w:pPr>
        <w:jc w:val="both"/>
        <w:ind w:left="10723"/>
        <w:spacing w:after="0"/>
        <w:tabs>
          <w:tab w:leader="none" w:pos="11062" w:val="left"/>
        </w:tabs>
        <w:rPr>
          <w:sz w:val="20"/>
          <w:szCs w:val="20"/>
          <w:color w:val="auto"/>
        </w:rPr>
      </w:pPr>
      <w:r>
        <w:rPr>
          <w:rFonts w:ascii="Arial" w:cs="Arial" w:eastAsia="Arial" w:hAnsi="Arial"/>
          <w:sz w:val="23"/>
          <w:szCs w:val="23"/>
          <w:b w:val="1"/>
          <w:bCs w:val="1"/>
          <w:color w:val="53C072"/>
        </w:rPr>
        <w:t>|</w:t>
      </w:r>
      <w:r>
        <w:rPr>
          <w:sz w:val="20"/>
          <w:szCs w:val="20"/>
          <w:color w:val="auto"/>
        </w:rPr>
        <w:tab/>
      </w: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159385</wp:posOffset>
            </wp:positionV>
            <wp:extent cx="7151370" cy="203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-122555</wp:posOffset>
            </wp:positionV>
            <wp:extent cx="1664970" cy="1231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3"/>
          </w:cols>
          <w:pgMar w:left="317" w:top="122" w:right="319" w:bottom="1440" w:gutter="0" w:footer="0" w:header="0"/>
          <w:type w:val="continuous"/>
        </w:sectPr>
      </w:pPr>
    </w:p>
    <w:bookmarkStart w:id="38" w:name="page39"/>
    <w:bookmarkEnd w:id="3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b w:val="1"/>
          <w:bCs w:val="1"/>
          <w:color w:val="53C072"/>
        </w:rPr>
        <w:t>2020 ANNUAL</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118110</wp:posOffset>
            </wp:positionV>
            <wp:extent cx="7146290" cy="2546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6290" cy="254635"/>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FFFE"/>
        </w:rPr>
        <w:t>SECTION 16(a) REPORTS</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Section 16(a) of the Exchange Act ("Section 16(a)") requires that the Directors and executive officers of the Company and holders of more than 10% of the Company's equity securities file with the SEC, within specified due dates, initial reports of beneficial ownership of the Company's equity securities on Form 3; reports of changes in ownership of the Company's equity securities on Form 4; and annual reports of changes in ownership of the Company's equity securities on Form 5. As a matter of practice, the Company's administrative staff assists the Directors and executive officers with these reporting requirements. The Company is required to disclose whether it has knowledge that any person required to file such reports may have failed to do so in a timely manner.</w:t>
      </w:r>
    </w:p>
    <w:p>
      <w:pPr>
        <w:spacing w:after="0" w:line="162" w:lineRule="exact"/>
        <w:rPr>
          <w:sz w:val="20"/>
          <w:szCs w:val="20"/>
          <w:color w:val="auto"/>
        </w:rPr>
      </w:pPr>
    </w:p>
    <w:p>
      <w:pPr>
        <w:ind w:right="340"/>
        <w:spacing w:after="0" w:line="281" w:lineRule="auto"/>
        <w:rPr>
          <w:sz w:val="20"/>
          <w:szCs w:val="20"/>
          <w:color w:val="auto"/>
        </w:rPr>
      </w:pPr>
      <w:r>
        <w:rPr>
          <w:rFonts w:ascii="Arial" w:cs="Arial" w:eastAsia="Arial" w:hAnsi="Arial"/>
          <w:sz w:val="15"/>
          <w:szCs w:val="15"/>
          <w:color w:val="auto"/>
        </w:rPr>
        <w:t>Based solely on a review of the copies of the fiscal year 2020 Section 16(a) reports in the Company's possession and on written representations from the Company's Directors and executive officers that no other reports were required during the year ended June 27, 2020, the Company believes that none of the Company's Directors and executive officers failed to file on a timely basis any report required by Section 16(a) during the fiscal year ended June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96520</wp:posOffset>
            </wp:positionV>
            <wp:extent cx="7146290" cy="2546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6290" cy="254635"/>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FFFE"/>
        </w:rPr>
        <w:t>RELATED PERSON TRANSACTIONS</w:t>
      </w:r>
    </w:p>
    <w:p>
      <w:pPr>
        <w:spacing w:after="0" w:line="220" w:lineRule="exact"/>
        <w:rPr>
          <w:sz w:val="20"/>
          <w:szCs w:val="20"/>
          <w:color w:val="auto"/>
        </w:rPr>
      </w:pPr>
    </w:p>
    <w:p>
      <w:pPr>
        <w:jc w:val="both"/>
        <w:ind w:right="180"/>
        <w:spacing w:after="0" w:line="256" w:lineRule="auto"/>
        <w:rPr>
          <w:sz w:val="20"/>
          <w:szCs w:val="20"/>
          <w:color w:val="auto"/>
        </w:rPr>
      </w:pPr>
      <w:r>
        <w:rPr>
          <w:rFonts w:ascii="Arial" w:cs="Arial" w:eastAsia="Arial" w:hAnsi="Arial"/>
          <w:sz w:val="16"/>
          <w:szCs w:val="16"/>
          <w:color w:val="auto"/>
        </w:rPr>
        <w:t>The Company has a variety of policies and procedures for the identification and review of related person transactions. The SEC rules generally define a related person transaction as any transaction, arrangement or relationship involving more than $120,000 in which the Company or any of its subsidiaries was, is or will be a party to and in which a Director, executive officer or their immediate family members has a material direct or indirect interest.</w:t>
      </w:r>
    </w:p>
    <w:p>
      <w:pPr>
        <w:spacing w:after="0" w:line="152" w:lineRule="exact"/>
        <w:rPr>
          <w:sz w:val="20"/>
          <w:szCs w:val="20"/>
          <w:color w:val="auto"/>
        </w:rPr>
      </w:pPr>
    </w:p>
    <w:p>
      <w:pPr>
        <w:jc w:val="both"/>
        <w:ind w:right="260"/>
        <w:spacing w:after="0" w:line="256" w:lineRule="auto"/>
        <w:rPr>
          <w:sz w:val="20"/>
          <w:szCs w:val="20"/>
          <w:color w:val="auto"/>
        </w:rPr>
      </w:pPr>
      <w:r>
        <w:rPr>
          <w:rFonts w:ascii="Arial" w:cs="Arial" w:eastAsia="Arial" w:hAnsi="Arial"/>
          <w:sz w:val="16"/>
          <w:szCs w:val="16"/>
          <w:color w:val="auto"/>
        </w:rPr>
        <w:t>The Company's Code of Conduct and the Conflicts of Interest Policy generally prohibit and require the disclosure of any potential conflict of interest, including when the person will have a direct or indirect financial interest in a business with which the Company may have dealings. Exceptions to the policy's prohibition are required to be pre-approved in writing.</w:t>
      </w:r>
    </w:p>
    <w:p>
      <w:pPr>
        <w:spacing w:after="0" w:line="152"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As part of the process for its quarterly reporting obligations pursuant to Section 13(a) or 15(d) of the Exchange Act, the disclosure committee reviews whether there are any related person transactions that should be disclosed in the Company's SEC filings. In addition, the executive officers and Directors each complete a Director and Officers' Questionnaire annually and Director nominees complete a New Director Questionnaire before election, which requests information regarding related person transactions. The Audit Committee reviews and approves or recommends to the Board to approve, as appropriate, certain related party transactions.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Company's Corporate Governance Guidelines also specify the standards for independence of Directors.</w:t>
      </w:r>
    </w:p>
    <w:p>
      <w:pPr>
        <w:spacing w:after="0" w:line="215"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34</w:t>
      </w:r>
      <w:r>
        <w:rPr>
          <w:sz w:val="20"/>
          <w:szCs w:val="20"/>
          <w:color w:val="auto"/>
        </w:rPr>
        <w:tab/>
      </w:r>
      <w:r>
        <w:rPr>
          <w:rFonts w:ascii="Arial" w:cs="Arial" w:eastAsia="Arial" w:hAnsi="Arial"/>
          <w:sz w:val="23"/>
          <w:szCs w:val="23"/>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118745</wp:posOffset>
            </wp:positionV>
            <wp:extent cx="7151370" cy="203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-163195</wp:posOffset>
            </wp:positionV>
            <wp:extent cx="1664970" cy="1231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b w:val="1"/>
          <w:bCs w:val="1"/>
          <w:color w:val="53C072"/>
        </w:rPr>
        <w:t>2020 ANNUAL</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118110</wp:posOffset>
            </wp:positionV>
            <wp:extent cx="7146290" cy="4705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6290" cy="470535"/>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FFFE"/>
        </w:rPr>
        <w:t>PROPOSAL 2: ADVISORY VOTE ON NAMED</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FFFE"/>
        </w:rPr>
        <w:t>EXECUTIVE OFFICER COMPENSATION</w:t>
      </w:r>
    </w:p>
    <w:p>
      <w:pPr>
        <w:spacing w:after="0" w:line="173" w:lineRule="exact"/>
        <w:rPr>
          <w:sz w:val="20"/>
          <w:szCs w:val="20"/>
          <w:color w:val="auto"/>
        </w:rPr>
      </w:pPr>
    </w:p>
    <w:p>
      <w:pPr>
        <w:spacing w:after="0"/>
        <w:rPr>
          <w:sz w:val="20"/>
          <w:szCs w:val="20"/>
          <w:color w:val="auto"/>
        </w:rPr>
      </w:pPr>
      <w:r>
        <w:rPr>
          <w:sz w:val="1"/>
          <w:szCs w:val="1"/>
          <w:color w:val="auto"/>
        </w:rPr>
        <w:drawing>
          <wp:inline distT="0" distB="0" distL="0" distR="0">
            <wp:extent cx="61595" cy="12319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1595" cy="123190"/>
                    </a:xfrm>
                    <a:prstGeom prst="rect">
                      <a:avLst/>
                    </a:prstGeom>
                    <a:noFill/>
                    <a:ln>
                      <a:noFill/>
                    </a:ln>
                  </pic:spPr>
                </pic:pic>
              </a:graphicData>
            </a:graphic>
          </wp:inline>
        </w:drawing>
      </w:r>
      <w:r>
        <w:rPr>
          <w:rFonts w:ascii="Arial" w:cs="Arial" w:eastAsia="Arial" w:hAnsi="Arial"/>
          <w:sz w:val="16"/>
          <w:szCs w:val="16"/>
          <w:b w:val="1"/>
          <w:bCs w:val="1"/>
          <w:color w:val="FFFFFE"/>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-128905</wp:posOffset>
            </wp:positionV>
            <wp:extent cx="7146290" cy="5549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6290" cy="554990"/>
                    </a:xfrm>
                    <a:prstGeom prst="rect">
                      <a:avLst/>
                    </a:prstGeom>
                    <a:noFill/>
                  </pic:spPr>
                </pic:pic>
              </a:graphicData>
            </a:graphic>
          </wp:anchor>
        </w:drawing>
      </w:r>
    </w:p>
    <w:p>
      <w:pPr>
        <w:spacing w:after="0" w:line="97" w:lineRule="exact"/>
        <w:rPr>
          <w:sz w:val="20"/>
          <w:szCs w:val="20"/>
          <w:color w:val="auto"/>
        </w:rPr>
      </w:pPr>
    </w:p>
    <w:p>
      <w:pPr>
        <w:ind w:left="1060" w:right="620"/>
        <w:spacing w:after="0" w:line="288" w:lineRule="auto"/>
        <w:rPr>
          <w:sz w:val="20"/>
          <w:szCs w:val="20"/>
          <w:color w:val="auto"/>
        </w:rPr>
      </w:pPr>
      <w:r>
        <w:rPr>
          <w:rFonts w:ascii="Arial" w:cs="Arial" w:eastAsia="Arial" w:hAnsi="Arial"/>
          <w:sz w:val="16"/>
          <w:szCs w:val="16"/>
          <w:b w:val="1"/>
          <w:bCs w:val="1"/>
          <w:color w:val="auto"/>
        </w:rPr>
        <w:t xml:space="preserve">The Board recommends that shareholders vote </w:t>
      </w:r>
      <w:r>
        <w:rPr>
          <w:rFonts w:ascii="Arial" w:cs="Arial" w:eastAsia="Arial" w:hAnsi="Arial"/>
          <w:sz w:val="16"/>
          <w:szCs w:val="16"/>
          <w:b w:val="1"/>
          <w:bCs w:val="1"/>
          <w:color w:val="53C072"/>
        </w:rPr>
        <w:t>FOR</w:t>
      </w:r>
      <w:r>
        <w:rPr>
          <w:rFonts w:ascii="Arial" w:cs="Arial" w:eastAsia="Arial" w:hAnsi="Arial"/>
          <w:sz w:val="16"/>
          <w:szCs w:val="16"/>
          <w:b w:val="1"/>
          <w:bCs w:val="1"/>
          <w:color w:val="auto"/>
        </w:rPr>
        <w:t xml:space="preserve"> the advisory vote on the compensation of the Named Executive Officers as disclosed in this Proxy Statement.</w:t>
      </w: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DESCRIPTION OF PROPOSAL</w:t>
      </w:r>
    </w:p>
    <w:p>
      <w:pPr>
        <w:spacing w:after="0" w:line="209"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As part of the Company's commitment to high standards of governance and as required by Section 14A of the Exchange Act, the Board of Directors is requesting that the shareholders approve, on a non-binding advisory basis, the compensation of the Company's Named Executive Officers ("NEOs") as disclosed in this Proxy Statement. This proposal, commonly known as a "say on pay" proposal, gives shareholders the opportunity to express their views on the compensation of the NEOs. It is not intended to address any specific item of compensation, but rather the overall compensation of the NEOs and the philosophy, policies and practices described in this Proxy Statement.</w:t>
      </w:r>
    </w:p>
    <w:p>
      <w:pPr>
        <w:spacing w:after="0" w:line="164" w:lineRule="exact"/>
        <w:rPr>
          <w:sz w:val="20"/>
          <w:szCs w:val="20"/>
          <w:color w:val="auto"/>
        </w:rPr>
      </w:pPr>
    </w:p>
    <w:p>
      <w:pPr>
        <w:ind w:right="300"/>
        <w:spacing w:after="0" w:line="282" w:lineRule="auto"/>
        <w:rPr>
          <w:sz w:val="20"/>
          <w:szCs w:val="20"/>
          <w:color w:val="auto"/>
        </w:rPr>
      </w:pPr>
      <w:r>
        <w:rPr>
          <w:rFonts w:ascii="Arial" w:cs="Arial" w:eastAsia="Arial" w:hAnsi="Arial"/>
          <w:sz w:val="16"/>
          <w:szCs w:val="16"/>
          <w:b w:val="1"/>
          <w:bCs w:val="1"/>
          <w:i w:val="1"/>
          <w:iCs w:val="1"/>
          <w:color w:val="auto"/>
        </w:rPr>
        <w:t>Shareholders are urged to read the section titled "Compensation Discussion and Analysis" section below along with the compensation tables and narrative discussion that follows, which discuss how the compensation program is implemented with respect to the NEOs.</w:t>
      </w:r>
    </w:p>
    <w:p>
      <w:pPr>
        <w:spacing w:after="0" w:line="124" w:lineRule="exact"/>
        <w:rPr>
          <w:sz w:val="20"/>
          <w:szCs w:val="20"/>
          <w:color w:val="auto"/>
        </w:rPr>
      </w:pPr>
    </w:p>
    <w:p>
      <w:pPr>
        <w:ind w:right="480"/>
        <w:spacing w:after="0" w:line="275" w:lineRule="auto"/>
        <w:rPr>
          <w:sz w:val="20"/>
          <w:szCs w:val="20"/>
          <w:color w:val="auto"/>
        </w:rPr>
      </w:pPr>
      <w:r>
        <w:rPr>
          <w:rFonts w:ascii="Arial" w:cs="Arial" w:eastAsia="Arial" w:hAnsi="Arial"/>
          <w:sz w:val="16"/>
          <w:szCs w:val="16"/>
          <w:color w:val="auto"/>
        </w:rPr>
        <w:t>The Board believes that the compensation of the NEOs as described in this Proxy Statement was appropriate and recommends a vote "FOR" the following resolution:</w:t>
      </w:r>
    </w:p>
    <w:p>
      <w:pPr>
        <w:spacing w:after="0" w:line="137" w:lineRule="exact"/>
        <w:rPr>
          <w:sz w:val="20"/>
          <w:szCs w:val="20"/>
          <w:color w:val="auto"/>
        </w:rPr>
      </w:pPr>
    </w:p>
    <w:p>
      <w:pPr>
        <w:ind w:left="480" w:right="20"/>
        <w:spacing w:after="0" w:line="256" w:lineRule="auto"/>
        <w:rPr>
          <w:sz w:val="20"/>
          <w:szCs w:val="20"/>
          <w:color w:val="auto"/>
        </w:rPr>
      </w:pPr>
      <w:r>
        <w:rPr>
          <w:rFonts w:ascii="Arial" w:cs="Arial" w:eastAsia="Arial" w:hAnsi="Arial"/>
          <w:sz w:val="16"/>
          <w:szCs w:val="16"/>
          <w:color w:val="auto"/>
        </w:rPr>
        <w:t>RESOLVED, that the Company's shareholders hereby approve, on a non-binding advisory basis, the compensation paid to the Company's Named Executive Officers as disclosed in the Proxy Statement for the 2020 Annual Meeting of Shareholders, pursuant to the compensation disclosure rules of the SEC, including the Compensation Discussion and Analysis, compensation tables and narrative discussion.</w:t>
      </w:r>
    </w:p>
    <w:p>
      <w:pPr>
        <w:spacing w:after="0" w:line="152"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Although the vote is non-binding, the Compensation Committee and the Board of Directors value the opinions of the shareholders. To the extent there is a significant number of votes against the compensation of the NEOs as disclosed in this Proxy Statement, the Board and Compensation Committee will consider the shareholders' concerns, evaluate what actions are necessary to address those concerns and take such concerns into account in future determinations concerning the executive compensation program.</w:t>
      </w:r>
    </w:p>
    <w:p>
      <w:pPr>
        <w:spacing w:after="0" w:line="156"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The Company currently conducts an annual advisory vote on NEO compensation and expects to conduct the next advisory vote at the 2021 Annual Meeting of Shareholders.</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VOTE REQUIRED FOR APPROVAL</w:t>
      </w:r>
    </w:p>
    <w:p>
      <w:pPr>
        <w:spacing w:after="0" w:line="209"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For approval, this proposal requires the affirmative vote of a majority of the votes cast by the shareholders present in person or by proxy, provided a quorum is present, at the Annual Meeting. Abstentions are not counted in determining the votes cast. Brokers who hold shares of Common Stock as nominees will not have discretionary authority to vote such Common Stock on this proposal. Therefore, a shareholder who does not vote at the Annual Meeting (whether due to abstention or a broker non-vote) will not affect the outcome of the vote but will reduce the number of affirmative votes required to achieve a majority for this matter by reducing the total number of shares from which the majority is calculated.</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PROXY</w:t>
      </w:r>
    </w:p>
    <w:p>
      <w:pPr>
        <w:spacing w:after="0" w:line="209" w:lineRule="exact"/>
        <w:rPr>
          <w:sz w:val="20"/>
          <w:szCs w:val="20"/>
          <w:color w:val="auto"/>
        </w:rPr>
      </w:pPr>
    </w:p>
    <w:p>
      <w:pPr>
        <w:ind w:right="380"/>
        <w:spacing w:after="0" w:line="275" w:lineRule="auto"/>
        <w:rPr>
          <w:sz w:val="20"/>
          <w:szCs w:val="20"/>
          <w:color w:val="auto"/>
        </w:rPr>
      </w:pPr>
      <w:r>
        <w:rPr>
          <w:rFonts w:ascii="Arial" w:cs="Arial" w:eastAsia="Arial" w:hAnsi="Arial"/>
          <w:sz w:val="16"/>
          <w:szCs w:val="16"/>
          <w:color w:val="auto"/>
        </w:rPr>
        <w:t>Unless otherwise directed by the shareholder, it is the intention of the persons named as proxies in the proxy card to vote each properly signed and returned proxy card FOR the approval of the compensation of the Named Executive Officers as disclosed in this Proxy Statement.</w:t>
      </w:r>
    </w:p>
    <w:p>
      <w:pPr>
        <w:spacing w:after="0" w:line="108" w:lineRule="exact"/>
        <w:rPr>
          <w:sz w:val="20"/>
          <w:szCs w:val="20"/>
          <w:color w:val="auto"/>
        </w:rPr>
      </w:pPr>
    </w:p>
    <w:p>
      <w:pPr>
        <w:jc w:val="both"/>
        <w:ind w:left="10720"/>
        <w:spacing w:after="0"/>
        <w:tabs>
          <w:tab w:leader="none" w:pos="11060" w:val="left"/>
        </w:tabs>
        <w:rPr>
          <w:sz w:val="20"/>
          <w:szCs w:val="20"/>
          <w:color w:val="auto"/>
        </w:rPr>
      </w:pPr>
      <w:r>
        <w:rPr>
          <w:rFonts w:ascii="Arial" w:cs="Arial" w:eastAsia="Arial" w:hAnsi="Arial"/>
          <w:sz w:val="23"/>
          <w:szCs w:val="23"/>
          <w:b w:val="1"/>
          <w:bCs w:val="1"/>
          <w:color w:val="53C072"/>
        </w:rPr>
        <w:t>|</w:t>
      </w:r>
      <w:r>
        <w:rPr>
          <w:sz w:val="20"/>
          <w:szCs w:val="20"/>
          <w:color w:val="auto"/>
        </w:rPr>
        <w:tab/>
      </w: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7151370" cy="203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-130175</wp:posOffset>
            </wp:positionV>
            <wp:extent cx="1664970" cy="1231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40" w:name="page41"/>
    <w:bookmarkEnd w:id="40"/>
    <w:p>
      <w:pPr>
        <w:ind w:left="3"/>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53C072"/>
        </w:rPr>
        <w:t>2020 ANNUAL</w:t>
      </w:r>
    </w:p>
    <w:p>
      <w:pPr>
        <w:spacing w:after="0" w:line="14"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7146290" cy="2546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6290" cy="254635"/>
                    </a:xfrm>
                    <a:prstGeom prst="rect">
                      <a:avLst/>
                    </a:prstGeom>
                    <a:noFill/>
                  </pic:spPr>
                </pic:pic>
              </a:graphicData>
            </a:graphic>
          </wp:anchor>
        </w:drawing>
      </w:r>
    </w:p>
    <w:p>
      <w:pPr>
        <w:spacing w:after="0" w:line="190" w:lineRule="exact"/>
        <w:rPr>
          <w:sz w:val="20"/>
          <w:szCs w:val="20"/>
          <w:color w:val="auto"/>
        </w:rPr>
      </w:pPr>
    </w:p>
    <w:p>
      <w:pPr>
        <w:jc w:val="center"/>
        <w:ind w:right="17"/>
        <w:spacing w:after="0"/>
        <w:rPr>
          <w:sz w:val="20"/>
          <w:szCs w:val="20"/>
          <w:color w:val="auto"/>
        </w:rPr>
      </w:pPr>
      <w:r>
        <w:rPr>
          <w:rFonts w:ascii="Arial" w:cs="Arial" w:eastAsia="Arial" w:hAnsi="Arial"/>
          <w:sz w:val="28"/>
          <w:szCs w:val="28"/>
          <w:b w:val="1"/>
          <w:bCs w:val="1"/>
          <w:color w:val="FFFFFE"/>
        </w:rPr>
        <w:t>COMPENSATION DISCUSSION AND ANALYSIS</w:t>
      </w:r>
    </w:p>
    <w:p>
      <w:pPr>
        <w:sectPr>
          <w:pgSz w:w="11900" w:h="16838" w:orient="portrait"/>
          <w:cols w:equalWidth="0" w:num="1">
            <w:col w:w="11263"/>
          </w:cols>
          <w:pgMar w:left="317" w:top="122" w:right="319" w:bottom="1440" w:gutter="0" w:footer="0" w:header="0"/>
        </w:sectPr>
      </w:pPr>
    </w:p>
    <w:p>
      <w:pPr>
        <w:spacing w:after="0" w:line="200" w:lineRule="exact"/>
        <w:rPr>
          <w:sz w:val="20"/>
          <w:szCs w:val="20"/>
          <w:color w:val="auto"/>
        </w:rPr>
      </w:pPr>
    </w:p>
    <w:p>
      <w:pPr>
        <w:spacing w:after="0" w:line="241" w:lineRule="exact"/>
        <w:rPr>
          <w:sz w:val="20"/>
          <w:szCs w:val="20"/>
          <w:color w:val="auto"/>
        </w:rPr>
      </w:pPr>
    </w:p>
    <w:tbl>
      <w:tblPr>
        <w:tblLayout w:type="fixed"/>
        <w:tblInd w:w="553" w:type="dxa"/>
        <w:tblCellMar>
          <w:top w:w="0" w:type="dxa"/>
          <w:left w:w="0" w:type="dxa"/>
          <w:bottom w:w="0" w:type="dxa"/>
          <w:right w:w="0" w:type="dxa"/>
        </w:tblCellMar>
      </w:tblPr>
      <w:tr>
        <w:trPr>
          <w:trHeight w:val="184"/>
        </w:trPr>
        <w:tc>
          <w:tcPr>
            <w:tcW w:w="280" w:type="dxa"/>
            <w:vAlign w:val="bottom"/>
            <w:tcBorders>
              <w:left w:val="single" w:sz="8" w:color="53C072"/>
            </w:tcBorders>
            <w:shd w:val="clear" w:color="auto" w:fill="53C072"/>
          </w:tcPr>
          <w:p>
            <w:pPr>
              <w:spacing w:after="0"/>
              <w:rPr>
                <w:sz w:val="16"/>
                <w:szCs w:val="16"/>
                <w:color w:val="auto"/>
              </w:rPr>
            </w:pPr>
          </w:p>
        </w:tc>
        <w:tc>
          <w:tcPr>
            <w:tcW w:w="3120" w:type="dxa"/>
            <w:vAlign w:val="bottom"/>
            <w:gridSpan w:val="11"/>
            <w:shd w:val="clear" w:color="auto" w:fill="53C072"/>
          </w:tcPr>
          <w:p>
            <w:pPr>
              <w:spacing w:after="0"/>
              <w:rPr>
                <w:sz w:val="20"/>
                <w:szCs w:val="20"/>
                <w:color w:val="auto"/>
              </w:rPr>
            </w:pPr>
            <w:r>
              <w:rPr>
                <w:rFonts w:ascii="Arial" w:cs="Arial" w:eastAsia="Arial" w:hAnsi="Arial"/>
                <w:sz w:val="16"/>
                <w:szCs w:val="16"/>
                <w:b w:val="1"/>
                <w:bCs w:val="1"/>
                <w:color w:val="FFFFFE"/>
              </w:rPr>
              <w:t>Table of Contents</w:t>
            </w:r>
          </w:p>
        </w:tc>
        <w:tc>
          <w:tcPr>
            <w:tcW w:w="140" w:type="dxa"/>
            <w:vAlign w:val="bottom"/>
            <w:shd w:val="clear" w:color="auto" w:fill="53C072"/>
          </w:tcPr>
          <w:p>
            <w:pPr>
              <w:spacing w:after="0"/>
              <w:rPr>
                <w:sz w:val="16"/>
                <w:szCs w:val="16"/>
                <w:color w:val="auto"/>
              </w:rPr>
            </w:pPr>
          </w:p>
        </w:tc>
        <w:tc>
          <w:tcPr>
            <w:tcW w:w="680" w:type="dxa"/>
            <w:vAlign w:val="bottom"/>
            <w:tcBorders>
              <w:right w:val="single" w:sz="8" w:color="53C072"/>
            </w:tcBorders>
            <w:gridSpan w:val="2"/>
            <w:shd w:val="clear" w:color="auto" w:fill="53C072"/>
          </w:tcPr>
          <w:p>
            <w:pPr>
              <w:jc w:val="right"/>
              <w:ind w:right="300"/>
              <w:spacing w:after="0"/>
              <w:rPr>
                <w:sz w:val="20"/>
                <w:szCs w:val="20"/>
                <w:color w:val="auto"/>
              </w:rPr>
            </w:pPr>
            <w:r>
              <w:rPr>
                <w:rFonts w:ascii="Arial" w:cs="Arial" w:eastAsia="Arial" w:hAnsi="Arial"/>
                <w:sz w:val="16"/>
                <w:szCs w:val="16"/>
                <w:b w:val="1"/>
                <w:bCs w:val="1"/>
                <w:color w:val="FFFFFE"/>
                <w:w w:val="94"/>
              </w:rPr>
              <w:t>Page</w:t>
            </w:r>
          </w:p>
        </w:tc>
        <w:tc>
          <w:tcPr>
            <w:tcW w:w="0" w:type="dxa"/>
            <w:vAlign w:val="bottom"/>
          </w:tcPr>
          <w:p>
            <w:pPr>
              <w:spacing w:after="0"/>
              <w:rPr>
                <w:sz w:val="1"/>
                <w:szCs w:val="1"/>
                <w:color w:val="auto"/>
              </w:rPr>
            </w:pPr>
          </w:p>
        </w:tc>
      </w:tr>
      <w:tr>
        <w:trPr>
          <w:trHeight w:val="182"/>
        </w:trPr>
        <w:tc>
          <w:tcPr>
            <w:tcW w:w="280" w:type="dxa"/>
            <w:vAlign w:val="bottom"/>
            <w:tcBorders>
              <w:left w:val="single" w:sz="8" w:color="53C072"/>
            </w:tcBorders>
            <w:shd w:val="clear" w:color="auto" w:fill="E8F5EA"/>
          </w:tcPr>
          <w:p>
            <w:pPr>
              <w:spacing w:after="0"/>
              <w:rPr>
                <w:sz w:val="15"/>
                <w:szCs w:val="15"/>
                <w:color w:val="auto"/>
              </w:rPr>
            </w:pPr>
          </w:p>
        </w:tc>
        <w:tc>
          <w:tcPr>
            <w:tcW w:w="3120" w:type="dxa"/>
            <w:vAlign w:val="bottom"/>
            <w:gridSpan w:val="11"/>
            <w:shd w:val="clear" w:color="auto" w:fill="E8F5EA"/>
          </w:tcPr>
          <w:p>
            <w:pPr>
              <w:spacing w:after="0" w:line="182" w:lineRule="exact"/>
              <w:rPr>
                <w:rFonts w:ascii="Arial" w:cs="Arial" w:eastAsia="Arial" w:hAnsi="Arial"/>
                <w:sz w:val="16"/>
                <w:szCs w:val="16"/>
                <w:b w:val="1"/>
                <w:bCs w:val="1"/>
                <w:u w:val="single" w:color="auto"/>
                <w:color w:val="0000EE"/>
              </w:rPr>
            </w:pPr>
            <w:hyperlink w:anchor="page41">
              <w:r>
                <w:rPr>
                  <w:rFonts w:ascii="Arial" w:cs="Arial" w:eastAsia="Arial" w:hAnsi="Arial"/>
                  <w:sz w:val="16"/>
                  <w:szCs w:val="16"/>
                  <w:b w:val="1"/>
                  <w:bCs w:val="1"/>
                  <w:u w:val="single" w:color="auto"/>
                  <w:color w:val="0000EE"/>
                </w:rPr>
                <w:t>Executive Summary</w:t>
              </w:r>
            </w:hyperlink>
          </w:p>
        </w:tc>
        <w:tc>
          <w:tcPr>
            <w:tcW w:w="520" w:type="dxa"/>
            <w:vAlign w:val="bottom"/>
            <w:gridSpan w:val="2"/>
            <w:shd w:val="clear" w:color="auto" w:fill="E8F5EA"/>
          </w:tcPr>
          <w:p>
            <w:pPr>
              <w:jc w:val="right"/>
              <w:spacing w:after="0" w:line="182" w:lineRule="exact"/>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36</w:t>
              </w:r>
            </w:hyperlink>
          </w:p>
        </w:tc>
        <w:tc>
          <w:tcPr>
            <w:tcW w:w="30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80" w:type="dxa"/>
            <w:vAlign w:val="bottom"/>
            <w:tcBorders>
              <w:left w:val="single" w:sz="8" w:color="53C072"/>
            </w:tcBorders>
            <w:shd w:val="clear" w:color="auto" w:fill="E8F5EA"/>
          </w:tcPr>
          <w:p>
            <w:pPr>
              <w:spacing w:after="0"/>
              <w:rPr>
                <w:sz w:val="15"/>
                <w:szCs w:val="15"/>
                <w:color w:val="auto"/>
              </w:rPr>
            </w:pPr>
          </w:p>
        </w:tc>
        <w:tc>
          <w:tcPr>
            <w:tcW w:w="140" w:type="dxa"/>
            <w:vAlign w:val="bottom"/>
            <w:shd w:val="clear" w:color="auto" w:fill="E8F5EA"/>
          </w:tcPr>
          <w:p>
            <w:pPr>
              <w:spacing w:after="0"/>
              <w:rPr>
                <w:sz w:val="15"/>
                <w:szCs w:val="15"/>
                <w:color w:val="auto"/>
              </w:rPr>
            </w:pPr>
          </w:p>
        </w:tc>
        <w:tc>
          <w:tcPr>
            <w:tcW w:w="2980" w:type="dxa"/>
            <w:vAlign w:val="bottom"/>
            <w:gridSpan w:val="10"/>
            <w:shd w:val="clear" w:color="auto" w:fill="E8F5EA"/>
          </w:tcPr>
          <w:p>
            <w:pPr>
              <w:spacing w:after="0" w:line="182" w:lineRule="exact"/>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Named Executive Officers (NEOs)</w:t>
              </w:r>
            </w:hyperlink>
          </w:p>
        </w:tc>
        <w:tc>
          <w:tcPr>
            <w:tcW w:w="520" w:type="dxa"/>
            <w:vAlign w:val="bottom"/>
            <w:gridSpan w:val="2"/>
            <w:shd w:val="clear" w:color="auto" w:fill="E8F5EA"/>
          </w:tcPr>
          <w:p>
            <w:pPr>
              <w:jc w:val="right"/>
              <w:spacing w:after="0" w:line="182" w:lineRule="exact"/>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36</w:t>
              </w:r>
            </w:hyperlink>
          </w:p>
        </w:tc>
        <w:tc>
          <w:tcPr>
            <w:tcW w:w="30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80" w:type="dxa"/>
            <w:vAlign w:val="bottom"/>
            <w:tcBorders>
              <w:left w:val="single" w:sz="8" w:color="53C072"/>
            </w:tcBorders>
            <w:shd w:val="clear" w:color="auto" w:fill="E8F5EA"/>
          </w:tcPr>
          <w:p>
            <w:pPr>
              <w:spacing w:after="0"/>
              <w:rPr>
                <w:sz w:val="15"/>
                <w:szCs w:val="15"/>
                <w:color w:val="auto"/>
              </w:rPr>
            </w:pPr>
          </w:p>
        </w:tc>
        <w:tc>
          <w:tcPr>
            <w:tcW w:w="140" w:type="dxa"/>
            <w:vAlign w:val="bottom"/>
            <w:shd w:val="clear" w:color="auto" w:fill="E8F5EA"/>
          </w:tcPr>
          <w:p>
            <w:pPr>
              <w:spacing w:after="0"/>
              <w:rPr>
                <w:sz w:val="15"/>
                <w:szCs w:val="15"/>
                <w:color w:val="auto"/>
              </w:rPr>
            </w:pPr>
          </w:p>
        </w:tc>
        <w:tc>
          <w:tcPr>
            <w:tcW w:w="2980" w:type="dxa"/>
            <w:vAlign w:val="bottom"/>
            <w:gridSpan w:val="10"/>
            <w:shd w:val="clear" w:color="auto" w:fill="E8F5EA"/>
          </w:tcPr>
          <w:p>
            <w:pPr>
              <w:spacing w:after="0" w:line="182" w:lineRule="exact"/>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Business Performance</w:t>
              </w:r>
            </w:hyperlink>
          </w:p>
        </w:tc>
        <w:tc>
          <w:tcPr>
            <w:tcW w:w="140" w:type="dxa"/>
            <w:vAlign w:val="bottom"/>
            <w:shd w:val="clear" w:color="auto" w:fill="E8F5EA"/>
          </w:tcPr>
          <w:p>
            <w:pPr>
              <w:spacing w:after="0"/>
              <w:rPr>
                <w:sz w:val="15"/>
                <w:szCs w:val="15"/>
                <w:color w:val="auto"/>
              </w:rPr>
            </w:pPr>
          </w:p>
        </w:tc>
        <w:tc>
          <w:tcPr>
            <w:tcW w:w="380" w:type="dxa"/>
            <w:vAlign w:val="bottom"/>
            <w:shd w:val="clear" w:color="auto" w:fill="E8F5EA"/>
          </w:tcPr>
          <w:p>
            <w:pPr>
              <w:jc w:val="right"/>
              <w:spacing w:after="0" w:line="182" w:lineRule="exact"/>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37</w:t>
              </w:r>
            </w:hyperlink>
          </w:p>
        </w:tc>
        <w:tc>
          <w:tcPr>
            <w:tcW w:w="30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53C072"/>
            </w:tcBorders>
            <w:shd w:val="clear" w:color="auto" w:fill="E8F5EA"/>
          </w:tcPr>
          <w:p>
            <w:pPr>
              <w:spacing w:after="0"/>
              <w:rPr>
                <w:sz w:val="13"/>
                <w:szCs w:val="13"/>
                <w:color w:val="auto"/>
              </w:rPr>
            </w:pPr>
          </w:p>
        </w:tc>
        <w:tc>
          <w:tcPr>
            <w:tcW w:w="140" w:type="dxa"/>
            <w:vAlign w:val="bottom"/>
            <w:shd w:val="clear" w:color="auto" w:fill="E8F5EA"/>
          </w:tcPr>
          <w:p>
            <w:pPr>
              <w:spacing w:after="0"/>
              <w:rPr>
                <w:sz w:val="13"/>
                <w:szCs w:val="13"/>
                <w:color w:val="auto"/>
              </w:rPr>
            </w:pPr>
          </w:p>
        </w:tc>
        <w:tc>
          <w:tcPr>
            <w:tcW w:w="2980" w:type="dxa"/>
            <w:vAlign w:val="bottom"/>
            <w:gridSpan w:val="10"/>
            <w:shd w:val="clear" w:color="auto" w:fill="E8F5EA"/>
          </w:tcPr>
          <w:p>
            <w:pPr>
              <w:spacing w:after="0" w:line="158" w:lineRule="exact"/>
              <w:rPr>
                <w:rFonts w:ascii="Arial" w:cs="Arial" w:eastAsia="Arial" w:hAnsi="Arial"/>
                <w:sz w:val="16"/>
                <w:szCs w:val="16"/>
                <w:color w:val="0000EE"/>
              </w:rPr>
            </w:pPr>
            <w:hyperlink w:anchor="page43">
              <w:r>
                <w:rPr>
                  <w:rFonts w:ascii="Arial" w:cs="Arial" w:eastAsia="Arial" w:hAnsi="Arial"/>
                  <w:sz w:val="16"/>
                  <w:szCs w:val="16"/>
                  <w:color w:val="0000EE"/>
                </w:rPr>
                <w:t>Summary of Incentive Compensation</w:t>
              </w:r>
            </w:hyperlink>
          </w:p>
        </w:tc>
        <w:tc>
          <w:tcPr>
            <w:tcW w:w="140" w:type="dxa"/>
            <w:vAlign w:val="bottom"/>
            <w:shd w:val="clear" w:color="auto" w:fill="E8F5EA"/>
          </w:tcPr>
          <w:p>
            <w:pPr>
              <w:spacing w:after="0"/>
              <w:rPr>
                <w:sz w:val="13"/>
                <w:szCs w:val="13"/>
                <w:color w:val="auto"/>
              </w:rPr>
            </w:pPr>
          </w:p>
        </w:tc>
        <w:tc>
          <w:tcPr>
            <w:tcW w:w="380" w:type="dxa"/>
            <w:vAlign w:val="bottom"/>
            <w:vMerge w:val="restart"/>
            <w:shd w:val="clear" w:color="auto" w:fill="E8F5EA"/>
          </w:tcPr>
          <w:p>
            <w:pPr>
              <w:jc w:val="right"/>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38</w:t>
              </w:r>
            </w:hyperlink>
          </w:p>
        </w:tc>
        <w:tc>
          <w:tcPr>
            <w:tcW w:w="300" w:type="dxa"/>
            <w:vAlign w:val="bottom"/>
            <w:tcBorders>
              <w:right w:val="single" w:sz="8" w:color="53C072"/>
            </w:tcBorders>
            <w:shd w:val="clear" w:color="auto" w:fill="E8F5EA"/>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80" w:type="dxa"/>
            <w:vAlign w:val="bottom"/>
            <w:tcBorders>
              <w:top w:val="single" w:sz="8" w:color="E8F5EA"/>
              <w:left w:val="single" w:sz="8" w:color="53C072"/>
            </w:tcBorders>
            <w:shd w:val="clear" w:color="auto" w:fill="E8F5EA"/>
          </w:tcPr>
          <w:p>
            <w:pPr>
              <w:spacing w:after="0"/>
              <w:rPr>
                <w:sz w:val="16"/>
                <w:szCs w:val="16"/>
                <w:color w:val="auto"/>
              </w:rPr>
            </w:pPr>
          </w:p>
        </w:tc>
        <w:tc>
          <w:tcPr>
            <w:tcW w:w="140" w:type="dxa"/>
            <w:vAlign w:val="bottom"/>
            <w:tcBorders>
              <w:top w:val="single" w:sz="8" w:color="E8F5EA"/>
            </w:tcBorders>
            <w:shd w:val="clear" w:color="auto" w:fill="E8F5EA"/>
          </w:tcPr>
          <w:p>
            <w:pPr>
              <w:spacing w:after="0"/>
              <w:rPr>
                <w:sz w:val="16"/>
                <w:szCs w:val="16"/>
                <w:color w:val="auto"/>
              </w:rPr>
            </w:pPr>
          </w:p>
        </w:tc>
        <w:tc>
          <w:tcPr>
            <w:tcW w:w="20" w:type="dxa"/>
            <w:vAlign w:val="bottom"/>
            <w:tcBorders>
              <w:top w:val="single" w:sz="8" w:color="E8F5EA"/>
            </w:tcBorders>
            <w:shd w:val="clear" w:color="auto" w:fill="E8F5EA"/>
          </w:tcPr>
          <w:p>
            <w:pPr>
              <w:spacing w:after="0"/>
              <w:rPr>
                <w:sz w:val="16"/>
                <w:szCs w:val="16"/>
                <w:color w:val="auto"/>
              </w:rPr>
            </w:pPr>
          </w:p>
        </w:tc>
        <w:tc>
          <w:tcPr>
            <w:tcW w:w="2580" w:type="dxa"/>
            <w:vAlign w:val="bottom"/>
            <w:tcBorders>
              <w:top w:val="single" w:sz="8" w:color="0000EE"/>
            </w:tcBorders>
            <w:gridSpan w:val="6"/>
            <w:shd w:val="clear" w:color="auto" w:fill="E8F5EA"/>
          </w:tcPr>
          <w:p>
            <w:pPr>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Design and Payouts for Fiscal 2020</w:t>
              </w:r>
            </w:hyperlink>
          </w:p>
        </w:tc>
        <w:tc>
          <w:tcPr>
            <w:tcW w:w="160" w:type="dxa"/>
            <w:vAlign w:val="bottom"/>
            <w:tcBorders>
              <w:top w:val="single" w:sz="8" w:color="E8F5EA"/>
            </w:tcBorders>
            <w:shd w:val="clear" w:color="auto" w:fill="E8F5EA"/>
          </w:tcPr>
          <w:p>
            <w:pPr>
              <w:spacing w:after="0"/>
              <w:rPr>
                <w:sz w:val="16"/>
                <w:szCs w:val="16"/>
                <w:color w:val="auto"/>
              </w:rPr>
            </w:pPr>
          </w:p>
        </w:tc>
        <w:tc>
          <w:tcPr>
            <w:tcW w:w="180" w:type="dxa"/>
            <w:vAlign w:val="bottom"/>
            <w:tcBorders>
              <w:top w:val="single" w:sz="8" w:color="E8F5EA"/>
            </w:tcBorders>
            <w:shd w:val="clear" w:color="auto" w:fill="E8F5EA"/>
          </w:tcPr>
          <w:p>
            <w:pPr>
              <w:spacing w:after="0"/>
              <w:rPr>
                <w:sz w:val="16"/>
                <w:szCs w:val="16"/>
                <w:color w:val="auto"/>
              </w:rPr>
            </w:pPr>
          </w:p>
        </w:tc>
        <w:tc>
          <w:tcPr>
            <w:tcW w:w="40" w:type="dxa"/>
            <w:vAlign w:val="bottom"/>
            <w:tcBorders>
              <w:top w:val="single" w:sz="8" w:color="E8F5EA"/>
            </w:tcBorders>
            <w:shd w:val="clear" w:color="auto" w:fill="E8F5EA"/>
          </w:tcPr>
          <w:p>
            <w:pPr>
              <w:spacing w:after="0"/>
              <w:rPr>
                <w:sz w:val="16"/>
                <w:szCs w:val="16"/>
                <w:color w:val="auto"/>
              </w:rPr>
            </w:pPr>
          </w:p>
        </w:tc>
        <w:tc>
          <w:tcPr>
            <w:tcW w:w="140" w:type="dxa"/>
            <w:vAlign w:val="bottom"/>
            <w:tcBorders>
              <w:top w:val="single" w:sz="8" w:color="E8F5EA"/>
            </w:tcBorders>
            <w:shd w:val="clear" w:color="auto" w:fill="E8F5EA"/>
          </w:tcPr>
          <w:p>
            <w:pPr>
              <w:spacing w:after="0"/>
              <w:rPr>
                <w:sz w:val="16"/>
                <w:szCs w:val="16"/>
                <w:color w:val="auto"/>
              </w:rPr>
            </w:pPr>
          </w:p>
        </w:tc>
        <w:tc>
          <w:tcPr>
            <w:tcW w:w="380" w:type="dxa"/>
            <w:vAlign w:val="bottom"/>
            <w:tcBorders>
              <w:top w:val="single" w:sz="8" w:color="E8F5EA"/>
            </w:tcBorders>
            <w:vMerge w:val="continue"/>
            <w:shd w:val="clear" w:color="auto" w:fill="E8F5EA"/>
          </w:tcPr>
          <w:p>
            <w:pPr>
              <w:spacing w:after="0"/>
              <w:rPr>
                <w:sz w:val="16"/>
                <w:szCs w:val="16"/>
                <w:color w:val="auto"/>
              </w:rPr>
            </w:pPr>
          </w:p>
        </w:tc>
        <w:tc>
          <w:tcPr>
            <w:tcW w:w="300" w:type="dxa"/>
            <w:vAlign w:val="bottom"/>
            <w:tcBorders>
              <w:top w:val="single" w:sz="8" w:color="E8F5EA"/>
              <w:right w:val="single" w:sz="8" w:color="53C072"/>
            </w:tcBorders>
            <w:shd w:val="clear" w:color="auto" w:fill="E8F5EA"/>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80" w:type="dxa"/>
            <w:vAlign w:val="bottom"/>
            <w:tcBorders>
              <w:left w:val="single" w:sz="8" w:color="53C072"/>
            </w:tcBorders>
            <w:shd w:val="clear" w:color="auto" w:fill="E8F5EA"/>
          </w:tcPr>
          <w:p>
            <w:pPr>
              <w:spacing w:after="0"/>
              <w:rPr>
                <w:sz w:val="15"/>
                <w:szCs w:val="15"/>
                <w:color w:val="auto"/>
              </w:rPr>
            </w:pPr>
          </w:p>
        </w:tc>
        <w:tc>
          <w:tcPr>
            <w:tcW w:w="140" w:type="dxa"/>
            <w:vAlign w:val="bottom"/>
            <w:shd w:val="clear" w:color="auto" w:fill="E8F5EA"/>
          </w:tcPr>
          <w:p>
            <w:pPr>
              <w:spacing w:after="0"/>
              <w:rPr>
                <w:sz w:val="15"/>
                <w:szCs w:val="15"/>
                <w:color w:val="auto"/>
              </w:rPr>
            </w:pPr>
          </w:p>
        </w:tc>
        <w:tc>
          <w:tcPr>
            <w:tcW w:w="2980" w:type="dxa"/>
            <w:vAlign w:val="bottom"/>
            <w:gridSpan w:val="10"/>
            <w:shd w:val="clear" w:color="auto" w:fill="E8F5EA"/>
          </w:tcPr>
          <w:p>
            <w:pPr>
              <w:spacing w:after="0" w:line="182" w:lineRule="exact"/>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Philosophy and Objectives</w:t>
              </w:r>
            </w:hyperlink>
          </w:p>
        </w:tc>
        <w:tc>
          <w:tcPr>
            <w:tcW w:w="140" w:type="dxa"/>
            <w:vAlign w:val="bottom"/>
            <w:shd w:val="clear" w:color="auto" w:fill="E8F5EA"/>
          </w:tcPr>
          <w:p>
            <w:pPr>
              <w:spacing w:after="0"/>
              <w:rPr>
                <w:sz w:val="15"/>
                <w:szCs w:val="15"/>
                <w:color w:val="auto"/>
              </w:rPr>
            </w:pPr>
          </w:p>
        </w:tc>
        <w:tc>
          <w:tcPr>
            <w:tcW w:w="380" w:type="dxa"/>
            <w:vAlign w:val="bottom"/>
            <w:shd w:val="clear" w:color="auto" w:fill="E8F5EA"/>
          </w:tcPr>
          <w:p>
            <w:pPr>
              <w:jc w:val="right"/>
              <w:spacing w:after="0" w:line="182" w:lineRule="exact"/>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38</w:t>
              </w:r>
            </w:hyperlink>
          </w:p>
        </w:tc>
        <w:tc>
          <w:tcPr>
            <w:tcW w:w="30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80" w:type="dxa"/>
            <w:vAlign w:val="bottom"/>
            <w:tcBorders>
              <w:left w:val="single" w:sz="8" w:color="53C072"/>
            </w:tcBorders>
            <w:shd w:val="clear" w:color="auto" w:fill="E8F5EA"/>
          </w:tcPr>
          <w:p>
            <w:pPr>
              <w:spacing w:after="0"/>
              <w:rPr>
                <w:sz w:val="13"/>
                <w:szCs w:val="13"/>
                <w:color w:val="auto"/>
              </w:rPr>
            </w:pPr>
          </w:p>
        </w:tc>
        <w:tc>
          <w:tcPr>
            <w:tcW w:w="140" w:type="dxa"/>
            <w:vAlign w:val="bottom"/>
            <w:shd w:val="clear" w:color="auto" w:fill="E8F5EA"/>
          </w:tcPr>
          <w:p>
            <w:pPr>
              <w:spacing w:after="0"/>
              <w:rPr>
                <w:sz w:val="13"/>
                <w:szCs w:val="13"/>
                <w:color w:val="auto"/>
              </w:rPr>
            </w:pPr>
          </w:p>
        </w:tc>
        <w:tc>
          <w:tcPr>
            <w:tcW w:w="2980" w:type="dxa"/>
            <w:vAlign w:val="bottom"/>
            <w:gridSpan w:val="10"/>
            <w:shd w:val="clear" w:color="auto" w:fill="E8F5EA"/>
          </w:tcPr>
          <w:p>
            <w:pPr>
              <w:spacing w:after="0" w:line="158" w:lineRule="exact"/>
              <w:rPr>
                <w:rFonts w:ascii="Arial" w:cs="Arial" w:eastAsia="Arial" w:hAnsi="Arial"/>
                <w:sz w:val="16"/>
                <w:szCs w:val="16"/>
                <w:color w:val="0000EE"/>
              </w:rPr>
            </w:pPr>
            <w:hyperlink w:anchor="page44">
              <w:r>
                <w:rPr>
                  <w:rFonts w:ascii="Arial" w:cs="Arial" w:eastAsia="Arial" w:hAnsi="Arial"/>
                  <w:sz w:val="16"/>
                  <w:szCs w:val="16"/>
                  <w:color w:val="0000EE"/>
                </w:rPr>
                <w:t>2019 Advisory Vote on Executive</w:t>
              </w:r>
            </w:hyperlink>
          </w:p>
        </w:tc>
        <w:tc>
          <w:tcPr>
            <w:tcW w:w="140" w:type="dxa"/>
            <w:vAlign w:val="bottom"/>
            <w:shd w:val="clear" w:color="auto" w:fill="E8F5EA"/>
          </w:tcPr>
          <w:p>
            <w:pPr>
              <w:spacing w:after="0"/>
              <w:rPr>
                <w:sz w:val="13"/>
                <w:szCs w:val="13"/>
                <w:color w:val="auto"/>
              </w:rPr>
            </w:pPr>
          </w:p>
        </w:tc>
        <w:tc>
          <w:tcPr>
            <w:tcW w:w="380" w:type="dxa"/>
            <w:vAlign w:val="bottom"/>
            <w:vMerge w:val="restart"/>
            <w:shd w:val="clear" w:color="auto" w:fill="E8F5EA"/>
          </w:tcPr>
          <w:p>
            <w:pPr>
              <w:jc w:val="right"/>
              <w:spacing w:after="0"/>
              <w:rPr>
                <w:rFonts w:ascii="Arial" w:cs="Arial" w:eastAsia="Arial" w:hAnsi="Arial"/>
                <w:sz w:val="16"/>
                <w:szCs w:val="16"/>
                <w:u w:val="single" w:color="auto"/>
                <w:color w:val="0000EE"/>
              </w:rPr>
            </w:pPr>
            <w:hyperlink w:anchor="page44">
              <w:r>
                <w:rPr>
                  <w:rFonts w:ascii="Arial" w:cs="Arial" w:eastAsia="Arial" w:hAnsi="Arial"/>
                  <w:sz w:val="16"/>
                  <w:szCs w:val="16"/>
                  <w:u w:val="single" w:color="auto"/>
                  <w:color w:val="0000EE"/>
                </w:rPr>
                <w:t>39</w:t>
              </w:r>
            </w:hyperlink>
          </w:p>
        </w:tc>
        <w:tc>
          <w:tcPr>
            <w:tcW w:w="300" w:type="dxa"/>
            <w:vAlign w:val="bottom"/>
            <w:tcBorders>
              <w:right w:val="single" w:sz="8" w:color="53C072"/>
            </w:tcBorders>
            <w:shd w:val="clear" w:color="auto" w:fill="E8F5EA"/>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 w:type="dxa"/>
            <w:vAlign w:val="bottom"/>
            <w:tcBorders>
              <w:top w:val="single" w:sz="8" w:color="E8F5EA"/>
              <w:left w:val="single" w:sz="8" w:color="53C072"/>
            </w:tcBorders>
            <w:shd w:val="clear" w:color="auto" w:fill="E8F5EA"/>
          </w:tcPr>
          <w:p>
            <w:pPr>
              <w:spacing w:after="0"/>
              <w:rPr>
                <w:sz w:val="14"/>
                <w:szCs w:val="14"/>
                <w:color w:val="auto"/>
              </w:rPr>
            </w:pPr>
          </w:p>
        </w:tc>
        <w:tc>
          <w:tcPr>
            <w:tcW w:w="140" w:type="dxa"/>
            <w:vAlign w:val="bottom"/>
            <w:tcBorders>
              <w:top w:val="single" w:sz="8" w:color="E8F5EA"/>
            </w:tcBorders>
            <w:shd w:val="clear" w:color="auto" w:fill="E8F5EA"/>
          </w:tcPr>
          <w:p>
            <w:pPr>
              <w:spacing w:after="0"/>
              <w:rPr>
                <w:sz w:val="14"/>
                <w:szCs w:val="14"/>
                <w:color w:val="auto"/>
              </w:rPr>
            </w:pPr>
          </w:p>
        </w:tc>
        <w:tc>
          <w:tcPr>
            <w:tcW w:w="20" w:type="dxa"/>
            <w:vAlign w:val="bottom"/>
            <w:tcBorders>
              <w:top w:val="single" w:sz="8" w:color="E8F5EA"/>
            </w:tcBorders>
            <w:shd w:val="clear" w:color="auto" w:fill="E8F5EA"/>
          </w:tcPr>
          <w:p>
            <w:pPr>
              <w:spacing w:after="0"/>
              <w:rPr>
                <w:sz w:val="14"/>
                <w:szCs w:val="14"/>
                <w:color w:val="auto"/>
              </w:rPr>
            </w:pPr>
          </w:p>
        </w:tc>
        <w:tc>
          <w:tcPr>
            <w:tcW w:w="2300" w:type="dxa"/>
            <w:vAlign w:val="bottom"/>
            <w:tcBorders>
              <w:top w:val="single" w:sz="8" w:color="0000EE"/>
            </w:tcBorders>
            <w:gridSpan w:val="4"/>
            <w:shd w:val="clear" w:color="auto" w:fill="E8F5EA"/>
          </w:tcPr>
          <w:p>
            <w:pPr>
              <w:spacing w:after="0" w:line="162" w:lineRule="exact"/>
              <w:rPr>
                <w:rFonts w:ascii="Arial" w:cs="Arial" w:eastAsia="Arial" w:hAnsi="Arial"/>
                <w:sz w:val="16"/>
                <w:szCs w:val="16"/>
                <w:color w:val="0000EE"/>
              </w:rPr>
            </w:pPr>
            <w:hyperlink w:anchor="page44">
              <w:r>
                <w:rPr>
                  <w:rFonts w:ascii="Arial" w:cs="Arial" w:eastAsia="Arial" w:hAnsi="Arial"/>
                  <w:sz w:val="16"/>
                  <w:szCs w:val="16"/>
                  <w:color w:val="0000EE"/>
                </w:rPr>
                <w:t>Compensation</w:t>
              </w:r>
            </w:hyperlink>
          </w:p>
        </w:tc>
        <w:tc>
          <w:tcPr>
            <w:tcW w:w="60" w:type="dxa"/>
            <w:vAlign w:val="bottom"/>
            <w:tcBorders>
              <w:top w:val="single" w:sz="8" w:color="E8F5EA"/>
            </w:tcBorders>
            <w:shd w:val="clear" w:color="auto" w:fill="E8F5EA"/>
          </w:tcPr>
          <w:p>
            <w:pPr>
              <w:spacing w:after="0"/>
              <w:rPr>
                <w:sz w:val="14"/>
                <w:szCs w:val="14"/>
                <w:color w:val="auto"/>
              </w:rPr>
            </w:pPr>
          </w:p>
        </w:tc>
        <w:tc>
          <w:tcPr>
            <w:tcW w:w="380" w:type="dxa"/>
            <w:vAlign w:val="bottom"/>
            <w:tcBorders>
              <w:top w:val="single" w:sz="8" w:color="E8F5EA"/>
            </w:tcBorders>
            <w:gridSpan w:val="2"/>
            <w:shd w:val="clear" w:color="auto" w:fill="E8F5EA"/>
          </w:tcPr>
          <w:p>
            <w:pPr>
              <w:spacing w:after="0"/>
              <w:rPr>
                <w:sz w:val="14"/>
                <w:szCs w:val="14"/>
                <w:color w:val="auto"/>
              </w:rPr>
            </w:pPr>
          </w:p>
        </w:tc>
        <w:tc>
          <w:tcPr>
            <w:tcW w:w="180" w:type="dxa"/>
            <w:vAlign w:val="bottom"/>
            <w:tcBorders>
              <w:top w:val="single" w:sz="8" w:color="E8F5EA"/>
            </w:tcBorders>
            <w:shd w:val="clear" w:color="auto" w:fill="E8F5EA"/>
          </w:tcPr>
          <w:p>
            <w:pPr>
              <w:spacing w:after="0"/>
              <w:rPr>
                <w:sz w:val="14"/>
                <w:szCs w:val="14"/>
                <w:color w:val="auto"/>
              </w:rPr>
            </w:pPr>
          </w:p>
        </w:tc>
        <w:tc>
          <w:tcPr>
            <w:tcW w:w="40" w:type="dxa"/>
            <w:vAlign w:val="bottom"/>
            <w:tcBorders>
              <w:top w:val="single" w:sz="8" w:color="E8F5EA"/>
            </w:tcBorders>
            <w:shd w:val="clear" w:color="auto" w:fill="E8F5EA"/>
          </w:tcPr>
          <w:p>
            <w:pPr>
              <w:spacing w:after="0"/>
              <w:rPr>
                <w:sz w:val="14"/>
                <w:szCs w:val="14"/>
                <w:color w:val="auto"/>
              </w:rPr>
            </w:pPr>
          </w:p>
        </w:tc>
        <w:tc>
          <w:tcPr>
            <w:tcW w:w="140" w:type="dxa"/>
            <w:vAlign w:val="bottom"/>
            <w:tcBorders>
              <w:top w:val="single" w:sz="8" w:color="E8F5EA"/>
            </w:tcBorders>
            <w:shd w:val="clear" w:color="auto" w:fill="E8F5EA"/>
          </w:tcPr>
          <w:p>
            <w:pPr>
              <w:spacing w:after="0"/>
              <w:rPr>
                <w:sz w:val="14"/>
                <w:szCs w:val="14"/>
                <w:color w:val="auto"/>
              </w:rPr>
            </w:pPr>
          </w:p>
        </w:tc>
        <w:tc>
          <w:tcPr>
            <w:tcW w:w="380" w:type="dxa"/>
            <w:vAlign w:val="bottom"/>
            <w:tcBorders>
              <w:top w:val="single" w:sz="8" w:color="E8F5EA"/>
            </w:tcBorders>
            <w:vMerge w:val="continue"/>
            <w:shd w:val="clear" w:color="auto" w:fill="E8F5EA"/>
          </w:tcPr>
          <w:p>
            <w:pPr>
              <w:spacing w:after="0"/>
              <w:rPr>
                <w:sz w:val="14"/>
                <w:szCs w:val="14"/>
                <w:color w:val="auto"/>
              </w:rPr>
            </w:pPr>
          </w:p>
        </w:tc>
        <w:tc>
          <w:tcPr>
            <w:tcW w:w="300" w:type="dxa"/>
            <w:vAlign w:val="bottom"/>
            <w:tcBorders>
              <w:top w:val="single" w:sz="8" w:color="E8F5EA"/>
              <w:right w:val="single" w:sz="8" w:color="53C072"/>
            </w:tcBorders>
            <w:shd w:val="clear" w:color="auto" w:fill="E8F5EA"/>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 w:type="dxa"/>
            <w:vAlign w:val="bottom"/>
            <w:tcBorders>
              <w:top w:val="single" w:sz="8" w:color="E8F5EA"/>
              <w:left w:val="single" w:sz="8" w:color="53C072"/>
            </w:tcBorders>
            <w:shd w:val="clear" w:color="auto" w:fill="E8F5EA"/>
          </w:tcPr>
          <w:p>
            <w:pPr>
              <w:spacing w:after="0"/>
              <w:rPr>
                <w:sz w:val="14"/>
                <w:szCs w:val="14"/>
                <w:color w:val="auto"/>
              </w:rPr>
            </w:pPr>
          </w:p>
        </w:tc>
        <w:tc>
          <w:tcPr>
            <w:tcW w:w="140" w:type="dxa"/>
            <w:vAlign w:val="bottom"/>
            <w:tcBorders>
              <w:top w:val="single" w:sz="8" w:color="E8F5EA"/>
            </w:tcBorders>
            <w:shd w:val="clear" w:color="auto" w:fill="E8F5EA"/>
          </w:tcPr>
          <w:p>
            <w:pPr>
              <w:spacing w:after="0"/>
              <w:rPr>
                <w:sz w:val="14"/>
                <w:szCs w:val="14"/>
                <w:color w:val="auto"/>
              </w:rPr>
            </w:pPr>
          </w:p>
        </w:tc>
        <w:tc>
          <w:tcPr>
            <w:tcW w:w="1020" w:type="dxa"/>
            <w:vAlign w:val="bottom"/>
            <w:tcBorders>
              <w:top w:val="single" w:sz="8" w:color="0000EE"/>
            </w:tcBorders>
            <w:gridSpan w:val="4"/>
            <w:shd w:val="clear" w:color="auto" w:fill="E8F5EA"/>
          </w:tcPr>
          <w:p>
            <w:pPr>
              <w:spacing w:after="0" w:line="168" w:lineRule="exact"/>
              <w:rPr>
                <w:rFonts w:ascii="Arial" w:cs="Arial" w:eastAsia="Arial" w:hAnsi="Arial"/>
                <w:sz w:val="16"/>
                <w:szCs w:val="16"/>
                <w:u w:val="single" w:color="auto"/>
                <w:color w:val="0000EE"/>
              </w:rPr>
            </w:pPr>
            <w:hyperlink w:anchor="page44">
              <w:r>
                <w:rPr>
                  <w:rFonts w:ascii="Arial" w:cs="Arial" w:eastAsia="Arial" w:hAnsi="Arial"/>
                  <w:sz w:val="16"/>
                  <w:szCs w:val="16"/>
                  <w:u w:val="single" w:color="auto"/>
                  <w:color w:val="0000EE"/>
                </w:rPr>
                <w:t>Shareholder</w:t>
              </w:r>
            </w:hyperlink>
          </w:p>
        </w:tc>
        <w:tc>
          <w:tcPr>
            <w:tcW w:w="1960" w:type="dxa"/>
            <w:vAlign w:val="bottom"/>
            <w:tcBorders>
              <w:top w:val="single" w:sz="8" w:color="E8F5EA"/>
            </w:tcBorders>
            <w:gridSpan w:val="6"/>
            <w:shd w:val="clear" w:color="auto" w:fill="E8F5EA"/>
          </w:tcPr>
          <w:p>
            <w:pPr>
              <w:spacing w:after="0" w:line="168" w:lineRule="exact"/>
              <w:rPr>
                <w:rFonts w:ascii="Arial" w:cs="Arial" w:eastAsia="Arial" w:hAnsi="Arial"/>
                <w:sz w:val="16"/>
                <w:szCs w:val="16"/>
                <w:u w:val="single" w:color="auto"/>
                <w:color w:val="0000EE"/>
              </w:rPr>
            </w:pPr>
            <w:hyperlink w:anchor="page44">
              <w:r>
                <w:rPr>
                  <w:rFonts w:ascii="Arial" w:cs="Arial" w:eastAsia="Arial" w:hAnsi="Arial"/>
                  <w:sz w:val="16"/>
                  <w:szCs w:val="16"/>
                  <w:u w:val="single" w:color="auto"/>
                  <w:color w:val="0000EE"/>
                </w:rPr>
                <w:t>Outreach Efforts</w:t>
              </w:r>
            </w:hyperlink>
          </w:p>
        </w:tc>
        <w:tc>
          <w:tcPr>
            <w:tcW w:w="140" w:type="dxa"/>
            <w:vAlign w:val="bottom"/>
            <w:tcBorders>
              <w:top w:val="single" w:sz="8" w:color="E8F5EA"/>
            </w:tcBorders>
            <w:shd w:val="clear" w:color="auto" w:fill="E8F5EA"/>
          </w:tcPr>
          <w:p>
            <w:pPr>
              <w:spacing w:after="0"/>
              <w:rPr>
                <w:sz w:val="14"/>
                <w:szCs w:val="14"/>
                <w:color w:val="auto"/>
              </w:rPr>
            </w:pPr>
          </w:p>
        </w:tc>
        <w:tc>
          <w:tcPr>
            <w:tcW w:w="380" w:type="dxa"/>
            <w:vAlign w:val="bottom"/>
            <w:tcBorders>
              <w:top w:val="single" w:sz="8" w:color="E8F5EA"/>
            </w:tcBorders>
            <w:shd w:val="clear" w:color="auto" w:fill="E8F5EA"/>
          </w:tcPr>
          <w:p>
            <w:pPr>
              <w:jc w:val="right"/>
              <w:spacing w:after="0" w:line="168" w:lineRule="exact"/>
              <w:rPr>
                <w:rFonts w:ascii="Arial" w:cs="Arial" w:eastAsia="Arial" w:hAnsi="Arial"/>
                <w:sz w:val="16"/>
                <w:szCs w:val="16"/>
                <w:u w:val="single" w:color="auto"/>
                <w:color w:val="0000EE"/>
              </w:rPr>
            </w:pPr>
            <w:hyperlink w:anchor="page44">
              <w:r>
                <w:rPr>
                  <w:rFonts w:ascii="Arial" w:cs="Arial" w:eastAsia="Arial" w:hAnsi="Arial"/>
                  <w:sz w:val="16"/>
                  <w:szCs w:val="16"/>
                  <w:u w:val="single" w:color="auto"/>
                  <w:color w:val="0000EE"/>
                </w:rPr>
                <w:t>39</w:t>
              </w:r>
            </w:hyperlink>
          </w:p>
        </w:tc>
        <w:tc>
          <w:tcPr>
            <w:tcW w:w="300" w:type="dxa"/>
            <w:vAlign w:val="bottom"/>
            <w:tcBorders>
              <w:top w:val="single" w:sz="8" w:color="E8F5EA"/>
              <w:right w:val="single" w:sz="8" w:color="53C072"/>
            </w:tcBorders>
            <w:shd w:val="clear" w:color="auto" w:fill="E8F5EA"/>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80" w:type="dxa"/>
            <w:vAlign w:val="bottom"/>
            <w:tcBorders>
              <w:left w:val="single" w:sz="8" w:color="53C072"/>
            </w:tcBorders>
            <w:shd w:val="clear" w:color="auto" w:fill="E8F5EA"/>
          </w:tcPr>
          <w:p>
            <w:pPr>
              <w:spacing w:after="0"/>
              <w:rPr>
                <w:sz w:val="16"/>
                <w:szCs w:val="16"/>
                <w:color w:val="auto"/>
              </w:rPr>
            </w:pPr>
          </w:p>
        </w:tc>
        <w:tc>
          <w:tcPr>
            <w:tcW w:w="3120" w:type="dxa"/>
            <w:vAlign w:val="bottom"/>
            <w:gridSpan w:val="11"/>
            <w:shd w:val="clear" w:color="auto" w:fill="E8F5EA"/>
          </w:tcPr>
          <w:p>
            <w:pPr>
              <w:spacing w:after="0"/>
              <w:rPr>
                <w:rFonts w:ascii="Arial" w:cs="Arial" w:eastAsia="Arial" w:hAnsi="Arial"/>
                <w:sz w:val="16"/>
                <w:szCs w:val="16"/>
                <w:b w:val="1"/>
                <w:bCs w:val="1"/>
                <w:u w:val="single" w:color="auto"/>
                <w:color w:val="0000EE"/>
              </w:rPr>
            </w:pPr>
            <w:hyperlink w:anchor="page44">
              <w:r>
                <w:rPr>
                  <w:rFonts w:ascii="Arial" w:cs="Arial" w:eastAsia="Arial" w:hAnsi="Arial"/>
                  <w:sz w:val="16"/>
                  <w:szCs w:val="16"/>
                  <w:b w:val="1"/>
                  <w:bCs w:val="1"/>
                  <w:u w:val="single" w:color="auto"/>
                  <w:color w:val="0000EE"/>
                </w:rPr>
                <w:t>Compensation Governance and Process</w:t>
              </w:r>
            </w:hyperlink>
          </w:p>
        </w:tc>
        <w:tc>
          <w:tcPr>
            <w:tcW w:w="140" w:type="dxa"/>
            <w:vAlign w:val="bottom"/>
            <w:shd w:val="clear" w:color="auto" w:fill="E8F5EA"/>
          </w:tcPr>
          <w:p>
            <w:pPr>
              <w:spacing w:after="0"/>
              <w:rPr>
                <w:sz w:val="16"/>
                <w:szCs w:val="16"/>
                <w:color w:val="auto"/>
              </w:rPr>
            </w:pPr>
          </w:p>
        </w:tc>
        <w:tc>
          <w:tcPr>
            <w:tcW w:w="380" w:type="dxa"/>
            <w:vAlign w:val="bottom"/>
            <w:shd w:val="clear" w:color="auto" w:fill="E8F5EA"/>
          </w:tcPr>
          <w:p>
            <w:pPr>
              <w:jc w:val="right"/>
              <w:spacing w:after="0"/>
              <w:rPr>
                <w:rFonts w:ascii="Arial" w:cs="Arial" w:eastAsia="Arial" w:hAnsi="Arial"/>
                <w:sz w:val="16"/>
                <w:szCs w:val="16"/>
                <w:u w:val="single" w:color="auto"/>
                <w:color w:val="0000EE"/>
              </w:rPr>
            </w:pPr>
            <w:hyperlink w:anchor="page44">
              <w:r>
                <w:rPr>
                  <w:rFonts w:ascii="Arial" w:cs="Arial" w:eastAsia="Arial" w:hAnsi="Arial"/>
                  <w:sz w:val="16"/>
                  <w:szCs w:val="16"/>
                  <w:u w:val="single" w:color="auto"/>
                  <w:color w:val="0000EE"/>
                </w:rPr>
                <w:t>39</w:t>
              </w:r>
            </w:hyperlink>
          </w:p>
        </w:tc>
        <w:tc>
          <w:tcPr>
            <w:tcW w:w="300" w:type="dxa"/>
            <w:vAlign w:val="bottom"/>
            <w:tcBorders>
              <w:right w:val="single" w:sz="8" w:color="53C072"/>
            </w:tcBorders>
            <w:shd w:val="clear" w:color="auto" w:fill="E8F5EA"/>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0" w:type="dxa"/>
            <w:vAlign w:val="bottom"/>
            <w:tcBorders>
              <w:left w:val="single" w:sz="8" w:color="53C072"/>
            </w:tcBorders>
            <w:shd w:val="clear" w:color="auto" w:fill="E8F5EA"/>
          </w:tcPr>
          <w:p>
            <w:pPr>
              <w:spacing w:after="0"/>
              <w:rPr>
                <w:sz w:val="15"/>
                <w:szCs w:val="15"/>
                <w:color w:val="auto"/>
              </w:rPr>
            </w:pPr>
          </w:p>
        </w:tc>
        <w:tc>
          <w:tcPr>
            <w:tcW w:w="140" w:type="dxa"/>
            <w:vAlign w:val="bottom"/>
            <w:shd w:val="clear" w:color="auto" w:fill="E8F5EA"/>
          </w:tcPr>
          <w:p>
            <w:pPr>
              <w:spacing w:after="0"/>
              <w:rPr>
                <w:sz w:val="15"/>
                <w:szCs w:val="15"/>
                <w:color w:val="auto"/>
              </w:rPr>
            </w:pPr>
          </w:p>
        </w:tc>
        <w:tc>
          <w:tcPr>
            <w:tcW w:w="2980" w:type="dxa"/>
            <w:vAlign w:val="bottom"/>
            <w:gridSpan w:val="10"/>
            <w:shd w:val="clear" w:color="auto" w:fill="E8F5EA"/>
          </w:tcPr>
          <w:p>
            <w:pPr>
              <w:spacing w:after="0" w:line="175" w:lineRule="exact"/>
              <w:rPr>
                <w:rFonts w:ascii="Arial" w:cs="Arial" w:eastAsia="Arial" w:hAnsi="Arial"/>
                <w:sz w:val="16"/>
                <w:szCs w:val="16"/>
                <w:color w:val="0000EE"/>
                <w:w w:val="99"/>
              </w:rPr>
            </w:pPr>
            <w:hyperlink w:anchor="page44">
              <w:r>
                <w:rPr>
                  <w:rFonts w:ascii="Arial" w:cs="Arial" w:eastAsia="Arial" w:hAnsi="Arial"/>
                  <w:sz w:val="16"/>
                  <w:szCs w:val="16"/>
                  <w:color w:val="0000EE"/>
                  <w:w w:val="99"/>
                </w:rPr>
                <w:t>Role of the Compensation Committee and</w:t>
              </w:r>
            </w:hyperlink>
          </w:p>
        </w:tc>
        <w:tc>
          <w:tcPr>
            <w:tcW w:w="140" w:type="dxa"/>
            <w:vAlign w:val="bottom"/>
            <w:shd w:val="clear" w:color="auto" w:fill="E8F5EA"/>
          </w:tcPr>
          <w:p>
            <w:pPr>
              <w:spacing w:after="0"/>
              <w:rPr>
                <w:sz w:val="15"/>
                <w:szCs w:val="15"/>
                <w:color w:val="auto"/>
              </w:rPr>
            </w:pPr>
          </w:p>
        </w:tc>
        <w:tc>
          <w:tcPr>
            <w:tcW w:w="380" w:type="dxa"/>
            <w:vAlign w:val="bottom"/>
            <w:vMerge w:val="restart"/>
            <w:shd w:val="clear" w:color="auto" w:fill="E8F5EA"/>
          </w:tcPr>
          <w:p>
            <w:pPr>
              <w:jc w:val="right"/>
              <w:spacing w:after="0"/>
              <w:rPr>
                <w:rFonts w:ascii="Arial" w:cs="Arial" w:eastAsia="Arial" w:hAnsi="Arial"/>
                <w:sz w:val="16"/>
                <w:szCs w:val="16"/>
                <w:u w:val="single" w:color="auto"/>
                <w:color w:val="0000EE"/>
              </w:rPr>
            </w:pPr>
            <w:hyperlink w:anchor="page44">
              <w:r>
                <w:rPr>
                  <w:rFonts w:ascii="Arial" w:cs="Arial" w:eastAsia="Arial" w:hAnsi="Arial"/>
                  <w:sz w:val="16"/>
                  <w:szCs w:val="16"/>
                  <w:u w:val="single" w:color="auto"/>
                  <w:color w:val="0000EE"/>
                </w:rPr>
                <w:t>39</w:t>
              </w:r>
            </w:hyperlink>
          </w:p>
        </w:tc>
        <w:tc>
          <w:tcPr>
            <w:tcW w:w="30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0" w:type="dxa"/>
            <w:vAlign w:val="bottom"/>
            <w:tcBorders>
              <w:top w:val="single" w:sz="8" w:color="E8F5EA"/>
              <w:left w:val="single" w:sz="8" w:color="53C072"/>
            </w:tcBorders>
            <w:shd w:val="clear" w:color="auto" w:fill="E8F5EA"/>
          </w:tcPr>
          <w:p>
            <w:pPr>
              <w:spacing w:after="0"/>
              <w:rPr>
                <w:sz w:val="14"/>
                <w:szCs w:val="14"/>
                <w:color w:val="auto"/>
              </w:rPr>
            </w:pPr>
          </w:p>
        </w:tc>
        <w:tc>
          <w:tcPr>
            <w:tcW w:w="140" w:type="dxa"/>
            <w:vAlign w:val="bottom"/>
            <w:tcBorders>
              <w:top w:val="single" w:sz="8" w:color="E8F5EA"/>
            </w:tcBorders>
            <w:shd w:val="clear" w:color="auto" w:fill="E8F5EA"/>
          </w:tcPr>
          <w:p>
            <w:pPr>
              <w:spacing w:after="0"/>
              <w:rPr>
                <w:sz w:val="14"/>
                <w:szCs w:val="14"/>
                <w:color w:val="auto"/>
              </w:rPr>
            </w:pPr>
          </w:p>
        </w:tc>
        <w:tc>
          <w:tcPr>
            <w:tcW w:w="2940" w:type="dxa"/>
            <w:vAlign w:val="bottom"/>
            <w:tcBorders>
              <w:top w:val="single" w:sz="8" w:color="0000EE"/>
            </w:tcBorders>
            <w:gridSpan w:val="9"/>
            <w:shd w:val="clear" w:color="auto" w:fill="E8F5EA"/>
          </w:tcPr>
          <w:p>
            <w:pPr>
              <w:spacing w:after="0" w:line="162" w:lineRule="exact"/>
              <w:rPr>
                <w:rFonts w:ascii="Arial" w:cs="Arial" w:eastAsia="Arial" w:hAnsi="Arial"/>
                <w:sz w:val="16"/>
                <w:szCs w:val="16"/>
                <w:color w:val="0000EE"/>
              </w:rPr>
            </w:pPr>
            <w:hyperlink w:anchor="page44">
              <w:r>
                <w:rPr>
                  <w:rFonts w:ascii="Arial" w:cs="Arial" w:eastAsia="Arial" w:hAnsi="Arial"/>
                  <w:sz w:val="16"/>
                  <w:szCs w:val="16"/>
                  <w:color w:val="0000EE"/>
                </w:rPr>
                <w:t>Board</w:t>
              </w:r>
            </w:hyperlink>
          </w:p>
        </w:tc>
        <w:tc>
          <w:tcPr>
            <w:tcW w:w="40" w:type="dxa"/>
            <w:vAlign w:val="bottom"/>
            <w:tcBorders>
              <w:top w:val="single" w:sz="8" w:color="E8F5EA"/>
            </w:tcBorders>
            <w:shd w:val="clear" w:color="auto" w:fill="E8F5EA"/>
          </w:tcPr>
          <w:p>
            <w:pPr>
              <w:spacing w:after="0"/>
              <w:rPr>
                <w:sz w:val="14"/>
                <w:szCs w:val="14"/>
                <w:color w:val="auto"/>
              </w:rPr>
            </w:pPr>
          </w:p>
        </w:tc>
        <w:tc>
          <w:tcPr>
            <w:tcW w:w="140" w:type="dxa"/>
            <w:vAlign w:val="bottom"/>
            <w:tcBorders>
              <w:top w:val="single" w:sz="8" w:color="E8F5EA"/>
            </w:tcBorders>
            <w:shd w:val="clear" w:color="auto" w:fill="E8F5EA"/>
          </w:tcPr>
          <w:p>
            <w:pPr>
              <w:spacing w:after="0"/>
              <w:rPr>
                <w:sz w:val="14"/>
                <w:szCs w:val="14"/>
                <w:color w:val="auto"/>
              </w:rPr>
            </w:pPr>
          </w:p>
        </w:tc>
        <w:tc>
          <w:tcPr>
            <w:tcW w:w="380" w:type="dxa"/>
            <w:vAlign w:val="bottom"/>
            <w:tcBorders>
              <w:top w:val="single" w:sz="8" w:color="E8F5EA"/>
            </w:tcBorders>
            <w:vMerge w:val="continue"/>
            <w:shd w:val="clear" w:color="auto" w:fill="E8F5EA"/>
          </w:tcPr>
          <w:p>
            <w:pPr>
              <w:spacing w:after="0"/>
              <w:rPr>
                <w:sz w:val="14"/>
                <w:szCs w:val="14"/>
                <w:color w:val="auto"/>
              </w:rPr>
            </w:pPr>
          </w:p>
        </w:tc>
        <w:tc>
          <w:tcPr>
            <w:tcW w:w="300" w:type="dxa"/>
            <w:vAlign w:val="bottom"/>
            <w:tcBorders>
              <w:top w:val="single" w:sz="8" w:color="E8F5EA"/>
              <w:right w:val="single" w:sz="8" w:color="53C072"/>
            </w:tcBorders>
            <w:shd w:val="clear" w:color="auto" w:fill="E8F5EA"/>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tcBorders>
              <w:left w:val="single" w:sz="8" w:color="53C072"/>
            </w:tcBorders>
            <w:shd w:val="clear" w:color="auto" w:fill="E8F5EA"/>
          </w:tcPr>
          <w:p>
            <w:pPr>
              <w:spacing w:after="0" w:line="20" w:lineRule="exact"/>
              <w:rPr>
                <w:sz w:val="1"/>
                <w:szCs w:val="1"/>
                <w:color w:val="auto"/>
              </w:rPr>
            </w:pPr>
          </w:p>
        </w:tc>
        <w:tc>
          <w:tcPr>
            <w:tcW w:w="140" w:type="dxa"/>
            <w:vAlign w:val="bottom"/>
            <w:shd w:val="clear" w:color="auto" w:fill="E8F5EA"/>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E8F5EA"/>
            </w:tcBorders>
            <w:shd w:val="clear" w:color="auto" w:fill="E8F5EA"/>
          </w:tcPr>
          <w:p>
            <w:pPr>
              <w:spacing w:after="0" w:line="20" w:lineRule="exact"/>
              <w:rPr>
                <w:sz w:val="1"/>
                <w:szCs w:val="1"/>
                <w:color w:val="auto"/>
              </w:rPr>
            </w:pPr>
          </w:p>
        </w:tc>
        <w:tc>
          <w:tcPr>
            <w:tcW w:w="1560" w:type="dxa"/>
            <w:vAlign w:val="bottom"/>
            <w:gridSpan w:val="3"/>
            <w:shd w:val="clear" w:color="auto" w:fill="E8F5EA"/>
          </w:tcPr>
          <w:p>
            <w:pPr>
              <w:spacing w:after="0" w:line="20" w:lineRule="exact"/>
              <w:rPr>
                <w:sz w:val="1"/>
                <w:szCs w:val="1"/>
                <w:color w:val="auto"/>
              </w:rPr>
            </w:pPr>
          </w:p>
        </w:tc>
        <w:tc>
          <w:tcPr>
            <w:tcW w:w="380" w:type="dxa"/>
            <w:vAlign w:val="bottom"/>
            <w:gridSpan w:val="2"/>
            <w:shd w:val="clear" w:color="auto" w:fill="E8F5EA"/>
          </w:tcPr>
          <w:p>
            <w:pPr>
              <w:spacing w:after="0" w:line="20" w:lineRule="exact"/>
              <w:rPr>
                <w:sz w:val="1"/>
                <w:szCs w:val="1"/>
                <w:color w:val="auto"/>
              </w:rPr>
            </w:pPr>
          </w:p>
        </w:tc>
        <w:tc>
          <w:tcPr>
            <w:tcW w:w="220" w:type="dxa"/>
            <w:vAlign w:val="bottom"/>
            <w:gridSpan w:val="2"/>
            <w:shd w:val="clear" w:color="auto" w:fill="E8F5EA"/>
          </w:tcPr>
          <w:p>
            <w:pPr>
              <w:spacing w:after="0" w:line="20" w:lineRule="exact"/>
              <w:rPr>
                <w:sz w:val="1"/>
                <w:szCs w:val="1"/>
                <w:color w:val="auto"/>
              </w:rPr>
            </w:pPr>
          </w:p>
        </w:tc>
        <w:tc>
          <w:tcPr>
            <w:tcW w:w="140" w:type="dxa"/>
            <w:vAlign w:val="bottom"/>
            <w:shd w:val="clear" w:color="auto" w:fill="E8F5EA"/>
          </w:tcPr>
          <w:p>
            <w:pPr>
              <w:spacing w:after="0" w:line="20" w:lineRule="exact"/>
              <w:rPr>
                <w:sz w:val="1"/>
                <w:szCs w:val="1"/>
                <w:color w:val="auto"/>
              </w:rPr>
            </w:pPr>
          </w:p>
        </w:tc>
        <w:tc>
          <w:tcPr>
            <w:tcW w:w="380" w:type="dxa"/>
            <w:vAlign w:val="bottom"/>
            <w:vMerge w:val="restart"/>
            <w:shd w:val="clear" w:color="auto" w:fill="E8F5EA"/>
          </w:tcPr>
          <w:p>
            <w:pPr>
              <w:jc w:val="right"/>
              <w:spacing w:after="0"/>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40</w:t>
              </w:r>
            </w:hyperlink>
          </w:p>
        </w:tc>
        <w:tc>
          <w:tcPr>
            <w:tcW w:w="300" w:type="dxa"/>
            <w:vAlign w:val="bottom"/>
            <w:tcBorders>
              <w:right w:val="single" w:sz="8" w:color="53C072"/>
            </w:tcBorders>
            <w:shd w:val="clear" w:color="auto" w:fill="E8F5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0" w:type="dxa"/>
            <w:vAlign w:val="bottom"/>
            <w:tcBorders>
              <w:left w:val="single" w:sz="8" w:color="53C072"/>
            </w:tcBorders>
            <w:shd w:val="clear" w:color="auto" w:fill="E8F5EA"/>
          </w:tcPr>
          <w:p>
            <w:pPr>
              <w:spacing w:after="0"/>
              <w:rPr>
                <w:sz w:val="14"/>
                <w:szCs w:val="14"/>
                <w:color w:val="auto"/>
              </w:rPr>
            </w:pPr>
          </w:p>
        </w:tc>
        <w:tc>
          <w:tcPr>
            <w:tcW w:w="140" w:type="dxa"/>
            <w:vAlign w:val="bottom"/>
            <w:shd w:val="clear" w:color="auto" w:fill="E8F5EA"/>
          </w:tcPr>
          <w:p>
            <w:pPr>
              <w:spacing w:after="0"/>
              <w:rPr>
                <w:sz w:val="14"/>
                <w:szCs w:val="14"/>
                <w:color w:val="auto"/>
              </w:rPr>
            </w:pPr>
          </w:p>
        </w:tc>
        <w:tc>
          <w:tcPr>
            <w:tcW w:w="2980" w:type="dxa"/>
            <w:vAlign w:val="bottom"/>
            <w:gridSpan w:val="10"/>
            <w:shd w:val="clear" w:color="auto" w:fill="E8F5EA"/>
          </w:tcPr>
          <w:p>
            <w:pPr>
              <w:spacing w:after="0" w:line="169" w:lineRule="exact"/>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Role of Management</w:t>
              </w:r>
            </w:hyperlink>
          </w:p>
        </w:tc>
        <w:tc>
          <w:tcPr>
            <w:tcW w:w="140" w:type="dxa"/>
            <w:vAlign w:val="bottom"/>
            <w:shd w:val="clear" w:color="auto" w:fill="E8F5EA"/>
          </w:tcPr>
          <w:p>
            <w:pPr>
              <w:spacing w:after="0"/>
              <w:rPr>
                <w:sz w:val="14"/>
                <w:szCs w:val="14"/>
                <w:color w:val="auto"/>
              </w:rPr>
            </w:pPr>
          </w:p>
        </w:tc>
        <w:tc>
          <w:tcPr>
            <w:tcW w:w="380" w:type="dxa"/>
            <w:vAlign w:val="bottom"/>
            <w:vMerge w:val="continue"/>
            <w:shd w:val="clear" w:color="auto" w:fill="E8F5EA"/>
          </w:tcPr>
          <w:p>
            <w:pPr>
              <w:spacing w:after="0"/>
              <w:rPr>
                <w:sz w:val="14"/>
                <w:szCs w:val="14"/>
                <w:color w:val="auto"/>
              </w:rPr>
            </w:pPr>
          </w:p>
        </w:tc>
        <w:tc>
          <w:tcPr>
            <w:tcW w:w="300" w:type="dxa"/>
            <w:vAlign w:val="bottom"/>
            <w:tcBorders>
              <w:right w:val="single" w:sz="8" w:color="53C072"/>
            </w:tcBorders>
            <w:shd w:val="clear" w:color="auto" w:fill="E8F5EA"/>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0" w:type="dxa"/>
            <w:vAlign w:val="bottom"/>
            <w:tcBorders>
              <w:left w:val="single" w:sz="8" w:color="53C072"/>
            </w:tcBorders>
            <w:shd w:val="clear" w:color="auto" w:fill="E8F5EA"/>
          </w:tcPr>
          <w:p>
            <w:pPr>
              <w:spacing w:after="0"/>
              <w:rPr>
                <w:sz w:val="15"/>
                <w:szCs w:val="15"/>
                <w:color w:val="auto"/>
              </w:rPr>
            </w:pPr>
          </w:p>
        </w:tc>
        <w:tc>
          <w:tcPr>
            <w:tcW w:w="140" w:type="dxa"/>
            <w:vAlign w:val="bottom"/>
            <w:shd w:val="clear" w:color="auto" w:fill="E8F5EA"/>
          </w:tcPr>
          <w:p>
            <w:pPr>
              <w:spacing w:after="0"/>
              <w:rPr>
                <w:sz w:val="15"/>
                <w:szCs w:val="15"/>
                <w:color w:val="auto"/>
              </w:rPr>
            </w:pPr>
          </w:p>
        </w:tc>
        <w:tc>
          <w:tcPr>
            <w:tcW w:w="2980" w:type="dxa"/>
            <w:vAlign w:val="bottom"/>
            <w:gridSpan w:val="10"/>
            <w:shd w:val="clear" w:color="auto" w:fill="E8F5EA"/>
          </w:tcPr>
          <w:p>
            <w:pPr>
              <w:spacing w:after="0" w:line="175" w:lineRule="exact"/>
              <w:rPr>
                <w:rFonts w:ascii="Arial" w:cs="Arial" w:eastAsia="Arial" w:hAnsi="Arial"/>
                <w:sz w:val="16"/>
                <w:szCs w:val="16"/>
                <w:color w:val="0000EE"/>
              </w:rPr>
            </w:pPr>
            <w:hyperlink w:anchor="page45">
              <w:r>
                <w:rPr>
                  <w:rFonts w:ascii="Arial" w:cs="Arial" w:eastAsia="Arial" w:hAnsi="Arial"/>
                  <w:sz w:val="16"/>
                  <w:szCs w:val="16"/>
                  <w:color w:val="0000EE"/>
                </w:rPr>
                <w:t>Role of the Independent Compensation</w:t>
              </w:r>
            </w:hyperlink>
          </w:p>
        </w:tc>
        <w:tc>
          <w:tcPr>
            <w:tcW w:w="140" w:type="dxa"/>
            <w:vAlign w:val="bottom"/>
            <w:shd w:val="clear" w:color="auto" w:fill="E8F5EA"/>
          </w:tcPr>
          <w:p>
            <w:pPr>
              <w:spacing w:after="0"/>
              <w:rPr>
                <w:sz w:val="15"/>
                <w:szCs w:val="15"/>
                <w:color w:val="auto"/>
              </w:rPr>
            </w:pPr>
          </w:p>
        </w:tc>
        <w:tc>
          <w:tcPr>
            <w:tcW w:w="380" w:type="dxa"/>
            <w:vAlign w:val="bottom"/>
            <w:vMerge w:val="restart"/>
            <w:shd w:val="clear" w:color="auto" w:fill="E8F5EA"/>
          </w:tcPr>
          <w:p>
            <w:pPr>
              <w:jc w:val="right"/>
              <w:spacing w:after="0"/>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40</w:t>
              </w:r>
            </w:hyperlink>
          </w:p>
        </w:tc>
        <w:tc>
          <w:tcPr>
            <w:tcW w:w="30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0" w:type="dxa"/>
            <w:vAlign w:val="bottom"/>
            <w:tcBorders>
              <w:top w:val="single" w:sz="8" w:color="E8F5EA"/>
              <w:left w:val="single" w:sz="8" w:color="53C072"/>
            </w:tcBorders>
            <w:shd w:val="clear" w:color="auto" w:fill="E8F5EA"/>
          </w:tcPr>
          <w:p>
            <w:pPr>
              <w:spacing w:after="0"/>
              <w:rPr>
                <w:sz w:val="14"/>
                <w:szCs w:val="14"/>
                <w:color w:val="auto"/>
              </w:rPr>
            </w:pPr>
          </w:p>
        </w:tc>
        <w:tc>
          <w:tcPr>
            <w:tcW w:w="140" w:type="dxa"/>
            <w:vAlign w:val="bottom"/>
            <w:tcBorders>
              <w:top w:val="single" w:sz="8" w:color="E8F5EA"/>
            </w:tcBorders>
            <w:shd w:val="clear" w:color="auto" w:fill="E8F5EA"/>
          </w:tcPr>
          <w:p>
            <w:pPr>
              <w:spacing w:after="0"/>
              <w:rPr>
                <w:sz w:val="14"/>
                <w:szCs w:val="14"/>
                <w:color w:val="auto"/>
              </w:rPr>
            </w:pPr>
          </w:p>
        </w:tc>
        <w:tc>
          <w:tcPr>
            <w:tcW w:w="2760" w:type="dxa"/>
            <w:vAlign w:val="bottom"/>
            <w:tcBorders>
              <w:top w:val="single" w:sz="8" w:color="0000EE"/>
            </w:tcBorders>
            <w:gridSpan w:val="8"/>
            <w:shd w:val="clear" w:color="auto" w:fill="E8F5EA"/>
          </w:tcPr>
          <w:p>
            <w:pPr>
              <w:spacing w:after="0" w:line="162" w:lineRule="exact"/>
              <w:rPr>
                <w:rFonts w:ascii="Arial" w:cs="Arial" w:eastAsia="Arial" w:hAnsi="Arial"/>
                <w:sz w:val="16"/>
                <w:szCs w:val="16"/>
                <w:color w:val="0000EE"/>
              </w:rPr>
            </w:pPr>
            <w:hyperlink w:anchor="page45">
              <w:r>
                <w:rPr>
                  <w:rFonts w:ascii="Arial" w:cs="Arial" w:eastAsia="Arial" w:hAnsi="Arial"/>
                  <w:sz w:val="16"/>
                  <w:szCs w:val="16"/>
                  <w:color w:val="0000EE"/>
                </w:rPr>
                <w:t>Consultant</w:t>
              </w:r>
            </w:hyperlink>
          </w:p>
        </w:tc>
        <w:tc>
          <w:tcPr>
            <w:tcW w:w="220" w:type="dxa"/>
            <w:vAlign w:val="bottom"/>
            <w:tcBorders>
              <w:top w:val="single" w:sz="8" w:color="E8F5EA"/>
            </w:tcBorders>
            <w:gridSpan w:val="2"/>
            <w:shd w:val="clear" w:color="auto" w:fill="E8F5EA"/>
          </w:tcPr>
          <w:p>
            <w:pPr>
              <w:spacing w:after="0"/>
              <w:rPr>
                <w:sz w:val="14"/>
                <w:szCs w:val="14"/>
                <w:color w:val="auto"/>
              </w:rPr>
            </w:pPr>
          </w:p>
        </w:tc>
        <w:tc>
          <w:tcPr>
            <w:tcW w:w="140" w:type="dxa"/>
            <w:vAlign w:val="bottom"/>
            <w:tcBorders>
              <w:top w:val="single" w:sz="8" w:color="E8F5EA"/>
            </w:tcBorders>
            <w:shd w:val="clear" w:color="auto" w:fill="E8F5EA"/>
          </w:tcPr>
          <w:p>
            <w:pPr>
              <w:spacing w:after="0"/>
              <w:rPr>
                <w:sz w:val="14"/>
                <w:szCs w:val="14"/>
                <w:color w:val="auto"/>
              </w:rPr>
            </w:pPr>
          </w:p>
        </w:tc>
        <w:tc>
          <w:tcPr>
            <w:tcW w:w="380" w:type="dxa"/>
            <w:vAlign w:val="bottom"/>
            <w:tcBorders>
              <w:top w:val="single" w:sz="8" w:color="E8F5EA"/>
            </w:tcBorders>
            <w:vMerge w:val="continue"/>
            <w:shd w:val="clear" w:color="auto" w:fill="E8F5EA"/>
          </w:tcPr>
          <w:p>
            <w:pPr>
              <w:spacing w:after="0"/>
              <w:rPr>
                <w:sz w:val="14"/>
                <w:szCs w:val="14"/>
                <w:color w:val="auto"/>
              </w:rPr>
            </w:pPr>
          </w:p>
        </w:tc>
        <w:tc>
          <w:tcPr>
            <w:tcW w:w="300" w:type="dxa"/>
            <w:vAlign w:val="bottom"/>
            <w:tcBorders>
              <w:top w:val="single" w:sz="8" w:color="E8F5EA"/>
              <w:right w:val="single" w:sz="8" w:color="53C072"/>
            </w:tcBorders>
            <w:shd w:val="clear" w:color="auto" w:fill="E8F5EA"/>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tcBorders>
              <w:left w:val="single" w:sz="8" w:color="53C072"/>
            </w:tcBorders>
            <w:shd w:val="clear" w:color="auto" w:fill="E8F5EA"/>
          </w:tcPr>
          <w:p>
            <w:pPr>
              <w:spacing w:after="0" w:line="20" w:lineRule="exact"/>
              <w:rPr>
                <w:sz w:val="1"/>
                <w:szCs w:val="1"/>
                <w:color w:val="auto"/>
              </w:rPr>
            </w:pPr>
          </w:p>
        </w:tc>
        <w:tc>
          <w:tcPr>
            <w:tcW w:w="140" w:type="dxa"/>
            <w:vAlign w:val="bottom"/>
            <w:shd w:val="clear" w:color="auto" w:fill="E8F5EA"/>
          </w:tcPr>
          <w:p>
            <w:pPr>
              <w:spacing w:after="0" w:line="20" w:lineRule="exact"/>
              <w:rPr>
                <w:sz w:val="1"/>
                <w:szCs w:val="1"/>
                <w:color w:val="auto"/>
              </w:rPr>
            </w:pPr>
          </w:p>
        </w:tc>
        <w:tc>
          <w:tcPr>
            <w:tcW w:w="820" w:type="dxa"/>
            <w:vAlign w:val="bottom"/>
            <w:tcBorders>
              <w:right w:val="single" w:sz="8" w:color="E8F5EA"/>
            </w:tcBorders>
            <w:gridSpan w:val="3"/>
            <w:shd w:val="clear" w:color="auto" w:fill="0000EE"/>
          </w:tcPr>
          <w:p>
            <w:pPr>
              <w:spacing w:after="0" w:line="20" w:lineRule="exact"/>
              <w:rPr>
                <w:sz w:val="1"/>
                <w:szCs w:val="1"/>
                <w:color w:val="auto"/>
              </w:rPr>
            </w:pPr>
          </w:p>
        </w:tc>
        <w:tc>
          <w:tcPr>
            <w:tcW w:w="1560" w:type="dxa"/>
            <w:vAlign w:val="bottom"/>
            <w:gridSpan w:val="3"/>
            <w:shd w:val="clear" w:color="auto" w:fill="E8F5EA"/>
          </w:tcPr>
          <w:p>
            <w:pPr>
              <w:spacing w:after="0" w:line="20" w:lineRule="exact"/>
              <w:rPr>
                <w:sz w:val="1"/>
                <w:szCs w:val="1"/>
                <w:color w:val="auto"/>
              </w:rPr>
            </w:pPr>
          </w:p>
        </w:tc>
        <w:tc>
          <w:tcPr>
            <w:tcW w:w="600" w:type="dxa"/>
            <w:vAlign w:val="bottom"/>
            <w:gridSpan w:val="4"/>
            <w:shd w:val="clear" w:color="auto" w:fill="E8F5EA"/>
          </w:tcPr>
          <w:p>
            <w:pPr>
              <w:spacing w:after="0" w:line="20" w:lineRule="exact"/>
              <w:rPr>
                <w:sz w:val="1"/>
                <w:szCs w:val="1"/>
                <w:color w:val="auto"/>
              </w:rPr>
            </w:pPr>
          </w:p>
        </w:tc>
        <w:tc>
          <w:tcPr>
            <w:tcW w:w="140" w:type="dxa"/>
            <w:vAlign w:val="bottom"/>
            <w:shd w:val="clear" w:color="auto" w:fill="E8F5EA"/>
          </w:tcPr>
          <w:p>
            <w:pPr>
              <w:spacing w:after="0" w:line="20" w:lineRule="exact"/>
              <w:rPr>
                <w:sz w:val="1"/>
                <w:szCs w:val="1"/>
                <w:color w:val="auto"/>
              </w:rPr>
            </w:pPr>
          </w:p>
        </w:tc>
        <w:tc>
          <w:tcPr>
            <w:tcW w:w="380" w:type="dxa"/>
            <w:vAlign w:val="bottom"/>
            <w:vMerge w:val="restart"/>
            <w:shd w:val="clear" w:color="auto" w:fill="E8F5EA"/>
          </w:tcPr>
          <w:p>
            <w:pPr>
              <w:jc w:val="right"/>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41</w:t>
              </w:r>
            </w:hyperlink>
          </w:p>
        </w:tc>
        <w:tc>
          <w:tcPr>
            <w:tcW w:w="300" w:type="dxa"/>
            <w:vAlign w:val="bottom"/>
            <w:tcBorders>
              <w:right w:val="single" w:sz="8" w:color="53C072"/>
            </w:tcBorders>
            <w:shd w:val="clear" w:color="auto" w:fill="E8F5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80" w:type="dxa"/>
            <w:vAlign w:val="bottom"/>
            <w:tcBorders>
              <w:left w:val="single" w:sz="8" w:color="53C072"/>
            </w:tcBorders>
            <w:shd w:val="clear" w:color="auto" w:fill="E8F5EA"/>
          </w:tcPr>
          <w:p>
            <w:pPr>
              <w:spacing w:after="0"/>
              <w:rPr>
                <w:sz w:val="14"/>
                <w:szCs w:val="14"/>
                <w:color w:val="auto"/>
              </w:rPr>
            </w:pPr>
          </w:p>
        </w:tc>
        <w:tc>
          <w:tcPr>
            <w:tcW w:w="140" w:type="dxa"/>
            <w:vAlign w:val="bottom"/>
            <w:shd w:val="clear" w:color="auto" w:fill="E8F5EA"/>
          </w:tcPr>
          <w:p>
            <w:pPr>
              <w:spacing w:after="0"/>
              <w:rPr>
                <w:sz w:val="14"/>
                <w:szCs w:val="14"/>
                <w:color w:val="auto"/>
              </w:rPr>
            </w:pPr>
          </w:p>
        </w:tc>
        <w:tc>
          <w:tcPr>
            <w:tcW w:w="2980" w:type="dxa"/>
            <w:vAlign w:val="bottom"/>
            <w:gridSpan w:val="10"/>
            <w:shd w:val="clear" w:color="auto" w:fill="E8F5EA"/>
          </w:tcPr>
          <w:p>
            <w:pPr>
              <w:spacing w:after="0" w:line="168" w:lineRule="exact"/>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Benchmarking</w:t>
              </w:r>
            </w:hyperlink>
          </w:p>
        </w:tc>
        <w:tc>
          <w:tcPr>
            <w:tcW w:w="140" w:type="dxa"/>
            <w:vAlign w:val="bottom"/>
            <w:shd w:val="clear" w:color="auto" w:fill="E8F5EA"/>
          </w:tcPr>
          <w:p>
            <w:pPr>
              <w:spacing w:after="0"/>
              <w:rPr>
                <w:sz w:val="14"/>
                <w:szCs w:val="14"/>
                <w:color w:val="auto"/>
              </w:rPr>
            </w:pPr>
          </w:p>
        </w:tc>
        <w:tc>
          <w:tcPr>
            <w:tcW w:w="380" w:type="dxa"/>
            <w:vAlign w:val="bottom"/>
            <w:vMerge w:val="continue"/>
            <w:shd w:val="clear" w:color="auto" w:fill="E8F5EA"/>
          </w:tcPr>
          <w:p>
            <w:pPr>
              <w:spacing w:after="0"/>
              <w:rPr>
                <w:sz w:val="14"/>
                <w:szCs w:val="14"/>
                <w:color w:val="auto"/>
              </w:rPr>
            </w:pPr>
          </w:p>
        </w:tc>
        <w:tc>
          <w:tcPr>
            <w:tcW w:w="300" w:type="dxa"/>
            <w:vAlign w:val="bottom"/>
            <w:tcBorders>
              <w:right w:val="single" w:sz="8" w:color="53C072"/>
            </w:tcBorders>
            <w:shd w:val="clear" w:color="auto" w:fill="E8F5EA"/>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80" w:type="dxa"/>
            <w:vAlign w:val="bottom"/>
            <w:tcBorders>
              <w:left w:val="single" w:sz="8" w:color="53C072"/>
            </w:tcBorders>
            <w:shd w:val="clear" w:color="auto" w:fill="E8F5EA"/>
          </w:tcPr>
          <w:p>
            <w:pPr>
              <w:spacing w:after="0"/>
              <w:rPr>
                <w:sz w:val="16"/>
                <w:szCs w:val="16"/>
                <w:color w:val="auto"/>
              </w:rPr>
            </w:pPr>
          </w:p>
        </w:tc>
        <w:tc>
          <w:tcPr>
            <w:tcW w:w="3120" w:type="dxa"/>
            <w:vAlign w:val="bottom"/>
            <w:gridSpan w:val="11"/>
            <w:shd w:val="clear" w:color="auto" w:fill="E8F5EA"/>
          </w:tcPr>
          <w:p>
            <w:pPr>
              <w:spacing w:after="0"/>
              <w:rPr>
                <w:rFonts w:ascii="Arial" w:cs="Arial" w:eastAsia="Arial" w:hAnsi="Arial"/>
                <w:sz w:val="16"/>
                <w:szCs w:val="16"/>
                <w:b w:val="1"/>
                <w:bCs w:val="1"/>
                <w:u w:val="single" w:color="auto"/>
                <w:color w:val="0000EE"/>
              </w:rPr>
            </w:pPr>
            <w:hyperlink w:anchor="page47">
              <w:r>
                <w:rPr>
                  <w:rFonts w:ascii="Arial" w:cs="Arial" w:eastAsia="Arial" w:hAnsi="Arial"/>
                  <w:sz w:val="16"/>
                  <w:szCs w:val="16"/>
                  <w:b w:val="1"/>
                  <w:bCs w:val="1"/>
                  <w:u w:val="single" w:color="auto"/>
                  <w:color w:val="0000EE"/>
                </w:rPr>
                <w:t>Overview of Pay Programs</w:t>
              </w:r>
            </w:hyperlink>
          </w:p>
        </w:tc>
        <w:tc>
          <w:tcPr>
            <w:tcW w:w="140" w:type="dxa"/>
            <w:vAlign w:val="bottom"/>
            <w:shd w:val="clear" w:color="auto" w:fill="E8F5EA"/>
          </w:tcPr>
          <w:p>
            <w:pPr>
              <w:spacing w:after="0"/>
              <w:rPr>
                <w:sz w:val="16"/>
                <w:szCs w:val="16"/>
                <w:color w:val="auto"/>
              </w:rPr>
            </w:pPr>
          </w:p>
        </w:tc>
        <w:tc>
          <w:tcPr>
            <w:tcW w:w="380" w:type="dxa"/>
            <w:vAlign w:val="bottom"/>
            <w:shd w:val="clear" w:color="auto" w:fill="E8F5EA"/>
          </w:tcPr>
          <w:p>
            <w:pPr>
              <w:jc w:val="right"/>
              <w:spacing w:after="0"/>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42</w:t>
              </w:r>
            </w:hyperlink>
          </w:p>
        </w:tc>
        <w:tc>
          <w:tcPr>
            <w:tcW w:w="300" w:type="dxa"/>
            <w:vAlign w:val="bottom"/>
            <w:tcBorders>
              <w:right w:val="single" w:sz="8" w:color="53C072"/>
            </w:tcBorders>
            <w:shd w:val="clear" w:color="auto" w:fill="E8F5EA"/>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80" w:type="dxa"/>
            <w:vAlign w:val="bottom"/>
            <w:tcBorders>
              <w:left w:val="single" w:sz="8" w:color="53C072"/>
            </w:tcBorders>
            <w:shd w:val="clear" w:color="auto" w:fill="E8F5EA"/>
          </w:tcPr>
          <w:p>
            <w:pPr>
              <w:spacing w:after="0"/>
              <w:rPr>
                <w:sz w:val="15"/>
                <w:szCs w:val="15"/>
                <w:color w:val="auto"/>
              </w:rPr>
            </w:pPr>
          </w:p>
        </w:tc>
        <w:tc>
          <w:tcPr>
            <w:tcW w:w="140" w:type="dxa"/>
            <w:vAlign w:val="bottom"/>
            <w:shd w:val="clear" w:color="auto" w:fill="E8F5EA"/>
          </w:tcPr>
          <w:p>
            <w:pPr>
              <w:spacing w:after="0"/>
              <w:rPr>
                <w:sz w:val="15"/>
                <w:szCs w:val="15"/>
                <w:color w:val="auto"/>
              </w:rPr>
            </w:pPr>
          </w:p>
        </w:tc>
        <w:tc>
          <w:tcPr>
            <w:tcW w:w="2980" w:type="dxa"/>
            <w:vAlign w:val="bottom"/>
            <w:gridSpan w:val="10"/>
            <w:shd w:val="clear" w:color="auto" w:fill="E8F5EA"/>
          </w:tcPr>
          <w:p>
            <w:pPr>
              <w:spacing w:after="0" w:line="182" w:lineRule="exact"/>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Pay Mix</w:t>
              </w:r>
            </w:hyperlink>
          </w:p>
        </w:tc>
        <w:tc>
          <w:tcPr>
            <w:tcW w:w="140" w:type="dxa"/>
            <w:vAlign w:val="bottom"/>
            <w:shd w:val="clear" w:color="auto" w:fill="E8F5EA"/>
          </w:tcPr>
          <w:p>
            <w:pPr>
              <w:spacing w:after="0"/>
              <w:rPr>
                <w:sz w:val="15"/>
                <w:szCs w:val="15"/>
                <w:color w:val="auto"/>
              </w:rPr>
            </w:pPr>
          </w:p>
        </w:tc>
        <w:tc>
          <w:tcPr>
            <w:tcW w:w="380" w:type="dxa"/>
            <w:vAlign w:val="bottom"/>
            <w:shd w:val="clear" w:color="auto" w:fill="E8F5EA"/>
          </w:tcPr>
          <w:p>
            <w:pPr>
              <w:jc w:val="right"/>
              <w:spacing w:after="0" w:line="182" w:lineRule="exact"/>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43</w:t>
              </w:r>
            </w:hyperlink>
          </w:p>
        </w:tc>
        <w:tc>
          <w:tcPr>
            <w:tcW w:w="30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80" w:type="dxa"/>
            <w:vAlign w:val="bottom"/>
            <w:tcBorders>
              <w:left w:val="single" w:sz="8" w:color="53C072"/>
            </w:tcBorders>
            <w:shd w:val="clear" w:color="auto" w:fill="E8F5EA"/>
          </w:tcPr>
          <w:p>
            <w:pPr>
              <w:spacing w:after="0"/>
              <w:rPr>
                <w:sz w:val="15"/>
                <w:szCs w:val="15"/>
                <w:color w:val="auto"/>
              </w:rPr>
            </w:pPr>
          </w:p>
        </w:tc>
        <w:tc>
          <w:tcPr>
            <w:tcW w:w="140" w:type="dxa"/>
            <w:vAlign w:val="bottom"/>
            <w:shd w:val="clear" w:color="auto" w:fill="E8F5EA"/>
          </w:tcPr>
          <w:p>
            <w:pPr>
              <w:spacing w:after="0"/>
              <w:rPr>
                <w:sz w:val="15"/>
                <w:szCs w:val="15"/>
                <w:color w:val="auto"/>
              </w:rPr>
            </w:pPr>
          </w:p>
        </w:tc>
        <w:tc>
          <w:tcPr>
            <w:tcW w:w="2980" w:type="dxa"/>
            <w:vAlign w:val="bottom"/>
            <w:gridSpan w:val="10"/>
            <w:shd w:val="clear" w:color="auto" w:fill="E8F5EA"/>
          </w:tcPr>
          <w:p>
            <w:pPr>
              <w:spacing w:after="0" w:line="182" w:lineRule="exact"/>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Compensation Governance Practices</w:t>
              </w:r>
            </w:hyperlink>
          </w:p>
        </w:tc>
        <w:tc>
          <w:tcPr>
            <w:tcW w:w="140" w:type="dxa"/>
            <w:vAlign w:val="bottom"/>
            <w:shd w:val="clear" w:color="auto" w:fill="E8F5EA"/>
          </w:tcPr>
          <w:p>
            <w:pPr>
              <w:spacing w:after="0"/>
              <w:rPr>
                <w:sz w:val="15"/>
                <w:szCs w:val="15"/>
                <w:color w:val="auto"/>
              </w:rPr>
            </w:pPr>
          </w:p>
        </w:tc>
        <w:tc>
          <w:tcPr>
            <w:tcW w:w="380" w:type="dxa"/>
            <w:vAlign w:val="bottom"/>
            <w:shd w:val="clear" w:color="auto" w:fill="E8F5EA"/>
          </w:tcPr>
          <w:p>
            <w:pPr>
              <w:jc w:val="right"/>
              <w:spacing w:after="0" w:line="182" w:lineRule="exact"/>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44</w:t>
              </w:r>
            </w:hyperlink>
          </w:p>
        </w:tc>
        <w:tc>
          <w:tcPr>
            <w:tcW w:w="30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0" w:type="dxa"/>
            <w:vAlign w:val="bottom"/>
            <w:tcBorders>
              <w:left w:val="single" w:sz="8" w:color="53C072"/>
            </w:tcBorders>
            <w:shd w:val="clear" w:color="auto" w:fill="E8F5EA"/>
          </w:tcPr>
          <w:p>
            <w:pPr>
              <w:spacing w:after="0"/>
              <w:rPr>
                <w:sz w:val="15"/>
                <w:szCs w:val="15"/>
                <w:color w:val="auto"/>
              </w:rPr>
            </w:pPr>
          </w:p>
        </w:tc>
        <w:tc>
          <w:tcPr>
            <w:tcW w:w="140" w:type="dxa"/>
            <w:vAlign w:val="bottom"/>
            <w:shd w:val="clear" w:color="auto" w:fill="E8F5EA"/>
          </w:tcPr>
          <w:p>
            <w:pPr>
              <w:spacing w:after="0"/>
              <w:rPr>
                <w:sz w:val="15"/>
                <w:szCs w:val="15"/>
                <w:color w:val="auto"/>
              </w:rPr>
            </w:pPr>
          </w:p>
        </w:tc>
        <w:tc>
          <w:tcPr>
            <w:tcW w:w="2980" w:type="dxa"/>
            <w:vAlign w:val="bottom"/>
            <w:gridSpan w:val="10"/>
            <w:shd w:val="clear" w:color="auto" w:fill="E8F5EA"/>
          </w:tcPr>
          <w:p>
            <w:pPr>
              <w:spacing w:after="0" w:line="180" w:lineRule="exact"/>
              <w:rPr>
                <w:rFonts w:ascii="Arial" w:cs="Arial" w:eastAsia="Arial" w:hAnsi="Arial"/>
                <w:sz w:val="16"/>
                <w:szCs w:val="16"/>
                <w:u w:val="single" w:color="auto"/>
                <w:color w:val="0000EE"/>
              </w:rPr>
            </w:pPr>
            <w:hyperlink w:anchor="page50">
              <w:r>
                <w:rPr>
                  <w:rFonts w:ascii="Arial" w:cs="Arial" w:eastAsia="Arial" w:hAnsi="Arial"/>
                  <w:sz w:val="16"/>
                  <w:szCs w:val="16"/>
                  <w:u w:val="single" w:color="auto"/>
                  <w:color w:val="0000EE"/>
                </w:rPr>
                <w:t>Compensation Risk Management</w:t>
              </w:r>
            </w:hyperlink>
          </w:p>
        </w:tc>
        <w:tc>
          <w:tcPr>
            <w:tcW w:w="140" w:type="dxa"/>
            <w:vAlign w:val="bottom"/>
            <w:shd w:val="clear" w:color="auto" w:fill="E8F5EA"/>
          </w:tcPr>
          <w:p>
            <w:pPr>
              <w:spacing w:after="0"/>
              <w:rPr>
                <w:sz w:val="15"/>
                <w:szCs w:val="15"/>
                <w:color w:val="auto"/>
              </w:rPr>
            </w:pPr>
          </w:p>
        </w:tc>
        <w:tc>
          <w:tcPr>
            <w:tcW w:w="380" w:type="dxa"/>
            <w:vAlign w:val="bottom"/>
            <w:shd w:val="clear" w:color="auto" w:fill="E8F5EA"/>
          </w:tcPr>
          <w:p>
            <w:pPr>
              <w:jc w:val="right"/>
              <w:spacing w:after="0" w:line="180" w:lineRule="exact"/>
              <w:rPr>
                <w:rFonts w:ascii="Arial" w:cs="Arial" w:eastAsia="Arial" w:hAnsi="Arial"/>
                <w:sz w:val="16"/>
                <w:szCs w:val="16"/>
                <w:u w:val="single" w:color="auto"/>
                <w:color w:val="0000EE"/>
              </w:rPr>
            </w:pPr>
            <w:hyperlink w:anchor="page50">
              <w:r>
                <w:rPr>
                  <w:rFonts w:ascii="Arial" w:cs="Arial" w:eastAsia="Arial" w:hAnsi="Arial"/>
                  <w:sz w:val="16"/>
                  <w:szCs w:val="16"/>
                  <w:u w:val="single" w:color="auto"/>
                  <w:color w:val="0000EE"/>
                </w:rPr>
                <w:t>45</w:t>
              </w:r>
            </w:hyperlink>
          </w:p>
        </w:tc>
        <w:tc>
          <w:tcPr>
            <w:tcW w:w="30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0" w:type="dxa"/>
            <w:vAlign w:val="bottom"/>
            <w:tcBorders>
              <w:left w:val="single" w:sz="8" w:color="53C072"/>
            </w:tcBorders>
            <w:shd w:val="clear" w:color="auto" w:fill="E8F5EA"/>
          </w:tcPr>
          <w:p>
            <w:pPr>
              <w:spacing w:after="0"/>
              <w:rPr>
                <w:sz w:val="16"/>
                <w:szCs w:val="16"/>
                <w:color w:val="auto"/>
              </w:rPr>
            </w:pPr>
          </w:p>
        </w:tc>
        <w:tc>
          <w:tcPr>
            <w:tcW w:w="3120" w:type="dxa"/>
            <w:vAlign w:val="bottom"/>
            <w:gridSpan w:val="11"/>
            <w:shd w:val="clear" w:color="auto" w:fill="E8F5EA"/>
          </w:tcPr>
          <w:p>
            <w:pPr>
              <w:spacing w:after="0"/>
              <w:rPr>
                <w:rFonts w:ascii="Arial" w:cs="Arial" w:eastAsia="Arial" w:hAnsi="Arial"/>
                <w:sz w:val="16"/>
                <w:szCs w:val="16"/>
                <w:b w:val="1"/>
                <w:bCs w:val="1"/>
                <w:u w:val="single" w:color="auto"/>
                <w:color w:val="0000EE"/>
              </w:rPr>
            </w:pPr>
            <w:hyperlink w:anchor="page50">
              <w:r>
                <w:rPr>
                  <w:rFonts w:ascii="Arial" w:cs="Arial" w:eastAsia="Arial" w:hAnsi="Arial"/>
                  <w:sz w:val="16"/>
                  <w:szCs w:val="16"/>
                  <w:b w:val="1"/>
                  <w:bCs w:val="1"/>
                  <w:u w:val="single" w:color="auto"/>
                  <w:color w:val="0000EE"/>
                </w:rPr>
                <w:t>Elements of Executive Compensation</w:t>
              </w:r>
            </w:hyperlink>
          </w:p>
        </w:tc>
        <w:tc>
          <w:tcPr>
            <w:tcW w:w="140" w:type="dxa"/>
            <w:vAlign w:val="bottom"/>
            <w:shd w:val="clear" w:color="auto" w:fill="E8F5EA"/>
          </w:tcPr>
          <w:p>
            <w:pPr>
              <w:spacing w:after="0"/>
              <w:rPr>
                <w:sz w:val="16"/>
                <w:szCs w:val="16"/>
                <w:color w:val="auto"/>
              </w:rPr>
            </w:pPr>
          </w:p>
        </w:tc>
        <w:tc>
          <w:tcPr>
            <w:tcW w:w="380" w:type="dxa"/>
            <w:vAlign w:val="bottom"/>
            <w:shd w:val="clear" w:color="auto" w:fill="E8F5EA"/>
          </w:tcPr>
          <w:p>
            <w:pPr>
              <w:jc w:val="right"/>
              <w:spacing w:after="0"/>
              <w:rPr>
                <w:rFonts w:ascii="Arial" w:cs="Arial" w:eastAsia="Arial" w:hAnsi="Arial"/>
                <w:sz w:val="16"/>
                <w:szCs w:val="16"/>
                <w:u w:val="single" w:color="auto"/>
                <w:color w:val="0000EE"/>
              </w:rPr>
            </w:pPr>
            <w:hyperlink w:anchor="page50">
              <w:r>
                <w:rPr>
                  <w:rFonts w:ascii="Arial" w:cs="Arial" w:eastAsia="Arial" w:hAnsi="Arial"/>
                  <w:sz w:val="16"/>
                  <w:szCs w:val="16"/>
                  <w:u w:val="single" w:color="auto"/>
                  <w:color w:val="0000EE"/>
                </w:rPr>
                <w:t>45</w:t>
              </w:r>
            </w:hyperlink>
          </w:p>
        </w:tc>
        <w:tc>
          <w:tcPr>
            <w:tcW w:w="300" w:type="dxa"/>
            <w:vAlign w:val="bottom"/>
            <w:tcBorders>
              <w:right w:val="single" w:sz="8" w:color="53C072"/>
            </w:tcBorders>
            <w:shd w:val="clear" w:color="auto" w:fill="E8F5EA"/>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80" w:type="dxa"/>
            <w:vAlign w:val="bottom"/>
            <w:tcBorders>
              <w:left w:val="single" w:sz="8" w:color="53C072"/>
            </w:tcBorders>
            <w:shd w:val="clear" w:color="auto" w:fill="E8F5EA"/>
          </w:tcPr>
          <w:p>
            <w:pPr>
              <w:spacing w:after="0"/>
              <w:rPr>
                <w:sz w:val="15"/>
                <w:szCs w:val="15"/>
                <w:color w:val="auto"/>
              </w:rPr>
            </w:pPr>
          </w:p>
        </w:tc>
        <w:tc>
          <w:tcPr>
            <w:tcW w:w="140" w:type="dxa"/>
            <w:vAlign w:val="bottom"/>
            <w:shd w:val="clear" w:color="auto" w:fill="E8F5EA"/>
          </w:tcPr>
          <w:p>
            <w:pPr>
              <w:spacing w:after="0"/>
              <w:rPr>
                <w:sz w:val="15"/>
                <w:szCs w:val="15"/>
                <w:color w:val="auto"/>
              </w:rPr>
            </w:pPr>
          </w:p>
        </w:tc>
        <w:tc>
          <w:tcPr>
            <w:tcW w:w="2980" w:type="dxa"/>
            <w:vAlign w:val="bottom"/>
            <w:gridSpan w:val="10"/>
            <w:shd w:val="clear" w:color="auto" w:fill="E8F5EA"/>
          </w:tcPr>
          <w:p>
            <w:pPr>
              <w:spacing w:after="0" w:line="182" w:lineRule="exact"/>
              <w:rPr>
                <w:rFonts w:ascii="Arial" w:cs="Arial" w:eastAsia="Arial" w:hAnsi="Arial"/>
                <w:sz w:val="16"/>
                <w:szCs w:val="16"/>
                <w:u w:val="single" w:color="auto"/>
                <w:color w:val="0000EE"/>
              </w:rPr>
            </w:pPr>
            <w:hyperlink w:anchor="page50">
              <w:r>
                <w:rPr>
                  <w:rFonts w:ascii="Arial" w:cs="Arial" w:eastAsia="Arial" w:hAnsi="Arial"/>
                  <w:sz w:val="16"/>
                  <w:szCs w:val="16"/>
                  <w:u w:val="single" w:color="auto"/>
                  <w:color w:val="0000EE"/>
                </w:rPr>
                <w:t>Base Salary</w:t>
              </w:r>
            </w:hyperlink>
          </w:p>
        </w:tc>
        <w:tc>
          <w:tcPr>
            <w:tcW w:w="140" w:type="dxa"/>
            <w:vAlign w:val="bottom"/>
            <w:shd w:val="clear" w:color="auto" w:fill="E8F5EA"/>
          </w:tcPr>
          <w:p>
            <w:pPr>
              <w:spacing w:after="0"/>
              <w:rPr>
                <w:sz w:val="15"/>
                <w:szCs w:val="15"/>
                <w:color w:val="auto"/>
              </w:rPr>
            </w:pPr>
          </w:p>
        </w:tc>
        <w:tc>
          <w:tcPr>
            <w:tcW w:w="380" w:type="dxa"/>
            <w:vAlign w:val="bottom"/>
            <w:shd w:val="clear" w:color="auto" w:fill="E8F5EA"/>
          </w:tcPr>
          <w:p>
            <w:pPr>
              <w:jc w:val="right"/>
              <w:spacing w:after="0" w:line="182" w:lineRule="exact"/>
              <w:rPr>
                <w:rFonts w:ascii="Arial" w:cs="Arial" w:eastAsia="Arial" w:hAnsi="Arial"/>
                <w:sz w:val="16"/>
                <w:szCs w:val="16"/>
                <w:u w:val="single" w:color="auto"/>
                <w:color w:val="0000EE"/>
              </w:rPr>
            </w:pPr>
            <w:hyperlink w:anchor="page50">
              <w:r>
                <w:rPr>
                  <w:rFonts w:ascii="Arial" w:cs="Arial" w:eastAsia="Arial" w:hAnsi="Arial"/>
                  <w:sz w:val="16"/>
                  <w:szCs w:val="16"/>
                  <w:u w:val="single" w:color="auto"/>
                  <w:color w:val="0000EE"/>
                </w:rPr>
                <w:t>45</w:t>
              </w:r>
            </w:hyperlink>
          </w:p>
        </w:tc>
        <w:tc>
          <w:tcPr>
            <w:tcW w:w="30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80" w:type="dxa"/>
            <w:vAlign w:val="bottom"/>
            <w:tcBorders>
              <w:left w:val="single" w:sz="8" w:color="53C072"/>
            </w:tcBorders>
            <w:shd w:val="clear" w:color="auto" w:fill="E8F5EA"/>
          </w:tcPr>
          <w:p>
            <w:pPr>
              <w:spacing w:after="0"/>
              <w:rPr>
                <w:sz w:val="15"/>
                <w:szCs w:val="15"/>
                <w:color w:val="auto"/>
              </w:rPr>
            </w:pPr>
          </w:p>
        </w:tc>
        <w:tc>
          <w:tcPr>
            <w:tcW w:w="140" w:type="dxa"/>
            <w:vAlign w:val="bottom"/>
            <w:shd w:val="clear" w:color="auto" w:fill="E8F5EA"/>
          </w:tcPr>
          <w:p>
            <w:pPr>
              <w:spacing w:after="0"/>
              <w:rPr>
                <w:sz w:val="15"/>
                <w:szCs w:val="15"/>
                <w:color w:val="auto"/>
              </w:rPr>
            </w:pPr>
          </w:p>
        </w:tc>
        <w:tc>
          <w:tcPr>
            <w:tcW w:w="2980" w:type="dxa"/>
            <w:vAlign w:val="bottom"/>
            <w:gridSpan w:val="10"/>
            <w:shd w:val="clear" w:color="auto" w:fill="E8F5EA"/>
          </w:tcPr>
          <w:p>
            <w:pPr>
              <w:spacing w:after="0" w:line="182" w:lineRule="exact"/>
              <w:rPr>
                <w:rFonts w:ascii="Arial" w:cs="Arial" w:eastAsia="Arial" w:hAnsi="Arial"/>
                <w:sz w:val="16"/>
                <w:szCs w:val="16"/>
                <w:u w:val="single" w:color="auto"/>
                <w:color w:val="0000EE"/>
              </w:rPr>
            </w:pPr>
            <w:hyperlink w:anchor="page51">
              <w:r>
                <w:rPr>
                  <w:rFonts w:ascii="Arial" w:cs="Arial" w:eastAsia="Arial" w:hAnsi="Arial"/>
                  <w:sz w:val="16"/>
                  <w:szCs w:val="16"/>
                  <w:u w:val="single" w:color="auto"/>
                  <w:color w:val="0000EE"/>
                </w:rPr>
                <w:t>Annual Cash Incentives</w:t>
              </w:r>
            </w:hyperlink>
          </w:p>
        </w:tc>
        <w:tc>
          <w:tcPr>
            <w:tcW w:w="140" w:type="dxa"/>
            <w:vAlign w:val="bottom"/>
            <w:shd w:val="clear" w:color="auto" w:fill="E8F5EA"/>
          </w:tcPr>
          <w:p>
            <w:pPr>
              <w:spacing w:after="0"/>
              <w:rPr>
                <w:sz w:val="15"/>
                <w:szCs w:val="15"/>
                <w:color w:val="auto"/>
              </w:rPr>
            </w:pPr>
          </w:p>
        </w:tc>
        <w:tc>
          <w:tcPr>
            <w:tcW w:w="380" w:type="dxa"/>
            <w:vAlign w:val="bottom"/>
            <w:shd w:val="clear" w:color="auto" w:fill="E8F5EA"/>
          </w:tcPr>
          <w:p>
            <w:pPr>
              <w:jc w:val="right"/>
              <w:spacing w:after="0" w:line="182" w:lineRule="exact"/>
              <w:rPr>
                <w:rFonts w:ascii="Arial" w:cs="Arial" w:eastAsia="Arial" w:hAnsi="Arial"/>
                <w:sz w:val="16"/>
                <w:szCs w:val="16"/>
                <w:u w:val="single" w:color="auto"/>
                <w:color w:val="0000EE"/>
              </w:rPr>
            </w:pPr>
            <w:hyperlink w:anchor="page51">
              <w:r>
                <w:rPr>
                  <w:rFonts w:ascii="Arial" w:cs="Arial" w:eastAsia="Arial" w:hAnsi="Arial"/>
                  <w:sz w:val="16"/>
                  <w:szCs w:val="16"/>
                  <w:u w:val="single" w:color="auto"/>
                  <w:color w:val="0000EE"/>
                </w:rPr>
                <w:t>46</w:t>
              </w:r>
            </w:hyperlink>
          </w:p>
        </w:tc>
        <w:tc>
          <w:tcPr>
            <w:tcW w:w="30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80" w:type="dxa"/>
            <w:vAlign w:val="bottom"/>
            <w:tcBorders>
              <w:left w:val="single" w:sz="8" w:color="53C072"/>
            </w:tcBorders>
            <w:shd w:val="clear" w:color="auto" w:fill="E8F5EA"/>
          </w:tcPr>
          <w:p>
            <w:pPr>
              <w:spacing w:after="0"/>
              <w:rPr>
                <w:sz w:val="15"/>
                <w:szCs w:val="15"/>
                <w:color w:val="auto"/>
              </w:rPr>
            </w:pPr>
          </w:p>
        </w:tc>
        <w:tc>
          <w:tcPr>
            <w:tcW w:w="140" w:type="dxa"/>
            <w:vAlign w:val="bottom"/>
            <w:shd w:val="clear" w:color="auto" w:fill="E8F5EA"/>
          </w:tcPr>
          <w:p>
            <w:pPr>
              <w:spacing w:after="0"/>
              <w:rPr>
                <w:sz w:val="15"/>
                <w:szCs w:val="15"/>
                <w:color w:val="auto"/>
              </w:rPr>
            </w:pPr>
          </w:p>
        </w:tc>
        <w:tc>
          <w:tcPr>
            <w:tcW w:w="2980" w:type="dxa"/>
            <w:vAlign w:val="bottom"/>
            <w:gridSpan w:val="10"/>
            <w:shd w:val="clear" w:color="auto" w:fill="E8F5EA"/>
          </w:tcPr>
          <w:p>
            <w:pPr>
              <w:spacing w:after="0" w:line="182" w:lineRule="exact"/>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Long-Term Incentives</w:t>
              </w:r>
            </w:hyperlink>
          </w:p>
        </w:tc>
        <w:tc>
          <w:tcPr>
            <w:tcW w:w="140" w:type="dxa"/>
            <w:vAlign w:val="bottom"/>
            <w:shd w:val="clear" w:color="auto" w:fill="E8F5EA"/>
          </w:tcPr>
          <w:p>
            <w:pPr>
              <w:spacing w:after="0"/>
              <w:rPr>
                <w:sz w:val="15"/>
                <w:szCs w:val="15"/>
                <w:color w:val="auto"/>
              </w:rPr>
            </w:pPr>
          </w:p>
        </w:tc>
        <w:tc>
          <w:tcPr>
            <w:tcW w:w="380" w:type="dxa"/>
            <w:vAlign w:val="bottom"/>
            <w:shd w:val="clear" w:color="auto" w:fill="E8F5EA"/>
          </w:tcPr>
          <w:p>
            <w:pPr>
              <w:jc w:val="right"/>
              <w:spacing w:after="0" w:line="182" w:lineRule="exact"/>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48</w:t>
              </w:r>
            </w:hyperlink>
          </w:p>
        </w:tc>
        <w:tc>
          <w:tcPr>
            <w:tcW w:w="30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0" w:type="dxa"/>
            <w:vAlign w:val="bottom"/>
            <w:tcBorders>
              <w:left w:val="single" w:sz="8" w:color="53C072"/>
            </w:tcBorders>
            <w:shd w:val="clear" w:color="auto" w:fill="E8F5EA"/>
          </w:tcPr>
          <w:p>
            <w:pPr>
              <w:spacing w:after="0"/>
              <w:rPr>
                <w:sz w:val="15"/>
                <w:szCs w:val="15"/>
                <w:color w:val="auto"/>
              </w:rPr>
            </w:pPr>
          </w:p>
        </w:tc>
        <w:tc>
          <w:tcPr>
            <w:tcW w:w="140" w:type="dxa"/>
            <w:vAlign w:val="bottom"/>
            <w:shd w:val="clear" w:color="auto" w:fill="E8F5EA"/>
          </w:tcPr>
          <w:p>
            <w:pPr>
              <w:spacing w:after="0"/>
              <w:rPr>
                <w:sz w:val="15"/>
                <w:szCs w:val="15"/>
                <w:color w:val="auto"/>
              </w:rPr>
            </w:pPr>
          </w:p>
        </w:tc>
        <w:tc>
          <w:tcPr>
            <w:tcW w:w="2980" w:type="dxa"/>
            <w:vAlign w:val="bottom"/>
            <w:gridSpan w:val="10"/>
            <w:shd w:val="clear" w:color="auto" w:fill="E8F5EA"/>
          </w:tcPr>
          <w:p>
            <w:pPr>
              <w:spacing w:after="0" w:line="180" w:lineRule="exact"/>
              <w:rPr>
                <w:rFonts w:ascii="Arial" w:cs="Arial" w:eastAsia="Arial" w:hAnsi="Arial"/>
                <w:sz w:val="16"/>
                <w:szCs w:val="16"/>
                <w:u w:val="single" w:color="auto"/>
                <w:color w:val="0000EE"/>
              </w:rPr>
            </w:pPr>
            <w:hyperlink w:anchor="page57">
              <w:r>
                <w:rPr>
                  <w:rFonts w:ascii="Arial" w:cs="Arial" w:eastAsia="Arial" w:hAnsi="Arial"/>
                  <w:sz w:val="16"/>
                  <w:szCs w:val="16"/>
                  <w:u w:val="single" w:color="auto"/>
                  <w:color w:val="0000EE"/>
                </w:rPr>
                <w:t>Additional Compensation Elements</w:t>
              </w:r>
            </w:hyperlink>
          </w:p>
        </w:tc>
        <w:tc>
          <w:tcPr>
            <w:tcW w:w="140" w:type="dxa"/>
            <w:vAlign w:val="bottom"/>
            <w:shd w:val="clear" w:color="auto" w:fill="E8F5EA"/>
          </w:tcPr>
          <w:p>
            <w:pPr>
              <w:spacing w:after="0"/>
              <w:rPr>
                <w:sz w:val="15"/>
                <w:szCs w:val="15"/>
                <w:color w:val="auto"/>
              </w:rPr>
            </w:pPr>
          </w:p>
        </w:tc>
        <w:tc>
          <w:tcPr>
            <w:tcW w:w="380" w:type="dxa"/>
            <w:vAlign w:val="bottom"/>
            <w:shd w:val="clear" w:color="auto" w:fill="E8F5EA"/>
          </w:tcPr>
          <w:p>
            <w:pPr>
              <w:jc w:val="right"/>
              <w:spacing w:after="0" w:line="180" w:lineRule="exact"/>
              <w:rPr>
                <w:rFonts w:ascii="Arial" w:cs="Arial" w:eastAsia="Arial" w:hAnsi="Arial"/>
                <w:sz w:val="16"/>
                <w:szCs w:val="16"/>
                <w:u w:val="single" w:color="auto"/>
                <w:color w:val="0000EE"/>
              </w:rPr>
            </w:pPr>
            <w:hyperlink w:anchor="page57">
              <w:r>
                <w:rPr>
                  <w:rFonts w:ascii="Arial" w:cs="Arial" w:eastAsia="Arial" w:hAnsi="Arial"/>
                  <w:sz w:val="16"/>
                  <w:szCs w:val="16"/>
                  <w:u w:val="single" w:color="auto"/>
                  <w:color w:val="0000EE"/>
                </w:rPr>
                <w:t>52</w:t>
              </w:r>
            </w:hyperlink>
          </w:p>
        </w:tc>
        <w:tc>
          <w:tcPr>
            <w:tcW w:w="30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Borders>
              <w:left w:val="single" w:sz="8" w:color="53C072"/>
            </w:tcBorders>
            <w:shd w:val="clear" w:color="auto" w:fill="E8F5EA"/>
          </w:tcPr>
          <w:p>
            <w:pPr>
              <w:spacing w:after="0"/>
              <w:rPr>
                <w:sz w:val="15"/>
                <w:szCs w:val="15"/>
                <w:color w:val="auto"/>
              </w:rPr>
            </w:pPr>
          </w:p>
        </w:tc>
        <w:tc>
          <w:tcPr>
            <w:tcW w:w="3120" w:type="dxa"/>
            <w:vAlign w:val="bottom"/>
            <w:gridSpan w:val="11"/>
            <w:shd w:val="clear" w:color="auto" w:fill="E8F5EA"/>
          </w:tcPr>
          <w:p>
            <w:pPr>
              <w:spacing w:after="0" w:line="177" w:lineRule="exact"/>
              <w:rPr>
                <w:rFonts w:ascii="Arial" w:cs="Arial" w:eastAsia="Arial" w:hAnsi="Arial"/>
                <w:sz w:val="16"/>
                <w:szCs w:val="16"/>
                <w:b w:val="1"/>
                <w:bCs w:val="1"/>
                <w:color w:val="0000EE"/>
              </w:rPr>
            </w:pPr>
            <w:hyperlink w:anchor="page58">
              <w:r>
                <w:rPr>
                  <w:rFonts w:ascii="Arial" w:cs="Arial" w:eastAsia="Arial" w:hAnsi="Arial"/>
                  <w:sz w:val="16"/>
                  <w:szCs w:val="16"/>
                  <w:b w:val="1"/>
                  <w:bCs w:val="1"/>
                  <w:color w:val="0000EE"/>
                </w:rPr>
                <w:t>Additional Practices, Policies and</w:t>
              </w:r>
            </w:hyperlink>
          </w:p>
        </w:tc>
        <w:tc>
          <w:tcPr>
            <w:tcW w:w="140" w:type="dxa"/>
            <w:vAlign w:val="bottom"/>
            <w:shd w:val="clear" w:color="auto" w:fill="E8F5EA"/>
          </w:tcPr>
          <w:p>
            <w:pPr>
              <w:spacing w:after="0"/>
              <w:rPr>
                <w:sz w:val="15"/>
                <w:szCs w:val="15"/>
                <w:color w:val="auto"/>
              </w:rPr>
            </w:pPr>
          </w:p>
        </w:tc>
        <w:tc>
          <w:tcPr>
            <w:tcW w:w="380" w:type="dxa"/>
            <w:vAlign w:val="bottom"/>
            <w:vMerge w:val="restart"/>
            <w:shd w:val="clear" w:color="auto" w:fill="E8F5EA"/>
          </w:tcPr>
          <w:p>
            <w:pPr>
              <w:jc w:val="right"/>
              <w:spacing w:after="0"/>
              <w:rPr>
                <w:rFonts w:ascii="Arial" w:cs="Arial" w:eastAsia="Arial" w:hAnsi="Arial"/>
                <w:sz w:val="16"/>
                <w:szCs w:val="16"/>
                <w:u w:val="single" w:color="auto"/>
                <w:color w:val="0000EE"/>
              </w:rPr>
            </w:pPr>
            <w:hyperlink w:anchor="page58">
              <w:r>
                <w:rPr>
                  <w:rFonts w:ascii="Arial" w:cs="Arial" w:eastAsia="Arial" w:hAnsi="Arial"/>
                  <w:sz w:val="16"/>
                  <w:szCs w:val="16"/>
                  <w:u w:val="single" w:color="auto"/>
                  <w:color w:val="0000EE"/>
                </w:rPr>
                <w:t>53</w:t>
              </w:r>
            </w:hyperlink>
          </w:p>
        </w:tc>
        <w:tc>
          <w:tcPr>
            <w:tcW w:w="30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0" w:type="dxa"/>
            <w:vAlign w:val="bottom"/>
            <w:tcBorders>
              <w:top w:val="single" w:sz="8" w:color="E8F5EA"/>
              <w:left w:val="single" w:sz="8" w:color="53C072"/>
              <w:bottom w:val="single" w:sz="8" w:color="E8F5EA"/>
            </w:tcBorders>
            <w:shd w:val="clear" w:color="auto" w:fill="E8F5EA"/>
          </w:tcPr>
          <w:p>
            <w:pPr>
              <w:spacing w:after="0"/>
              <w:rPr>
                <w:sz w:val="14"/>
                <w:szCs w:val="14"/>
                <w:color w:val="auto"/>
              </w:rPr>
            </w:pPr>
          </w:p>
        </w:tc>
        <w:tc>
          <w:tcPr>
            <w:tcW w:w="140" w:type="dxa"/>
            <w:vAlign w:val="bottom"/>
            <w:tcBorders>
              <w:top w:val="single" w:sz="8" w:color="0000EE"/>
              <w:bottom w:val="single" w:sz="8" w:color="E8F5EA"/>
            </w:tcBorders>
            <w:shd w:val="clear" w:color="auto" w:fill="E8F5EA"/>
          </w:tcPr>
          <w:p>
            <w:pPr>
              <w:spacing w:after="0"/>
              <w:rPr>
                <w:sz w:val="14"/>
                <w:szCs w:val="14"/>
                <w:color w:val="auto"/>
              </w:rPr>
            </w:pPr>
          </w:p>
        </w:tc>
        <w:tc>
          <w:tcPr>
            <w:tcW w:w="820" w:type="dxa"/>
            <w:vAlign w:val="bottom"/>
            <w:tcBorders>
              <w:top w:val="single" w:sz="8" w:color="0000EE"/>
              <w:bottom w:val="single" w:sz="8" w:color="0000EE"/>
              <w:right w:val="single" w:sz="8" w:color="E8F5EA"/>
            </w:tcBorders>
            <w:gridSpan w:val="3"/>
            <w:shd w:val="clear" w:color="auto" w:fill="E8F5EA"/>
          </w:tcPr>
          <w:p>
            <w:pPr>
              <w:spacing w:after="0" w:line="162" w:lineRule="exact"/>
              <w:rPr>
                <w:rFonts w:ascii="Arial" w:cs="Arial" w:eastAsia="Arial" w:hAnsi="Arial"/>
                <w:sz w:val="16"/>
                <w:szCs w:val="16"/>
                <w:b w:val="1"/>
                <w:bCs w:val="1"/>
                <w:color w:val="0000EE"/>
                <w:w w:val="95"/>
              </w:rPr>
            </w:pPr>
            <w:hyperlink w:anchor="page58">
              <w:r>
                <w:rPr>
                  <w:rFonts w:ascii="Arial" w:cs="Arial" w:eastAsia="Arial" w:hAnsi="Arial"/>
                  <w:sz w:val="16"/>
                  <w:szCs w:val="16"/>
                  <w:b w:val="1"/>
                  <w:bCs w:val="1"/>
                  <w:color w:val="0000EE"/>
                  <w:w w:val="95"/>
                </w:rPr>
                <w:t>Guidelines</w:t>
              </w:r>
            </w:hyperlink>
          </w:p>
        </w:tc>
        <w:tc>
          <w:tcPr>
            <w:tcW w:w="1560" w:type="dxa"/>
            <w:vAlign w:val="bottom"/>
            <w:tcBorders>
              <w:top w:val="single" w:sz="8" w:color="0000EE"/>
              <w:bottom w:val="single" w:sz="8" w:color="E8F5EA"/>
            </w:tcBorders>
            <w:gridSpan w:val="3"/>
            <w:shd w:val="clear" w:color="auto" w:fill="E8F5EA"/>
          </w:tcPr>
          <w:p>
            <w:pPr>
              <w:spacing w:after="0"/>
              <w:rPr>
                <w:sz w:val="14"/>
                <w:szCs w:val="14"/>
                <w:color w:val="auto"/>
              </w:rPr>
            </w:pPr>
          </w:p>
        </w:tc>
        <w:tc>
          <w:tcPr>
            <w:tcW w:w="600" w:type="dxa"/>
            <w:vAlign w:val="bottom"/>
            <w:tcBorders>
              <w:top w:val="single" w:sz="8" w:color="E8F5EA"/>
              <w:bottom w:val="single" w:sz="8" w:color="E8F5EA"/>
            </w:tcBorders>
            <w:gridSpan w:val="4"/>
            <w:shd w:val="clear" w:color="auto" w:fill="E8F5EA"/>
          </w:tcPr>
          <w:p>
            <w:pPr>
              <w:spacing w:after="0"/>
              <w:rPr>
                <w:sz w:val="14"/>
                <w:szCs w:val="14"/>
                <w:color w:val="auto"/>
              </w:rPr>
            </w:pPr>
          </w:p>
        </w:tc>
        <w:tc>
          <w:tcPr>
            <w:tcW w:w="140" w:type="dxa"/>
            <w:vAlign w:val="bottom"/>
            <w:tcBorders>
              <w:top w:val="single" w:sz="8" w:color="E8F5EA"/>
              <w:bottom w:val="single" w:sz="8" w:color="E8F5EA"/>
            </w:tcBorders>
            <w:shd w:val="clear" w:color="auto" w:fill="E8F5EA"/>
          </w:tcPr>
          <w:p>
            <w:pPr>
              <w:spacing w:after="0"/>
              <w:rPr>
                <w:sz w:val="14"/>
                <w:szCs w:val="14"/>
                <w:color w:val="auto"/>
              </w:rPr>
            </w:pPr>
          </w:p>
        </w:tc>
        <w:tc>
          <w:tcPr>
            <w:tcW w:w="380" w:type="dxa"/>
            <w:vAlign w:val="bottom"/>
            <w:tcBorders>
              <w:top w:val="single" w:sz="8" w:color="E8F5EA"/>
              <w:bottom w:val="single" w:sz="8" w:color="E8F5EA"/>
            </w:tcBorders>
            <w:vMerge w:val="continue"/>
            <w:shd w:val="clear" w:color="auto" w:fill="E8F5EA"/>
          </w:tcPr>
          <w:p>
            <w:pPr>
              <w:spacing w:after="0"/>
              <w:rPr>
                <w:sz w:val="14"/>
                <w:szCs w:val="14"/>
                <w:color w:val="auto"/>
              </w:rPr>
            </w:pPr>
          </w:p>
        </w:tc>
        <w:tc>
          <w:tcPr>
            <w:tcW w:w="300" w:type="dxa"/>
            <w:vAlign w:val="bottom"/>
            <w:tcBorders>
              <w:top w:val="single" w:sz="8" w:color="E8F5EA"/>
              <w:bottom w:val="single" w:sz="8" w:color="E8F5EA"/>
              <w:right w:val="single" w:sz="8" w:color="53C072"/>
            </w:tcBorders>
            <w:shd w:val="clear" w:color="auto" w:fill="E8F5EA"/>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53C072"/>
            </w:tcBorders>
            <w:shd w:val="clear" w:color="auto" w:fill="E8F5EA"/>
          </w:tcPr>
          <w:p>
            <w:pPr>
              <w:spacing w:after="0"/>
              <w:rPr>
                <w:sz w:val="14"/>
                <w:szCs w:val="14"/>
                <w:color w:val="auto"/>
              </w:rPr>
            </w:pPr>
          </w:p>
        </w:tc>
        <w:tc>
          <w:tcPr>
            <w:tcW w:w="140" w:type="dxa"/>
            <w:vAlign w:val="bottom"/>
            <w:shd w:val="clear" w:color="auto" w:fill="E8F5EA"/>
          </w:tcPr>
          <w:p>
            <w:pPr>
              <w:spacing w:after="0"/>
              <w:rPr>
                <w:sz w:val="14"/>
                <w:szCs w:val="14"/>
                <w:color w:val="auto"/>
              </w:rPr>
            </w:pPr>
          </w:p>
        </w:tc>
        <w:tc>
          <w:tcPr>
            <w:tcW w:w="2980" w:type="dxa"/>
            <w:vAlign w:val="bottom"/>
            <w:gridSpan w:val="10"/>
            <w:shd w:val="clear" w:color="auto" w:fill="E8F5EA"/>
          </w:tcPr>
          <w:p>
            <w:pPr>
              <w:spacing w:after="0" w:line="169" w:lineRule="exact"/>
              <w:rPr>
                <w:rFonts w:ascii="Arial" w:cs="Arial" w:eastAsia="Arial" w:hAnsi="Arial"/>
                <w:sz w:val="16"/>
                <w:szCs w:val="16"/>
                <w:u w:val="single" w:color="auto"/>
                <w:color w:val="0000EE"/>
              </w:rPr>
            </w:pPr>
            <w:hyperlink w:anchor="page58">
              <w:r>
                <w:rPr>
                  <w:rFonts w:ascii="Arial" w:cs="Arial" w:eastAsia="Arial" w:hAnsi="Arial"/>
                  <w:sz w:val="16"/>
                  <w:szCs w:val="16"/>
                  <w:u w:val="single" w:color="auto"/>
                  <w:color w:val="0000EE"/>
                </w:rPr>
                <w:t>Stock Ownership Guidelines</w:t>
              </w:r>
            </w:hyperlink>
          </w:p>
        </w:tc>
        <w:tc>
          <w:tcPr>
            <w:tcW w:w="140" w:type="dxa"/>
            <w:vAlign w:val="bottom"/>
            <w:shd w:val="clear" w:color="auto" w:fill="E8F5EA"/>
          </w:tcPr>
          <w:p>
            <w:pPr>
              <w:spacing w:after="0"/>
              <w:rPr>
                <w:sz w:val="14"/>
                <w:szCs w:val="14"/>
                <w:color w:val="auto"/>
              </w:rPr>
            </w:pPr>
          </w:p>
        </w:tc>
        <w:tc>
          <w:tcPr>
            <w:tcW w:w="380" w:type="dxa"/>
            <w:vAlign w:val="bottom"/>
            <w:shd w:val="clear" w:color="auto" w:fill="E8F5EA"/>
          </w:tcPr>
          <w:p>
            <w:pPr>
              <w:jc w:val="right"/>
              <w:spacing w:after="0" w:line="169" w:lineRule="exact"/>
              <w:rPr>
                <w:rFonts w:ascii="Arial" w:cs="Arial" w:eastAsia="Arial" w:hAnsi="Arial"/>
                <w:sz w:val="16"/>
                <w:szCs w:val="16"/>
                <w:u w:val="single" w:color="auto"/>
                <w:color w:val="0000EE"/>
              </w:rPr>
            </w:pPr>
            <w:hyperlink w:anchor="page58">
              <w:r>
                <w:rPr>
                  <w:rFonts w:ascii="Arial" w:cs="Arial" w:eastAsia="Arial" w:hAnsi="Arial"/>
                  <w:sz w:val="16"/>
                  <w:szCs w:val="16"/>
                  <w:u w:val="single" w:color="auto"/>
                  <w:color w:val="0000EE"/>
                </w:rPr>
                <w:t>53</w:t>
              </w:r>
            </w:hyperlink>
          </w:p>
        </w:tc>
        <w:tc>
          <w:tcPr>
            <w:tcW w:w="300" w:type="dxa"/>
            <w:vAlign w:val="bottom"/>
            <w:tcBorders>
              <w:right w:val="single" w:sz="8" w:color="53C072"/>
            </w:tcBorders>
            <w:shd w:val="clear" w:color="auto" w:fill="E8F5EA"/>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80" w:type="dxa"/>
            <w:vAlign w:val="bottom"/>
            <w:tcBorders>
              <w:left w:val="single" w:sz="8" w:color="53C072"/>
            </w:tcBorders>
            <w:shd w:val="clear" w:color="auto" w:fill="E8F5EA"/>
          </w:tcPr>
          <w:p>
            <w:pPr>
              <w:spacing w:after="0"/>
              <w:rPr>
                <w:sz w:val="15"/>
                <w:szCs w:val="15"/>
                <w:color w:val="auto"/>
              </w:rPr>
            </w:pPr>
          </w:p>
        </w:tc>
        <w:tc>
          <w:tcPr>
            <w:tcW w:w="140" w:type="dxa"/>
            <w:vAlign w:val="bottom"/>
            <w:shd w:val="clear" w:color="auto" w:fill="E8F5EA"/>
          </w:tcPr>
          <w:p>
            <w:pPr>
              <w:spacing w:after="0"/>
              <w:rPr>
                <w:sz w:val="15"/>
                <w:szCs w:val="15"/>
                <w:color w:val="auto"/>
              </w:rPr>
            </w:pPr>
          </w:p>
        </w:tc>
        <w:tc>
          <w:tcPr>
            <w:tcW w:w="2980" w:type="dxa"/>
            <w:vAlign w:val="bottom"/>
            <w:gridSpan w:val="10"/>
            <w:shd w:val="clear" w:color="auto" w:fill="E8F5EA"/>
          </w:tcPr>
          <w:p>
            <w:pPr>
              <w:spacing w:after="0" w:line="182" w:lineRule="exact"/>
              <w:rPr>
                <w:rFonts w:ascii="Arial" w:cs="Arial" w:eastAsia="Arial" w:hAnsi="Arial"/>
                <w:sz w:val="16"/>
                <w:szCs w:val="16"/>
                <w:u w:val="single" w:color="auto"/>
                <w:color w:val="0000EE"/>
              </w:rPr>
            </w:pPr>
            <w:hyperlink w:anchor="page59">
              <w:r>
                <w:rPr>
                  <w:rFonts w:ascii="Arial" w:cs="Arial" w:eastAsia="Arial" w:hAnsi="Arial"/>
                  <w:sz w:val="16"/>
                  <w:szCs w:val="16"/>
                  <w:u w:val="single" w:color="auto"/>
                  <w:color w:val="0000EE"/>
                </w:rPr>
                <w:t>Hedging/Pledging Policy</w:t>
              </w:r>
            </w:hyperlink>
          </w:p>
        </w:tc>
        <w:tc>
          <w:tcPr>
            <w:tcW w:w="140" w:type="dxa"/>
            <w:vAlign w:val="bottom"/>
            <w:shd w:val="clear" w:color="auto" w:fill="E8F5EA"/>
          </w:tcPr>
          <w:p>
            <w:pPr>
              <w:spacing w:after="0"/>
              <w:rPr>
                <w:sz w:val="15"/>
                <w:szCs w:val="15"/>
                <w:color w:val="auto"/>
              </w:rPr>
            </w:pPr>
          </w:p>
        </w:tc>
        <w:tc>
          <w:tcPr>
            <w:tcW w:w="380" w:type="dxa"/>
            <w:vAlign w:val="bottom"/>
            <w:shd w:val="clear" w:color="auto" w:fill="E8F5EA"/>
          </w:tcPr>
          <w:p>
            <w:pPr>
              <w:jc w:val="right"/>
              <w:spacing w:after="0" w:line="182" w:lineRule="exact"/>
              <w:rPr>
                <w:rFonts w:ascii="Arial" w:cs="Arial" w:eastAsia="Arial" w:hAnsi="Arial"/>
                <w:sz w:val="16"/>
                <w:szCs w:val="16"/>
                <w:u w:val="single" w:color="auto"/>
                <w:color w:val="0000EE"/>
              </w:rPr>
            </w:pPr>
            <w:hyperlink w:anchor="page59">
              <w:r>
                <w:rPr>
                  <w:rFonts w:ascii="Arial" w:cs="Arial" w:eastAsia="Arial" w:hAnsi="Arial"/>
                  <w:sz w:val="16"/>
                  <w:szCs w:val="16"/>
                  <w:u w:val="single" w:color="auto"/>
                  <w:color w:val="0000EE"/>
                </w:rPr>
                <w:t>54</w:t>
              </w:r>
            </w:hyperlink>
          </w:p>
        </w:tc>
        <w:tc>
          <w:tcPr>
            <w:tcW w:w="30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80" w:type="dxa"/>
            <w:vAlign w:val="bottom"/>
            <w:tcBorders>
              <w:left w:val="single" w:sz="8" w:color="53C072"/>
            </w:tcBorders>
            <w:shd w:val="clear" w:color="auto" w:fill="E8F5EA"/>
          </w:tcPr>
          <w:p>
            <w:pPr>
              <w:spacing w:after="0"/>
              <w:rPr>
                <w:sz w:val="15"/>
                <w:szCs w:val="15"/>
                <w:color w:val="auto"/>
              </w:rPr>
            </w:pPr>
          </w:p>
        </w:tc>
        <w:tc>
          <w:tcPr>
            <w:tcW w:w="140" w:type="dxa"/>
            <w:vAlign w:val="bottom"/>
            <w:shd w:val="clear" w:color="auto" w:fill="E8F5EA"/>
          </w:tcPr>
          <w:p>
            <w:pPr>
              <w:spacing w:after="0"/>
              <w:rPr>
                <w:sz w:val="15"/>
                <w:szCs w:val="15"/>
                <w:color w:val="auto"/>
              </w:rPr>
            </w:pPr>
          </w:p>
        </w:tc>
        <w:tc>
          <w:tcPr>
            <w:tcW w:w="2980" w:type="dxa"/>
            <w:vAlign w:val="bottom"/>
            <w:gridSpan w:val="10"/>
            <w:shd w:val="clear" w:color="auto" w:fill="E8F5EA"/>
          </w:tcPr>
          <w:p>
            <w:pPr>
              <w:spacing w:after="0" w:line="182" w:lineRule="exact"/>
              <w:rPr>
                <w:rFonts w:ascii="Arial" w:cs="Arial" w:eastAsia="Arial" w:hAnsi="Arial"/>
                <w:sz w:val="16"/>
                <w:szCs w:val="16"/>
                <w:u w:val="single" w:color="auto"/>
                <w:color w:val="0000EE"/>
              </w:rPr>
            </w:pPr>
            <w:hyperlink w:anchor="page59">
              <w:r>
                <w:rPr>
                  <w:rFonts w:ascii="Arial" w:cs="Arial" w:eastAsia="Arial" w:hAnsi="Arial"/>
                  <w:sz w:val="16"/>
                  <w:szCs w:val="16"/>
                  <w:u w:val="single" w:color="auto"/>
                  <w:color w:val="0000EE"/>
                </w:rPr>
                <w:t>Recoupment Policy</w:t>
              </w:r>
            </w:hyperlink>
          </w:p>
        </w:tc>
        <w:tc>
          <w:tcPr>
            <w:tcW w:w="140" w:type="dxa"/>
            <w:vAlign w:val="bottom"/>
            <w:shd w:val="clear" w:color="auto" w:fill="E8F5EA"/>
          </w:tcPr>
          <w:p>
            <w:pPr>
              <w:spacing w:after="0"/>
              <w:rPr>
                <w:sz w:val="15"/>
                <w:szCs w:val="15"/>
                <w:color w:val="auto"/>
              </w:rPr>
            </w:pPr>
          </w:p>
        </w:tc>
        <w:tc>
          <w:tcPr>
            <w:tcW w:w="380" w:type="dxa"/>
            <w:vAlign w:val="bottom"/>
            <w:shd w:val="clear" w:color="auto" w:fill="E8F5EA"/>
          </w:tcPr>
          <w:p>
            <w:pPr>
              <w:jc w:val="right"/>
              <w:spacing w:after="0" w:line="182" w:lineRule="exact"/>
              <w:rPr>
                <w:rFonts w:ascii="Arial" w:cs="Arial" w:eastAsia="Arial" w:hAnsi="Arial"/>
                <w:sz w:val="16"/>
                <w:szCs w:val="16"/>
                <w:u w:val="single" w:color="auto"/>
                <w:color w:val="0000EE"/>
              </w:rPr>
            </w:pPr>
            <w:hyperlink w:anchor="page59">
              <w:r>
                <w:rPr>
                  <w:rFonts w:ascii="Arial" w:cs="Arial" w:eastAsia="Arial" w:hAnsi="Arial"/>
                  <w:sz w:val="16"/>
                  <w:szCs w:val="16"/>
                  <w:u w:val="single" w:color="auto"/>
                  <w:color w:val="0000EE"/>
                </w:rPr>
                <w:t>54</w:t>
              </w:r>
            </w:hyperlink>
          </w:p>
        </w:tc>
        <w:tc>
          <w:tcPr>
            <w:tcW w:w="30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80" w:type="dxa"/>
            <w:vAlign w:val="bottom"/>
            <w:tcBorders>
              <w:left w:val="single" w:sz="8" w:color="53C072"/>
            </w:tcBorders>
            <w:shd w:val="clear" w:color="auto" w:fill="E8F5EA"/>
          </w:tcPr>
          <w:p>
            <w:pPr>
              <w:spacing w:after="0"/>
              <w:rPr>
                <w:sz w:val="15"/>
                <w:szCs w:val="15"/>
                <w:color w:val="auto"/>
              </w:rPr>
            </w:pPr>
          </w:p>
        </w:tc>
        <w:tc>
          <w:tcPr>
            <w:tcW w:w="140" w:type="dxa"/>
            <w:vAlign w:val="bottom"/>
            <w:shd w:val="clear" w:color="auto" w:fill="E8F5EA"/>
          </w:tcPr>
          <w:p>
            <w:pPr>
              <w:spacing w:after="0"/>
              <w:rPr>
                <w:sz w:val="15"/>
                <w:szCs w:val="15"/>
                <w:color w:val="auto"/>
              </w:rPr>
            </w:pPr>
          </w:p>
        </w:tc>
        <w:tc>
          <w:tcPr>
            <w:tcW w:w="2980" w:type="dxa"/>
            <w:vAlign w:val="bottom"/>
            <w:gridSpan w:val="10"/>
            <w:shd w:val="clear" w:color="auto" w:fill="E8F5EA"/>
          </w:tcPr>
          <w:p>
            <w:pPr>
              <w:spacing w:after="0" w:line="182" w:lineRule="exact"/>
              <w:rPr>
                <w:rFonts w:ascii="Arial" w:cs="Arial" w:eastAsia="Arial" w:hAnsi="Arial"/>
                <w:sz w:val="16"/>
                <w:szCs w:val="16"/>
                <w:u w:val="single" w:color="auto"/>
                <w:color w:val="0000EE"/>
              </w:rPr>
            </w:pPr>
            <w:hyperlink w:anchor="page59">
              <w:r>
                <w:rPr>
                  <w:rFonts w:ascii="Arial" w:cs="Arial" w:eastAsia="Arial" w:hAnsi="Arial"/>
                  <w:sz w:val="16"/>
                  <w:szCs w:val="16"/>
                  <w:u w:val="single" w:color="auto"/>
                  <w:color w:val="0000EE"/>
                </w:rPr>
                <w:t>Equity Grant Practices</w:t>
              </w:r>
            </w:hyperlink>
          </w:p>
        </w:tc>
        <w:tc>
          <w:tcPr>
            <w:tcW w:w="140" w:type="dxa"/>
            <w:vAlign w:val="bottom"/>
            <w:shd w:val="clear" w:color="auto" w:fill="E8F5EA"/>
          </w:tcPr>
          <w:p>
            <w:pPr>
              <w:spacing w:after="0"/>
              <w:rPr>
                <w:sz w:val="15"/>
                <w:szCs w:val="15"/>
                <w:color w:val="auto"/>
              </w:rPr>
            </w:pPr>
          </w:p>
        </w:tc>
        <w:tc>
          <w:tcPr>
            <w:tcW w:w="380" w:type="dxa"/>
            <w:vAlign w:val="bottom"/>
            <w:shd w:val="clear" w:color="auto" w:fill="E8F5EA"/>
          </w:tcPr>
          <w:p>
            <w:pPr>
              <w:jc w:val="right"/>
              <w:spacing w:after="0" w:line="182" w:lineRule="exact"/>
              <w:rPr>
                <w:rFonts w:ascii="Arial" w:cs="Arial" w:eastAsia="Arial" w:hAnsi="Arial"/>
                <w:sz w:val="16"/>
                <w:szCs w:val="16"/>
                <w:u w:val="single" w:color="auto"/>
                <w:color w:val="0000EE"/>
              </w:rPr>
            </w:pPr>
            <w:hyperlink w:anchor="page59">
              <w:r>
                <w:rPr>
                  <w:rFonts w:ascii="Arial" w:cs="Arial" w:eastAsia="Arial" w:hAnsi="Arial"/>
                  <w:sz w:val="16"/>
                  <w:szCs w:val="16"/>
                  <w:u w:val="single" w:color="auto"/>
                  <w:color w:val="0000EE"/>
                </w:rPr>
                <w:t>54</w:t>
              </w:r>
            </w:hyperlink>
          </w:p>
        </w:tc>
        <w:tc>
          <w:tcPr>
            <w:tcW w:w="30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80" w:type="dxa"/>
            <w:vAlign w:val="bottom"/>
            <w:tcBorders>
              <w:left w:val="single" w:sz="8" w:color="53C072"/>
              <w:bottom w:val="single" w:sz="8" w:color="53C072"/>
            </w:tcBorders>
            <w:shd w:val="clear" w:color="auto" w:fill="E8F5EA"/>
          </w:tcPr>
          <w:p>
            <w:pPr>
              <w:spacing w:after="0"/>
              <w:rPr>
                <w:sz w:val="17"/>
                <w:szCs w:val="17"/>
                <w:color w:val="auto"/>
              </w:rPr>
            </w:pPr>
          </w:p>
        </w:tc>
        <w:tc>
          <w:tcPr>
            <w:tcW w:w="140" w:type="dxa"/>
            <w:vAlign w:val="bottom"/>
            <w:tcBorders>
              <w:bottom w:val="single" w:sz="8" w:color="53C072"/>
            </w:tcBorders>
            <w:shd w:val="clear" w:color="auto" w:fill="E8F5EA"/>
          </w:tcPr>
          <w:p>
            <w:pPr>
              <w:spacing w:after="0"/>
              <w:rPr>
                <w:sz w:val="17"/>
                <w:szCs w:val="17"/>
                <w:color w:val="auto"/>
              </w:rPr>
            </w:pPr>
          </w:p>
        </w:tc>
        <w:tc>
          <w:tcPr>
            <w:tcW w:w="2980" w:type="dxa"/>
            <w:vAlign w:val="bottom"/>
            <w:tcBorders>
              <w:bottom w:val="single" w:sz="8" w:color="53C072"/>
            </w:tcBorders>
            <w:gridSpan w:val="10"/>
            <w:shd w:val="clear" w:color="auto" w:fill="E8F5EA"/>
          </w:tcPr>
          <w:p>
            <w:pPr>
              <w:spacing w:after="0"/>
              <w:rPr>
                <w:rFonts w:ascii="Arial" w:cs="Arial" w:eastAsia="Arial" w:hAnsi="Arial"/>
                <w:sz w:val="16"/>
                <w:szCs w:val="16"/>
                <w:u w:val="single" w:color="auto"/>
                <w:color w:val="0000EE"/>
              </w:rPr>
            </w:pPr>
            <w:hyperlink w:anchor="page60">
              <w:r>
                <w:rPr>
                  <w:rFonts w:ascii="Arial" w:cs="Arial" w:eastAsia="Arial" w:hAnsi="Arial"/>
                  <w:sz w:val="16"/>
                  <w:szCs w:val="16"/>
                  <w:u w:val="single" w:color="auto"/>
                  <w:color w:val="0000EE"/>
                </w:rPr>
                <w:t>Deductibility of Executive Compensation</w:t>
              </w:r>
            </w:hyperlink>
          </w:p>
        </w:tc>
        <w:tc>
          <w:tcPr>
            <w:tcW w:w="140" w:type="dxa"/>
            <w:vAlign w:val="bottom"/>
            <w:tcBorders>
              <w:bottom w:val="single" w:sz="8" w:color="53C072"/>
            </w:tcBorders>
            <w:shd w:val="clear" w:color="auto" w:fill="E8F5EA"/>
          </w:tcPr>
          <w:p>
            <w:pPr>
              <w:spacing w:after="0"/>
              <w:rPr>
                <w:sz w:val="17"/>
                <w:szCs w:val="17"/>
                <w:color w:val="auto"/>
              </w:rPr>
            </w:pPr>
          </w:p>
        </w:tc>
        <w:tc>
          <w:tcPr>
            <w:tcW w:w="380" w:type="dxa"/>
            <w:vAlign w:val="bottom"/>
            <w:tcBorders>
              <w:bottom w:val="single" w:sz="8" w:color="53C072"/>
            </w:tcBorders>
            <w:shd w:val="clear" w:color="auto" w:fill="E8F5EA"/>
          </w:tcPr>
          <w:p>
            <w:pPr>
              <w:jc w:val="right"/>
              <w:spacing w:after="0"/>
              <w:rPr>
                <w:rFonts w:ascii="Arial" w:cs="Arial" w:eastAsia="Arial" w:hAnsi="Arial"/>
                <w:sz w:val="16"/>
                <w:szCs w:val="16"/>
                <w:u w:val="single" w:color="auto"/>
                <w:color w:val="0000EE"/>
              </w:rPr>
            </w:pPr>
            <w:hyperlink w:anchor="page60">
              <w:r>
                <w:rPr>
                  <w:rFonts w:ascii="Arial" w:cs="Arial" w:eastAsia="Arial" w:hAnsi="Arial"/>
                  <w:sz w:val="16"/>
                  <w:szCs w:val="16"/>
                  <w:u w:val="single" w:color="auto"/>
                  <w:color w:val="0000EE"/>
                </w:rPr>
                <w:t>55</w:t>
              </w:r>
            </w:hyperlink>
          </w:p>
        </w:tc>
        <w:tc>
          <w:tcPr>
            <w:tcW w:w="300" w:type="dxa"/>
            <w:vAlign w:val="bottom"/>
            <w:tcBorders>
              <w:bottom w:val="single" w:sz="8" w:color="53C072"/>
              <w:right w:val="single" w:sz="8" w:color="53C072"/>
            </w:tcBorders>
            <w:shd w:val="clear" w:color="auto" w:fill="E8F5EA"/>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EXECUTIVE SUMMARY</w:t>
      </w:r>
    </w:p>
    <w:p>
      <w:pPr>
        <w:spacing w:after="0" w:line="209"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The Company has designed its compensation programs and practices around a pay-for-performance philosophy that is geared towards the achievement and linkage of both short- and long-term financial and operational goals that the Company believes support the sustained growth of shareholder value. Senior executives are encouraged to think and behave like owners of the business and to consider the impact of their decisions and performance on the aggregate success of the Company as reflected in its total shareholder return ("TSR"). This section explains how the Compensation Committee made its compensation decisions for fiscal 2020 for the NEOs. The compensation awarded to the NEOs for fiscal 2020 is set forth in the Summary Compensation Table in this Proxy Statement.</w:t>
      </w:r>
    </w:p>
    <w:p>
      <w:pPr>
        <w:spacing w:after="0" w:line="156"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Named Executive Officers (NEOs)</w:t>
      </w:r>
    </w:p>
    <w:p>
      <w:pPr>
        <w:spacing w:after="0" w:line="194"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NEOs for fiscal 2020 are listed below. The titles represent their current position with the Company. Please see "Executive Officers of the Company" for additional information on current officers' roles with the Company during fiscal 2020.</w:t>
      </w:r>
    </w:p>
    <w:p>
      <w:pPr>
        <w:spacing w:after="0" w:line="2286" w:lineRule="exact"/>
        <w:rPr>
          <w:sz w:val="20"/>
          <w:szCs w:val="20"/>
          <w:color w:val="auto"/>
        </w:rPr>
      </w:pPr>
    </w:p>
    <w:p>
      <w:pPr>
        <w:sectPr>
          <w:pgSz w:w="11900" w:h="16838" w:orient="portrait"/>
          <w:cols w:equalWidth="0" w:num="2">
            <w:col w:w="5243" w:space="720"/>
            <w:col w:w="5300"/>
          </w:cols>
          <w:pgMar w:left="317" w:top="122" w:right="319" w:bottom="1440" w:gutter="0" w:footer="0" w:header="0"/>
          <w:type w:val="continuous"/>
        </w:sectPr>
      </w:pPr>
    </w:p>
    <w:tbl>
      <w:tblPr>
        <w:tblLayout w:type="fixed"/>
        <w:tblInd w:w="3" w:type="dxa"/>
        <w:tblCellMar>
          <w:top w:w="0" w:type="dxa"/>
          <w:left w:w="0" w:type="dxa"/>
          <w:bottom w:w="0" w:type="dxa"/>
          <w:right w:w="0" w:type="dxa"/>
        </w:tblCellMar>
      </w:tblPr>
      <w:tr>
        <w:trPr>
          <w:trHeight w:val="182"/>
        </w:trPr>
        <w:tc>
          <w:tcPr>
            <w:tcW w:w="1860" w:type="dxa"/>
            <w:vAlign w:val="bottom"/>
            <w:shd w:val="clear" w:color="auto" w:fill="53C072"/>
          </w:tcPr>
          <w:p>
            <w:pPr>
              <w:spacing w:after="0" w:line="182" w:lineRule="exact"/>
              <w:rPr>
                <w:sz w:val="20"/>
                <w:szCs w:val="20"/>
                <w:color w:val="auto"/>
              </w:rPr>
            </w:pPr>
            <w:r>
              <w:rPr>
                <w:rFonts w:ascii="Arial" w:cs="Arial" w:eastAsia="Arial" w:hAnsi="Arial"/>
                <w:sz w:val="16"/>
                <w:szCs w:val="16"/>
                <w:b w:val="1"/>
                <w:bCs w:val="1"/>
                <w:color w:val="FFFFFE"/>
              </w:rPr>
              <w:t>NEOs</w:t>
            </w:r>
          </w:p>
        </w:tc>
        <w:tc>
          <w:tcPr>
            <w:tcW w:w="9400" w:type="dxa"/>
            <w:vAlign w:val="bottom"/>
            <w:shd w:val="clear" w:color="auto" w:fill="53C072"/>
          </w:tcPr>
          <w:p>
            <w:pPr>
              <w:ind w:left="380"/>
              <w:spacing w:after="0" w:line="182" w:lineRule="exact"/>
              <w:rPr>
                <w:sz w:val="20"/>
                <w:szCs w:val="20"/>
                <w:color w:val="auto"/>
              </w:rPr>
            </w:pPr>
            <w:r>
              <w:rPr>
                <w:rFonts w:ascii="Arial" w:cs="Arial" w:eastAsia="Arial" w:hAnsi="Arial"/>
                <w:sz w:val="16"/>
                <w:szCs w:val="16"/>
                <w:b w:val="1"/>
                <w:bCs w:val="1"/>
                <w:color w:val="FFFFFE"/>
              </w:rPr>
              <w:t>Position</w:t>
            </w:r>
          </w:p>
        </w:tc>
      </w:tr>
      <w:tr>
        <w:trPr>
          <w:trHeight w:val="219"/>
        </w:trPr>
        <w:tc>
          <w:tcPr>
            <w:tcW w:w="1860" w:type="dxa"/>
            <w:vAlign w:val="bottom"/>
          </w:tcPr>
          <w:p>
            <w:pPr>
              <w:spacing w:after="0" w:line="218" w:lineRule="exact"/>
              <w:rPr>
                <w:sz w:val="20"/>
                <w:szCs w:val="20"/>
                <w:color w:val="auto"/>
              </w:rPr>
            </w:pPr>
            <w:r>
              <w:rPr>
                <w:rFonts w:ascii="Arial" w:cs="Arial" w:eastAsia="Arial" w:hAnsi="Arial"/>
                <w:sz w:val="15"/>
                <w:szCs w:val="15"/>
                <w:color w:val="auto"/>
              </w:rPr>
              <w:t>William J. Amelio</w:t>
            </w:r>
            <w:r>
              <w:rPr>
                <w:rFonts w:ascii="Arial" w:cs="Arial" w:eastAsia="Arial" w:hAnsi="Arial"/>
                <w:sz w:val="25"/>
                <w:szCs w:val="25"/>
                <w:color w:val="auto"/>
                <w:vertAlign w:val="superscript"/>
              </w:rPr>
              <w:t>(1)</w:t>
            </w:r>
          </w:p>
        </w:tc>
        <w:tc>
          <w:tcPr>
            <w:tcW w:w="9400" w:type="dxa"/>
            <w:vAlign w:val="bottom"/>
          </w:tcPr>
          <w:p>
            <w:pPr>
              <w:ind w:left="380"/>
              <w:spacing w:after="0"/>
              <w:rPr>
                <w:sz w:val="20"/>
                <w:szCs w:val="20"/>
                <w:color w:val="auto"/>
              </w:rPr>
            </w:pPr>
            <w:r>
              <w:rPr>
                <w:rFonts w:ascii="Arial" w:cs="Arial" w:eastAsia="Arial" w:hAnsi="Arial"/>
                <w:sz w:val="16"/>
                <w:szCs w:val="16"/>
                <w:color w:val="auto"/>
              </w:rPr>
              <w:t>Former Chief Executive Officer ("CEO")</w:t>
            </w:r>
          </w:p>
        </w:tc>
      </w:tr>
      <w:tr>
        <w:trPr>
          <w:trHeight w:val="182"/>
        </w:trPr>
        <w:tc>
          <w:tcPr>
            <w:tcW w:w="1860" w:type="dxa"/>
            <w:vAlign w:val="bottom"/>
            <w:shd w:val="clear" w:color="auto" w:fill="E8F5EA"/>
          </w:tcPr>
          <w:p>
            <w:pPr>
              <w:spacing w:after="0" w:line="182" w:lineRule="exact"/>
              <w:rPr>
                <w:sz w:val="20"/>
                <w:szCs w:val="20"/>
                <w:color w:val="auto"/>
              </w:rPr>
            </w:pPr>
            <w:r>
              <w:rPr>
                <w:rFonts w:ascii="Arial" w:cs="Arial" w:eastAsia="Arial" w:hAnsi="Arial"/>
                <w:sz w:val="16"/>
                <w:szCs w:val="16"/>
                <w:color w:val="auto"/>
              </w:rPr>
              <w:t>Thomas Liguori</w:t>
            </w:r>
          </w:p>
        </w:tc>
        <w:tc>
          <w:tcPr>
            <w:tcW w:w="9400" w:type="dxa"/>
            <w:vAlign w:val="bottom"/>
            <w:shd w:val="clear" w:color="auto" w:fill="E8F5EA"/>
          </w:tcPr>
          <w:p>
            <w:pPr>
              <w:ind w:left="380"/>
              <w:spacing w:after="0" w:line="182" w:lineRule="exact"/>
              <w:rPr>
                <w:sz w:val="20"/>
                <w:szCs w:val="20"/>
                <w:color w:val="auto"/>
              </w:rPr>
            </w:pPr>
            <w:r>
              <w:rPr>
                <w:rFonts w:ascii="Arial" w:cs="Arial" w:eastAsia="Arial" w:hAnsi="Arial"/>
                <w:sz w:val="16"/>
                <w:szCs w:val="16"/>
                <w:color w:val="auto"/>
              </w:rPr>
              <w:t>Chief Financial Officer ("CFO")</w:t>
            </w:r>
          </w:p>
        </w:tc>
      </w:tr>
      <w:tr>
        <w:trPr>
          <w:trHeight w:val="219"/>
        </w:trPr>
        <w:tc>
          <w:tcPr>
            <w:tcW w:w="1860" w:type="dxa"/>
            <w:vAlign w:val="bottom"/>
          </w:tcPr>
          <w:p>
            <w:pPr>
              <w:spacing w:after="0" w:line="218" w:lineRule="exact"/>
              <w:rPr>
                <w:sz w:val="20"/>
                <w:szCs w:val="20"/>
                <w:color w:val="auto"/>
              </w:rPr>
            </w:pPr>
            <w:r>
              <w:rPr>
                <w:rFonts w:ascii="Arial" w:cs="Arial" w:eastAsia="Arial" w:hAnsi="Arial"/>
                <w:sz w:val="15"/>
                <w:szCs w:val="15"/>
                <w:color w:val="auto"/>
              </w:rPr>
              <w:t>Peter G. Bartolotta</w:t>
            </w:r>
            <w:r>
              <w:rPr>
                <w:rFonts w:ascii="Arial" w:cs="Arial" w:eastAsia="Arial" w:hAnsi="Arial"/>
                <w:sz w:val="25"/>
                <w:szCs w:val="25"/>
                <w:color w:val="auto"/>
                <w:vertAlign w:val="superscript"/>
              </w:rPr>
              <w:t>(2)</w:t>
            </w:r>
          </w:p>
        </w:tc>
        <w:tc>
          <w:tcPr>
            <w:tcW w:w="9400" w:type="dxa"/>
            <w:vAlign w:val="bottom"/>
          </w:tcPr>
          <w:p>
            <w:pPr>
              <w:ind w:left="380"/>
              <w:spacing w:after="0"/>
              <w:rPr>
                <w:sz w:val="20"/>
                <w:szCs w:val="20"/>
                <w:color w:val="auto"/>
              </w:rPr>
            </w:pPr>
            <w:r>
              <w:rPr>
                <w:rFonts w:ascii="Arial" w:cs="Arial" w:eastAsia="Arial" w:hAnsi="Arial"/>
                <w:sz w:val="16"/>
                <w:szCs w:val="16"/>
                <w:color w:val="auto"/>
              </w:rPr>
              <w:t>Former President, Business Transformation</w:t>
            </w:r>
          </w:p>
        </w:tc>
      </w:tr>
      <w:tr>
        <w:trPr>
          <w:trHeight w:val="219"/>
        </w:trPr>
        <w:tc>
          <w:tcPr>
            <w:tcW w:w="1860" w:type="dxa"/>
            <w:vAlign w:val="bottom"/>
            <w:shd w:val="clear" w:color="auto" w:fill="E8F5EA"/>
          </w:tcPr>
          <w:p>
            <w:pPr>
              <w:spacing w:after="0" w:line="218" w:lineRule="exact"/>
              <w:rPr>
                <w:sz w:val="20"/>
                <w:szCs w:val="20"/>
                <w:color w:val="auto"/>
              </w:rPr>
            </w:pPr>
            <w:r>
              <w:rPr>
                <w:rFonts w:ascii="Arial" w:cs="Arial" w:eastAsia="Arial" w:hAnsi="Arial"/>
                <w:sz w:val="15"/>
                <w:szCs w:val="15"/>
                <w:color w:val="auto"/>
              </w:rPr>
              <w:t>Philip R. Gallagher</w:t>
            </w:r>
            <w:r>
              <w:rPr>
                <w:rFonts w:ascii="Arial" w:cs="Arial" w:eastAsia="Arial" w:hAnsi="Arial"/>
                <w:sz w:val="25"/>
                <w:szCs w:val="25"/>
                <w:color w:val="auto"/>
                <w:vertAlign w:val="superscript"/>
              </w:rPr>
              <w:t>(3)</w:t>
            </w:r>
          </w:p>
        </w:tc>
        <w:tc>
          <w:tcPr>
            <w:tcW w:w="9400" w:type="dxa"/>
            <w:vAlign w:val="bottom"/>
            <w:shd w:val="clear" w:color="auto" w:fill="E8F5EA"/>
          </w:tcPr>
          <w:p>
            <w:pPr>
              <w:ind w:left="380"/>
              <w:spacing w:after="0"/>
              <w:rPr>
                <w:sz w:val="20"/>
                <w:szCs w:val="20"/>
                <w:color w:val="auto"/>
              </w:rPr>
            </w:pPr>
            <w:r>
              <w:rPr>
                <w:rFonts w:ascii="Arial" w:cs="Arial" w:eastAsia="Arial" w:hAnsi="Arial"/>
                <w:sz w:val="16"/>
                <w:szCs w:val="16"/>
                <w:color w:val="auto"/>
              </w:rPr>
              <w:t>Interim Chief Executive Office and President, Electronic Components</w:t>
            </w:r>
          </w:p>
        </w:tc>
      </w:tr>
      <w:tr>
        <w:trPr>
          <w:trHeight w:val="182"/>
        </w:trPr>
        <w:tc>
          <w:tcPr>
            <w:tcW w:w="1860" w:type="dxa"/>
            <w:vAlign w:val="bottom"/>
          </w:tcPr>
          <w:p>
            <w:pPr>
              <w:spacing w:after="0" w:line="182" w:lineRule="exact"/>
              <w:rPr>
                <w:sz w:val="20"/>
                <w:szCs w:val="20"/>
                <w:color w:val="auto"/>
              </w:rPr>
            </w:pPr>
            <w:r>
              <w:rPr>
                <w:rFonts w:ascii="Arial" w:cs="Arial" w:eastAsia="Arial" w:hAnsi="Arial"/>
                <w:sz w:val="16"/>
                <w:szCs w:val="16"/>
                <w:color w:val="auto"/>
              </w:rPr>
              <w:t>MaryAnn G. Miller</w:t>
            </w:r>
          </w:p>
        </w:tc>
        <w:tc>
          <w:tcPr>
            <w:tcW w:w="9400" w:type="dxa"/>
            <w:vAlign w:val="bottom"/>
          </w:tcPr>
          <w:p>
            <w:pPr>
              <w:ind w:left="380"/>
              <w:spacing w:after="0" w:line="182" w:lineRule="exact"/>
              <w:rPr>
                <w:sz w:val="20"/>
                <w:szCs w:val="20"/>
                <w:color w:val="auto"/>
              </w:rPr>
            </w:pPr>
            <w:r>
              <w:rPr>
                <w:rFonts w:ascii="Arial" w:cs="Arial" w:eastAsia="Arial" w:hAnsi="Arial"/>
                <w:sz w:val="16"/>
                <w:szCs w:val="16"/>
                <w:color w:val="auto"/>
              </w:rPr>
              <w:t>Senior Vice President, Chief Administrative Officer ("CAO")</w:t>
            </w:r>
          </w:p>
        </w:tc>
      </w:tr>
      <w:tr>
        <w:trPr>
          <w:trHeight w:val="219"/>
        </w:trPr>
        <w:tc>
          <w:tcPr>
            <w:tcW w:w="1860" w:type="dxa"/>
            <w:vAlign w:val="bottom"/>
            <w:shd w:val="clear" w:color="auto" w:fill="E8F5EA"/>
          </w:tcPr>
          <w:p>
            <w:pPr>
              <w:spacing w:after="0" w:line="218" w:lineRule="exact"/>
              <w:rPr>
                <w:sz w:val="20"/>
                <w:szCs w:val="20"/>
                <w:color w:val="auto"/>
              </w:rPr>
            </w:pPr>
            <w:r>
              <w:rPr>
                <w:rFonts w:ascii="Arial" w:cs="Arial" w:eastAsia="Arial" w:hAnsi="Arial"/>
                <w:sz w:val="15"/>
                <w:szCs w:val="15"/>
                <w:color w:val="auto"/>
              </w:rPr>
              <w:t>Michael J. O'Neill</w:t>
            </w:r>
            <w:r>
              <w:rPr>
                <w:rFonts w:ascii="Arial" w:cs="Arial" w:eastAsia="Arial" w:hAnsi="Arial"/>
                <w:sz w:val="25"/>
                <w:szCs w:val="25"/>
                <w:color w:val="auto"/>
                <w:vertAlign w:val="superscript"/>
              </w:rPr>
              <w:t>(4)</w:t>
            </w:r>
          </w:p>
        </w:tc>
        <w:tc>
          <w:tcPr>
            <w:tcW w:w="9400" w:type="dxa"/>
            <w:vAlign w:val="bottom"/>
            <w:shd w:val="clear" w:color="auto" w:fill="E8F5EA"/>
          </w:tcPr>
          <w:p>
            <w:pPr>
              <w:ind w:left="380"/>
              <w:spacing w:after="0"/>
              <w:rPr>
                <w:sz w:val="20"/>
                <w:szCs w:val="20"/>
                <w:color w:val="auto"/>
              </w:rPr>
            </w:pPr>
            <w:r>
              <w:rPr>
                <w:rFonts w:ascii="Arial" w:cs="Arial" w:eastAsia="Arial" w:hAnsi="Arial"/>
                <w:sz w:val="16"/>
                <w:szCs w:val="16"/>
                <w:color w:val="auto"/>
              </w:rPr>
              <w:t>Former Senior Vice President, General Counsel and Chief Legal Officer</w:t>
            </w:r>
          </w:p>
        </w:tc>
      </w:tr>
    </w:tbl>
    <w:p>
      <w:pPr>
        <w:spacing w:after="0" w:line="177" w:lineRule="exact"/>
        <w:rPr>
          <w:sz w:val="20"/>
          <w:szCs w:val="20"/>
          <w:color w:val="auto"/>
        </w:rPr>
      </w:pPr>
    </w:p>
    <w:p>
      <w:pPr>
        <w:ind w:left="483" w:hanging="483"/>
        <w:spacing w:after="0"/>
        <w:tabs>
          <w:tab w:leader="none" w:pos="4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Mr. Amelio ceased to be the CEO after the end of fiscal 2020, on July 31, 2020.</w:t>
      </w:r>
    </w:p>
    <w:p>
      <w:pPr>
        <w:spacing w:after="0" w:line="192" w:lineRule="exact"/>
        <w:rPr>
          <w:rFonts w:ascii="Arial" w:cs="Arial" w:eastAsia="Arial" w:hAnsi="Arial"/>
          <w:sz w:val="16"/>
          <w:szCs w:val="16"/>
          <w:color w:val="auto"/>
        </w:rPr>
      </w:pPr>
    </w:p>
    <w:p>
      <w:pPr>
        <w:ind w:left="483" w:hanging="483"/>
        <w:spacing w:after="0"/>
        <w:tabs>
          <w:tab w:leader="none" w:pos="4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Mr. Bartolotta ceased to be an officer after the end of fiscal 2020, on October 1, 2020.</w:t>
      </w:r>
    </w:p>
    <w:p>
      <w:pPr>
        <w:spacing w:after="0" w:line="203" w:lineRule="exact"/>
        <w:rPr>
          <w:rFonts w:ascii="Arial" w:cs="Arial" w:eastAsia="Arial" w:hAnsi="Arial"/>
          <w:sz w:val="16"/>
          <w:szCs w:val="16"/>
          <w:color w:val="auto"/>
        </w:rPr>
      </w:pPr>
    </w:p>
    <w:p>
      <w:pPr>
        <w:ind w:left="3"/>
        <w:spacing w:after="0"/>
        <w:rPr>
          <w:rFonts w:ascii="Arial" w:cs="Arial" w:eastAsia="Arial" w:hAnsi="Arial"/>
          <w:sz w:val="16"/>
          <w:szCs w:val="16"/>
          <w:color w:val="auto"/>
        </w:rPr>
      </w:pPr>
      <w:r>
        <w:rPr>
          <w:rFonts w:ascii="Arial" w:cs="Arial" w:eastAsia="Arial" w:hAnsi="Arial"/>
          <w:sz w:val="16"/>
          <w:szCs w:val="16"/>
          <w:color w:val="auto"/>
        </w:rPr>
        <w:t xml:space="preserve">36    </w:t>
      </w:r>
      <w:r>
        <w:rPr>
          <w:rFonts w:ascii="Arial" w:cs="Arial" w:eastAsia="Arial" w:hAnsi="Arial"/>
          <w:sz w:val="22"/>
          <w:szCs w:val="22"/>
          <w:b w:val="1"/>
          <w:bCs w:val="1"/>
          <w:color w:val="53C072"/>
        </w:rPr>
        <w:t xml:space="preserve">| </w:t>
      </w:r>
      <w:r>
        <w:rPr>
          <w:rFonts w:ascii="Arial" w:cs="Arial" w:eastAsia="Arial" w:hAnsi="Arial"/>
          <w:sz w:val="1"/>
          <w:szCs w:val="1"/>
          <w:color w:val="auto"/>
        </w:rPr>
        <w:drawing>
          <wp:inline distT="0" distB="0" distL="0" distR="0">
            <wp:extent cx="1664970" cy="12319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664970" cy="12319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151370" cy="203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63"/>
          </w:cols>
          <w:pgMar w:left="317" w:top="122" w:right="319" w:bottom="1440" w:gutter="0" w:footer="0" w:header="0"/>
          <w:type w:val="continuous"/>
        </w:sectPr>
      </w:pPr>
    </w:p>
    <w:bookmarkStart w:id="41" w:name="page42"/>
    <w:bookmarkEnd w:id="41"/>
    <w:tbl>
      <w:tblPr>
        <w:tblLayout w:type="fixed"/>
        <w:tblInd w:w="3" w:type="dxa"/>
        <w:tblCellMar>
          <w:top w:w="0" w:type="dxa"/>
          <w:left w:w="0" w:type="dxa"/>
          <w:bottom w:w="0" w:type="dxa"/>
          <w:right w:w="0" w:type="dxa"/>
        </w:tblCellMar>
      </w:tblPr>
      <w:tr>
        <w:trPr>
          <w:trHeight w:val="213"/>
        </w:trPr>
        <w:tc>
          <w:tcPr>
            <w:tcW w:w="512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6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12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6140" w:type="dxa"/>
            <w:vAlign w:val="bottom"/>
            <w:vMerge w:val="restart"/>
          </w:tcPr>
          <w:p>
            <w:pPr>
              <w:ind w:left="3880"/>
              <w:spacing w:after="0"/>
              <w:rPr>
                <w:sz w:val="20"/>
                <w:szCs w:val="20"/>
                <w:color w:val="auto"/>
              </w:rPr>
            </w:pPr>
            <w:r>
              <w:rPr>
                <w:rFonts w:ascii="Arial" w:cs="Arial" w:eastAsia="Arial" w:hAnsi="Arial"/>
                <w:sz w:val="13"/>
                <w:szCs w:val="13"/>
                <w:color w:val="auto"/>
                <w:w w:val="98"/>
              </w:rPr>
              <w:t>Compensation Discussion and Analysis</w:t>
            </w:r>
          </w:p>
        </w:tc>
        <w:tc>
          <w:tcPr>
            <w:tcW w:w="0" w:type="dxa"/>
            <w:vAlign w:val="bottom"/>
          </w:tcPr>
          <w:p>
            <w:pPr>
              <w:spacing w:after="0"/>
              <w:rPr>
                <w:sz w:val="1"/>
                <w:szCs w:val="1"/>
                <w:color w:val="auto"/>
              </w:rPr>
            </w:pPr>
          </w:p>
        </w:tc>
      </w:tr>
      <w:tr>
        <w:trPr>
          <w:trHeight w:val="102"/>
        </w:trPr>
        <w:tc>
          <w:tcPr>
            <w:tcW w:w="512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6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120" w:type="dxa"/>
            <w:vAlign w:val="bottom"/>
            <w:vMerge w:val="continue"/>
          </w:tcPr>
          <w:p>
            <w:pPr>
              <w:spacing w:after="0"/>
              <w:rPr>
                <w:sz w:val="7"/>
                <w:szCs w:val="7"/>
                <w:color w:val="auto"/>
              </w:rPr>
            </w:pPr>
          </w:p>
        </w:tc>
        <w:tc>
          <w:tcPr>
            <w:tcW w:w="6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483" w:hanging="483"/>
        <w:spacing w:after="0"/>
        <w:tabs>
          <w:tab w:leader="none" w:pos="4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Mr. Gallagher was appointed to serve as Interim Chief Executive Officer on July 31, 2020.</w:t>
      </w:r>
    </w:p>
    <w:p>
      <w:pPr>
        <w:spacing w:after="0" w:line="192" w:lineRule="exact"/>
        <w:rPr>
          <w:rFonts w:ascii="Arial" w:cs="Arial" w:eastAsia="Arial" w:hAnsi="Arial"/>
          <w:sz w:val="16"/>
          <w:szCs w:val="16"/>
          <w:color w:val="auto"/>
        </w:rPr>
      </w:pPr>
    </w:p>
    <w:p>
      <w:pPr>
        <w:ind w:left="483" w:hanging="483"/>
        <w:spacing w:after="0"/>
        <w:tabs>
          <w:tab w:leader="none" w:pos="4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Mr. O'Neill ceased to be an officer during fiscal 2020, on March 31, 2020.</w:t>
      </w:r>
    </w:p>
    <w:p>
      <w:pPr>
        <w:spacing w:after="0" w:line="190" w:lineRule="exact"/>
        <w:rPr>
          <w:rFonts w:ascii="Arial" w:cs="Arial" w:eastAsia="Arial" w:hAnsi="Arial"/>
          <w:sz w:val="16"/>
          <w:szCs w:val="16"/>
          <w:color w:val="auto"/>
        </w:rPr>
      </w:pPr>
    </w:p>
    <w:p>
      <w:pPr>
        <w:ind w:left="483"/>
        <w:spacing w:after="0"/>
        <w:rPr>
          <w:rFonts w:ascii="Arial" w:cs="Arial" w:eastAsia="Arial" w:hAnsi="Arial"/>
          <w:sz w:val="16"/>
          <w:szCs w:val="16"/>
          <w:color w:val="auto"/>
        </w:rPr>
      </w:pPr>
      <w:r>
        <w:rPr>
          <w:rFonts w:ascii="Arial" w:cs="Arial" w:eastAsia="Arial" w:hAnsi="Arial"/>
          <w:sz w:val="16"/>
          <w:szCs w:val="16"/>
          <w:b w:val="1"/>
          <w:bCs w:val="1"/>
          <w:color w:val="auto"/>
        </w:rPr>
        <w:t>Business Performance</w:t>
      </w:r>
    </w:p>
    <w:p>
      <w:pPr>
        <w:spacing w:after="0" w:line="194" w:lineRule="exact"/>
        <w:rPr>
          <w:sz w:val="20"/>
          <w:szCs w:val="20"/>
          <w:color w:val="auto"/>
        </w:rPr>
      </w:pPr>
    </w:p>
    <w:p>
      <w:pPr>
        <w:jc w:val="both"/>
        <w:ind w:left="3" w:right="80"/>
        <w:spacing w:after="0" w:line="256" w:lineRule="auto"/>
        <w:rPr>
          <w:sz w:val="20"/>
          <w:szCs w:val="20"/>
          <w:color w:val="auto"/>
        </w:rPr>
      </w:pPr>
      <w:r>
        <w:rPr>
          <w:rFonts w:ascii="Arial" w:cs="Arial" w:eastAsia="Arial" w:hAnsi="Arial"/>
          <w:sz w:val="16"/>
          <w:szCs w:val="16"/>
          <w:color w:val="auto"/>
        </w:rPr>
        <w:t>The Company's performance, including some of the financial performance metrics utilized in the Company's incentive awards payable for fiscal 2020, is detailed in the table below. For additional information regarding the fiscal 2020 performance of the Company, please refer to the Company's Annual Report on Form 10-K for the year ended June 27, 2020.</w:t>
      </w:r>
    </w:p>
    <w:p>
      <w:pPr>
        <w:spacing w:after="0" w:line="169" w:lineRule="exact"/>
        <w:rPr>
          <w:sz w:val="20"/>
          <w:szCs w:val="20"/>
          <w:color w:val="auto"/>
        </w:rPr>
      </w:pPr>
    </w:p>
    <w:tbl>
      <w:tblPr>
        <w:tblLayout w:type="fixed"/>
        <w:tblInd w:w="1343" w:type="dxa"/>
        <w:tblCellMar>
          <w:top w:w="0" w:type="dxa"/>
          <w:left w:w="0" w:type="dxa"/>
          <w:bottom w:w="0" w:type="dxa"/>
          <w:right w:w="0" w:type="dxa"/>
        </w:tblCellMar>
      </w:tblPr>
      <w:tr>
        <w:trPr>
          <w:trHeight w:val="194"/>
        </w:trPr>
        <w:tc>
          <w:tcPr>
            <w:tcW w:w="5180" w:type="dxa"/>
            <w:vAlign w:val="bottom"/>
            <w:shd w:val="clear" w:color="auto" w:fill="53C072"/>
          </w:tcPr>
          <w:p>
            <w:pPr>
              <w:spacing w:after="0"/>
              <w:rPr>
                <w:sz w:val="16"/>
                <w:szCs w:val="16"/>
                <w:color w:val="auto"/>
              </w:rPr>
            </w:pPr>
          </w:p>
        </w:tc>
        <w:tc>
          <w:tcPr>
            <w:tcW w:w="1480" w:type="dxa"/>
            <w:vAlign w:val="bottom"/>
            <w:shd w:val="clear" w:color="auto" w:fill="53C072"/>
          </w:tcPr>
          <w:p>
            <w:pPr>
              <w:jc w:val="right"/>
              <w:ind w:right="63"/>
              <w:spacing w:after="0"/>
              <w:rPr>
                <w:sz w:val="20"/>
                <w:szCs w:val="20"/>
                <w:color w:val="auto"/>
              </w:rPr>
            </w:pPr>
            <w:r>
              <w:rPr>
                <w:rFonts w:ascii="Arial" w:cs="Arial" w:eastAsia="Arial" w:hAnsi="Arial"/>
                <w:sz w:val="13"/>
                <w:szCs w:val="13"/>
                <w:b w:val="1"/>
                <w:bCs w:val="1"/>
                <w:color w:val="FFFFFE"/>
              </w:rPr>
              <w:t>Fiscal 2019</w:t>
            </w:r>
          </w:p>
        </w:tc>
        <w:tc>
          <w:tcPr>
            <w:tcW w:w="960" w:type="dxa"/>
            <w:vAlign w:val="bottom"/>
            <w:shd w:val="clear" w:color="auto" w:fill="53C072"/>
          </w:tcPr>
          <w:p>
            <w:pPr>
              <w:jc w:val="right"/>
              <w:ind w:right="62"/>
              <w:spacing w:after="0"/>
              <w:rPr>
                <w:sz w:val="20"/>
                <w:szCs w:val="20"/>
                <w:color w:val="auto"/>
              </w:rPr>
            </w:pPr>
            <w:r>
              <w:rPr>
                <w:rFonts w:ascii="Arial" w:cs="Arial" w:eastAsia="Arial" w:hAnsi="Arial"/>
                <w:sz w:val="13"/>
                <w:szCs w:val="13"/>
                <w:b w:val="1"/>
                <w:bCs w:val="1"/>
                <w:color w:val="FFFFFE"/>
              </w:rPr>
              <w:t>Fiscal 2020</w:t>
            </w:r>
          </w:p>
        </w:tc>
        <w:tc>
          <w:tcPr>
            <w:tcW w:w="82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 Change</w:t>
            </w:r>
          </w:p>
        </w:tc>
      </w:tr>
      <w:tr>
        <w:trPr>
          <w:trHeight w:val="194"/>
        </w:trPr>
        <w:tc>
          <w:tcPr>
            <w:tcW w:w="5180" w:type="dxa"/>
            <w:vAlign w:val="bottom"/>
          </w:tcPr>
          <w:p>
            <w:pPr>
              <w:spacing w:after="0"/>
              <w:rPr>
                <w:sz w:val="16"/>
                <w:szCs w:val="16"/>
                <w:color w:val="auto"/>
              </w:rPr>
            </w:pPr>
          </w:p>
        </w:tc>
        <w:tc>
          <w:tcPr>
            <w:tcW w:w="3260" w:type="dxa"/>
            <w:vAlign w:val="bottom"/>
            <w:gridSpan w:val="3"/>
          </w:tcPr>
          <w:p>
            <w:pPr>
              <w:jc w:val="right"/>
              <w:ind w:right="222"/>
              <w:spacing w:after="0"/>
              <w:rPr>
                <w:sz w:val="20"/>
                <w:szCs w:val="20"/>
                <w:color w:val="auto"/>
              </w:rPr>
            </w:pPr>
            <w:r>
              <w:rPr>
                <w:rFonts w:ascii="Arial" w:cs="Arial" w:eastAsia="Arial" w:hAnsi="Arial"/>
                <w:sz w:val="13"/>
                <w:szCs w:val="13"/>
                <w:b w:val="1"/>
                <w:bCs w:val="1"/>
                <w:color w:val="auto"/>
              </w:rPr>
              <w:t>$ in millions, except per share data</w:t>
            </w:r>
          </w:p>
        </w:tc>
      </w:tr>
      <w:tr>
        <w:trPr>
          <w:trHeight w:val="182"/>
        </w:trPr>
        <w:tc>
          <w:tcPr>
            <w:tcW w:w="5180" w:type="dxa"/>
            <w:vAlign w:val="bottom"/>
            <w:shd w:val="clear" w:color="auto" w:fill="E8F5EA"/>
          </w:tcPr>
          <w:p>
            <w:pPr>
              <w:spacing w:after="0" w:line="182" w:lineRule="exact"/>
              <w:rPr>
                <w:sz w:val="20"/>
                <w:szCs w:val="20"/>
                <w:color w:val="auto"/>
              </w:rPr>
            </w:pPr>
            <w:r>
              <w:rPr>
                <w:rFonts w:ascii="Arial" w:cs="Arial" w:eastAsia="Arial" w:hAnsi="Arial"/>
                <w:sz w:val="16"/>
                <w:szCs w:val="16"/>
                <w:color w:val="auto"/>
              </w:rPr>
              <w:t>Sales</w:t>
            </w:r>
          </w:p>
        </w:tc>
        <w:tc>
          <w:tcPr>
            <w:tcW w:w="1480" w:type="dxa"/>
            <w:vAlign w:val="bottom"/>
            <w:shd w:val="clear" w:color="auto" w:fill="E8F5EA"/>
          </w:tcPr>
          <w:p>
            <w:pPr>
              <w:jc w:val="right"/>
              <w:ind w:right="63"/>
              <w:spacing w:after="0" w:line="182" w:lineRule="exact"/>
              <w:rPr>
                <w:sz w:val="20"/>
                <w:szCs w:val="20"/>
                <w:color w:val="auto"/>
              </w:rPr>
            </w:pPr>
            <w:r>
              <w:rPr>
                <w:rFonts w:ascii="Arial" w:cs="Arial" w:eastAsia="Arial" w:hAnsi="Arial"/>
                <w:sz w:val="16"/>
                <w:szCs w:val="16"/>
                <w:color w:val="auto"/>
              </w:rPr>
              <w:t>$19,518.6</w:t>
            </w:r>
          </w:p>
        </w:tc>
        <w:tc>
          <w:tcPr>
            <w:tcW w:w="960" w:type="dxa"/>
            <w:vAlign w:val="bottom"/>
            <w:shd w:val="clear" w:color="auto" w:fill="E8F5EA"/>
          </w:tcPr>
          <w:p>
            <w:pPr>
              <w:jc w:val="right"/>
              <w:ind w:right="62"/>
              <w:spacing w:after="0" w:line="182" w:lineRule="exact"/>
              <w:rPr>
                <w:sz w:val="20"/>
                <w:szCs w:val="20"/>
                <w:color w:val="auto"/>
              </w:rPr>
            </w:pPr>
            <w:r>
              <w:rPr>
                <w:rFonts w:ascii="Arial" w:cs="Arial" w:eastAsia="Arial" w:hAnsi="Arial"/>
                <w:sz w:val="16"/>
                <w:szCs w:val="16"/>
                <w:color w:val="auto"/>
              </w:rPr>
              <w:t>$17,634.3</w:t>
            </w:r>
          </w:p>
        </w:tc>
        <w:tc>
          <w:tcPr>
            <w:tcW w:w="82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–9.70%</w:t>
            </w:r>
          </w:p>
        </w:tc>
      </w:tr>
      <w:tr>
        <w:trPr>
          <w:trHeight w:val="182"/>
        </w:trPr>
        <w:tc>
          <w:tcPr>
            <w:tcW w:w="5180" w:type="dxa"/>
            <w:vAlign w:val="bottom"/>
          </w:tcPr>
          <w:p>
            <w:pPr>
              <w:spacing w:after="0" w:line="182" w:lineRule="exact"/>
              <w:rPr>
                <w:sz w:val="20"/>
                <w:szCs w:val="20"/>
                <w:color w:val="auto"/>
              </w:rPr>
            </w:pPr>
            <w:r>
              <w:rPr>
                <w:rFonts w:ascii="Arial" w:cs="Arial" w:eastAsia="Arial" w:hAnsi="Arial"/>
                <w:sz w:val="16"/>
                <w:szCs w:val="16"/>
                <w:color w:val="auto"/>
              </w:rPr>
              <w:t>Operating income (loss)</w:t>
            </w:r>
          </w:p>
        </w:tc>
        <w:tc>
          <w:tcPr>
            <w:tcW w:w="1480" w:type="dxa"/>
            <w:vAlign w:val="bottom"/>
          </w:tcPr>
          <w:p>
            <w:pPr>
              <w:jc w:val="right"/>
              <w:ind w:right="63"/>
              <w:spacing w:after="0" w:line="182" w:lineRule="exact"/>
              <w:rPr>
                <w:sz w:val="20"/>
                <w:szCs w:val="20"/>
                <w:color w:val="auto"/>
              </w:rPr>
            </w:pPr>
            <w:r>
              <w:rPr>
                <w:rFonts w:ascii="Arial" w:cs="Arial" w:eastAsia="Arial" w:hAnsi="Arial"/>
                <w:sz w:val="16"/>
                <w:szCs w:val="16"/>
                <w:color w:val="auto"/>
              </w:rPr>
              <w:t>$365.9</w:t>
            </w:r>
          </w:p>
        </w:tc>
        <w:tc>
          <w:tcPr>
            <w:tcW w:w="960" w:type="dxa"/>
            <w:vAlign w:val="bottom"/>
          </w:tcPr>
          <w:p>
            <w:pPr>
              <w:jc w:val="right"/>
              <w:ind w:right="62"/>
              <w:spacing w:after="0" w:line="182" w:lineRule="exact"/>
              <w:rPr>
                <w:sz w:val="20"/>
                <w:szCs w:val="20"/>
                <w:color w:val="auto"/>
              </w:rPr>
            </w:pPr>
            <w:r>
              <w:rPr>
                <w:rFonts w:ascii="Arial" w:cs="Arial" w:eastAsia="Arial" w:hAnsi="Arial"/>
                <w:sz w:val="16"/>
                <w:szCs w:val="16"/>
                <w:color w:val="auto"/>
              </w:rPr>
              <w:t>($4.6)</w:t>
            </w:r>
          </w:p>
        </w:tc>
        <w:tc>
          <w:tcPr>
            <w:tcW w:w="820" w:type="dxa"/>
            <w:vAlign w:val="bottom"/>
          </w:tcPr>
          <w:p>
            <w:pPr>
              <w:jc w:val="right"/>
              <w:spacing w:after="0" w:line="182" w:lineRule="exact"/>
              <w:rPr>
                <w:sz w:val="20"/>
                <w:szCs w:val="20"/>
                <w:color w:val="auto"/>
              </w:rPr>
            </w:pPr>
            <w:r>
              <w:rPr>
                <w:rFonts w:ascii="Arial" w:cs="Arial" w:eastAsia="Arial" w:hAnsi="Arial"/>
                <w:sz w:val="16"/>
                <w:szCs w:val="16"/>
                <w:color w:val="auto"/>
              </w:rPr>
              <w:t>–101.30%</w:t>
            </w:r>
          </w:p>
        </w:tc>
      </w:tr>
      <w:tr>
        <w:trPr>
          <w:trHeight w:val="219"/>
        </w:trPr>
        <w:tc>
          <w:tcPr>
            <w:tcW w:w="5180" w:type="dxa"/>
            <w:vAlign w:val="bottom"/>
            <w:shd w:val="clear" w:color="auto" w:fill="E8F5EA"/>
          </w:tcPr>
          <w:p>
            <w:pPr>
              <w:spacing w:after="0" w:line="218" w:lineRule="exact"/>
              <w:rPr>
                <w:sz w:val="20"/>
                <w:szCs w:val="20"/>
                <w:color w:val="auto"/>
              </w:rPr>
            </w:pPr>
            <w:r>
              <w:rPr>
                <w:rFonts w:ascii="Arial" w:cs="Arial" w:eastAsia="Arial" w:hAnsi="Arial"/>
                <w:sz w:val="15"/>
                <w:szCs w:val="15"/>
                <w:color w:val="auto"/>
              </w:rPr>
              <w:t>Adjusted operating income</w:t>
            </w:r>
            <w:r>
              <w:rPr>
                <w:rFonts w:ascii="Arial" w:cs="Arial" w:eastAsia="Arial" w:hAnsi="Arial"/>
                <w:sz w:val="25"/>
                <w:szCs w:val="25"/>
                <w:color w:val="auto"/>
                <w:vertAlign w:val="superscript"/>
              </w:rPr>
              <w:t>(1)</w:t>
            </w:r>
          </w:p>
        </w:tc>
        <w:tc>
          <w:tcPr>
            <w:tcW w:w="1480" w:type="dxa"/>
            <w:vAlign w:val="bottom"/>
            <w:shd w:val="clear" w:color="auto" w:fill="E8F5EA"/>
          </w:tcPr>
          <w:p>
            <w:pPr>
              <w:jc w:val="right"/>
              <w:ind w:right="63"/>
              <w:spacing w:after="0"/>
              <w:rPr>
                <w:sz w:val="20"/>
                <w:szCs w:val="20"/>
                <w:color w:val="auto"/>
              </w:rPr>
            </w:pPr>
            <w:r>
              <w:rPr>
                <w:rFonts w:ascii="Arial" w:cs="Arial" w:eastAsia="Arial" w:hAnsi="Arial"/>
                <w:sz w:val="16"/>
                <w:szCs w:val="16"/>
                <w:color w:val="auto"/>
              </w:rPr>
              <w:t>$695.7</w:t>
            </w:r>
          </w:p>
        </w:tc>
        <w:tc>
          <w:tcPr>
            <w:tcW w:w="960" w:type="dxa"/>
            <w:vAlign w:val="bottom"/>
            <w:shd w:val="clear" w:color="auto" w:fill="E8F5EA"/>
          </w:tcPr>
          <w:p>
            <w:pPr>
              <w:jc w:val="right"/>
              <w:ind w:right="62"/>
              <w:spacing w:after="0"/>
              <w:rPr>
                <w:sz w:val="20"/>
                <w:szCs w:val="20"/>
                <w:color w:val="auto"/>
              </w:rPr>
            </w:pPr>
            <w:r>
              <w:rPr>
                <w:rFonts w:ascii="Arial" w:cs="Arial" w:eastAsia="Arial" w:hAnsi="Arial"/>
                <w:sz w:val="16"/>
                <w:szCs w:val="16"/>
                <w:color w:val="auto"/>
              </w:rPr>
              <w:t>$302.9</w:t>
            </w:r>
          </w:p>
        </w:tc>
        <w:tc>
          <w:tcPr>
            <w:tcW w:w="820" w:type="dxa"/>
            <w:vAlign w:val="bottom"/>
            <w:shd w:val="clear" w:color="auto" w:fill="E8F5EA"/>
          </w:tcPr>
          <w:p>
            <w:pPr>
              <w:jc w:val="right"/>
              <w:spacing w:after="0"/>
              <w:rPr>
                <w:sz w:val="20"/>
                <w:szCs w:val="20"/>
                <w:color w:val="auto"/>
              </w:rPr>
            </w:pPr>
            <w:r>
              <w:rPr>
                <w:rFonts w:ascii="Arial" w:cs="Arial" w:eastAsia="Arial" w:hAnsi="Arial"/>
                <w:sz w:val="16"/>
                <w:szCs w:val="16"/>
                <w:color w:val="auto"/>
              </w:rPr>
              <w:t>–56.50%</w:t>
            </w:r>
          </w:p>
        </w:tc>
      </w:tr>
      <w:tr>
        <w:trPr>
          <w:trHeight w:val="182"/>
        </w:trPr>
        <w:tc>
          <w:tcPr>
            <w:tcW w:w="5180" w:type="dxa"/>
            <w:vAlign w:val="bottom"/>
          </w:tcPr>
          <w:p>
            <w:pPr>
              <w:spacing w:after="0" w:line="182" w:lineRule="exact"/>
              <w:rPr>
                <w:sz w:val="20"/>
                <w:szCs w:val="20"/>
                <w:color w:val="auto"/>
              </w:rPr>
            </w:pPr>
            <w:r>
              <w:rPr>
                <w:rFonts w:ascii="Arial" w:cs="Arial" w:eastAsia="Arial" w:hAnsi="Arial"/>
                <w:sz w:val="16"/>
                <w:szCs w:val="16"/>
                <w:color w:val="auto"/>
              </w:rPr>
              <w:t>Operating income (loss) margin</w:t>
            </w:r>
          </w:p>
        </w:tc>
        <w:tc>
          <w:tcPr>
            <w:tcW w:w="1480" w:type="dxa"/>
            <w:vAlign w:val="bottom"/>
          </w:tcPr>
          <w:p>
            <w:pPr>
              <w:jc w:val="right"/>
              <w:ind w:right="63"/>
              <w:spacing w:after="0" w:line="182" w:lineRule="exact"/>
              <w:rPr>
                <w:sz w:val="20"/>
                <w:szCs w:val="20"/>
                <w:color w:val="auto"/>
              </w:rPr>
            </w:pPr>
            <w:r>
              <w:rPr>
                <w:rFonts w:ascii="Arial" w:cs="Arial" w:eastAsia="Arial" w:hAnsi="Arial"/>
                <w:sz w:val="16"/>
                <w:szCs w:val="16"/>
                <w:color w:val="auto"/>
              </w:rPr>
              <w:t>1.9%</w:t>
            </w:r>
          </w:p>
        </w:tc>
        <w:tc>
          <w:tcPr>
            <w:tcW w:w="960" w:type="dxa"/>
            <w:vAlign w:val="bottom"/>
          </w:tcPr>
          <w:p>
            <w:pPr>
              <w:jc w:val="right"/>
              <w:ind w:right="62"/>
              <w:spacing w:after="0" w:line="182" w:lineRule="exact"/>
              <w:rPr>
                <w:sz w:val="20"/>
                <w:szCs w:val="20"/>
                <w:color w:val="auto"/>
              </w:rPr>
            </w:pPr>
            <w:r>
              <w:rPr>
                <w:rFonts w:ascii="Arial" w:cs="Arial" w:eastAsia="Arial" w:hAnsi="Arial"/>
                <w:sz w:val="16"/>
                <w:szCs w:val="16"/>
                <w:color w:val="auto"/>
              </w:rPr>
              <w:t>–0.03%</w:t>
            </w:r>
          </w:p>
        </w:tc>
        <w:tc>
          <w:tcPr>
            <w:tcW w:w="820" w:type="dxa"/>
            <w:vAlign w:val="bottom"/>
          </w:tcPr>
          <w:p>
            <w:pPr>
              <w:jc w:val="right"/>
              <w:spacing w:after="0" w:line="182" w:lineRule="exact"/>
              <w:rPr>
                <w:sz w:val="20"/>
                <w:szCs w:val="20"/>
                <w:color w:val="auto"/>
              </w:rPr>
            </w:pPr>
            <w:r>
              <w:rPr>
                <w:rFonts w:ascii="Arial" w:cs="Arial" w:eastAsia="Arial" w:hAnsi="Arial"/>
                <w:sz w:val="16"/>
                <w:szCs w:val="16"/>
                <w:color w:val="auto"/>
              </w:rPr>
              <w:t>–190 bps</w:t>
            </w:r>
          </w:p>
        </w:tc>
      </w:tr>
      <w:tr>
        <w:trPr>
          <w:trHeight w:val="219"/>
        </w:trPr>
        <w:tc>
          <w:tcPr>
            <w:tcW w:w="5180" w:type="dxa"/>
            <w:vAlign w:val="bottom"/>
            <w:shd w:val="clear" w:color="auto" w:fill="E8F5EA"/>
          </w:tcPr>
          <w:p>
            <w:pPr>
              <w:spacing w:after="0" w:line="218" w:lineRule="exact"/>
              <w:rPr>
                <w:sz w:val="20"/>
                <w:szCs w:val="20"/>
                <w:color w:val="auto"/>
              </w:rPr>
            </w:pPr>
            <w:r>
              <w:rPr>
                <w:rFonts w:ascii="Arial" w:cs="Arial" w:eastAsia="Arial" w:hAnsi="Arial"/>
                <w:sz w:val="15"/>
                <w:szCs w:val="15"/>
                <w:color w:val="auto"/>
              </w:rPr>
              <w:t>Adjusted operating income margin</w:t>
            </w:r>
            <w:r>
              <w:rPr>
                <w:rFonts w:ascii="Arial" w:cs="Arial" w:eastAsia="Arial" w:hAnsi="Arial"/>
                <w:sz w:val="25"/>
                <w:szCs w:val="25"/>
                <w:color w:val="auto"/>
                <w:vertAlign w:val="superscript"/>
              </w:rPr>
              <w:t>(1)(2)</w:t>
            </w:r>
          </w:p>
        </w:tc>
        <w:tc>
          <w:tcPr>
            <w:tcW w:w="1480" w:type="dxa"/>
            <w:vAlign w:val="bottom"/>
            <w:shd w:val="clear" w:color="auto" w:fill="E8F5EA"/>
          </w:tcPr>
          <w:p>
            <w:pPr>
              <w:jc w:val="right"/>
              <w:ind w:right="63"/>
              <w:spacing w:after="0"/>
              <w:rPr>
                <w:sz w:val="20"/>
                <w:szCs w:val="20"/>
                <w:color w:val="auto"/>
              </w:rPr>
            </w:pPr>
            <w:r>
              <w:rPr>
                <w:rFonts w:ascii="Arial" w:cs="Arial" w:eastAsia="Arial" w:hAnsi="Arial"/>
                <w:sz w:val="16"/>
                <w:szCs w:val="16"/>
                <w:color w:val="auto"/>
              </w:rPr>
              <w:t>3.6%</w:t>
            </w:r>
          </w:p>
        </w:tc>
        <w:tc>
          <w:tcPr>
            <w:tcW w:w="960" w:type="dxa"/>
            <w:vAlign w:val="bottom"/>
            <w:shd w:val="clear" w:color="auto" w:fill="E8F5EA"/>
          </w:tcPr>
          <w:p>
            <w:pPr>
              <w:jc w:val="right"/>
              <w:ind w:right="62"/>
              <w:spacing w:after="0"/>
              <w:rPr>
                <w:sz w:val="20"/>
                <w:szCs w:val="20"/>
                <w:color w:val="auto"/>
              </w:rPr>
            </w:pPr>
            <w:r>
              <w:rPr>
                <w:rFonts w:ascii="Arial" w:cs="Arial" w:eastAsia="Arial" w:hAnsi="Arial"/>
                <w:sz w:val="16"/>
                <w:szCs w:val="16"/>
                <w:color w:val="auto"/>
              </w:rPr>
              <w:t>1.7%</w:t>
            </w:r>
          </w:p>
        </w:tc>
        <w:tc>
          <w:tcPr>
            <w:tcW w:w="820" w:type="dxa"/>
            <w:vAlign w:val="bottom"/>
            <w:shd w:val="clear" w:color="auto" w:fill="E8F5EA"/>
          </w:tcPr>
          <w:p>
            <w:pPr>
              <w:jc w:val="right"/>
              <w:spacing w:after="0"/>
              <w:rPr>
                <w:sz w:val="20"/>
                <w:szCs w:val="20"/>
                <w:color w:val="auto"/>
              </w:rPr>
            </w:pPr>
            <w:r>
              <w:rPr>
                <w:rFonts w:ascii="Arial" w:cs="Arial" w:eastAsia="Arial" w:hAnsi="Arial"/>
                <w:sz w:val="16"/>
                <w:szCs w:val="16"/>
                <w:color w:val="auto"/>
              </w:rPr>
              <w:t>–184 bps</w:t>
            </w:r>
          </w:p>
        </w:tc>
      </w:tr>
      <w:tr>
        <w:trPr>
          <w:trHeight w:val="182"/>
        </w:trPr>
        <w:tc>
          <w:tcPr>
            <w:tcW w:w="5180" w:type="dxa"/>
            <w:vAlign w:val="bottom"/>
          </w:tcPr>
          <w:p>
            <w:pPr>
              <w:spacing w:after="0" w:line="182" w:lineRule="exact"/>
              <w:rPr>
                <w:sz w:val="20"/>
                <w:szCs w:val="20"/>
                <w:color w:val="auto"/>
              </w:rPr>
            </w:pPr>
            <w:r>
              <w:rPr>
                <w:rFonts w:ascii="Arial" w:cs="Arial" w:eastAsia="Arial" w:hAnsi="Arial"/>
                <w:sz w:val="16"/>
                <w:szCs w:val="16"/>
                <w:color w:val="auto"/>
              </w:rPr>
              <w:t>Income (loss) from continuing operations</w:t>
            </w:r>
          </w:p>
        </w:tc>
        <w:tc>
          <w:tcPr>
            <w:tcW w:w="1480" w:type="dxa"/>
            <w:vAlign w:val="bottom"/>
          </w:tcPr>
          <w:p>
            <w:pPr>
              <w:jc w:val="right"/>
              <w:ind w:right="63"/>
              <w:spacing w:after="0" w:line="182" w:lineRule="exact"/>
              <w:rPr>
                <w:sz w:val="20"/>
                <w:szCs w:val="20"/>
                <w:color w:val="auto"/>
              </w:rPr>
            </w:pPr>
            <w:r>
              <w:rPr>
                <w:rFonts w:ascii="Arial" w:cs="Arial" w:eastAsia="Arial" w:hAnsi="Arial"/>
                <w:sz w:val="16"/>
                <w:szCs w:val="16"/>
                <w:color w:val="auto"/>
              </w:rPr>
              <w:t>$180.1</w:t>
            </w:r>
          </w:p>
        </w:tc>
        <w:tc>
          <w:tcPr>
            <w:tcW w:w="960" w:type="dxa"/>
            <w:vAlign w:val="bottom"/>
          </w:tcPr>
          <w:p>
            <w:pPr>
              <w:jc w:val="right"/>
              <w:ind w:right="62"/>
              <w:spacing w:after="0" w:line="182" w:lineRule="exact"/>
              <w:rPr>
                <w:sz w:val="20"/>
                <w:szCs w:val="20"/>
                <w:color w:val="auto"/>
              </w:rPr>
            </w:pPr>
            <w:r>
              <w:rPr>
                <w:rFonts w:ascii="Arial" w:cs="Arial" w:eastAsia="Arial" w:hAnsi="Arial"/>
                <w:sz w:val="16"/>
                <w:szCs w:val="16"/>
                <w:color w:val="auto"/>
              </w:rPr>
              <w:t>($29.5)</w:t>
            </w:r>
          </w:p>
        </w:tc>
        <w:tc>
          <w:tcPr>
            <w:tcW w:w="820" w:type="dxa"/>
            <w:vAlign w:val="bottom"/>
          </w:tcPr>
          <w:p>
            <w:pPr>
              <w:jc w:val="right"/>
              <w:spacing w:after="0" w:line="182" w:lineRule="exact"/>
              <w:rPr>
                <w:sz w:val="20"/>
                <w:szCs w:val="20"/>
                <w:color w:val="auto"/>
              </w:rPr>
            </w:pPr>
            <w:r>
              <w:rPr>
                <w:rFonts w:ascii="Arial" w:cs="Arial" w:eastAsia="Arial" w:hAnsi="Arial"/>
                <w:sz w:val="16"/>
                <w:szCs w:val="16"/>
                <w:color w:val="auto"/>
              </w:rPr>
              <w:t>–116.4%</w:t>
            </w:r>
          </w:p>
        </w:tc>
      </w:tr>
      <w:tr>
        <w:trPr>
          <w:trHeight w:val="182"/>
        </w:trPr>
        <w:tc>
          <w:tcPr>
            <w:tcW w:w="5180" w:type="dxa"/>
            <w:vAlign w:val="bottom"/>
            <w:shd w:val="clear" w:color="auto" w:fill="E8F5EA"/>
          </w:tcPr>
          <w:p>
            <w:pPr>
              <w:spacing w:after="0" w:line="182" w:lineRule="exact"/>
              <w:rPr>
                <w:sz w:val="20"/>
                <w:szCs w:val="20"/>
                <w:color w:val="auto"/>
              </w:rPr>
            </w:pPr>
            <w:r>
              <w:rPr>
                <w:rFonts w:ascii="Arial" w:cs="Arial" w:eastAsia="Arial" w:hAnsi="Arial"/>
                <w:sz w:val="16"/>
                <w:szCs w:val="16"/>
                <w:color w:val="auto"/>
              </w:rPr>
              <w:t>Diluted earnings (loss) per share from continuing operations</w:t>
            </w:r>
          </w:p>
        </w:tc>
        <w:tc>
          <w:tcPr>
            <w:tcW w:w="1480" w:type="dxa"/>
            <w:vAlign w:val="bottom"/>
            <w:shd w:val="clear" w:color="auto" w:fill="E8F5EA"/>
          </w:tcPr>
          <w:p>
            <w:pPr>
              <w:jc w:val="right"/>
              <w:ind w:right="63"/>
              <w:spacing w:after="0" w:line="182" w:lineRule="exact"/>
              <w:rPr>
                <w:sz w:val="20"/>
                <w:szCs w:val="20"/>
                <w:color w:val="auto"/>
              </w:rPr>
            </w:pPr>
            <w:r>
              <w:rPr>
                <w:rFonts w:ascii="Arial" w:cs="Arial" w:eastAsia="Arial" w:hAnsi="Arial"/>
                <w:sz w:val="16"/>
                <w:szCs w:val="16"/>
                <w:color w:val="auto"/>
              </w:rPr>
              <w:t>$1.63</w:t>
            </w:r>
          </w:p>
        </w:tc>
        <w:tc>
          <w:tcPr>
            <w:tcW w:w="960" w:type="dxa"/>
            <w:vAlign w:val="bottom"/>
            <w:shd w:val="clear" w:color="auto" w:fill="E8F5EA"/>
          </w:tcPr>
          <w:p>
            <w:pPr>
              <w:jc w:val="right"/>
              <w:ind w:right="62"/>
              <w:spacing w:after="0" w:line="182" w:lineRule="exact"/>
              <w:rPr>
                <w:sz w:val="20"/>
                <w:szCs w:val="20"/>
                <w:color w:val="auto"/>
              </w:rPr>
            </w:pPr>
            <w:r>
              <w:rPr>
                <w:rFonts w:ascii="Arial" w:cs="Arial" w:eastAsia="Arial" w:hAnsi="Arial"/>
                <w:sz w:val="16"/>
                <w:szCs w:val="16"/>
                <w:color w:val="auto"/>
              </w:rPr>
              <w:t>($0.29)</w:t>
            </w:r>
          </w:p>
        </w:tc>
        <w:tc>
          <w:tcPr>
            <w:tcW w:w="82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–117.8%</w:t>
            </w:r>
          </w:p>
        </w:tc>
      </w:tr>
      <w:tr>
        <w:trPr>
          <w:trHeight w:val="219"/>
        </w:trPr>
        <w:tc>
          <w:tcPr>
            <w:tcW w:w="5180" w:type="dxa"/>
            <w:vAlign w:val="bottom"/>
          </w:tcPr>
          <w:p>
            <w:pPr>
              <w:spacing w:after="0" w:line="218" w:lineRule="exact"/>
              <w:rPr>
                <w:sz w:val="20"/>
                <w:szCs w:val="20"/>
                <w:color w:val="auto"/>
              </w:rPr>
            </w:pPr>
            <w:r>
              <w:rPr>
                <w:rFonts w:ascii="Arial" w:cs="Arial" w:eastAsia="Arial" w:hAnsi="Arial"/>
                <w:sz w:val="15"/>
                <w:szCs w:val="15"/>
                <w:color w:val="auto"/>
              </w:rPr>
              <w:t>Adjusted diluted earnings per share from continuing operations</w:t>
            </w:r>
            <w:r>
              <w:rPr>
                <w:rFonts w:ascii="Arial" w:cs="Arial" w:eastAsia="Arial" w:hAnsi="Arial"/>
                <w:sz w:val="25"/>
                <w:szCs w:val="25"/>
                <w:color w:val="auto"/>
                <w:vertAlign w:val="superscript"/>
              </w:rPr>
              <w:t>(1)</w:t>
            </w:r>
          </w:p>
        </w:tc>
        <w:tc>
          <w:tcPr>
            <w:tcW w:w="1480" w:type="dxa"/>
            <w:vAlign w:val="bottom"/>
          </w:tcPr>
          <w:p>
            <w:pPr>
              <w:jc w:val="right"/>
              <w:ind w:right="63"/>
              <w:spacing w:after="0"/>
              <w:rPr>
                <w:sz w:val="20"/>
                <w:szCs w:val="20"/>
                <w:color w:val="auto"/>
              </w:rPr>
            </w:pPr>
            <w:r>
              <w:rPr>
                <w:rFonts w:ascii="Arial" w:cs="Arial" w:eastAsia="Arial" w:hAnsi="Arial"/>
                <w:sz w:val="16"/>
                <w:szCs w:val="16"/>
                <w:color w:val="auto"/>
              </w:rPr>
              <w:t>4.11</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2.04</w:t>
            </w:r>
          </w:p>
        </w:tc>
        <w:tc>
          <w:tcPr>
            <w:tcW w:w="820" w:type="dxa"/>
            <w:vAlign w:val="bottom"/>
          </w:tcPr>
          <w:p>
            <w:pPr>
              <w:jc w:val="right"/>
              <w:spacing w:after="0"/>
              <w:rPr>
                <w:sz w:val="20"/>
                <w:szCs w:val="20"/>
                <w:color w:val="auto"/>
              </w:rPr>
            </w:pPr>
            <w:r>
              <w:rPr>
                <w:rFonts w:ascii="Arial" w:cs="Arial" w:eastAsia="Arial" w:hAnsi="Arial"/>
                <w:sz w:val="16"/>
                <w:szCs w:val="16"/>
                <w:color w:val="auto"/>
              </w:rPr>
              <w:t>–50.4%</w:t>
            </w:r>
          </w:p>
        </w:tc>
      </w:tr>
      <w:tr>
        <w:trPr>
          <w:trHeight w:val="219"/>
        </w:trPr>
        <w:tc>
          <w:tcPr>
            <w:tcW w:w="5180" w:type="dxa"/>
            <w:vAlign w:val="bottom"/>
            <w:shd w:val="clear" w:color="auto" w:fill="E8F5EA"/>
          </w:tcPr>
          <w:p>
            <w:pPr>
              <w:spacing w:after="0" w:line="218" w:lineRule="exact"/>
              <w:rPr>
                <w:sz w:val="20"/>
                <w:szCs w:val="20"/>
                <w:color w:val="auto"/>
              </w:rPr>
            </w:pPr>
            <w:r>
              <w:rPr>
                <w:rFonts w:ascii="Arial" w:cs="Arial" w:eastAsia="Arial" w:hAnsi="Arial"/>
                <w:sz w:val="15"/>
                <w:szCs w:val="15"/>
                <w:color w:val="auto"/>
              </w:rPr>
              <w:t>Gross profit dollars</w:t>
            </w:r>
            <w:r>
              <w:rPr>
                <w:rFonts w:ascii="Arial" w:cs="Arial" w:eastAsia="Arial" w:hAnsi="Arial"/>
                <w:sz w:val="25"/>
                <w:szCs w:val="25"/>
                <w:color w:val="auto"/>
                <w:vertAlign w:val="superscript"/>
              </w:rPr>
              <w:t>(3)</w:t>
            </w:r>
          </w:p>
        </w:tc>
        <w:tc>
          <w:tcPr>
            <w:tcW w:w="1480" w:type="dxa"/>
            <w:vAlign w:val="bottom"/>
            <w:shd w:val="clear" w:color="auto" w:fill="E8F5EA"/>
          </w:tcPr>
          <w:p>
            <w:pPr>
              <w:jc w:val="right"/>
              <w:ind w:right="63"/>
              <w:spacing w:after="0"/>
              <w:rPr>
                <w:sz w:val="20"/>
                <w:szCs w:val="20"/>
                <w:color w:val="auto"/>
              </w:rPr>
            </w:pPr>
            <w:r>
              <w:rPr>
                <w:rFonts w:ascii="Arial" w:cs="Arial" w:eastAsia="Arial" w:hAnsi="Arial"/>
                <w:sz w:val="16"/>
                <w:szCs w:val="16"/>
                <w:color w:val="auto"/>
              </w:rPr>
              <w:t>$2,486.1</w:t>
            </w:r>
          </w:p>
        </w:tc>
        <w:tc>
          <w:tcPr>
            <w:tcW w:w="960" w:type="dxa"/>
            <w:vAlign w:val="bottom"/>
            <w:shd w:val="clear" w:color="auto" w:fill="E8F5EA"/>
          </w:tcPr>
          <w:p>
            <w:pPr>
              <w:jc w:val="right"/>
              <w:ind w:right="62"/>
              <w:spacing w:after="0"/>
              <w:rPr>
                <w:sz w:val="20"/>
                <w:szCs w:val="20"/>
                <w:color w:val="auto"/>
              </w:rPr>
            </w:pPr>
            <w:r>
              <w:rPr>
                <w:rFonts w:ascii="Arial" w:cs="Arial" w:eastAsia="Arial" w:hAnsi="Arial"/>
                <w:sz w:val="16"/>
                <w:szCs w:val="16"/>
                <w:color w:val="auto"/>
              </w:rPr>
              <w:t>$2,063.5</w:t>
            </w:r>
          </w:p>
        </w:tc>
        <w:tc>
          <w:tcPr>
            <w:tcW w:w="820" w:type="dxa"/>
            <w:vAlign w:val="bottom"/>
            <w:shd w:val="clear" w:color="auto" w:fill="E8F5EA"/>
          </w:tcPr>
          <w:p>
            <w:pPr>
              <w:jc w:val="right"/>
              <w:spacing w:after="0"/>
              <w:rPr>
                <w:sz w:val="20"/>
                <w:szCs w:val="20"/>
                <w:color w:val="auto"/>
              </w:rPr>
            </w:pPr>
            <w:r>
              <w:rPr>
                <w:rFonts w:ascii="Arial" w:cs="Arial" w:eastAsia="Arial" w:hAnsi="Arial"/>
                <w:sz w:val="16"/>
                <w:szCs w:val="16"/>
                <w:color w:val="auto"/>
              </w:rPr>
              <w:t>–17.0%</w:t>
            </w:r>
          </w:p>
        </w:tc>
      </w:tr>
      <w:tr>
        <w:trPr>
          <w:trHeight w:val="235"/>
        </w:trPr>
        <w:tc>
          <w:tcPr>
            <w:tcW w:w="5180" w:type="dxa"/>
            <w:vAlign w:val="bottom"/>
            <w:tcBorders>
              <w:bottom w:val="single" w:sz="8" w:color="53C072"/>
            </w:tcBorders>
          </w:tcPr>
          <w:p>
            <w:pPr>
              <w:spacing w:after="0" w:line="218" w:lineRule="exact"/>
              <w:rPr>
                <w:sz w:val="20"/>
                <w:szCs w:val="20"/>
                <w:color w:val="auto"/>
              </w:rPr>
            </w:pPr>
            <w:r>
              <w:rPr>
                <w:rFonts w:ascii="Arial" w:cs="Arial" w:eastAsia="Arial" w:hAnsi="Arial"/>
                <w:sz w:val="15"/>
                <w:szCs w:val="15"/>
                <w:color w:val="auto"/>
              </w:rPr>
              <w:t>Net working capital days</w:t>
            </w:r>
            <w:r>
              <w:rPr>
                <w:rFonts w:ascii="Arial" w:cs="Arial" w:eastAsia="Arial" w:hAnsi="Arial"/>
                <w:sz w:val="25"/>
                <w:szCs w:val="25"/>
                <w:color w:val="auto"/>
                <w:vertAlign w:val="superscript"/>
              </w:rPr>
              <w:t>(4)</w:t>
            </w:r>
          </w:p>
        </w:tc>
        <w:tc>
          <w:tcPr>
            <w:tcW w:w="1480" w:type="dxa"/>
            <w:vAlign w:val="bottom"/>
            <w:tcBorders>
              <w:bottom w:val="single" w:sz="8" w:color="53C072"/>
            </w:tcBorders>
          </w:tcPr>
          <w:p>
            <w:pPr>
              <w:jc w:val="right"/>
              <w:ind w:right="63"/>
              <w:spacing w:after="0"/>
              <w:rPr>
                <w:sz w:val="20"/>
                <w:szCs w:val="20"/>
                <w:color w:val="auto"/>
              </w:rPr>
            </w:pPr>
            <w:r>
              <w:rPr>
                <w:rFonts w:ascii="Arial" w:cs="Arial" w:eastAsia="Arial" w:hAnsi="Arial"/>
                <w:sz w:val="16"/>
                <w:szCs w:val="16"/>
                <w:color w:val="auto"/>
              </w:rPr>
              <w:t>86.16</w:t>
            </w:r>
          </w:p>
        </w:tc>
        <w:tc>
          <w:tcPr>
            <w:tcW w:w="960" w:type="dxa"/>
            <w:vAlign w:val="bottom"/>
            <w:tcBorders>
              <w:bottom w:val="single" w:sz="8" w:color="53C072"/>
            </w:tcBorders>
          </w:tcPr>
          <w:p>
            <w:pPr>
              <w:jc w:val="right"/>
              <w:ind w:right="62"/>
              <w:spacing w:after="0"/>
              <w:rPr>
                <w:sz w:val="20"/>
                <w:szCs w:val="20"/>
                <w:color w:val="auto"/>
              </w:rPr>
            </w:pPr>
            <w:r>
              <w:rPr>
                <w:rFonts w:ascii="Arial" w:cs="Arial" w:eastAsia="Arial" w:hAnsi="Arial"/>
                <w:sz w:val="16"/>
                <w:szCs w:val="16"/>
                <w:color w:val="auto"/>
              </w:rPr>
              <w:t>84.62</w:t>
            </w:r>
          </w:p>
        </w:tc>
        <w:tc>
          <w:tcPr>
            <w:tcW w:w="820" w:type="dxa"/>
            <w:vAlign w:val="bottom"/>
            <w:tcBorders>
              <w:bottom w:val="single" w:sz="8" w:color="53C072"/>
            </w:tcBorders>
          </w:tcPr>
          <w:p>
            <w:pPr>
              <w:jc w:val="right"/>
              <w:spacing w:after="0"/>
              <w:rPr>
                <w:sz w:val="20"/>
                <w:szCs w:val="20"/>
                <w:color w:val="auto"/>
              </w:rPr>
            </w:pPr>
            <w:r>
              <w:rPr>
                <w:rFonts w:ascii="Arial" w:cs="Arial" w:eastAsia="Arial" w:hAnsi="Arial"/>
                <w:sz w:val="16"/>
                <w:szCs w:val="16"/>
                <w:color w:val="auto"/>
              </w:rPr>
              <w:t>–1.8%</w:t>
            </w:r>
          </w:p>
        </w:tc>
      </w:tr>
    </w:tbl>
    <w:p>
      <w:pPr>
        <w:spacing w:after="0" w:line="177" w:lineRule="exact"/>
        <w:rPr>
          <w:sz w:val="20"/>
          <w:szCs w:val="20"/>
          <w:color w:val="auto"/>
        </w:rPr>
      </w:pPr>
    </w:p>
    <w:p>
      <w:pPr>
        <w:ind w:left="1843" w:right="20" w:hanging="492"/>
        <w:spacing w:after="0" w:line="242" w:lineRule="auto"/>
        <w:tabs>
          <w:tab w:leader="none" w:pos="1843"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In addition to presenting financial results that are determined in accordance with generally accepted accounting principles in the United States ("GAAP"), the Company also discloses certain non-GAAP financial information including adjusted operating income, adjusted operating income margin, adjusted income from continuing operations and adjusted diluted earnings per share from continuing operations to exclude certain items in the table above. The Company believes that these metrics, adjusted for the impact of certain items, are useful measures to help shareholders better assess and understand the Company's performance, especially when comparing results with previous periods, primarily because management views the excluded items to be outside of the Company's normal operating results. See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to this Proxy Statement for a reconciliation of these non-GAAP measures to the most directly comparable GAAP measures. Non-GAAP measures should be viewed in addition to, and not as an alternative for, financial results prepared in accordance with GAAP.</w:t>
      </w:r>
    </w:p>
    <w:p>
      <w:pPr>
        <w:spacing w:after="0" w:line="151" w:lineRule="exact"/>
        <w:rPr>
          <w:rFonts w:ascii="Arial" w:cs="Arial" w:eastAsia="Arial" w:hAnsi="Arial"/>
          <w:sz w:val="16"/>
          <w:szCs w:val="16"/>
          <w:color w:val="auto"/>
        </w:rPr>
      </w:pPr>
    </w:p>
    <w:p>
      <w:pPr>
        <w:ind w:left="1843" w:right="40" w:hanging="492"/>
        <w:spacing w:after="0" w:line="256" w:lineRule="auto"/>
        <w:tabs>
          <w:tab w:leader="none" w:pos="1843" w:val="left"/>
        </w:tabs>
        <w:numPr>
          <w:ilvl w:val="0"/>
          <w:numId w:val="39"/>
        </w:numPr>
        <w:rPr>
          <w:rFonts w:ascii="Arial" w:cs="Arial" w:eastAsia="Arial" w:hAnsi="Arial"/>
          <w:sz w:val="16"/>
          <w:szCs w:val="16"/>
          <w:color w:val="auto"/>
        </w:rPr>
      </w:pPr>
      <w:r>
        <w:rPr>
          <w:rFonts w:ascii="Arial" w:cs="Arial" w:eastAsia="Arial" w:hAnsi="Arial"/>
          <w:sz w:val="16"/>
          <w:szCs w:val="16"/>
          <w:color w:val="auto"/>
        </w:rPr>
        <w:t>Adjusted operating income declined 56.5% from fiscal 2019, primarily due to the current macroeconomic environment in the Company's industry and challenges arising from the COVID-19 pandemic. Benefitting the Company's adjusted operating income was a $29.8 million decline in adjusted operating expenses from fiscal 2019.</w:t>
      </w:r>
    </w:p>
    <w:p>
      <w:pPr>
        <w:spacing w:after="0" w:line="151" w:lineRule="exact"/>
        <w:rPr>
          <w:rFonts w:ascii="Arial" w:cs="Arial" w:eastAsia="Arial" w:hAnsi="Arial"/>
          <w:sz w:val="16"/>
          <w:szCs w:val="16"/>
          <w:color w:val="auto"/>
        </w:rPr>
      </w:pPr>
    </w:p>
    <w:p>
      <w:pPr>
        <w:ind w:left="1843" w:right="140" w:hanging="492"/>
        <w:spacing w:after="0" w:line="250" w:lineRule="auto"/>
        <w:tabs>
          <w:tab w:leader="none" w:pos="1843" w:val="left"/>
        </w:tabs>
        <w:numPr>
          <w:ilvl w:val="0"/>
          <w:numId w:val="39"/>
        </w:numPr>
        <w:rPr>
          <w:rFonts w:ascii="Arial" w:cs="Arial" w:eastAsia="Arial" w:hAnsi="Arial"/>
          <w:sz w:val="16"/>
          <w:szCs w:val="16"/>
          <w:color w:val="auto"/>
        </w:rPr>
      </w:pPr>
      <w:r>
        <w:rPr>
          <w:rFonts w:ascii="Arial" w:cs="Arial" w:eastAsia="Arial" w:hAnsi="Arial"/>
          <w:sz w:val="16"/>
          <w:szCs w:val="16"/>
          <w:color w:val="auto"/>
        </w:rPr>
        <w:t>Gross profit dollars declined $422.6 million, or 17.0%, from fiscal 2019, primarily due to a combination of product and customer mix, geographical market mix and the global industry-wide slowdown resulting from the COVID-19 pandemic. The Company was also impacted by Texas Instruments Incorporated's planned termination of its distribution agreement by the end of calendar year 2020 due to the evolution of its strategy.</w:t>
      </w:r>
    </w:p>
    <w:p>
      <w:pPr>
        <w:spacing w:after="0" w:line="143" w:lineRule="exact"/>
        <w:rPr>
          <w:rFonts w:ascii="Arial" w:cs="Arial" w:eastAsia="Arial" w:hAnsi="Arial"/>
          <w:sz w:val="16"/>
          <w:szCs w:val="16"/>
          <w:color w:val="auto"/>
        </w:rPr>
      </w:pPr>
    </w:p>
    <w:p>
      <w:pPr>
        <w:ind w:left="1843" w:right="340" w:hanging="492"/>
        <w:spacing w:after="0" w:line="275" w:lineRule="auto"/>
        <w:tabs>
          <w:tab w:leader="none" w:pos="1843"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Company improved Net Working Capital days by approximately one day from fiscal 2019, which was accomplished by diligent management of working capital which declined $406.2 million from fiscal 2019.</w:t>
      </w:r>
    </w:p>
    <w:p>
      <w:pPr>
        <w:spacing w:after="0" w:line="108" w:lineRule="exact"/>
        <w:rPr>
          <w:sz w:val="20"/>
          <w:szCs w:val="20"/>
          <w:color w:val="auto"/>
        </w:rPr>
      </w:pPr>
    </w:p>
    <w:p>
      <w:pPr>
        <w:jc w:val="both"/>
        <w:ind w:left="10723"/>
        <w:spacing w:after="0"/>
        <w:tabs>
          <w:tab w:leader="none" w:pos="11062" w:val="left"/>
        </w:tabs>
        <w:rPr>
          <w:sz w:val="20"/>
          <w:szCs w:val="20"/>
          <w:color w:val="auto"/>
        </w:rPr>
      </w:pPr>
      <w:r>
        <w:rPr>
          <w:rFonts w:ascii="Arial" w:cs="Arial" w:eastAsia="Arial" w:hAnsi="Arial"/>
          <w:sz w:val="23"/>
          <w:szCs w:val="23"/>
          <w:b w:val="1"/>
          <w:bCs w:val="1"/>
          <w:color w:val="53C072"/>
        </w:rPr>
        <w:t>|</w:t>
      </w:r>
      <w:r>
        <w:rPr>
          <w:sz w:val="20"/>
          <w:szCs w:val="20"/>
          <w:color w:val="auto"/>
        </w:rPr>
        <w:tab/>
      </w: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7151370" cy="203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-130175</wp:posOffset>
            </wp:positionV>
            <wp:extent cx="1664970" cy="1231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3"/>
          </w:cols>
          <w:pgMar w:left="317" w:top="122" w:right="31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13"/>
        </w:trPr>
        <w:tc>
          <w:tcPr>
            <w:tcW w:w="512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6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12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6140" w:type="dxa"/>
            <w:vAlign w:val="bottom"/>
            <w:vMerge w:val="restart"/>
          </w:tcPr>
          <w:p>
            <w:pPr>
              <w:ind w:left="3880"/>
              <w:spacing w:after="0"/>
              <w:rPr>
                <w:sz w:val="20"/>
                <w:szCs w:val="20"/>
                <w:color w:val="auto"/>
              </w:rPr>
            </w:pPr>
            <w:r>
              <w:rPr>
                <w:rFonts w:ascii="Arial" w:cs="Arial" w:eastAsia="Arial" w:hAnsi="Arial"/>
                <w:sz w:val="13"/>
                <w:szCs w:val="13"/>
                <w:color w:val="auto"/>
                <w:w w:val="98"/>
              </w:rPr>
              <w:t>Compensation Discussion and Analysis</w:t>
            </w:r>
          </w:p>
        </w:tc>
        <w:tc>
          <w:tcPr>
            <w:tcW w:w="0" w:type="dxa"/>
            <w:vAlign w:val="bottom"/>
          </w:tcPr>
          <w:p>
            <w:pPr>
              <w:spacing w:after="0"/>
              <w:rPr>
                <w:sz w:val="1"/>
                <w:szCs w:val="1"/>
                <w:color w:val="auto"/>
              </w:rPr>
            </w:pPr>
          </w:p>
        </w:tc>
      </w:tr>
      <w:tr>
        <w:trPr>
          <w:trHeight w:val="102"/>
        </w:trPr>
        <w:tc>
          <w:tcPr>
            <w:tcW w:w="512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6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120" w:type="dxa"/>
            <w:vAlign w:val="bottom"/>
            <w:vMerge w:val="continue"/>
          </w:tcPr>
          <w:p>
            <w:pPr>
              <w:spacing w:after="0"/>
              <w:rPr>
                <w:sz w:val="7"/>
                <w:szCs w:val="7"/>
                <w:color w:val="auto"/>
              </w:rPr>
            </w:pPr>
          </w:p>
        </w:tc>
        <w:tc>
          <w:tcPr>
            <w:tcW w:w="6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1778635</wp:posOffset>
            </wp:positionH>
            <wp:positionV relativeFrom="paragraph">
              <wp:posOffset>108585</wp:posOffset>
            </wp:positionV>
            <wp:extent cx="3584575" cy="12103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584575" cy="1210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Summary of Incentive Compensation Design and Payouts for Fiscal 2020</w:t>
      </w:r>
    </w:p>
    <w:p>
      <w:pPr>
        <w:spacing w:after="0" w:line="194" w:lineRule="exact"/>
        <w:rPr>
          <w:sz w:val="20"/>
          <w:szCs w:val="20"/>
          <w:color w:val="auto"/>
        </w:rPr>
      </w:pPr>
    </w:p>
    <w:p>
      <w:pPr>
        <w:ind w:left="960" w:hanging="477"/>
        <w:spacing w:after="0"/>
        <w:tabs>
          <w:tab w:leader="none" w:pos="960"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Annual Cash Incentive Awards: </w:t>
      </w:r>
      <w:r>
        <w:rPr>
          <w:rFonts w:ascii="Arial" w:cs="Arial" w:eastAsia="Arial" w:hAnsi="Arial"/>
          <w:sz w:val="16"/>
          <w:szCs w:val="16"/>
          <w:color w:val="auto"/>
        </w:rPr>
        <w:t>The annual cash incentive plan for fiscal 2020 utilized a combination of three financial performance goals:</w:t>
      </w:r>
    </w:p>
    <w:p>
      <w:pPr>
        <w:spacing w:after="0" w:line="18" w:lineRule="exact"/>
        <w:rPr>
          <w:rFonts w:ascii="Arial" w:cs="Arial" w:eastAsia="Arial" w:hAnsi="Arial"/>
          <w:sz w:val="16"/>
          <w:szCs w:val="16"/>
          <w:color w:val="auto"/>
        </w:rPr>
      </w:pPr>
    </w:p>
    <w:p>
      <w:pPr>
        <w:ind w:left="960" w:right="40"/>
        <w:spacing w:after="0" w:line="253" w:lineRule="auto"/>
        <w:rPr>
          <w:rFonts w:ascii="Arial" w:cs="Arial" w:eastAsia="Arial" w:hAnsi="Arial"/>
          <w:sz w:val="16"/>
          <w:szCs w:val="16"/>
          <w:color w:val="auto"/>
        </w:rPr>
      </w:pPr>
      <w:r>
        <w:rPr>
          <w:rFonts w:ascii="Arial" w:cs="Arial" w:eastAsia="Arial" w:hAnsi="Arial"/>
          <w:sz w:val="15"/>
          <w:szCs w:val="15"/>
          <w:color w:val="auto"/>
        </w:rPr>
        <w:t xml:space="preserve">(1) operating income dollars (OI$) weighed 40% of an award, (2) gross profit dollars (GP$) weighted 30% and (3) net working capital days (NWCD) weighted 30%. The design included a discretionary modifier, which permitted the Compensation Committee to adjust the amount of the final payout up to plus or minus 20% to recognize critical performance factors and industry conditions, either for all NEOs as a group or separately. The Compensation Committee believes that the design reflects the Company's business strategy, and effectively drives behaviors and decisions consistent with the Company's financial goals. The goals for fiscal 2020 reinforced the focus on profitable growth by rewarding growth in operating income while maintaining an appropriate amount of sensitivity to the developments in gross margin and efficiency in the use of working capital. Based on the impact of COVID-19, the difficult working environment and individual contributions by the NEOs relative to their peers, the Compensation Committee applied a discretionary modifier of +10% to Messrs. Gallagher and Liguori's payout, but did not modify the payouts for the other NEOs. </w:t>
      </w:r>
      <w:r>
        <w:rPr>
          <w:rFonts w:ascii="Arial" w:cs="Arial" w:eastAsia="Arial" w:hAnsi="Arial"/>
          <w:sz w:val="15"/>
          <w:szCs w:val="15"/>
          <w:b w:val="1"/>
          <w:bCs w:val="1"/>
          <w:i w:val="1"/>
          <w:iCs w:val="1"/>
          <w:color w:val="auto"/>
        </w:rPr>
        <w:t>The resulting payout for the fiscal 2020 annual cash incentive awards was 59.89% of target for Messrs. Gallagher and</w:t>
      </w:r>
    </w:p>
    <w:p>
      <w:pPr>
        <w:spacing w:after="0" w:line="2"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6"/>
          <w:szCs w:val="16"/>
          <w:b w:val="1"/>
          <w:bCs w:val="1"/>
          <w:i w:val="1"/>
          <w:iCs w:val="1"/>
          <w:color w:val="auto"/>
        </w:rPr>
        <w:t>Liguori and 49.89% of target for the other NEOs.</w:t>
      </w:r>
    </w:p>
    <w:p>
      <w:pPr>
        <w:spacing w:after="0" w:line="172" w:lineRule="exact"/>
        <w:rPr>
          <w:rFonts w:ascii="Arial" w:cs="Arial" w:eastAsia="Arial" w:hAnsi="Arial"/>
          <w:sz w:val="16"/>
          <w:szCs w:val="16"/>
          <w:color w:val="auto"/>
        </w:rPr>
      </w:pPr>
    </w:p>
    <w:p>
      <w:pPr>
        <w:ind w:left="960" w:right="280" w:hanging="477"/>
        <w:spacing w:after="0" w:line="253" w:lineRule="auto"/>
        <w:tabs>
          <w:tab w:leader="none" w:pos="960"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Long-term Performance Share Unit Awards: </w:t>
      </w:r>
      <w:r>
        <w:rPr>
          <w:rFonts w:ascii="Arial" w:cs="Arial" w:eastAsia="Arial" w:hAnsi="Arial"/>
          <w:sz w:val="16"/>
          <w:szCs w:val="16"/>
          <w:color w:val="auto"/>
        </w:rPr>
        <w:t>The performance share unit awards granted in fiscal 2018, which had a performance period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fiscal 2018-2020 and vested at the end of fiscal 2020, was based on relative economic profit weighted 50% of an award and absolute Return on Capital Employed weighted 50% with relative total shareholder return ("TSR") as a modifier. </w:t>
      </w:r>
      <w:r>
        <w:rPr>
          <w:rFonts w:ascii="Arial" w:cs="Arial" w:eastAsia="Arial" w:hAnsi="Arial"/>
          <w:sz w:val="16"/>
          <w:szCs w:val="16"/>
          <w:b w:val="1"/>
          <w:bCs w:val="1"/>
          <w:i w:val="1"/>
          <w:iCs w:val="1"/>
          <w:color w:val="auto"/>
        </w:rPr>
        <w:t>The actual payout for the fiscal 2018-2020</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performance share unit awards was 24.1% of target.</w:t>
      </w:r>
    </w:p>
    <w:p>
      <w:pPr>
        <w:spacing w:after="0" w:line="145"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Philosophy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133985</wp:posOffset>
            </wp:positionV>
            <wp:extent cx="5604510" cy="6705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604510" cy="670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80"/>
        <w:spacing w:after="0" w:line="245" w:lineRule="auto"/>
        <w:rPr>
          <w:sz w:val="20"/>
          <w:szCs w:val="20"/>
          <w:color w:val="auto"/>
        </w:rPr>
      </w:pPr>
      <w:r>
        <w:rPr>
          <w:rFonts w:ascii="Arial" w:cs="Arial" w:eastAsia="Arial" w:hAnsi="Arial"/>
          <w:sz w:val="16"/>
          <w:szCs w:val="16"/>
          <w:color w:val="auto"/>
        </w:rPr>
        <w:t>The Compensation Committee's objective is to establish and administer a compensation program that supports the achievement of the Company's business objectives and the alignment of executives' interests with those of the shareholders by fairly and competitively rewarding short- and long-term performance that enhances shareholder value over time. The Company's short- and long-term incentive programs employ multiple performance measures to ensure focus is on the entire business. Further, the incentive programs include awards that vest over several different and overlapping periods to help ensure that performance during any one period is not maximized to the detriment of other periods. In addition to the annual cash incentive awards, equity awards vest over periods ranging from three to four years depending on the award type.</w:t>
      </w:r>
    </w:p>
    <w:p>
      <w:pPr>
        <w:spacing w:after="0" w:line="171"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38</w:t>
      </w:r>
      <w:r>
        <w:rPr>
          <w:sz w:val="20"/>
          <w:szCs w:val="20"/>
          <w:color w:val="auto"/>
        </w:rPr>
        <w:tab/>
      </w:r>
      <w:r>
        <w:rPr>
          <w:rFonts w:ascii="Arial" w:cs="Arial" w:eastAsia="Arial" w:hAnsi="Arial"/>
          <w:sz w:val="23"/>
          <w:szCs w:val="23"/>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7151370" cy="203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-155575</wp:posOffset>
            </wp:positionV>
            <wp:extent cx="1664970" cy="1231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13"/>
        </w:trPr>
        <w:tc>
          <w:tcPr>
            <w:tcW w:w="512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6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12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6140" w:type="dxa"/>
            <w:vAlign w:val="bottom"/>
            <w:vMerge w:val="restart"/>
          </w:tcPr>
          <w:p>
            <w:pPr>
              <w:ind w:left="3880"/>
              <w:spacing w:after="0"/>
              <w:rPr>
                <w:sz w:val="20"/>
                <w:szCs w:val="20"/>
                <w:color w:val="auto"/>
              </w:rPr>
            </w:pPr>
            <w:r>
              <w:rPr>
                <w:rFonts w:ascii="Arial" w:cs="Arial" w:eastAsia="Arial" w:hAnsi="Arial"/>
                <w:sz w:val="13"/>
                <w:szCs w:val="13"/>
                <w:color w:val="auto"/>
                <w:w w:val="98"/>
              </w:rPr>
              <w:t>Compensation Discussion and Analysis</w:t>
            </w:r>
          </w:p>
        </w:tc>
        <w:tc>
          <w:tcPr>
            <w:tcW w:w="0" w:type="dxa"/>
            <w:vAlign w:val="bottom"/>
          </w:tcPr>
          <w:p>
            <w:pPr>
              <w:spacing w:after="0"/>
              <w:rPr>
                <w:sz w:val="1"/>
                <w:szCs w:val="1"/>
                <w:color w:val="auto"/>
              </w:rPr>
            </w:pPr>
          </w:p>
        </w:tc>
      </w:tr>
      <w:tr>
        <w:trPr>
          <w:trHeight w:val="102"/>
        </w:trPr>
        <w:tc>
          <w:tcPr>
            <w:tcW w:w="512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6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120" w:type="dxa"/>
            <w:vAlign w:val="bottom"/>
            <w:vMerge w:val="continue"/>
          </w:tcPr>
          <w:p>
            <w:pPr>
              <w:spacing w:after="0"/>
              <w:rPr>
                <w:sz w:val="7"/>
                <w:szCs w:val="7"/>
                <w:color w:val="auto"/>
              </w:rPr>
            </w:pPr>
          </w:p>
        </w:tc>
        <w:tc>
          <w:tcPr>
            <w:tcW w:w="6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2019 Advisory Vote on Executive Compensation</w:t>
      </w:r>
    </w:p>
    <w:p>
      <w:pPr>
        <w:spacing w:after="0" w:line="194"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At the Company's annual shareholder meeting on November 19, 2019, the Company submitted its executive compensation program to an advisory vote of its shareholders (also known as the "say on pay vote"). This advisory vote received support from approximately 97.9% of the total votes cast at the annual meeting, an increase from the previous year's 94.2%.</w:t>
      </w:r>
    </w:p>
    <w:p>
      <w:pPr>
        <w:spacing w:after="0" w:line="150"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Shareholder Outreach Efforts</w:t>
      </w:r>
    </w:p>
    <w:p>
      <w:pPr>
        <w:spacing w:after="0" w:line="194"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The Company pays careful attention to any feedback received from its shareholders about the Company's executive compensation program, including the say on pay vote, and its governance practices and policies. As has been its practice for several years, prior to the 2019 annual meeting, the Company conducted a shareholder outreach program with a number of its largest registered shareholders to seek their feedback on the Company's corporate governance and executive compensation practices ("2019 Outreach"). There were no significant concerns expressed during the 2019 Outreach, but a few shareholders expressed a growing interest in the Company's Corporate Social Responsibility (CSR) and Environmental, Social and Governance (ESG) programs, practices and initiatives. In response, the Company added a new section in its proxy statements, starting with the 2019 Proxy Statement, to provide information on the Company's CSR/ESG practices, policies and initiatives. See "Corporate Governance — Corporate Social Responsibility."</w:t>
      </w:r>
    </w:p>
    <w:p>
      <w:pPr>
        <w:spacing w:after="0" w:line="165"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Shortly after the 2019 annual meeting, the Company conducted another shareholder outreach program to seek further feedback on the Company's corporate governance, executive compensation and CSR/ESG practices. There were no significant concerns expressed during this outreach.</w:t>
      </w:r>
    </w:p>
    <w:p>
      <w:pPr>
        <w:spacing w:after="0" w:line="137"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The Compensation Committee carefully considered and continues to consider the results of the say on pay vote and the feedback received from its shareholders in its subsequent executive compensation decision-making.</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COMPENSATION GOVERNANCE AND PROCESS</w:t>
      </w:r>
    </w:p>
    <w:p>
      <w:pPr>
        <w:spacing w:after="0" w:line="207"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Role of the Compensation Committee and Board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 setting and implementing the Company's executive compensation program:</w:t>
      </w:r>
    </w:p>
    <w:p>
      <w:pPr>
        <w:spacing w:after="0" w:line="204" w:lineRule="exact"/>
        <w:rPr>
          <w:sz w:val="20"/>
          <w:szCs w:val="20"/>
          <w:color w:val="auto"/>
        </w:rPr>
      </w:pPr>
    </w:p>
    <w:p>
      <w:pPr>
        <w:ind w:left="960" w:right="100" w:hanging="477"/>
        <w:spacing w:after="0" w:line="275" w:lineRule="auto"/>
        <w:tabs>
          <w:tab w:leader="none" w:pos="960" w:val="left"/>
        </w:tabs>
        <w:numPr>
          <w:ilvl w:val="0"/>
          <w:numId w:val="41"/>
        </w:numPr>
        <w:rPr>
          <w:rFonts w:ascii="MS PGothic" w:cs="MS PGothic" w:eastAsia="MS PGothic" w:hAnsi="MS PGothic"/>
          <w:sz w:val="16"/>
          <w:szCs w:val="16"/>
          <w:color w:val="53C072"/>
        </w:rPr>
      </w:pPr>
      <w:r>
        <w:rPr>
          <w:rFonts w:ascii="Arial" w:cs="Arial" w:eastAsia="Arial" w:hAnsi="Arial"/>
          <w:sz w:val="16"/>
          <w:szCs w:val="16"/>
          <w:color w:val="auto"/>
        </w:rPr>
        <w:t>The Committee oversees overall compensation structure, policies and programs, and assesses the appropriateness of incentives for management and employees</w:t>
      </w:r>
    </w:p>
    <w:p>
      <w:pPr>
        <w:spacing w:after="0" w:line="161" w:lineRule="exact"/>
        <w:rPr>
          <w:rFonts w:ascii="MS PGothic" w:cs="MS PGothic" w:eastAsia="MS PGothic" w:hAnsi="MS PGothic"/>
          <w:sz w:val="16"/>
          <w:szCs w:val="16"/>
          <w:color w:val="53C072"/>
        </w:rPr>
      </w:pPr>
    </w:p>
    <w:p>
      <w:pPr>
        <w:ind w:left="960" w:hanging="477"/>
        <w:spacing w:after="0"/>
        <w:tabs>
          <w:tab w:leader="none" w:pos="960" w:val="left"/>
        </w:tabs>
        <w:numPr>
          <w:ilvl w:val="0"/>
          <w:numId w:val="41"/>
        </w:numPr>
        <w:rPr>
          <w:rFonts w:ascii="MS PGothic" w:cs="MS PGothic" w:eastAsia="MS PGothic" w:hAnsi="MS PGothic"/>
          <w:sz w:val="16"/>
          <w:szCs w:val="16"/>
          <w:color w:val="53C072"/>
        </w:rPr>
      </w:pPr>
      <w:r>
        <w:rPr>
          <w:rFonts w:ascii="Arial" w:cs="Arial" w:eastAsia="Arial" w:hAnsi="Arial"/>
          <w:sz w:val="16"/>
          <w:szCs w:val="16"/>
          <w:color w:val="auto"/>
        </w:rPr>
        <w:t>The Committee administers short-term and long-term incentive plans and all equity-based compensation plans</w:t>
      </w:r>
    </w:p>
    <w:p>
      <w:pPr>
        <w:spacing w:after="0" w:line="204" w:lineRule="exact"/>
        <w:rPr>
          <w:rFonts w:ascii="MS PGothic" w:cs="MS PGothic" w:eastAsia="MS PGothic" w:hAnsi="MS PGothic"/>
          <w:sz w:val="16"/>
          <w:szCs w:val="16"/>
          <w:color w:val="53C072"/>
        </w:rPr>
      </w:pPr>
    </w:p>
    <w:p>
      <w:pPr>
        <w:ind w:left="960" w:hanging="477"/>
        <w:spacing w:after="0"/>
        <w:tabs>
          <w:tab w:leader="none" w:pos="960" w:val="left"/>
        </w:tabs>
        <w:numPr>
          <w:ilvl w:val="0"/>
          <w:numId w:val="41"/>
        </w:numPr>
        <w:rPr>
          <w:rFonts w:ascii="MS PGothic" w:cs="MS PGothic" w:eastAsia="MS PGothic" w:hAnsi="MS PGothic"/>
          <w:sz w:val="16"/>
          <w:szCs w:val="16"/>
          <w:color w:val="53C072"/>
        </w:rPr>
      </w:pPr>
      <w:r>
        <w:rPr>
          <w:rFonts w:ascii="Arial" w:cs="Arial" w:eastAsia="Arial" w:hAnsi="Arial"/>
          <w:sz w:val="16"/>
          <w:szCs w:val="16"/>
          <w:color w:val="auto"/>
        </w:rPr>
        <w:t>The Committee oversees performance evaluations and reviews and approves compensation for all executive officers except the CEO</w:t>
      </w:r>
    </w:p>
    <w:p>
      <w:pPr>
        <w:spacing w:after="0" w:line="204" w:lineRule="exact"/>
        <w:rPr>
          <w:rFonts w:ascii="MS PGothic" w:cs="MS PGothic" w:eastAsia="MS PGothic" w:hAnsi="MS PGothic"/>
          <w:sz w:val="16"/>
          <w:szCs w:val="16"/>
          <w:color w:val="53C072"/>
        </w:rPr>
      </w:pPr>
    </w:p>
    <w:p>
      <w:pPr>
        <w:ind w:left="960" w:right="460" w:hanging="477"/>
        <w:spacing w:after="0" w:line="275" w:lineRule="auto"/>
        <w:tabs>
          <w:tab w:leader="none" w:pos="960" w:val="left"/>
        </w:tabs>
        <w:numPr>
          <w:ilvl w:val="0"/>
          <w:numId w:val="41"/>
        </w:numPr>
        <w:rPr>
          <w:rFonts w:ascii="MS PGothic" w:cs="MS PGothic" w:eastAsia="MS PGothic" w:hAnsi="MS PGothic"/>
          <w:sz w:val="16"/>
          <w:szCs w:val="16"/>
          <w:color w:val="53C072"/>
        </w:rPr>
      </w:pPr>
      <w:r>
        <w:rPr>
          <w:rFonts w:ascii="Arial" w:cs="Arial" w:eastAsia="Arial" w:hAnsi="Arial"/>
          <w:sz w:val="16"/>
          <w:szCs w:val="16"/>
          <w:color w:val="auto"/>
        </w:rPr>
        <w:t>The Committee reviews and evaluates the performance of the CEO and makes recommendations to the Independent Directors regarding the compensation of the CEO</w:t>
      </w:r>
    </w:p>
    <w:p>
      <w:pPr>
        <w:spacing w:after="0" w:line="161" w:lineRule="exact"/>
        <w:rPr>
          <w:rFonts w:ascii="MS PGothic" w:cs="MS PGothic" w:eastAsia="MS PGothic" w:hAnsi="MS PGothic"/>
          <w:sz w:val="16"/>
          <w:szCs w:val="16"/>
          <w:color w:val="53C072"/>
        </w:rPr>
      </w:pPr>
    </w:p>
    <w:p>
      <w:pPr>
        <w:ind w:left="960" w:right="520" w:hanging="477"/>
        <w:spacing w:after="0" w:line="275" w:lineRule="auto"/>
        <w:tabs>
          <w:tab w:leader="none" w:pos="960" w:val="left"/>
        </w:tabs>
        <w:numPr>
          <w:ilvl w:val="0"/>
          <w:numId w:val="41"/>
        </w:numPr>
        <w:rPr>
          <w:rFonts w:ascii="MS PGothic" w:cs="MS PGothic" w:eastAsia="MS PGothic" w:hAnsi="MS PGothic"/>
          <w:sz w:val="16"/>
          <w:szCs w:val="16"/>
          <w:color w:val="53C072"/>
        </w:rPr>
      </w:pPr>
      <w:r>
        <w:rPr>
          <w:rFonts w:ascii="Arial" w:cs="Arial" w:eastAsia="Arial" w:hAnsi="Arial"/>
          <w:sz w:val="16"/>
          <w:szCs w:val="16"/>
          <w:color w:val="auto"/>
        </w:rPr>
        <w:t>The Committee recommends the target opportunity and actual compensation for the CEO to the Independent Directors of the Board for their consideration and approval</w:t>
      </w:r>
    </w:p>
    <w:p>
      <w:pPr>
        <w:spacing w:after="0" w:line="148" w:lineRule="exact"/>
        <w:rPr>
          <w:rFonts w:ascii="MS PGothic" w:cs="MS PGothic" w:eastAsia="MS PGothic" w:hAnsi="MS PGothic"/>
          <w:sz w:val="16"/>
          <w:szCs w:val="16"/>
          <w:color w:val="53C072"/>
        </w:rPr>
      </w:pPr>
    </w:p>
    <w:p>
      <w:pPr>
        <w:ind w:left="960" w:hanging="477"/>
        <w:spacing w:after="0"/>
        <w:tabs>
          <w:tab w:leader="none" w:pos="960" w:val="left"/>
        </w:tabs>
        <w:numPr>
          <w:ilvl w:val="0"/>
          <w:numId w:val="41"/>
        </w:numPr>
        <w:rPr>
          <w:rFonts w:ascii="MS PGothic" w:cs="MS PGothic" w:eastAsia="MS PGothic" w:hAnsi="MS PGothic"/>
          <w:sz w:val="16"/>
          <w:szCs w:val="16"/>
          <w:color w:val="53C072"/>
        </w:rPr>
      </w:pPr>
      <w:r>
        <w:rPr>
          <w:rFonts w:ascii="Arial" w:cs="Arial" w:eastAsia="Arial" w:hAnsi="Arial"/>
          <w:sz w:val="16"/>
          <w:szCs w:val="16"/>
          <w:color w:val="auto"/>
        </w:rPr>
        <w:t>The Committee reviews the compensation arrangements for executive officers to ensure that they do not encourage excessive risk-taking</w:t>
      </w:r>
    </w:p>
    <w:p>
      <w:pPr>
        <w:spacing w:after="0" w:line="204" w:lineRule="exact"/>
        <w:rPr>
          <w:rFonts w:ascii="MS PGothic" w:cs="MS PGothic" w:eastAsia="MS PGothic" w:hAnsi="MS PGothic"/>
          <w:sz w:val="16"/>
          <w:szCs w:val="16"/>
          <w:color w:val="53C072"/>
        </w:rPr>
      </w:pPr>
    </w:p>
    <w:p>
      <w:pPr>
        <w:ind w:left="960" w:hanging="477"/>
        <w:spacing w:after="0"/>
        <w:tabs>
          <w:tab w:leader="none" w:pos="960" w:val="left"/>
        </w:tabs>
        <w:numPr>
          <w:ilvl w:val="0"/>
          <w:numId w:val="41"/>
        </w:numPr>
        <w:rPr>
          <w:rFonts w:ascii="MS PGothic" w:cs="MS PGothic" w:eastAsia="MS PGothic" w:hAnsi="MS PGothic"/>
          <w:sz w:val="16"/>
          <w:szCs w:val="16"/>
          <w:color w:val="53C072"/>
        </w:rPr>
      </w:pPr>
      <w:r>
        <w:rPr>
          <w:rFonts w:ascii="Arial" w:cs="Arial" w:eastAsia="Arial" w:hAnsi="Arial"/>
          <w:sz w:val="16"/>
          <w:szCs w:val="16"/>
          <w:color w:val="auto"/>
        </w:rPr>
        <w:t>The Independent Directors of the Board approve the compensation for the CEO</w:t>
      </w:r>
    </w:p>
    <w:p>
      <w:pPr>
        <w:spacing w:after="0" w:line="164" w:lineRule="exact"/>
        <w:rPr>
          <w:sz w:val="20"/>
          <w:szCs w:val="20"/>
          <w:color w:val="auto"/>
        </w:rPr>
      </w:pPr>
    </w:p>
    <w:p>
      <w:pPr>
        <w:jc w:val="both"/>
        <w:ind w:left="10720"/>
        <w:spacing w:after="0"/>
        <w:tabs>
          <w:tab w:leader="none" w:pos="11060" w:val="left"/>
        </w:tabs>
        <w:rPr>
          <w:sz w:val="20"/>
          <w:szCs w:val="20"/>
          <w:color w:val="auto"/>
        </w:rPr>
      </w:pPr>
      <w:r>
        <w:rPr>
          <w:rFonts w:ascii="Arial" w:cs="Arial" w:eastAsia="Arial" w:hAnsi="Arial"/>
          <w:sz w:val="23"/>
          <w:szCs w:val="23"/>
          <w:b w:val="1"/>
          <w:bCs w:val="1"/>
          <w:color w:val="53C072"/>
        </w:rPr>
        <w:t>|</w:t>
      </w:r>
      <w:r>
        <w:rPr>
          <w:sz w:val="20"/>
          <w:szCs w:val="20"/>
          <w:color w:val="auto"/>
        </w:rPr>
        <w:tab/>
      </w: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7151370" cy="203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-130175</wp:posOffset>
            </wp:positionV>
            <wp:extent cx="1664970" cy="1231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3"/>
        </w:trPr>
        <w:tc>
          <w:tcPr>
            <w:tcW w:w="512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6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12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6140" w:type="dxa"/>
            <w:vAlign w:val="bottom"/>
            <w:vMerge w:val="restart"/>
          </w:tcPr>
          <w:p>
            <w:pPr>
              <w:ind w:left="3880"/>
              <w:spacing w:after="0"/>
              <w:rPr>
                <w:sz w:val="20"/>
                <w:szCs w:val="20"/>
                <w:color w:val="auto"/>
              </w:rPr>
            </w:pPr>
            <w:r>
              <w:rPr>
                <w:rFonts w:ascii="Arial" w:cs="Arial" w:eastAsia="Arial" w:hAnsi="Arial"/>
                <w:sz w:val="13"/>
                <w:szCs w:val="13"/>
                <w:color w:val="auto"/>
                <w:w w:val="98"/>
              </w:rPr>
              <w:t>Compensation Discussion and Analysis</w:t>
            </w:r>
          </w:p>
        </w:tc>
        <w:tc>
          <w:tcPr>
            <w:tcW w:w="0" w:type="dxa"/>
            <w:vAlign w:val="bottom"/>
          </w:tcPr>
          <w:p>
            <w:pPr>
              <w:spacing w:after="0"/>
              <w:rPr>
                <w:sz w:val="1"/>
                <w:szCs w:val="1"/>
                <w:color w:val="auto"/>
              </w:rPr>
            </w:pPr>
          </w:p>
        </w:tc>
      </w:tr>
      <w:tr>
        <w:trPr>
          <w:trHeight w:val="102"/>
        </w:trPr>
        <w:tc>
          <w:tcPr>
            <w:tcW w:w="512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6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120" w:type="dxa"/>
            <w:vAlign w:val="bottom"/>
            <w:vMerge w:val="continue"/>
          </w:tcPr>
          <w:p>
            <w:pPr>
              <w:spacing w:after="0"/>
              <w:rPr>
                <w:sz w:val="7"/>
                <w:szCs w:val="7"/>
                <w:color w:val="auto"/>
              </w:rPr>
            </w:pPr>
          </w:p>
        </w:tc>
        <w:tc>
          <w:tcPr>
            <w:tcW w:w="6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right="20"/>
        <w:spacing w:after="0" w:line="272" w:lineRule="auto"/>
        <w:rPr>
          <w:sz w:val="20"/>
          <w:szCs w:val="20"/>
          <w:color w:val="auto"/>
        </w:rPr>
      </w:pPr>
      <w:r>
        <w:rPr>
          <w:rFonts w:ascii="Arial" w:cs="Arial" w:eastAsia="Arial" w:hAnsi="Arial"/>
          <w:sz w:val="15"/>
          <w:szCs w:val="15"/>
          <w:color w:val="auto"/>
        </w:rPr>
        <w:t>When setting CEO compensation, the Compensation Committee utilizes a decision-making framework to make a recommendation to the Board. As part of this framework, the Board Chair leads the Board in conducting an annual evaluation of CEO performance relative to the performance goals and objectives previously established for the Company and the CEO for the fiscal year recently ended. The CEO's performance objectives include goals relating to enterprise performance, market share improvement, strategic business plans execution, acquisition integration, digitization of the Company, and retention and succession planning.</w:t>
      </w:r>
    </w:p>
    <w:p>
      <w:pPr>
        <w:spacing w:after="0" w:line="141" w:lineRule="exact"/>
        <w:rPr>
          <w:sz w:val="20"/>
          <w:szCs w:val="20"/>
          <w:color w:val="auto"/>
        </w:rPr>
      </w:pPr>
    </w:p>
    <w:p>
      <w:pPr>
        <w:ind w:right="180"/>
        <w:spacing w:after="0" w:line="245" w:lineRule="auto"/>
        <w:rPr>
          <w:sz w:val="20"/>
          <w:szCs w:val="20"/>
          <w:color w:val="auto"/>
        </w:rPr>
      </w:pPr>
      <w:r>
        <w:rPr>
          <w:rFonts w:ascii="Arial" w:cs="Arial" w:eastAsia="Arial" w:hAnsi="Arial"/>
          <w:sz w:val="16"/>
          <w:szCs w:val="16"/>
          <w:color w:val="auto"/>
        </w:rPr>
        <w:t>When setting compensation for all executive officers, the Compensation Committee determines or recommends, as applicable, target compensation and performance goals by: (1) evaluating factors such as value of the job in the market and within the Company, the executive officer's past performance, overall experience and time in the position and expected future contributions; and (2) reviewing compensation summaries that tally the dollar value of the base salary, target annual cash incentive, target long-term incentives and target total direct compensation. These summaries include benchmarking data comparing each of those elements to those of the peer groups, which are further discussed below. For executive officers other than the CEO, the Committee also considers the CEO's recommendations on compensation for the other executive officers.</w:t>
      </w:r>
    </w:p>
    <w:p>
      <w:pPr>
        <w:spacing w:after="0" w:line="160" w:lineRule="exact"/>
        <w:rPr>
          <w:sz w:val="20"/>
          <w:szCs w:val="20"/>
          <w:color w:val="auto"/>
        </w:rPr>
      </w:pPr>
    </w:p>
    <w:p>
      <w:pPr>
        <w:ind w:right="1000"/>
        <w:spacing w:after="0" w:line="275" w:lineRule="auto"/>
        <w:rPr>
          <w:sz w:val="20"/>
          <w:szCs w:val="20"/>
          <w:color w:val="auto"/>
        </w:rPr>
      </w:pPr>
      <w:r>
        <w:rPr>
          <w:rFonts w:ascii="Arial" w:cs="Arial" w:eastAsia="Arial" w:hAnsi="Arial"/>
          <w:sz w:val="16"/>
          <w:szCs w:val="16"/>
          <w:color w:val="auto"/>
        </w:rPr>
        <w:t>After the end of the fiscal year, the Compensation Committee reviews the prior year's performance by each executive officer and either approves or recommends, as applicable, incentive plan payouts for all executive officers.</w:t>
      </w:r>
    </w:p>
    <w:p>
      <w:pPr>
        <w:spacing w:after="0" w:line="135"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Role of Management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To aid in determining the compensation for the Company's executive officers other than the CEO:</w:t>
      </w:r>
    </w:p>
    <w:p>
      <w:pPr>
        <w:spacing w:after="0" w:line="204" w:lineRule="exact"/>
        <w:rPr>
          <w:sz w:val="20"/>
          <w:szCs w:val="20"/>
          <w:color w:val="auto"/>
        </w:rPr>
      </w:pPr>
    </w:p>
    <w:p>
      <w:pPr>
        <w:ind w:left="960" w:hanging="477"/>
        <w:spacing w:after="0"/>
        <w:tabs>
          <w:tab w:leader="none" w:pos="960" w:val="left"/>
        </w:tabs>
        <w:numPr>
          <w:ilvl w:val="0"/>
          <w:numId w:val="42"/>
        </w:numPr>
        <w:rPr>
          <w:rFonts w:ascii="MS PGothic" w:cs="MS PGothic" w:eastAsia="MS PGothic" w:hAnsi="MS PGothic"/>
          <w:sz w:val="16"/>
          <w:szCs w:val="16"/>
          <w:color w:val="53C072"/>
        </w:rPr>
      </w:pPr>
      <w:r>
        <w:rPr>
          <w:rFonts w:ascii="Arial" w:cs="Arial" w:eastAsia="Arial" w:hAnsi="Arial"/>
          <w:sz w:val="16"/>
          <w:szCs w:val="16"/>
          <w:color w:val="auto"/>
        </w:rPr>
        <w:t>CEO discusses the performance of each executive officer with the Compensation Committee</w:t>
      </w:r>
    </w:p>
    <w:p>
      <w:pPr>
        <w:spacing w:after="0" w:line="216" w:lineRule="exact"/>
        <w:rPr>
          <w:rFonts w:ascii="MS PGothic" w:cs="MS PGothic" w:eastAsia="MS PGothic" w:hAnsi="MS PGothic"/>
          <w:sz w:val="16"/>
          <w:szCs w:val="16"/>
          <w:color w:val="53C072"/>
        </w:rPr>
      </w:pPr>
    </w:p>
    <w:p>
      <w:pPr>
        <w:ind w:left="960" w:hanging="477"/>
        <w:spacing w:after="0"/>
        <w:tabs>
          <w:tab w:leader="none" w:pos="960" w:val="left"/>
        </w:tabs>
        <w:numPr>
          <w:ilvl w:val="0"/>
          <w:numId w:val="42"/>
        </w:numPr>
        <w:rPr>
          <w:rFonts w:ascii="MS PGothic" w:cs="MS PGothic" w:eastAsia="MS PGothic" w:hAnsi="MS PGothic"/>
          <w:sz w:val="16"/>
          <w:szCs w:val="16"/>
          <w:color w:val="53C072"/>
        </w:rPr>
      </w:pPr>
      <w:r>
        <w:rPr>
          <w:rFonts w:ascii="Arial" w:cs="Arial" w:eastAsia="Arial" w:hAnsi="Arial"/>
          <w:sz w:val="16"/>
          <w:szCs w:val="16"/>
          <w:color w:val="auto"/>
        </w:rPr>
        <w:t>CEO provides recommendations on the compensation levels for each executive officer (except the CEO) to the Compensation Committee</w:t>
      </w:r>
    </w:p>
    <w:p>
      <w:pPr>
        <w:spacing w:after="0" w:line="204" w:lineRule="exact"/>
        <w:rPr>
          <w:rFonts w:ascii="MS PGothic" w:cs="MS PGothic" w:eastAsia="MS PGothic" w:hAnsi="MS PGothic"/>
          <w:sz w:val="16"/>
          <w:szCs w:val="16"/>
          <w:color w:val="53C072"/>
        </w:rPr>
      </w:pPr>
    </w:p>
    <w:p>
      <w:pPr>
        <w:ind w:left="960" w:hanging="477"/>
        <w:spacing w:after="0"/>
        <w:tabs>
          <w:tab w:leader="none" w:pos="960" w:val="left"/>
        </w:tabs>
        <w:numPr>
          <w:ilvl w:val="0"/>
          <w:numId w:val="42"/>
        </w:numPr>
        <w:rPr>
          <w:rFonts w:ascii="MS PGothic" w:cs="MS PGothic" w:eastAsia="MS PGothic" w:hAnsi="MS PGothic"/>
          <w:sz w:val="16"/>
          <w:szCs w:val="16"/>
          <w:color w:val="53C072"/>
        </w:rPr>
      </w:pPr>
      <w:r>
        <w:rPr>
          <w:rFonts w:ascii="Arial" w:cs="Arial" w:eastAsia="Arial" w:hAnsi="Arial"/>
          <w:sz w:val="16"/>
          <w:szCs w:val="16"/>
          <w:color w:val="auto"/>
        </w:rPr>
        <w:t>When making compensation recommendations, CEO considers various items including:</w:t>
      </w:r>
    </w:p>
    <w:p>
      <w:pPr>
        <w:spacing w:after="0" w:line="204" w:lineRule="exact"/>
        <w:rPr>
          <w:rFonts w:ascii="MS PGothic" w:cs="MS PGothic" w:eastAsia="MS PGothic" w:hAnsi="MS PGothic"/>
          <w:sz w:val="16"/>
          <w:szCs w:val="16"/>
          <w:color w:val="53C072"/>
        </w:rPr>
      </w:pPr>
    </w:p>
    <w:p>
      <w:pPr>
        <w:ind w:left="1460" w:hanging="492"/>
        <w:spacing w:after="0"/>
        <w:tabs>
          <w:tab w:leader="none" w:pos="1460" w:val="left"/>
        </w:tabs>
        <w:numPr>
          <w:ilvl w:val="1"/>
          <w:numId w:val="42"/>
        </w:numPr>
        <w:rPr>
          <w:rFonts w:ascii="MS PGothic" w:cs="MS PGothic" w:eastAsia="MS PGothic" w:hAnsi="MS PGothic"/>
          <w:sz w:val="16"/>
          <w:szCs w:val="16"/>
          <w:color w:val="53C072"/>
        </w:rPr>
      </w:pPr>
      <w:r>
        <w:rPr>
          <w:rFonts w:ascii="Arial" w:cs="Arial" w:eastAsia="Arial" w:hAnsi="Arial"/>
          <w:sz w:val="16"/>
          <w:szCs w:val="16"/>
          <w:color w:val="auto"/>
        </w:rPr>
        <w:t>value of the job in the market and within the Company</w:t>
      </w:r>
    </w:p>
    <w:p>
      <w:pPr>
        <w:spacing w:after="0" w:line="216" w:lineRule="exact"/>
        <w:rPr>
          <w:rFonts w:ascii="MS PGothic" w:cs="MS PGothic" w:eastAsia="MS PGothic" w:hAnsi="MS PGothic"/>
          <w:sz w:val="16"/>
          <w:szCs w:val="16"/>
          <w:color w:val="53C072"/>
        </w:rPr>
      </w:pPr>
    </w:p>
    <w:p>
      <w:pPr>
        <w:ind w:left="1460" w:hanging="492"/>
        <w:spacing w:after="0"/>
        <w:tabs>
          <w:tab w:leader="none" w:pos="1460" w:val="left"/>
        </w:tabs>
        <w:numPr>
          <w:ilvl w:val="1"/>
          <w:numId w:val="42"/>
        </w:numPr>
        <w:rPr>
          <w:rFonts w:ascii="MS PGothic" w:cs="MS PGothic" w:eastAsia="MS PGothic" w:hAnsi="MS PGothic"/>
          <w:sz w:val="16"/>
          <w:szCs w:val="16"/>
          <w:color w:val="53C072"/>
        </w:rPr>
      </w:pPr>
      <w:r>
        <w:rPr>
          <w:rFonts w:ascii="Arial" w:cs="Arial" w:eastAsia="Arial" w:hAnsi="Arial"/>
          <w:sz w:val="16"/>
          <w:szCs w:val="16"/>
          <w:color w:val="auto"/>
        </w:rPr>
        <w:t>the executive officer's performance</w:t>
      </w:r>
    </w:p>
    <w:p>
      <w:pPr>
        <w:spacing w:after="0" w:line="204" w:lineRule="exact"/>
        <w:rPr>
          <w:rFonts w:ascii="MS PGothic" w:cs="MS PGothic" w:eastAsia="MS PGothic" w:hAnsi="MS PGothic"/>
          <w:sz w:val="16"/>
          <w:szCs w:val="16"/>
          <w:color w:val="53C072"/>
        </w:rPr>
      </w:pPr>
    </w:p>
    <w:p>
      <w:pPr>
        <w:ind w:left="1460" w:hanging="492"/>
        <w:spacing w:after="0"/>
        <w:tabs>
          <w:tab w:leader="none" w:pos="1460" w:val="left"/>
        </w:tabs>
        <w:numPr>
          <w:ilvl w:val="1"/>
          <w:numId w:val="42"/>
        </w:numPr>
        <w:rPr>
          <w:rFonts w:ascii="MS PGothic" w:cs="MS PGothic" w:eastAsia="MS PGothic" w:hAnsi="MS PGothic"/>
          <w:sz w:val="16"/>
          <w:szCs w:val="16"/>
          <w:color w:val="53C072"/>
        </w:rPr>
      </w:pPr>
      <w:r>
        <w:rPr>
          <w:rFonts w:ascii="Arial" w:cs="Arial" w:eastAsia="Arial" w:hAnsi="Arial"/>
          <w:sz w:val="16"/>
          <w:szCs w:val="16"/>
          <w:color w:val="auto"/>
        </w:rPr>
        <w:t>overall experience and time in the position</w:t>
      </w:r>
    </w:p>
    <w:p>
      <w:pPr>
        <w:spacing w:after="0" w:line="204" w:lineRule="exact"/>
        <w:rPr>
          <w:rFonts w:ascii="MS PGothic" w:cs="MS PGothic" w:eastAsia="MS PGothic" w:hAnsi="MS PGothic"/>
          <w:sz w:val="16"/>
          <w:szCs w:val="16"/>
          <w:color w:val="53C072"/>
        </w:rPr>
      </w:pPr>
    </w:p>
    <w:p>
      <w:pPr>
        <w:ind w:left="1460" w:hanging="492"/>
        <w:spacing w:after="0"/>
        <w:tabs>
          <w:tab w:leader="none" w:pos="1460" w:val="left"/>
        </w:tabs>
        <w:numPr>
          <w:ilvl w:val="1"/>
          <w:numId w:val="42"/>
        </w:numPr>
        <w:rPr>
          <w:rFonts w:ascii="MS PGothic" w:cs="MS PGothic" w:eastAsia="MS PGothic" w:hAnsi="MS PGothic"/>
          <w:sz w:val="16"/>
          <w:szCs w:val="16"/>
          <w:color w:val="53C072"/>
        </w:rPr>
      </w:pPr>
      <w:r>
        <w:rPr>
          <w:rFonts w:ascii="Arial" w:cs="Arial" w:eastAsia="Arial" w:hAnsi="Arial"/>
          <w:sz w:val="16"/>
          <w:szCs w:val="16"/>
          <w:color w:val="auto"/>
        </w:rPr>
        <w:t>expected future contributions</w:t>
      </w:r>
    </w:p>
    <w:p>
      <w:pPr>
        <w:spacing w:after="0" w:line="190"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Role of the Independent Compensation Consultant</w:t>
      </w:r>
    </w:p>
    <w:p>
      <w:pPr>
        <w:spacing w:after="0" w:line="219" w:lineRule="exact"/>
        <w:rPr>
          <w:sz w:val="20"/>
          <w:szCs w:val="20"/>
          <w:color w:val="auto"/>
        </w:rPr>
      </w:pPr>
    </w:p>
    <w:p>
      <w:pPr>
        <w:ind w:left="960" w:hanging="477"/>
        <w:spacing w:after="0"/>
        <w:tabs>
          <w:tab w:leader="none" w:pos="960" w:val="left"/>
        </w:tabs>
        <w:numPr>
          <w:ilvl w:val="0"/>
          <w:numId w:val="43"/>
        </w:numPr>
        <w:rPr>
          <w:rFonts w:ascii="MS PGothic" w:cs="MS PGothic" w:eastAsia="MS PGothic" w:hAnsi="MS PGothic"/>
          <w:sz w:val="16"/>
          <w:szCs w:val="16"/>
          <w:color w:val="53C072"/>
        </w:rPr>
      </w:pPr>
      <w:r>
        <w:rPr>
          <w:rFonts w:ascii="Arial" w:cs="Arial" w:eastAsia="Arial" w:hAnsi="Arial"/>
          <w:sz w:val="16"/>
          <w:szCs w:val="16"/>
          <w:color w:val="auto"/>
        </w:rPr>
        <w:t>Provides independent and objective advice to the Compensation Committee on the Company's executive pay programs</w:t>
      </w:r>
    </w:p>
    <w:p>
      <w:pPr>
        <w:spacing w:after="0" w:line="204" w:lineRule="exact"/>
        <w:rPr>
          <w:rFonts w:ascii="MS PGothic" w:cs="MS PGothic" w:eastAsia="MS PGothic" w:hAnsi="MS PGothic"/>
          <w:sz w:val="16"/>
          <w:szCs w:val="16"/>
          <w:color w:val="53C072"/>
        </w:rPr>
      </w:pPr>
    </w:p>
    <w:p>
      <w:pPr>
        <w:ind w:left="960" w:hanging="477"/>
        <w:spacing w:after="0"/>
        <w:tabs>
          <w:tab w:leader="none" w:pos="960" w:val="left"/>
        </w:tabs>
        <w:numPr>
          <w:ilvl w:val="0"/>
          <w:numId w:val="43"/>
        </w:numPr>
        <w:rPr>
          <w:rFonts w:ascii="MS PGothic" w:cs="MS PGothic" w:eastAsia="MS PGothic" w:hAnsi="MS PGothic"/>
          <w:sz w:val="16"/>
          <w:szCs w:val="16"/>
          <w:color w:val="53C072"/>
        </w:rPr>
      </w:pPr>
      <w:r>
        <w:rPr>
          <w:rFonts w:ascii="Arial" w:cs="Arial" w:eastAsia="Arial" w:hAnsi="Arial"/>
          <w:sz w:val="16"/>
          <w:szCs w:val="16"/>
          <w:color w:val="auto"/>
        </w:rPr>
        <w:t>Apprises the Compensation Committee of compensation-related trends in the marketplace</w:t>
      </w:r>
    </w:p>
    <w:p>
      <w:pPr>
        <w:spacing w:after="0" w:line="204" w:lineRule="exact"/>
        <w:rPr>
          <w:rFonts w:ascii="MS PGothic" w:cs="MS PGothic" w:eastAsia="MS PGothic" w:hAnsi="MS PGothic"/>
          <w:sz w:val="16"/>
          <w:szCs w:val="16"/>
          <w:color w:val="53C072"/>
        </w:rPr>
      </w:pPr>
    </w:p>
    <w:p>
      <w:pPr>
        <w:ind w:left="960" w:hanging="477"/>
        <w:spacing w:after="0"/>
        <w:tabs>
          <w:tab w:leader="none" w:pos="960" w:val="left"/>
        </w:tabs>
        <w:numPr>
          <w:ilvl w:val="0"/>
          <w:numId w:val="43"/>
        </w:numPr>
        <w:rPr>
          <w:rFonts w:ascii="MS PGothic" w:cs="MS PGothic" w:eastAsia="MS PGothic" w:hAnsi="MS PGothic"/>
          <w:sz w:val="16"/>
          <w:szCs w:val="16"/>
          <w:color w:val="53C072"/>
        </w:rPr>
      </w:pPr>
      <w:r>
        <w:rPr>
          <w:rFonts w:ascii="Arial" w:cs="Arial" w:eastAsia="Arial" w:hAnsi="Arial"/>
          <w:sz w:val="16"/>
          <w:szCs w:val="16"/>
          <w:color w:val="auto"/>
        </w:rPr>
        <w:t>Informs the Compensation Committee on compensation-related regulatory developments</w:t>
      </w:r>
    </w:p>
    <w:p>
      <w:pPr>
        <w:spacing w:after="0" w:line="216" w:lineRule="exact"/>
        <w:rPr>
          <w:rFonts w:ascii="MS PGothic" w:cs="MS PGothic" w:eastAsia="MS PGothic" w:hAnsi="MS PGothic"/>
          <w:sz w:val="16"/>
          <w:szCs w:val="16"/>
          <w:color w:val="53C072"/>
        </w:rPr>
      </w:pPr>
    </w:p>
    <w:p>
      <w:pPr>
        <w:ind w:left="960" w:hanging="477"/>
        <w:spacing w:after="0"/>
        <w:tabs>
          <w:tab w:leader="none" w:pos="960" w:val="left"/>
        </w:tabs>
        <w:numPr>
          <w:ilvl w:val="0"/>
          <w:numId w:val="43"/>
        </w:numPr>
        <w:rPr>
          <w:rFonts w:ascii="MS PGothic" w:cs="MS PGothic" w:eastAsia="MS PGothic" w:hAnsi="MS PGothic"/>
          <w:sz w:val="16"/>
          <w:szCs w:val="16"/>
          <w:color w:val="53C072"/>
        </w:rPr>
      </w:pPr>
      <w:r>
        <w:rPr>
          <w:rFonts w:ascii="Arial" w:cs="Arial" w:eastAsia="Arial" w:hAnsi="Arial"/>
          <w:sz w:val="16"/>
          <w:szCs w:val="16"/>
          <w:color w:val="auto"/>
        </w:rPr>
        <w:t>Assists with benchmarking peer group development and related market data for the Company's officers</w:t>
      </w:r>
    </w:p>
    <w:p>
      <w:pPr>
        <w:spacing w:after="0" w:line="204" w:lineRule="exact"/>
        <w:rPr>
          <w:rFonts w:ascii="MS PGothic" w:cs="MS PGothic" w:eastAsia="MS PGothic" w:hAnsi="MS PGothic"/>
          <w:sz w:val="16"/>
          <w:szCs w:val="16"/>
          <w:color w:val="53C072"/>
        </w:rPr>
      </w:pPr>
    </w:p>
    <w:p>
      <w:pPr>
        <w:ind w:left="960" w:hanging="477"/>
        <w:spacing w:after="0"/>
        <w:tabs>
          <w:tab w:leader="none" w:pos="960" w:val="left"/>
        </w:tabs>
        <w:numPr>
          <w:ilvl w:val="0"/>
          <w:numId w:val="43"/>
        </w:numPr>
        <w:rPr>
          <w:rFonts w:ascii="MS PGothic" w:cs="MS PGothic" w:eastAsia="MS PGothic" w:hAnsi="MS PGothic"/>
          <w:sz w:val="16"/>
          <w:szCs w:val="16"/>
          <w:color w:val="53C072"/>
        </w:rPr>
      </w:pPr>
      <w:r>
        <w:rPr>
          <w:rFonts w:ascii="Arial" w:cs="Arial" w:eastAsia="Arial" w:hAnsi="Arial"/>
          <w:sz w:val="16"/>
          <w:szCs w:val="16"/>
          <w:color w:val="auto"/>
        </w:rPr>
        <w:t>Advises on the design of the Company's incentive compensation programs</w:t>
      </w:r>
    </w:p>
    <w:p>
      <w:pPr>
        <w:spacing w:after="0" w:line="215"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40</w:t>
      </w:r>
      <w:r>
        <w:rPr>
          <w:sz w:val="20"/>
          <w:szCs w:val="20"/>
          <w:color w:val="auto"/>
        </w:rPr>
        <w:tab/>
      </w:r>
      <w:r>
        <w:rPr>
          <w:rFonts w:ascii="Arial" w:cs="Arial" w:eastAsia="Arial" w:hAnsi="Arial"/>
          <w:sz w:val="23"/>
          <w:szCs w:val="23"/>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118745</wp:posOffset>
            </wp:positionV>
            <wp:extent cx="7151370" cy="203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-163195</wp:posOffset>
            </wp:positionV>
            <wp:extent cx="1664970" cy="1231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3"/>
        </w:trPr>
        <w:tc>
          <w:tcPr>
            <w:tcW w:w="512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6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12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6140" w:type="dxa"/>
            <w:vAlign w:val="bottom"/>
            <w:vMerge w:val="restart"/>
          </w:tcPr>
          <w:p>
            <w:pPr>
              <w:ind w:left="3880"/>
              <w:spacing w:after="0"/>
              <w:rPr>
                <w:sz w:val="20"/>
                <w:szCs w:val="20"/>
                <w:color w:val="auto"/>
              </w:rPr>
            </w:pPr>
            <w:r>
              <w:rPr>
                <w:rFonts w:ascii="Arial" w:cs="Arial" w:eastAsia="Arial" w:hAnsi="Arial"/>
                <w:sz w:val="13"/>
                <w:szCs w:val="13"/>
                <w:color w:val="auto"/>
                <w:w w:val="98"/>
              </w:rPr>
              <w:t>Compensation Discussion and Analysis</w:t>
            </w:r>
          </w:p>
        </w:tc>
        <w:tc>
          <w:tcPr>
            <w:tcW w:w="0" w:type="dxa"/>
            <w:vAlign w:val="bottom"/>
          </w:tcPr>
          <w:p>
            <w:pPr>
              <w:spacing w:after="0"/>
              <w:rPr>
                <w:sz w:val="1"/>
                <w:szCs w:val="1"/>
                <w:color w:val="auto"/>
              </w:rPr>
            </w:pPr>
          </w:p>
        </w:tc>
      </w:tr>
      <w:tr>
        <w:trPr>
          <w:trHeight w:val="102"/>
        </w:trPr>
        <w:tc>
          <w:tcPr>
            <w:tcW w:w="512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6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120" w:type="dxa"/>
            <w:vAlign w:val="bottom"/>
            <w:vMerge w:val="continue"/>
          </w:tcPr>
          <w:p>
            <w:pPr>
              <w:spacing w:after="0"/>
              <w:rPr>
                <w:sz w:val="7"/>
                <w:szCs w:val="7"/>
                <w:color w:val="auto"/>
              </w:rPr>
            </w:pPr>
          </w:p>
        </w:tc>
        <w:tc>
          <w:tcPr>
            <w:tcW w:w="6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960" w:hanging="477"/>
        <w:spacing w:after="0"/>
        <w:tabs>
          <w:tab w:leader="none" w:pos="960" w:val="left"/>
        </w:tabs>
        <w:numPr>
          <w:ilvl w:val="0"/>
          <w:numId w:val="44"/>
        </w:numPr>
        <w:rPr>
          <w:rFonts w:ascii="MS PGothic" w:cs="MS PGothic" w:eastAsia="MS PGothic" w:hAnsi="MS PGothic"/>
          <w:sz w:val="16"/>
          <w:szCs w:val="16"/>
          <w:color w:val="53C072"/>
        </w:rPr>
      </w:pPr>
      <w:r>
        <w:rPr>
          <w:rFonts w:ascii="Arial" w:cs="Arial" w:eastAsia="Arial" w:hAnsi="Arial"/>
          <w:sz w:val="16"/>
          <w:szCs w:val="16"/>
          <w:color w:val="auto"/>
        </w:rPr>
        <w:t>Provides such additional reports and analyses as requested by the Compensation Committee from time-to-time</w:t>
      </w:r>
    </w:p>
    <w:p>
      <w:pPr>
        <w:spacing w:after="0" w:line="19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Compensation Committee has retained Meridian Compensation Partners, LLC ("Meridian") to serve as the independent compensation consultant. The terms of Meridian's engagement are set forth in an engagement agreement that provides, among other things, that Meridian is engaged by, and reports only to, the Compensation Committee and will perform the compensation advisory services requested by the Compensation Committee.</w:t>
      </w:r>
    </w:p>
    <w:p>
      <w:pPr>
        <w:spacing w:after="0" w:line="152" w:lineRule="exact"/>
        <w:rPr>
          <w:sz w:val="20"/>
          <w:szCs w:val="20"/>
          <w:color w:val="auto"/>
        </w:rPr>
      </w:pPr>
    </w:p>
    <w:p>
      <w:pPr>
        <w:jc w:val="both"/>
        <w:ind w:right="180"/>
        <w:spacing w:after="0" w:line="256" w:lineRule="auto"/>
        <w:rPr>
          <w:sz w:val="20"/>
          <w:szCs w:val="20"/>
          <w:color w:val="auto"/>
        </w:rPr>
      </w:pPr>
      <w:r>
        <w:rPr>
          <w:rFonts w:ascii="Arial" w:cs="Arial" w:eastAsia="Arial" w:hAnsi="Arial"/>
          <w:sz w:val="16"/>
          <w:szCs w:val="16"/>
          <w:color w:val="auto"/>
        </w:rPr>
        <w:t>Meridian did not provide any separate services to the Company during fiscal 2020 other than its services to the Compensation Committee. The Compensation Committee conducted its annual assessment of Meridian's independence pursuant to applicable SEC and Nasdaq rules and concluded that Meridian's work for the Compensation Committee during fiscal 2020 did not raise any conflicts of interest.</w:t>
      </w:r>
    </w:p>
    <w:p>
      <w:pPr>
        <w:spacing w:after="0" w:line="150"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Benchmarking</w:t>
      </w:r>
    </w:p>
    <w:p>
      <w:pPr>
        <w:spacing w:after="0" w:line="194" w:lineRule="exact"/>
        <w:rPr>
          <w:sz w:val="20"/>
          <w:szCs w:val="20"/>
          <w:color w:val="auto"/>
        </w:rPr>
      </w:pPr>
    </w:p>
    <w:p>
      <w:pPr>
        <w:ind w:right="420"/>
        <w:spacing w:after="0" w:line="275" w:lineRule="auto"/>
        <w:rPr>
          <w:sz w:val="20"/>
          <w:szCs w:val="20"/>
          <w:color w:val="auto"/>
        </w:rPr>
      </w:pPr>
      <w:r>
        <w:rPr>
          <w:rFonts w:ascii="Arial" w:cs="Arial" w:eastAsia="Arial" w:hAnsi="Arial"/>
          <w:sz w:val="16"/>
          <w:szCs w:val="16"/>
          <w:color w:val="auto"/>
        </w:rPr>
        <w:t>To ensure the Compensation Committee has the information necessary to set appropriate compensation levels, the Compensation Committee approves the overall approach for executive officer benchmarking, including selection of the benchmarking peer group.</w:t>
      </w:r>
    </w:p>
    <w:p>
      <w:pPr>
        <w:sectPr>
          <w:pgSz w:w="11900" w:h="16838" w:orient="portrait"/>
          <w:cols w:equalWidth="0" w:num="1">
            <w:col w:w="11260"/>
          </w:cols>
          <w:pgMar w:left="320" w:top="122" w:right="319" w:bottom="1440" w:gutter="0" w:footer="0" w:header="0"/>
        </w:sectPr>
      </w:pPr>
    </w:p>
    <w:p>
      <w:pPr>
        <w:spacing w:after="0" w:line="13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FFFFFE"/>
        </w:rPr>
        <w:t>2020 Considerations for Benchmarking Peer Group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146290" cy="1155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6290" cy="115570"/>
                    </a:xfrm>
                    <a:prstGeom prst="rect">
                      <a:avLst/>
                    </a:prstGeom>
                    <a:noFill/>
                  </pic:spPr>
                </pic:pic>
              </a:graphicData>
            </a:graphic>
          </wp:anchor>
        </w:drawing>
      </w:r>
    </w:p>
    <w:p>
      <w:pPr>
        <w:ind w:left="440" w:hanging="297"/>
        <w:spacing w:after="0"/>
        <w:tabs>
          <w:tab w:leader="none" w:pos="440" w:val="left"/>
        </w:tabs>
        <w:numPr>
          <w:ilvl w:val="0"/>
          <w:numId w:val="45"/>
        </w:numPr>
        <w:rPr>
          <w:rFonts w:ascii="MS PGothic" w:cs="MS PGothic" w:eastAsia="MS PGothic" w:hAnsi="MS PGothic"/>
          <w:sz w:val="16"/>
          <w:szCs w:val="16"/>
          <w:color w:val="53C072"/>
        </w:rPr>
      </w:pPr>
      <w:r>
        <w:rPr>
          <w:rFonts w:ascii="Arial" w:cs="Arial" w:eastAsia="Arial" w:hAnsi="Arial"/>
          <w:sz w:val="16"/>
          <w:szCs w:val="16"/>
          <w:color w:val="auto"/>
        </w:rPr>
        <w:t>Same GICS sub-industry classification as Company</w:t>
      </w:r>
    </w:p>
    <w:p>
      <w:pPr>
        <w:spacing w:after="0" w:line="175" w:lineRule="exact"/>
        <w:rPr>
          <w:rFonts w:ascii="MS PGothic" w:cs="MS PGothic" w:eastAsia="MS PGothic" w:hAnsi="MS PGothic"/>
          <w:sz w:val="16"/>
          <w:szCs w:val="16"/>
          <w:color w:val="53C072"/>
        </w:rPr>
      </w:pPr>
    </w:p>
    <w:p>
      <w:pPr>
        <w:ind w:left="440" w:hanging="297"/>
        <w:spacing w:after="0"/>
        <w:tabs>
          <w:tab w:leader="none" w:pos="440" w:val="left"/>
        </w:tabs>
        <w:numPr>
          <w:ilvl w:val="0"/>
          <w:numId w:val="45"/>
        </w:numPr>
        <w:rPr>
          <w:rFonts w:ascii="MS PGothic" w:cs="MS PGothic" w:eastAsia="MS PGothic" w:hAnsi="MS PGothic"/>
          <w:sz w:val="16"/>
          <w:szCs w:val="16"/>
          <w:color w:val="53C072"/>
        </w:rPr>
      </w:pPr>
      <w:r>
        <w:rPr>
          <w:rFonts w:ascii="Arial" w:cs="Arial" w:eastAsia="Arial" w:hAnsi="Arial"/>
          <w:sz w:val="16"/>
          <w:szCs w:val="16"/>
          <w:color w:val="auto"/>
        </w:rPr>
        <w:t>A distribution or related service company</w:t>
      </w:r>
    </w:p>
    <w:p>
      <w:pPr>
        <w:spacing w:after="0" w:line="192" w:lineRule="exact"/>
        <w:rPr>
          <w:rFonts w:ascii="MS PGothic" w:cs="MS PGothic" w:eastAsia="MS PGothic" w:hAnsi="MS PGothic"/>
          <w:sz w:val="16"/>
          <w:szCs w:val="16"/>
          <w:color w:val="53C072"/>
        </w:rPr>
      </w:pPr>
    </w:p>
    <w:p>
      <w:pPr>
        <w:ind w:left="440" w:hanging="297"/>
        <w:spacing w:after="0"/>
        <w:tabs>
          <w:tab w:leader="none" w:pos="440" w:val="left"/>
        </w:tabs>
        <w:numPr>
          <w:ilvl w:val="0"/>
          <w:numId w:val="45"/>
        </w:numPr>
        <w:rPr>
          <w:rFonts w:ascii="MS PGothic" w:cs="MS PGothic" w:eastAsia="MS PGothic" w:hAnsi="MS PGothic"/>
          <w:sz w:val="16"/>
          <w:szCs w:val="16"/>
          <w:color w:val="53C072"/>
        </w:rPr>
      </w:pPr>
      <w:r>
        <w:rPr>
          <w:rFonts w:ascii="Arial" w:cs="Arial" w:eastAsia="Arial" w:hAnsi="Arial"/>
          <w:sz w:val="16"/>
          <w:szCs w:val="16"/>
          <w:color w:val="auto"/>
        </w:rPr>
        <w:t>Revenues within a range of Company revenues</w:t>
      </w:r>
    </w:p>
    <w:p>
      <w:pPr>
        <w:spacing w:after="0" w:line="192" w:lineRule="exact"/>
        <w:rPr>
          <w:rFonts w:ascii="MS PGothic" w:cs="MS PGothic" w:eastAsia="MS PGothic" w:hAnsi="MS PGothic"/>
          <w:sz w:val="16"/>
          <w:szCs w:val="16"/>
          <w:color w:val="53C072"/>
        </w:rPr>
      </w:pPr>
    </w:p>
    <w:p>
      <w:pPr>
        <w:ind w:left="440" w:hanging="297"/>
        <w:spacing w:after="0"/>
        <w:tabs>
          <w:tab w:leader="none" w:pos="440" w:val="left"/>
        </w:tabs>
        <w:numPr>
          <w:ilvl w:val="0"/>
          <w:numId w:val="45"/>
        </w:numPr>
        <w:rPr>
          <w:rFonts w:ascii="MS PGothic" w:cs="MS PGothic" w:eastAsia="MS PGothic" w:hAnsi="MS PGothic"/>
          <w:sz w:val="15"/>
          <w:szCs w:val="15"/>
          <w:color w:val="53C072"/>
        </w:rPr>
      </w:pPr>
      <w:r>
        <w:rPr>
          <w:rFonts w:ascii="Arial" w:cs="Arial" w:eastAsia="Arial" w:hAnsi="Arial"/>
          <w:sz w:val="15"/>
          <w:szCs w:val="15"/>
          <w:color w:val="auto"/>
        </w:rPr>
        <w:t>Market capitalization within a range of Company market capitalization</w:t>
      </w:r>
    </w:p>
    <w:p>
      <w:pPr>
        <w:spacing w:after="0" w:line="203" w:lineRule="exact"/>
        <w:rPr>
          <w:rFonts w:ascii="MS PGothic" w:cs="MS PGothic" w:eastAsia="MS PGothic" w:hAnsi="MS PGothic"/>
          <w:sz w:val="15"/>
          <w:szCs w:val="15"/>
          <w:color w:val="53C072"/>
        </w:rPr>
      </w:pPr>
    </w:p>
    <w:p>
      <w:pPr>
        <w:ind w:left="440" w:hanging="297"/>
        <w:spacing w:after="0"/>
        <w:tabs>
          <w:tab w:leader="none" w:pos="440" w:val="left"/>
        </w:tabs>
        <w:numPr>
          <w:ilvl w:val="0"/>
          <w:numId w:val="45"/>
        </w:numPr>
        <w:rPr>
          <w:rFonts w:ascii="MS PGothic" w:cs="MS PGothic" w:eastAsia="MS PGothic" w:hAnsi="MS PGothic"/>
          <w:sz w:val="16"/>
          <w:szCs w:val="16"/>
          <w:color w:val="53C072"/>
        </w:rPr>
      </w:pPr>
      <w:r>
        <w:rPr>
          <w:rFonts w:ascii="Arial" w:cs="Arial" w:eastAsia="Arial" w:hAnsi="Arial"/>
          <w:sz w:val="16"/>
          <w:szCs w:val="16"/>
          <w:color w:val="auto"/>
        </w:rPr>
        <w:t>Global footprint</w:t>
      </w:r>
    </w:p>
    <w:p>
      <w:pPr>
        <w:spacing w:after="0" w:line="192" w:lineRule="exact"/>
        <w:rPr>
          <w:rFonts w:ascii="MS PGothic" w:cs="MS PGothic" w:eastAsia="MS PGothic" w:hAnsi="MS PGothic"/>
          <w:sz w:val="16"/>
          <w:szCs w:val="16"/>
          <w:color w:val="53C072"/>
        </w:rPr>
      </w:pPr>
    </w:p>
    <w:p>
      <w:pPr>
        <w:ind w:left="440" w:hanging="297"/>
        <w:spacing w:after="0"/>
        <w:tabs>
          <w:tab w:leader="none" w:pos="440" w:val="left"/>
        </w:tabs>
        <w:numPr>
          <w:ilvl w:val="0"/>
          <w:numId w:val="45"/>
        </w:numPr>
        <w:rPr>
          <w:rFonts w:ascii="MS PGothic" w:cs="MS PGothic" w:eastAsia="MS PGothic" w:hAnsi="MS PGothic"/>
          <w:sz w:val="16"/>
          <w:szCs w:val="16"/>
          <w:color w:val="53C072"/>
        </w:rPr>
      </w:pPr>
      <w:r>
        <w:rPr>
          <w:rFonts w:ascii="Arial" w:cs="Arial" w:eastAsia="Arial" w:hAnsi="Arial"/>
          <w:sz w:val="16"/>
          <w:szCs w:val="16"/>
          <w:color w:val="auto"/>
        </w:rPr>
        <w:t>Historical Company peer group</w:t>
      </w:r>
    </w:p>
    <w:p>
      <w:pPr>
        <w:spacing w:after="0" w:line="192" w:lineRule="exact"/>
        <w:rPr>
          <w:rFonts w:ascii="MS PGothic" w:cs="MS PGothic" w:eastAsia="MS PGothic" w:hAnsi="MS PGothic"/>
          <w:sz w:val="16"/>
          <w:szCs w:val="16"/>
          <w:color w:val="53C072"/>
        </w:rPr>
      </w:pPr>
    </w:p>
    <w:p>
      <w:pPr>
        <w:ind w:left="440" w:hanging="297"/>
        <w:spacing w:after="0"/>
        <w:tabs>
          <w:tab w:leader="none" w:pos="440" w:val="left"/>
        </w:tabs>
        <w:numPr>
          <w:ilvl w:val="0"/>
          <w:numId w:val="45"/>
        </w:numPr>
        <w:rPr>
          <w:rFonts w:ascii="MS PGothic" w:cs="MS PGothic" w:eastAsia="MS PGothic" w:hAnsi="MS PGothic"/>
          <w:sz w:val="16"/>
          <w:szCs w:val="16"/>
          <w:color w:val="53C072"/>
        </w:rPr>
      </w:pPr>
      <w:r>
        <w:rPr>
          <w:rFonts w:ascii="Arial" w:cs="Arial" w:eastAsia="Arial" w:hAnsi="Arial"/>
          <w:sz w:val="16"/>
          <w:szCs w:val="16"/>
          <w:color w:val="auto"/>
        </w:rPr>
        <w:t>Disclosed peer of a peer company</w:t>
      </w:r>
    </w:p>
    <w:p>
      <w:pPr>
        <w:spacing w:after="0" w:line="192" w:lineRule="exact"/>
        <w:rPr>
          <w:rFonts w:ascii="MS PGothic" w:cs="MS PGothic" w:eastAsia="MS PGothic" w:hAnsi="MS PGothic"/>
          <w:sz w:val="16"/>
          <w:szCs w:val="16"/>
          <w:color w:val="53C072"/>
        </w:rPr>
      </w:pPr>
    </w:p>
    <w:p>
      <w:pPr>
        <w:ind w:left="440" w:hanging="297"/>
        <w:spacing w:after="0"/>
        <w:tabs>
          <w:tab w:leader="none" w:pos="440" w:val="left"/>
        </w:tabs>
        <w:numPr>
          <w:ilvl w:val="0"/>
          <w:numId w:val="45"/>
        </w:numPr>
        <w:rPr>
          <w:rFonts w:ascii="MS PGothic" w:cs="MS PGothic" w:eastAsia="MS PGothic" w:hAnsi="MS PGothic"/>
          <w:sz w:val="16"/>
          <w:szCs w:val="16"/>
          <w:color w:val="53C072"/>
        </w:rPr>
      </w:pPr>
      <w:r>
        <w:rPr>
          <w:rFonts w:ascii="Arial" w:cs="Arial" w:eastAsia="Arial" w:hAnsi="Arial"/>
          <w:sz w:val="16"/>
          <w:szCs w:val="16"/>
          <w:color w:val="auto"/>
        </w:rPr>
        <w:t>Disclosed Company as a benchmarking peer</w:t>
      </w:r>
    </w:p>
    <w:p>
      <w:pPr>
        <w:spacing w:after="0" w:line="192" w:lineRule="exact"/>
        <w:rPr>
          <w:rFonts w:ascii="MS PGothic" w:cs="MS PGothic" w:eastAsia="MS PGothic" w:hAnsi="MS PGothic"/>
          <w:sz w:val="16"/>
          <w:szCs w:val="16"/>
          <w:color w:val="53C072"/>
        </w:rPr>
      </w:pPr>
    </w:p>
    <w:p>
      <w:pPr>
        <w:ind w:left="440" w:hanging="297"/>
        <w:spacing w:after="0"/>
        <w:tabs>
          <w:tab w:leader="none" w:pos="440" w:val="left"/>
        </w:tabs>
        <w:numPr>
          <w:ilvl w:val="0"/>
          <w:numId w:val="45"/>
        </w:numPr>
        <w:rPr>
          <w:rFonts w:ascii="MS PGothic" w:cs="MS PGothic" w:eastAsia="MS PGothic" w:hAnsi="MS PGothic"/>
          <w:sz w:val="16"/>
          <w:szCs w:val="16"/>
          <w:color w:val="53C072"/>
        </w:rPr>
      </w:pPr>
      <w:r>
        <w:rPr>
          <w:rFonts w:ascii="Arial" w:cs="Arial" w:eastAsia="Arial" w:hAnsi="Arial"/>
          <w:sz w:val="16"/>
          <w:szCs w:val="16"/>
          <w:color w:val="auto"/>
        </w:rPr>
        <w:t>In proxy advisors' peer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-2017395</wp:posOffset>
            </wp:positionV>
            <wp:extent cx="7146290" cy="32302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6290" cy="32302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4"/>
        <w:spacing w:after="0"/>
        <w:rPr>
          <w:sz w:val="20"/>
          <w:szCs w:val="20"/>
          <w:color w:val="auto"/>
        </w:rPr>
      </w:pPr>
      <w:r>
        <w:rPr>
          <w:rFonts w:ascii="Arial" w:cs="Arial" w:eastAsia="Arial" w:hAnsi="Arial"/>
          <w:sz w:val="15"/>
          <w:szCs w:val="15"/>
          <w:b w:val="1"/>
          <w:bCs w:val="1"/>
          <w:color w:val="FFFFFE"/>
        </w:rPr>
        <w:t>2020 Benchmarking Peer Group:</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Anixter International Inc.</w:t>
      </w:r>
    </w:p>
    <w:p>
      <w:pPr>
        <w:spacing w:after="0" w:line="172" w:lineRule="exact"/>
        <w:rPr>
          <w:sz w:val="20"/>
          <w:szCs w:val="20"/>
          <w:color w:val="auto"/>
        </w:rPr>
      </w:pPr>
    </w:p>
    <w:p>
      <w:pPr>
        <w:ind w:left="4"/>
        <w:spacing w:after="0"/>
        <w:rPr>
          <w:sz w:val="20"/>
          <w:szCs w:val="20"/>
          <w:color w:val="auto"/>
        </w:rPr>
      </w:pPr>
      <w:r>
        <w:rPr>
          <w:rFonts w:ascii="Arial" w:cs="Arial" w:eastAsia="Arial" w:hAnsi="Arial"/>
          <w:sz w:val="16"/>
          <w:szCs w:val="16"/>
          <w:color w:val="auto"/>
        </w:rPr>
        <w:t>Arrow Electronics, Inc.</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6"/>
          <w:szCs w:val="16"/>
          <w:color w:val="auto"/>
        </w:rPr>
        <w:t>Celestica Inc.</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6"/>
          <w:szCs w:val="16"/>
          <w:color w:val="auto"/>
        </w:rPr>
        <w:t>CDW Corporation</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6"/>
          <w:szCs w:val="16"/>
          <w:color w:val="auto"/>
        </w:rPr>
        <w:t>Flex LTD</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6"/>
          <w:szCs w:val="16"/>
          <w:color w:val="auto"/>
        </w:rPr>
        <w:t>Genuine Parts Company</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6"/>
          <w:szCs w:val="16"/>
          <w:color w:val="auto"/>
        </w:rPr>
        <w:t>Jabil Circuit, Inc.</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6"/>
          <w:szCs w:val="16"/>
          <w:color w:val="auto"/>
        </w:rPr>
        <w:t>Sanmina Corporation</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6"/>
          <w:szCs w:val="16"/>
          <w:color w:val="auto"/>
        </w:rPr>
        <w:t>Seagate Technology plc</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6"/>
          <w:szCs w:val="16"/>
          <w:color w:val="auto"/>
        </w:rPr>
        <w:t>SYNNEX Corporation</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6"/>
          <w:szCs w:val="16"/>
          <w:color w:val="auto"/>
        </w:rPr>
        <w:t>TE Connectivity Ltd.</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6"/>
          <w:szCs w:val="16"/>
          <w:color w:val="auto"/>
        </w:rPr>
        <w:t>Tech Data Corporation</w:t>
      </w:r>
    </w:p>
    <w:p>
      <w:pPr>
        <w:spacing w:after="0" w:line="192" w:lineRule="exact"/>
        <w:rPr>
          <w:sz w:val="20"/>
          <w:szCs w:val="20"/>
          <w:color w:val="auto"/>
        </w:rPr>
      </w:pPr>
    </w:p>
    <w:p>
      <w:pPr>
        <w:ind w:left="4" w:right="2520" w:hanging="4"/>
        <w:spacing w:after="0" w:line="532" w:lineRule="auto"/>
        <w:tabs>
          <w:tab w:leader="none" w:pos="416" w:val="left"/>
        </w:tabs>
        <w:numPr>
          <w:ilvl w:val="0"/>
          <w:numId w:val="46"/>
        </w:numPr>
        <w:rPr>
          <w:rFonts w:ascii="Arial" w:cs="Arial" w:eastAsia="Arial" w:hAnsi="Arial"/>
          <w:sz w:val="15"/>
          <w:szCs w:val="15"/>
          <w:color w:val="auto"/>
        </w:rPr>
      </w:pPr>
      <w:r>
        <w:rPr>
          <w:rFonts w:ascii="Arial" w:cs="Arial" w:eastAsia="Arial" w:hAnsi="Arial"/>
          <w:sz w:val="15"/>
          <w:szCs w:val="15"/>
          <w:color w:val="auto"/>
        </w:rPr>
        <w:t>Grainger, Inc. Western Digital Corporation</w:t>
      </w:r>
    </w:p>
    <w:p>
      <w:pPr>
        <w:spacing w:after="0" w:line="1" w:lineRule="exact"/>
        <w:rPr>
          <w:sz w:val="20"/>
          <w:szCs w:val="20"/>
          <w:color w:val="auto"/>
        </w:rPr>
      </w:pPr>
    </w:p>
    <w:p>
      <w:pPr>
        <w:sectPr>
          <w:pgSz w:w="11900" w:h="16838" w:orient="portrait"/>
          <w:cols w:equalWidth="0" w:num="2">
            <w:col w:w="6076" w:space="720"/>
            <w:col w:w="4464"/>
          </w:cols>
          <w:pgMar w:left="320" w:top="122" w:right="319" w:bottom="1440" w:gutter="0" w:footer="0" w:header="0"/>
          <w:type w:val="continuous"/>
        </w:sectPr>
      </w:pPr>
    </w:p>
    <w:p>
      <w:pPr>
        <w:spacing w:after="0"/>
        <w:rPr>
          <w:sz w:val="20"/>
          <w:szCs w:val="20"/>
          <w:color w:val="auto"/>
        </w:rPr>
      </w:pPr>
      <w:r>
        <w:rPr>
          <w:rFonts w:ascii="Arial" w:cs="Arial" w:eastAsia="Arial" w:hAnsi="Arial"/>
          <w:sz w:val="16"/>
          <w:szCs w:val="16"/>
          <w:color w:val="auto"/>
        </w:rPr>
        <w:t>The revenue and market capitalization for the benchmarking peer group median and the Company are shown below:</w:t>
      </w:r>
    </w:p>
    <w:p>
      <w:pPr>
        <w:spacing w:after="0" w:line="210" w:lineRule="exact"/>
        <w:rPr>
          <w:sz w:val="20"/>
          <w:szCs w:val="20"/>
          <w:color w:val="auto"/>
        </w:rPr>
      </w:pPr>
    </w:p>
    <w:tbl>
      <w:tblPr>
        <w:tblLayout w:type="fixed"/>
        <w:tblInd w:w="1680" w:type="dxa"/>
        <w:tblCellMar>
          <w:top w:w="0" w:type="dxa"/>
          <w:left w:w="0" w:type="dxa"/>
          <w:bottom w:w="0" w:type="dxa"/>
          <w:right w:w="0" w:type="dxa"/>
        </w:tblCellMar>
      </w:tblPr>
      <w:tr>
        <w:trPr>
          <w:trHeight w:val="219"/>
        </w:trPr>
        <w:tc>
          <w:tcPr>
            <w:tcW w:w="2820" w:type="dxa"/>
            <w:vAlign w:val="bottom"/>
            <w:tcBorders>
              <w:bottom w:val="single" w:sz="8" w:color="53C072"/>
            </w:tcBorders>
            <w:shd w:val="clear" w:color="auto" w:fill="53C072"/>
          </w:tcPr>
          <w:p>
            <w:pPr>
              <w:spacing w:after="0"/>
              <w:rPr>
                <w:sz w:val="19"/>
                <w:szCs w:val="19"/>
                <w:color w:val="auto"/>
              </w:rPr>
            </w:pPr>
          </w:p>
        </w:tc>
        <w:tc>
          <w:tcPr>
            <w:tcW w:w="1400" w:type="dxa"/>
            <w:vAlign w:val="bottom"/>
            <w:tcBorders>
              <w:bottom w:val="single" w:sz="8" w:color="auto"/>
            </w:tcBorders>
            <w:shd w:val="clear" w:color="auto" w:fill="53C072"/>
          </w:tcPr>
          <w:p>
            <w:pPr>
              <w:spacing w:after="0"/>
              <w:rPr>
                <w:sz w:val="19"/>
                <w:szCs w:val="19"/>
                <w:color w:val="auto"/>
              </w:rPr>
            </w:pPr>
          </w:p>
        </w:tc>
        <w:tc>
          <w:tcPr>
            <w:tcW w:w="3500" w:type="dxa"/>
            <w:vAlign w:val="bottom"/>
            <w:tcBorders>
              <w:bottom w:val="single" w:sz="8" w:color="auto"/>
            </w:tcBorders>
            <w:gridSpan w:val="2"/>
            <w:shd w:val="clear" w:color="auto" w:fill="53C072"/>
          </w:tcPr>
          <w:p>
            <w:pPr>
              <w:jc w:val="right"/>
              <w:ind w:right="1461"/>
              <w:spacing w:after="0"/>
              <w:rPr>
                <w:sz w:val="20"/>
                <w:szCs w:val="20"/>
                <w:color w:val="auto"/>
              </w:rPr>
            </w:pPr>
            <w:r>
              <w:rPr>
                <w:rFonts w:ascii="Arial" w:cs="Arial" w:eastAsia="Arial" w:hAnsi="Arial"/>
                <w:sz w:val="16"/>
                <w:szCs w:val="16"/>
                <w:b w:val="1"/>
                <w:bCs w:val="1"/>
                <w:color w:val="FFFFFE"/>
              </w:rPr>
              <w:t>Fiscal 2019 ($ in billions)</w:t>
            </w:r>
          </w:p>
        </w:tc>
        <w:tc>
          <w:tcPr>
            <w:tcW w:w="20" w:type="dxa"/>
            <w:vAlign w:val="bottom"/>
          </w:tcPr>
          <w:p>
            <w:pPr>
              <w:spacing w:after="0"/>
              <w:rPr>
                <w:sz w:val="19"/>
                <w:szCs w:val="19"/>
                <w:color w:val="auto"/>
              </w:rPr>
            </w:pPr>
          </w:p>
        </w:tc>
      </w:tr>
      <w:tr>
        <w:trPr>
          <w:trHeight w:val="186"/>
        </w:trPr>
        <w:tc>
          <w:tcPr>
            <w:tcW w:w="2820" w:type="dxa"/>
            <w:vAlign w:val="bottom"/>
            <w:shd w:val="clear" w:color="auto" w:fill="53C072"/>
          </w:tcPr>
          <w:p>
            <w:pPr>
              <w:spacing w:after="0"/>
              <w:rPr>
                <w:sz w:val="16"/>
                <w:szCs w:val="16"/>
                <w:color w:val="auto"/>
              </w:rPr>
            </w:pPr>
          </w:p>
        </w:tc>
        <w:tc>
          <w:tcPr>
            <w:tcW w:w="1400" w:type="dxa"/>
            <w:vAlign w:val="bottom"/>
            <w:shd w:val="clear" w:color="auto" w:fill="53C072"/>
          </w:tcPr>
          <w:p>
            <w:pPr>
              <w:jc w:val="right"/>
              <w:ind w:right="21"/>
              <w:spacing w:after="0"/>
              <w:rPr>
                <w:sz w:val="20"/>
                <w:szCs w:val="20"/>
                <w:color w:val="auto"/>
              </w:rPr>
            </w:pPr>
            <w:r>
              <w:rPr>
                <w:rFonts w:ascii="Arial" w:cs="Arial" w:eastAsia="Arial" w:hAnsi="Arial"/>
                <w:sz w:val="16"/>
                <w:szCs w:val="16"/>
                <w:b w:val="1"/>
                <w:bCs w:val="1"/>
                <w:color w:val="FFFFFE"/>
              </w:rPr>
              <w:t>Revenue</w:t>
            </w:r>
          </w:p>
        </w:tc>
        <w:tc>
          <w:tcPr>
            <w:tcW w:w="280" w:type="dxa"/>
            <w:vAlign w:val="bottom"/>
            <w:tcBorders>
              <w:right w:val="single" w:sz="8" w:color="FFFFFE"/>
            </w:tcBorders>
            <w:shd w:val="clear" w:color="auto" w:fill="53C072"/>
          </w:tcPr>
          <w:p>
            <w:pPr>
              <w:spacing w:after="0"/>
              <w:rPr>
                <w:sz w:val="16"/>
                <w:szCs w:val="16"/>
                <w:color w:val="auto"/>
              </w:rPr>
            </w:pPr>
          </w:p>
        </w:tc>
        <w:tc>
          <w:tcPr>
            <w:tcW w:w="3220" w:type="dxa"/>
            <w:vAlign w:val="bottom"/>
            <w:shd w:val="clear" w:color="auto" w:fill="53C072"/>
          </w:tcPr>
          <w:p>
            <w:pPr>
              <w:jc w:val="right"/>
              <w:spacing w:after="0"/>
              <w:rPr>
                <w:sz w:val="20"/>
                <w:szCs w:val="20"/>
                <w:color w:val="auto"/>
              </w:rPr>
            </w:pPr>
            <w:r>
              <w:rPr>
                <w:rFonts w:ascii="Arial" w:cs="Arial" w:eastAsia="Arial" w:hAnsi="Arial"/>
                <w:sz w:val="16"/>
                <w:szCs w:val="16"/>
                <w:b w:val="1"/>
                <w:bCs w:val="1"/>
                <w:color w:val="FFFFFE"/>
              </w:rPr>
              <w:t>Market Capitalization</w:t>
            </w:r>
          </w:p>
        </w:tc>
        <w:tc>
          <w:tcPr>
            <w:tcW w:w="20" w:type="dxa"/>
            <w:vAlign w:val="bottom"/>
          </w:tcPr>
          <w:p>
            <w:pPr>
              <w:spacing w:after="0"/>
              <w:rPr>
                <w:sz w:val="16"/>
                <w:szCs w:val="16"/>
                <w:color w:val="auto"/>
              </w:rPr>
            </w:pPr>
          </w:p>
        </w:tc>
      </w:tr>
      <w:tr>
        <w:trPr>
          <w:trHeight w:val="182"/>
        </w:trPr>
        <w:tc>
          <w:tcPr>
            <w:tcW w:w="2820" w:type="dxa"/>
            <w:vAlign w:val="bottom"/>
          </w:tcPr>
          <w:p>
            <w:pPr>
              <w:ind w:left="20"/>
              <w:spacing w:after="0" w:line="182" w:lineRule="exact"/>
              <w:rPr>
                <w:sz w:val="20"/>
                <w:szCs w:val="20"/>
                <w:color w:val="auto"/>
              </w:rPr>
            </w:pPr>
            <w:r>
              <w:rPr>
                <w:rFonts w:ascii="Arial" w:cs="Arial" w:eastAsia="Arial" w:hAnsi="Arial"/>
                <w:sz w:val="16"/>
                <w:szCs w:val="16"/>
                <w:color w:val="auto"/>
              </w:rPr>
              <w:t>Peer Group Median</w:t>
            </w:r>
          </w:p>
        </w:tc>
        <w:tc>
          <w:tcPr>
            <w:tcW w:w="1400" w:type="dxa"/>
            <w:vAlign w:val="bottom"/>
          </w:tcPr>
          <w:p>
            <w:pPr>
              <w:jc w:val="right"/>
              <w:ind w:right="21"/>
              <w:spacing w:after="0" w:line="182" w:lineRule="exact"/>
              <w:rPr>
                <w:sz w:val="20"/>
                <w:szCs w:val="20"/>
                <w:color w:val="auto"/>
              </w:rPr>
            </w:pPr>
            <w:r>
              <w:rPr>
                <w:rFonts w:ascii="Arial" w:cs="Arial" w:eastAsia="Arial" w:hAnsi="Arial"/>
                <w:sz w:val="16"/>
                <w:szCs w:val="16"/>
                <w:color w:val="auto"/>
              </w:rPr>
              <w:t>$16.6</w:t>
            </w:r>
          </w:p>
        </w:tc>
        <w:tc>
          <w:tcPr>
            <w:tcW w:w="280" w:type="dxa"/>
            <w:vAlign w:val="bottom"/>
            <w:tcBorders>
              <w:right w:val="single" w:sz="8" w:color="FFFFFE"/>
            </w:tcBorders>
          </w:tcPr>
          <w:p>
            <w:pPr>
              <w:spacing w:after="0"/>
              <w:rPr>
                <w:sz w:val="15"/>
                <w:szCs w:val="15"/>
                <w:color w:val="auto"/>
              </w:rPr>
            </w:pPr>
          </w:p>
        </w:tc>
        <w:tc>
          <w:tcPr>
            <w:tcW w:w="3220" w:type="dxa"/>
            <w:vAlign w:val="bottom"/>
          </w:tcPr>
          <w:p>
            <w:pPr>
              <w:jc w:val="right"/>
              <w:spacing w:after="0" w:line="182" w:lineRule="exact"/>
              <w:rPr>
                <w:sz w:val="20"/>
                <w:szCs w:val="20"/>
                <w:color w:val="auto"/>
              </w:rPr>
            </w:pPr>
            <w:r>
              <w:rPr>
                <w:rFonts w:ascii="Arial" w:cs="Arial" w:eastAsia="Arial" w:hAnsi="Arial"/>
                <w:sz w:val="16"/>
                <w:szCs w:val="16"/>
                <w:color w:val="auto"/>
              </w:rPr>
              <w:t>$6.3</w:t>
            </w:r>
          </w:p>
        </w:tc>
        <w:tc>
          <w:tcPr>
            <w:tcW w:w="20" w:type="dxa"/>
            <w:vAlign w:val="bottom"/>
          </w:tcPr>
          <w:p>
            <w:pPr>
              <w:spacing w:after="0"/>
              <w:rPr>
                <w:sz w:val="15"/>
                <w:szCs w:val="15"/>
                <w:color w:val="auto"/>
              </w:rPr>
            </w:pPr>
          </w:p>
        </w:tc>
      </w:tr>
      <w:tr>
        <w:trPr>
          <w:trHeight w:val="199"/>
        </w:trPr>
        <w:tc>
          <w:tcPr>
            <w:tcW w:w="2820" w:type="dxa"/>
            <w:vAlign w:val="bottom"/>
            <w:tcBorders>
              <w:bottom w:val="single" w:sz="8" w:color="53C072"/>
            </w:tcBorders>
            <w:shd w:val="clear" w:color="auto" w:fill="E8F5EA"/>
          </w:tcPr>
          <w:p>
            <w:pPr>
              <w:ind w:left="20"/>
              <w:spacing w:after="0" w:line="182" w:lineRule="exact"/>
              <w:rPr>
                <w:sz w:val="20"/>
                <w:szCs w:val="20"/>
                <w:color w:val="auto"/>
              </w:rPr>
            </w:pPr>
            <w:r>
              <w:rPr>
                <w:rFonts w:ascii="Arial" w:cs="Arial" w:eastAsia="Arial" w:hAnsi="Arial"/>
                <w:sz w:val="16"/>
                <w:szCs w:val="16"/>
                <w:color w:val="auto"/>
              </w:rPr>
              <w:t>The Company</w:t>
            </w:r>
          </w:p>
        </w:tc>
        <w:tc>
          <w:tcPr>
            <w:tcW w:w="1400" w:type="dxa"/>
            <w:vAlign w:val="bottom"/>
            <w:tcBorders>
              <w:bottom w:val="single" w:sz="8" w:color="53C072"/>
            </w:tcBorders>
            <w:shd w:val="clear" w:color="auto" w:fill="E8F5EA"/>
          </w:tcPr>
          <w:p>
            <w:pPr>
              <w:jc w:val="right"/>
              <w:ind w:right="21"/>
              <w:spacing w:after="0" w:line="182" w:lineRule="exact"/>
              <w:rPr>
                <w:sz w:val="20"/>
                <w:szCs w:val="20"/>
                <w:color w:val="auto"/>
              </w:rPr>
            </w:pPr>
            <w:r>
              <w:rPr>
                <w:rFonts w:ascii="Arial" w:cs="Arial" w:eastAsia="Arial" w:hAnsi="Arial"/>
                <w:sz w:val="16"/>
                <w:szCs w:val="16"/>
                <w:color w:val="auto"/>
              </w:rPr>
              <w:t>$17.6</w:t>
            </w:r>
          </w:p>
        </w:tc>
        <w:tc>
          <w:tcPr>
            <w:tcW w:w="280" w:type="dxa"/>
            <w:vAlign w:val="bottom"/>
            <w:tcBorders>
              <w:bottom w:val="single" w:sz="8" w:color="53C072"/>
              <w:right w:val="single" w:sz="8" w:color="FFFFFE"/>
            </w:tcBorders>
            <w:shd w:val="clear" w:color="auto" w:fill="E8F5EA"/>
          </w:tcPr>
          <w:p>
            <w:pPr>
              <w:spacing w:after="0"/>
              <w:rPr>
                <w:sz w:val="17"/>
                <w:szCs w:val="17"/>
                <w:color w:val="auto"/>
              </w:rPr>
            </w:pPr>
          </w:p>
        </w:tc>
        <w:tc>
          <w:tcPr>
            <w:tcW w:w="3220" w:type="dxa"/>
            <w:vAlign w:val="bottom"/>
            <w:tcBorders>
              <w:bottom w:val="single" w:sz="8" w:color="53C072"/>
            </w:tcBorders>
            <w:shd w:val="clear" w:color="auto" w:fill="E8F5EA"/>
          </w:tcPr>
          <w:p>
            <w:pPr>
              <w:jc w:val="right"/>
              <w:spacing w:after="0" w:line="182" w:lineRule="exact"/>
              <w:rPr>
                <w:sz w:val="20"/>
                <w:szCs w:val="20"/>
                <w:color w:val="auto"/>
              </w:rPr>
            </w:pPr>
            <w:r>
              <w:rPr>
                <w:rFonts w:ascii="Arial" w:cs="Arial" w:eastAsia="Arial" w:hAnsi="Arial"/>
                <w:sz w:val="16"/>
                <w:szCs w:val="16"/>
                <w:color w:val="auto"/>
              </w:rPr>
              <w:t>$2.6</w:t>
            </w:r>
          </w:p>
        </w:tc>
        <w:tc>
          <w:tcPr>
            <w:tcW w:w="20" w:type="dxa"/>
            <w:vAlign w:val="bottom"/>
          </w:tcPr>
          <w:p>
            <w:pPr>
              <w:spacing w:after="0"/>
              <w:rPr>
                <w:sz w:val="17"/>
                <w:szCs w:val="17"/>
                <w:color w:val="auto"/>
              </w:rPr>
            </w:pPr>
          </w:p>
        </w:tc>
      </w:tr>
    </w:tbl>
    <w:p>
      <w:pPr>
        <w:spacing w:after="0" w:line="148" w:lineRule="exact"/>
        <w:rPr>
          <w:sz w:val="20"/>
          <w:szCs w:val="20"/>
          <w:color w:val="auto"/>
        </w:rPr>
      </w:pPr>
    </w:p>
    <w:p>
      <w:pPr>
        <w:jc w:val="both"/>
        <w:ind w:left="10720"/>
        <w:spacing w:after="0"/>
        <w:tabs>
          <w:tab w:leader="none" w:pos="11060" w:val="left"/>
        </w:tabs>
        <w:rPr>
          <w:sz w:val="20"/>
          <w:szCs w:val="20"/>
          <w:color w:val="auto"/>
        </w:rPr>
      </w:pPr>
      <w:r>
        <w:rPr>
          <w:rFonts w:ascii="Arial" w:cs="Arial" w:eastAsia="Arial" w:hAnsi="Arial"/>
          <w:sz w:val="23"/>
          <w:szCs w:val="23"/>
          <w:b w:val="1"/>
          <w:bCs w:val="1"/>
          <w:color w:val="53C072"/>
        </w:rPr>
        <w:t>|</w:t>
      </w:r>
      <w:r>
        <w:rPr>
          <w:sz w:val="20"/>
          <w:szCs w:val="20"/>
          <w:color w:val="auto"/>
        </w:rPr>
        <w:tab/>
      </w: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7151370" cy="203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-130175</wp:posOffset>
            </wp:positionV>
            <wp:extent cx="1664970" cy="1231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13"/>
        </w:trPr>
        <w:tc>
          <w:tcPr>
            <w:tcW w:w="512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6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12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6140" w:type="dxa"/>
            <w:vAlign w:val="bottom"/>
            <w:vMerge w:val="restart"/>
          </w:tcPr>
          <w:p>
            <w:pPr>
              <w:ind w:left="3880"/>
              <w:spacing w:after="0"/>
              <w:rPr>
                <w:sz w:val="20"/>
                <w:szCs w:val="20"/>
                <w:color w:val="auto"/>
              </w:rPr>
            </w:pPr>
            <w:r>
              <w:rPr>
                <w:rFonts w:ascii="Arial" w:cs="Arial" w:eastAsia="Arial" w:hAnsi="Arial"/>
                <w:sz w:val="13"/>
                <w:szCs w:val="13"/>
                <w:color w:val="auto"/>
                <w:w w:val="98"/>
              </w:rPr>
              <w:t>Compensation Discussion and Analysis</w:t>
            </w:r>
          </w:p>
        </w:tc>
        <w:tc>
          <w:tcPr>
            <w:tcW w:w="0" w:type="dxa"/>
            <w:vAlign w:val="bottom"/>
          </w:tcPr>
          <w:p>
            <w:pPr>
              <w:spacing w:after="0"/>
              <w:rPr>
                <w:sz w:val="1"/>
                <w:szCs w:val="1"/>
                <w:color w:val="auto"/>
              </w:rPr>
            </w:pPr>
          </w:p>
        </w:tc>
      </w:tr>
      <w:tr>
        <w:trPr>
          <w:trHeight w:val="102"/>
        </w:trPr>
        <w:tc>
          <w:tcPr>
            <w:tcW w:w="512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6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120" w:type="dxa"/>
            <w:vAlign w:val="bottom"/>
            <w:vMerge w:val="continue"/>
          </w:tcPr>
          <w:p>
            <w:pPr>
              <w:spacing w:after="0"/>
              <w:rPr>
                <w:sz w:val="7"/>
                <w:szCs w:val="7"/>
                <w:color w:val="auto"/>
              </w:rPr>
            </w:pPr>
          </w:p>
        </w:tc>
        <w:tc>
          <w:tcPr>
            <w:tcW w:w="6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right="20"/>
        <w:spacing w:after="0" w:line="267" w:lineRule="auto"/>
        <w:rPr>
          <w:sz w:val="20"/>
          <w:szCs w:val="20"/>
          <w:color w:val="auto"/>
        </w:rPr>
      </w:pPr>
      <w:r>
        <w:rPr>
          <w:rFonts w:ascii="Arial" w:cs="Arial" w:eastAsia="Arial" w:hAnsi="Arial"/>
          <w:sz w:val="15"/>
          <w:szCs w:val="15"/>
          <w:color w:val="auto"/>
        </w:rPr>
        <w:t>For the CEO and CFO, the primary market data is sourced from the most recent proxy statements of the Company's benchmarking peer group, as may be updated by additional SEC filings, and secondary market data is sourced from general industry surveys covering executive positions. For the remaining executive officers, the primary market data is sourced from the peer group's proxy statement data, when available, or general industry surveys covering executive positions. The Compensation Committee reviews general industry survey data for similar roles at companies with comparable revenue and market capitalization. For fiscal 2020, the survey data came from the 2019 Towers Watson Data Services US Compensation Data Bank General Industry Executive Survey.</w:t>
      </w:r>
    </w:p>
    <w:p>
      <w:pPr>
        <w:spacing w:after="0" w:line="145"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As part of this benchmarking process, each executive officer's proposed individual target compensation is evaluated against the market data, as are individual compensation elements such as base salary, annual cash incentives, long-term incentives and total direct compensation.</w:t>
      </w:r>
    </w:p>
    <w:p>
      <w:pPr>
        <w:spacing w:after="0" w:line="137" w:lineRule="exact"/>
        <w:rPr>
          <w:sz w:val="20"/>
          <w:szCs w:val="20"/>
          <w:color w:val="auto"/>
        </w:rPr>
      </w:pPr>
    </w:p>
    <w:p>
      <w:pPr>
        <w:ind w:right="140"/>
        <w:spacing w:after="0" w:line="246" w:lineRule="auto"/>
        <w:rPr>
          <w:sz w:val="20"/>
          <w:szCs w:val="20"/>
          <w:color w:val="auto"/>
        </w:rPr>
      </w:pPr>
      <w:r>
        <w:rPr>
          <w:rFonts w:ascii="Arial" w:cs="Arial" w:eastAsia="Arial" w:hAnsi="Arial"/>
          <w:sz w:val="16"/>
          <w:szCs w:val="16"/>
          <w:color w:val="auto"/>
        </w:rPr>
        <w:t>The Compensation Committee does not view benchmarking as a prescriptive determinant of individual compensation. Rather, the Compensation Committee uses the market median as a general guide in its decisions on the target amount and mix of each element of compensation. The Committee also takes into account other factors, such as experience in the position and long-term performance of the individual. An executive officer's actual compensation may be above or below target compensation and will vary from year to year based on corporate and/or business unit financial results, future stock performance as well as individual performance, reinforcing the Company's pay-for-performance culture.</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OVERVIEW OF PAY PROGRAMS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primary components of the Company's compensation program and the objectives of each component are set forth in the table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60" w:type="dxa"/>
            <w:vAlign w:val="bottom"/>
            <w:gridSpan w:val="2"/>
            <w:shd w:val="clear" w:color="auto" w:fill="53C072"/>
          </w:tcPr>
          <w:p>
            <w:pPr>
              <w:spacing w:after="0"/>
              <w:rPr>
                <w:sz w:val="20"/>
                <w:szCs w:val="20"/>
                <w:color w:val="auto"/>
              </w:rPr>
            </w:pPr>
            <w:r>
              <w:rPr>
                <w:rFonts w:ascii="Arial" w:cs="Arial" w:eastAsia="Arial" w:hAnsi="Arial"/>
                <w:sz w:val="16"/>
                <w:szCs w:val="16"/>
                <w:b w:val="1"/>
                <w:bCs w:val="1"/>
                <w:color w:val="FFFFFE"/>
              </w:rPr>
              <w:t>Pay Component</w:t>
            </w:r>
          </w:p>
        </w:tc>
        <w:tc>
          <w:tcPr>
            <w:tcW w:w="4140" w:type="dxa"/>
            <w:vAlign w:val="bottom"/>
            <w:shd w:val="clear" w:color="auto" w:fill="53C072"/>
          </w:tcPr>
          <w:p>
            <w:pPr>
              <w:ind w:left="140"/>
              <w:spacing w:after="0"/>
              <w:rPr>
                <w:sz w:val="20"/>
                <w:szCs w:val="20"/>
                <w:color w:val="auto"/>
              </w:rPr>
            </w:pPr>
            <w:r>
              <w:rPr>
                <w:rFonts w:ascii="Arial" w:cs="Arial" w:eastAsia="Arial" w:hAnsi="Arial"/>
                <w:sz w:val="16"/>
                <w:szCs w:val="16"/>
                <w:b w:val="1"/>
                <w:bCs w:val="1"/>
                <w:color w:val="FFFFFE"/>
              </w:rPr>
              <w:t>Objectives</w:t>
            </w:r>
          </w:p>
        </w:tc>
        <w:tc>
          <w:tcPr>
            <w:tcW w:w="140" w:type="dxa"/>
            <w:vAlign w:val="bottom"/>
            <w:shd w:val="clear" w:color="auto" w:fill="53C072"/>
          </w:tcPr>
          <w:p>
            <w:pPr>
              <w:spacing w:after="0"/>
              <w:rPr>
                <w:sz w:val="16"/>
                <w:szCs w:val="16"/>
                <w:color w:val="auto"/>
              </w:rPr>
            </w:pPr>
          </w:p>
        </w:tc>
        <w:tc>
          <w:tcPr>
            <w:tcW w:w="3720" w:type="dxa"/>
            <w:vAlign w:val="bottom"/>
            <w:shd w:val="clear" w:color="auto" w:fill="53C072"/>
          </w:tcPr>
          <w:p>
            <w:pPr>
              <w:spacing w:after="0"/>
              <w:rPr>
                <w:sz w:val="20"/>
                <w:szCs w:val="20"/>
                <w:color w:val="auto"/>
              </w:rPr>
            </w:pPr>
            <w:r>
              <w:rPr>
                <w:rFonts w:ascii="Arial" w:cs="Arial" w:eastAsia="Arial" w:hAnsi="Arial"/>
                <w:sz w:val="16"/>
                <w:szCs w:val="16"/>
                <w:b w:val="1"/>
                <w:bCs w:val="1"/>
                <w:color w:val="FFFFFE"/>
              </w:rPr>
              <w:t>Key Features</w:t>
            </w:r>
          </w:p>
        </w:tc>
        <w:tc>
          <w:tcPr>
            <w:tcW w:w="0" w:type="dxa"/>
            <w:vAlign w:val="bottom"/>
          </w:tcPr>
          <w:p>
            <w:pPr>
              <w:spacing w:after="0"/>
              <w:rPr>
                <w:sz w:val="1"/>
                <w:szCs w:val="1"/>
                <w:color w:val="auto"/>
              </w:rPr>
            </w:pPr>
          </w:p>
        </w:tc>
      </w:tr>
      <w:tr>
        <w:trPr>
          <w:trHeight w:val="171"/>
        </w:trPr>
        <w:tc>
          <w:tcPr>
            <w:tcW w:w="3260" w:type="dxa"/>
            <w:vAlign w:val="bottom"/>
            <w:gridSpan w:val="2"/>
            <w:shd w:val="clear" w:color="auto" w:fill="CFE9D2"/>
          </w:tcPr>
          <w:p>
            <w:pPr>
              <w:spacing w:after="0" w:line="171" w:lineRule="exact"/>
              <w:rPr>
                <w:sz w:val="20"/>
                <w:szCs w:val="20"/>
                <w:color w:val="auto"/>
              </w:rPr>
            </w:pPr>
            <w:r>
              <w:rPr>
                <w:rFonts w:ascii="Arial" w:cs="Arial" w:eastAsia="Arial" w:hAnsi="Arial"/>
                <w:sz w:val="16"/>
                <w:szCs w:val="16"/>
                <w:b w:val="1"/>
                <w:bCs w:val="1"/>
                <w:color w:val="auto"/>
              </w:rPr>
              <w:t>Base Salary</w:t>
            </w:r>
          </w:p>
        </w:tc>
        <w:tc>
          <w:tcPr>
            <w:tcW w:w="4140" w:type="dxa"/>
            <w:vAlign w:val="bottom"/>
            <w:shd w:val="clear" w:color="auto" w:fill="CFE9D2"/>
          </w:tcPr>
          <w:p>
            <w:pPr>
              <w:ind w:left="140"/>
              <w:spacing w:after="0" w:line="171" w:lineRule="exact"/>
              <w:rPr>
                <w:sz w:val="20"/>
                <w:szCs w:val="20"/>
                <w:color w:val="auto"/>
              </w:rPr>
            </w:pPr>
            <w:r>
              <w:rPr>
                <w:rFonts w:ascii="Arial" w:cs="Arial" w:eastAsia="Arial" w:hAnsi="Arial"/>
                <w:sz w:val="16"/>
                <w:szCs w:val="16"/>
                <w:color w:val="auto"/>
              </w:rPr>
              <w:t>Attract and retain executive talent in a competitive</w:t>
            </w:r>
          </w:p>
        </w:tc>
        <w:tc>
          <w:tcPr>
            <w:tcW w:w="140" w:type="dxa"/>
            <w:vAlign w:val="bottom"/>
            <w:shd w:val="clear" w:color="auto" w:fill="CFE9D2"/>
          </w:tcPr>
          <w:p>
            <w:pPr>
              <w:spacing w:after="0"/>
              <w:rPr>
                <w:sz w:val="14"/>
                <w:szCs w:val="14"/>
                <w:color w:val="auto"/>
              </w:rPr>
            </w:pPr>
          </w:p>
        </w:tc>
        <w:tc>
          <w:tcPr>
            <w:tcW w:w="3720" w:type="dxa"/>
            <w:vAlign w:val="bottom"/>
            <w:shd w:val="clear" w:color="auto" w:fill="CFE9D2"/>
          </w:tcPr>
          <w:p>
            <w:pPr>
              <w:spacing w:after="0" w:line="171" w:lineRule="exact"/>
              <w:rPr>
                <w:sz w:val="20"/>
                <w:szCs w:val="20"/>
                <w:color w:val="auto"/>
              </w:rPr>
            </w:pPr>
            <w:r>
              <w:rPr>
                <w:rFonts w:ascii="Arial" w:cs="Arial" w:eastAsia="Arial" w:hAnsi="Arial"/>
                <w:sz w:val="16"/>
                <w:szCs w:val="16"/>
                <w:color w:val="auto"/>
              </w:rPr>
              <w:t>Reflects skills, contributions and success over time</w:t>
            </w:r>
          </w:p>
        </w:tc>
        <w:tc>
          <w:tcPr>
            <w:tcW w:w="0" w:type="dxa"/>
            <w:vAlign w:val="bottom"/>
          </w:tcPr>
          <w:p>
            <w:pPr>
              <w:spacing w:after="0"/>
              <w:rPr>
                <w:sz w:val="1"/>
                <w:szCs w:val="1"/>
                <w:color w:val="auto"/>
              </w:rPr>
            </w:pPr>
          </w:p>
        </w:tc>
      </w:tr>
      <w:tr>
        <w:trPr>
          <w:trHeight w:val="213"/>
        </w:trPr>
        <w:tc>
          <w:tcPr>
            <w:tcW w:w="320" w:type="dxa"/>
            <w:vAlign w:val="bottom"/>
            <w:shd w:val="clear" w:color="auto" w:fill="CFE9D2"/>
          </w:tcPr>
          <w:p>
            <w:pPr>
              <w:spacing w:after="0"/>
              <w:rPr>
                <w:sz w:val="18"/>
                <w:szCs w:val="18"/>
                <w:color w:val="auto"/>
              </w:rPr>
            </w:pPr>
          </w:p>
        </w:tc>
        <w:tc>
          <w:tcPr>
            <w:tcW w:w="2940" w:type="dxa"/>
            <w:vAlign w:val="bottom"/>
            <w:shd w:val="clear" w:color="auto" w:fill="CFE9D2"/>
          </w:tcPr>
          <w:p>
            <w:pPr>
              <w:spacing w:after="0"/>
              <w:rPr>
                <w:sz w:val="18"/>
                <w:szCs w:val="18"/>
                <w:color w:val="auto"/>
              </w:rPr>
            </w:pPr>
          </w:p>
        </w:tc>
        <w:tc>
          <w:tcPr>
            <w:tcW w:w="4140" w:type="dxa"/>
            <w:vAlign w:val="bottom"/>
            <w:shd w:val="clear" w:color="auto" w:fill="CFE9D2"/>
          </w:tcPr>
          <w:p>
            <w:pPr>
              <w:ind w:left="140"/>
              <w:spacing w:after="0"/>
              <w:rPr>
                <w:sz w:val="20"/>
                <w:szCs w:val="20"/>
                <w:color w:val="auto"/>
              </w:rPr>
            </w:pPr>
            <w:r>
              <w:rPr>
                <w:rFonts w:ascii="Arial" w:cs="Arial" w:eastAsia="Arial" w:hAnsi="Arial"/>
                <w:sz w:val="16"/>
                <w:szCs w:val="16"/>
                <w:color w:val="auto"/>
              </w:rPr>
              <w:t>marketplace.</w:t>
            </w:r>
          </w:p>
        </w:tc>
        <w:tc>
          <w:tcPr>
            <w:tcW w:w="140" w:type="dxa"/>
            <w:vAlign w:val="bottom"/>
            <w:shd w:val="clear" w:color="auto" w:fill="CFE9D2"/>
          </w:tcPr>
          <w:p>
            <w:pPr>
              <w:spacing w:after="0"/>
              <w:rPr>
                <w:sz w:val="18"/>
                <w:szCs w:val="18"/>
                <w:color w:val="auto"/>
              </w:rPr>
            </w:pPr>
          </w:p>
        </w:tc>
        <w:tc>
          <w:tcPr>
            <w:tcW w:w="3720" w:type="dxa"/>
            <w:vAlign w:val="bottom"/>
            <w:shd w:val="clear" w:color="auto" w:fill="CFE9D2"/>
          </w:tcPr>
          <w:p>
            <w:pPr>
              <w:spacing w:after="0"/>
              <w:rPr>
                <w:sz w:val="20"/>
                <w:szCs w:val="20"/>
                <w:color w:val="auto"/>
              </w:rPr>
            </w:pPr>
            <w:r>
              <w:rPr>
                <w:rFonts w:ascii="Arial" w:cs="Arial" w:eastAsia="Arial" w:hAnsi="Arial"/>
                <w:sz w:val="16"/>
                <w:szCs w:val="16"/>
                <w:color w:val="auto"/>
              </w:rPr>
              <w:t>in role.</w:t>
            </w:r>
          </w:p>
        </w:tc>
        <w:tc>
          <w:tcPr>
            <w:tcW w:w="0" w:type="dxa"/>
            <w:vAlign w:val="bottom"/>
          </w:tcPr>
          <w:p>
            <w:pPr>
              <w:spacing w:after="0"/>
              <w:rPr>
                <w:sz w:val="1"/>
                <w:szCs w:val="1"/>
                <w:color w:val="auto"/>
              </w:rPr>
            </w:pPr>
          </w:p>
        </w:tc>
      </w:tr>
      <w:tr>
        <w:trPr>
          <w:trHeight w:val="333"/>
        </w:trPr>
        <w:tc>
          <w:tcPr>
            <w:tcW w:w="320" w:type="dxa"/>
            <w:vAlign w:val="bottom"/>
            <w:shd w:val="clear" w:color="auto" w:fill="CFE9D2"/>
          </w:tcPr>
          <w:p>
            <w:pPr>
              <w:spacing w:after="0"/>
              <w:rPr>
                <w:sz w:val="24"/>
                <w:szCs w:val="24"/>
                <w:color w:val="auto"/>
              </w:rPr>
            </w:pPr>
          </w:p>
        </w:tc>
        <w:tc>
          <w:tcPr>
            <w:tcW w:w="2940" w:type="dxa"/>
            <w:vAlign w:val="bottom"/>
            <w:shd w:val="clear" w:color="auto" w:fill="CFE9D2"/>
          </w:tcPr>
          <w:p>
            <w:pPr>
              <w:spacing w:after="0"/>
              <w:rPr>
                <w:sz w:val="24"/>
                <w:szCs w:val="24"/>
                <w:color w:val="auto"/>
              </w:rPr>
            </w:pPr>
          </w:p>
        </w:tc>
        <w:tc>
          <w:tcPr>
            <w:tcW w:w="4140" w:type="dxa"/>
            <w:vAlign w:val="bottom"/>
            <w:shd w:val="clear" w:color="auto" w:fill="CFE9D2"/>
          </w:tcPr>
          <w:p>
            <w:pPr>
              <w:spacing w:after="0"/>
              <w:rPr>
                <w:sz w:val="24"/>
                <w:szCs w:val="24"/>
                <w:color w:val="auto"/>
              </w:rPr>
            </w:pPr>
          </w:p>
        </w:tc>
        <w:tc>
          <w:tcPr>
            <w:tcW w:w="140" w:type="dxa"/>
            <w:vAlign w:val="bottom"/>
            <w:shd w:val="clear" w:color="auto" w:fill="CFE9D2"/>
          </w:tcPr>
          <w:p>
            <w:pPr>
              <w:spacing w:after="0"/>
              <w:rPr>
                <w:sz w:val="24"/>
                <w:szCs w:val="24"/>
                <w:color w:val="auto"/>
              </w:rPr>
            </w:pPr>
          </w:p>
        </w:tc>
        <w:tc>
          <w:tcPr>
            <w:tcW w:w="3720" w:type="dxa"/>
            <w:vAlign w:val="bottom"/>
            <w:shd w:val="clear" w:color="auto" w:fill="CFE9D2"/>
          </w:tcPr>
          <w:p>
            <w:pPr>
              <w:spacing w:after="0"/>
              <w:rPr>
                <w:sz w:val="20"/>
                <w:szCs w:val="20"/>
                <w:color w:val="auto"/>
              </w:rPr>
            </w:pPr>
            <w:r>
              <w:rPr>
                <w:rFonts w:ascii="Arial" w:cs="Arial" w:eastAsia="Arial" w:hAnsi="Arial"/>
                <w:sz w:val="16"/>
                <w:szCs w:val="16"/>
                <w:color w:val="auto"/>
              </w:rPr>
              <w:t>Reviewed annually to ensure competitiveness and</w:t>
            </w:r>
          </w:p>
        </w:tc>
        <w:tc>
          <w:tcPr>
            <w:tcW w:w="0" w:type="dxa"/>
            <w:vAlign w:val="bottom"/>
          </w:tcPr>
          <w:p>
            <w:pPr>
              <w:spacing w:after="0"/>
              <w:rPr>
                <w:sz w:val="1"/>
                <w:szCs w:val="1"/>
                <w:color w:val="auto"/>
              </w:rPr>
            </w:pPr>
          </w:p>
        </w:tc>
      </w:tr>
      <w:tr>
        <w:trPr>
          <w:trHeight w:val="205"/>
        </w:trPr>
        <w:tc>
          <w:tcPr>
            <w:tcW w:w="320" w:type="dxa"/>
            <w:vAlign w:val="bottom"/>
            <w:shd w:val="clear" w:color="auto" w:fill="CFE9D2"/>
          </w:tcPr>
          <w:p>
            <w:pPr>
              <w:spacing w:after="0"/>
              <w:rPr>
                <w:sz w:val="17"/>
                <w:szCs w:val="17"/>
                <w:color w:val="auto"/>
              </w:rPr>
            </w:pPr>
          </w:p>
        </w:tc>
        <w:tc>
          <w:tcPr>
            <w:tcW w:w="2940" w:type="dxa"/>
            <w:vAlign w:val="bottom"/>
            <w:shd w:val="clear" w:color="auto" w:fill="CFE9D2"/>
          </w:tcPr>
          <w:p>
            <w:pPr>
              <w:spacing w:after="0"/>
              <w:rPr>
                <w:sz w:val="17"/>
                <w:szCs w:val="17"/>
                <w:color w:val="auto"/>
              </w:rPr>
            </w:pPr>
          </w:p>
        </w:tc>
        <w:tc>
          <w:tcPr>
            <w:tcW w:w="4140" w:type="dxa"/>
            <w:vAlign w:val="bottom"/>
            <w:shd w:val="clear" w:color="auto" w:fill="CFE9D2"/>
          </w:tcPr>
          <w:p>
            <w:pPr>
              <w:spacing w:after="0"/>
              <w:rPr>
                <w:sz w:val="17"/>
                <w:szCs w:val="17"/>
                <w:color w:val="auto"/>
              </w:rPr>
            </w:pPr>
          </w:p>
        </w:tc>
        <w:tc>
          <w:tcPr>
            <w:tcW w:w="140" w:type="dxa"/>
            <w:vAlign w:val="bottom"/>
            <w:shd w:val="clear" w:color="auto" w:fill="CFE9D2"/>
          </w:tcPr>
          <w:p>
            <w:pPr>
              <w:spacing w:after="0"/>
              <w:rPr>
                <w:sz w:val="17"/>
                <w:szCs w:val="17"/>
                <w:color w:val="auto"/>
              </w:rPr>
            </w:pPr>
          </w:p>
        </w:tc>
        <w:tc>
          <w:tcPr>
            <w:tcW w:w="3720" w:type="dxa"/>
            <w:vAlign w:val="bottom"/>
            <w:shd w:val="clear" w:color="auto" w:fill="CFE9D2"/>
          </w:tcPr>
          <w:p>
            <w:pPr>
              <w:spacing w:after="0"/>
              <w:rPr>
                <w:sz w:val="20"/>
                <w:szCs w:val="20"/>
                <w:color w:val="auto"/>
              </w:rPr>
            </w:pPr>
            <w:r>
              <w:rPr>
                <w:rFonts w:ascii="Arial" w:cs="Arial" w:eastAsia="Arial" w:hAnsi="Arial"/>
                <w:sz w:val="16"/>
                <w:szCs w:val="16"/>
                <w:color w:val="auto"/>
              </w:rPr>
              <w:t>alignment with individual performance.</w:t>
            </w:r>
          </w:p>
        </w:tc>
        <w:tc>
          <w:tcPr>
            <w:tcW w:w="0" w:type="dxa"/>
            <w:vAlign w:val="bottom"/>
          </w:tcPr>
          <w:p>
            <w:pPr>
              <w:spacing w:after="0"/>
              <w:rPr>
                <w:sz w:val="1"/>
                <w:szCs w:val="1"/>
                <w:color w:val="auto"/>
              </w:rPr>
            </w:pPr>
          </w:p>
        </w:tc>
      </w:tr>
      <w:tr>
        <w:trPr>
          <w:trHeight w:val="171"/>
        </w:trPr>
        <w:tc>
          <w:tcPr>
            <w:tcW w:w="3260" w:type="dxa"/>
            <w:vAlign w:val="bottom"/>
            <w:gridSpan w:val="2"/>
            <w:shd w:val="clear" w:color="auto" w:fill="E8F5EA"/>
          </w:tcPr>
          <w:p>
            <w:pPr>
              <w:spacing w:after="0" w:line="171" w:lineRule="exact"/>
              <w:rPr>
                <w:sz w:val="20"/>
                <w:szCs w:val="20"/>
                <w:color w:val="auto"/>
              </w:rPr>
            </w:pPr>
            <w:r>
              <w:rPr>
                <w:rFonts w:ascii="Arial" w:cs="Arial" w:eastAsia="Arial" w:hAnsi="Arial"/>
                <w:sz w:val="16"/>
                <w:szCs w:val="16"/>
                <w:b w:val="1"/>
                <w:bCs w:val="1"/>
                <w:color w:val="auto"/>
              </w:rPr>
              <w:t>Annual Cash Incentive Award</w:t>
            </w:r>
          </w:p>
        </w:tc>
        <w:tc>
          <w:tcPr>
            <w:tcW w:w="4140" w:type="dxa"/>
            <w:vAlign w:val="bottom"/>
            <w:shd w:val="clear" w:color="auto" w:fill="E8F5EA"/>
          </w:tcPr>
          <w:p>
            <w:pPr>
              <w:ind w:left="140"/>
              <w:spacing w:after="0" w:line="171" w:lineRule="exact"/>
              <w:rPr>
                <w:sz w:val="20"/>
                <w:szCs w:val="20"/>
                <w:color w:val="auto"/>
              </w:rPr>
            </w:pPr>
            <w:r>
              <w:rPr>
                <w:rFonts w:ascii="Arial" w:cs="Arial" w:eastAsia="Arial" w:hAnsi="Arial"/>
                <w:sz w:val="16"/>
                <w:szCs w:val="16"/>
                <w:color w:val="auto"/>
              </w:rPr>
              <w:t>Link variable compensation to corporate and/or</w:t>
            </w:r>
          </w:p>
        </w:tc>
        <w:tc>
          <w:tcPr>
            <w:tcW w:w="140" w:type="dxa"/>
            <w:vAlign w:val="bottom"/>
            <w:shd w:val="clear" w:color="auto" w:fill="E8F5EA"/>
          </w:tcPr>
          <w:p>
            <w:pPr>
              <w:spacing w:after="0"/>
              <w:rPr>
                <w:sz w:val="14"/>
                <w:szCs w:val="14"/>
                <w:color w:val="auto"/>
              </w:rPr>
            </w:pPr>
          </w:p>
        </w:tc>
        <w:tc>
          <w:tcPr>
            <w:tcW w:w="3720" w:type="dxa"/>
            <w:vAlign w:val="bottom"/>
            <w:shd w:val="clear" w:color="auto" w:fill="E8F5EA"/>
          </w:tcPr>
          <w:p>
            <w:pPr>
              <w:spacing w:after="0" w:line="171" w:lineRule="exact"/>
              <w:rPr>
                <w:sz w:val="20"/>
                <w:szCs w:val="20"/>
                <w:color w:val="auto"/>
              </w:rPr>
            </w:pPr>
            <w:r>
              <w:rPr>
                <w:rFonts w:ascii="Arial" w:cs="Arial" w:eastAsia="Arial" w:hAnsi="Arial"/>
                <w:sz w:val="16"/>
                <w:szCs w:val="16"/>
                <w:color w:val="auto"/>
                <w:w w:val="99"/>
              </w:rPr>
              <w:t>Key financial measures used to assess performance</w:t>
            </w:r>
          </w:p>
        </w:tc>
        <w:tc>
          <w:tcPr>
            <w:tcW w:w="0" w:type="dxa"/>
            <w:vAlign w:val="bottom"/>
          </w:tcPr>
          <w:p>
            <w:pPr>
              <w:spacing w:after="0"/>
              <w:rPr>
                <w:sz w:val="1"/>
                <w:szCs w:val="1"/>
                <w:color w:val="auto"/>
              </w:rPr>
            </w:pPr>
          </w:p>
        </w:tc>
      </w:tr>
      <w:tr>
        <w:trPr>
          <w:trHeight w:val="182"/>
        </w:trPr>
        <w:tc>
          <w:tcPr>
            <w:tcW w:w="320" w:type="dxa"/>
            <w:vAlign w:val="bottom"/>
            <w:shd w:val="clear" w:color="auto" w:fill="E8F5EA"/>
          </w:tcPr>
          <w:p>
            <w:pPr>
              <w:spacing w:after="0"/>
              <w:rPr>
                <w:sz w:val="15"/>
                <w:szCs w:val="15"/>
                <w:color w:val="auto"/>
              </w:rPr>
            </w:pPr>
          </w:p>
        </w:tc>
        <w:tc>
          <w:tcPr>
            <w:tcW w:w="2940" w:type="dxa"/>
            <w:vAlign w:val="bottom"/>
            <w:shd w:val="clear" w:color="auto" w:fill="E8F5EA"/>
          </w:tcPr>
          <w:p>
            <w:pPr>
              <w:spacing w:after="0"/>
              <w:rPr>
                <w:sz w:val="15"/>
                <w:szCs w:val="15"/>
                <w:color w:val="auto"/>
              </w:rPr>
            </w:pPr>
          </w:p>
        </w:tc>
        <w:tc>
          <w:tcPr>
            <w:tcW w:w="4140" w:type="dxa"/>
            <w:vAlign w:val="bottom"/>
            <w:shd w:val="clear" w:color="auto" w:fill="E8F5EA"/>
          </w:tcPr>
          <w:p>
            <w:pPr>
              <w:ind w:left="140"/>
              <w:spacing w:after="0" w:line="182" w:lineRule="exact"/>
              <w:rPr>
                <w:sz w:val="20"/>
                <w:szCs w:val="20"/>
                <w:color w:val="auto"/>
              </w:rPr>
            </w:pPr>
            <w:r>
              <w:rPr>
                <w:rFonts w:ascii="Arial" w:cs="Arial" w:eastAsia="Arial" w:hAnsi="Arial"/>
                <w:sz w:val="16"/>
                <w:szCs w:val="16"/>
                <w:color w:val="auto"/>
              </w:rPr>
              <w:t>business unit short-term performance as well as</w:t>
            </w:r>
          </w:p>
        </w:tc>
        <w:tc>
          <w:tcPr>
            <w:tcW w:w="140" w:type="dxa"/>
            <w:vAlign w:val="bottom"/>
            <w:shd w:val="clear" w:color="auto" w:fill="E8F5EA"/>
          </w:tcPr>
          <w:p>
            <w:pPr>
              <w:spacing w:after="0"/>
              <w:rPr>
                <w:sz w:val="15"/>
                <w:szCs w:val="15"/>
                <w:color w:val="auto"/>
              </w:rPr>
            </w:pPr>
          </w:p>
        </w:tc>
        <w:tc>
          <w:tcPr>
            <w:tcW w:w="3720" w:type="dxa"/>
            <w:vAlign w:val="bottom"/>
            <w:shd w:val="clear" w:color="auto" w:fill="E8F5EA"/>
          </w:tcPr>
          <w:p>
            <w:pPr>
              <w:spacing w:after="0" w:line="182" w:lineRule="exact"/>
              <w:rPr>
                <w:sz w:val="20"/>
                <w:szCs w:val="20"/>
                <w:color w:val="auto"/>
              </w:rPr>
            </w:pPr>
            <w:r>
              <w:rPr>
                <w:rFonts w:ascii="Arial" w:cs="Arial" w:eastAsia="Arial" w:hAnsi="Arial"/>
                <w:sz w:val="16"/>
                <w:szCs w:val="16"/>
                <w:color w:val="auto"/>
              </w:rPr>
              <w:t>and align executives with shareholders' interests.</w:t>
            </w:r>
          </w:p>
        </w:tc>
        <w:tc>
          <w:tcPr>
            <w:tcW w:w="0" w:type="dxa"/>
            <w:vAlign w:val="bottom"/>
          </w:tcPr>
          <w:p>
            <w:pPr>
              <w:spacing w:after="0"/>
              <w:rPr>
                <w:sz w:val="1"/>
                <w:szCs w:val="1"/>
                <w:color w:val="auto"/>
              </w:rPr>
            </w:pPr>
          </w:p>
        </w:tc>
      </w:tr>
      <w:tr>
        <w:trPr>
          <w:trHeight w:val="213"/>
        </w:trPr>
        <w:tc>
          <w:tcPr>
            <w:tcW w:w="320" w:type="dxa"/>
            <w:vAlign w:val="bottom"/>
            <w:shd w:val="clear" w:color="auto" w:fill="E8F5EA"/>
          </w:tcPr>
          <w:p>
            <w:pPr>
              <w:spacing w:after="0"/>
              <w:rPr>
                <w:sz w:val="18"/>
                <w:szCs w:val="18"/>
                <w:color w:val="auto"/>
              </w:rPr>
            </w:pPr>
          </w:p>
        </w:tc>
        <w:tc>
          <w:tcPr>
            <w:tcW w:w="2940" w:type="dxa"/>
            <w:vAlign w:val="bottom"/>
            <w:shd w:val="clear" w:color="auto" w:fill="E8F5EA"/>
          </w:tcPr>
          <w:p>
            <w:pPr>
              <w:spacing w:after="0"/>
              <w:rPr>
                <w:sz w:val="18"/>
                <w:szCs w:val="18"/>
                <w:color w:val="auto"/>
              </w:rPr>
            </w:pPr>
          </w:p>
        </w:tc>
        <w:tc>
          <w:tcPr>
            <w:tcW w:w="4140" w:type="dxa"/>
            <w:vAlign w:val="bottom"/>
            <w:shd w:val="clear" w:color="auto" w:fill="E8F5EA"/>
          </w:tcPr>
          <w:p>
            <w:pPr>
              <w:ind w:left="140"/>
              <w:spacing w:after="0"/>
              <w:rPr>
                <w:sz w:val="20"/>
                <w:szCs w:val="20"/>
                <w:color w:val="auto"/>
              </w:rPr>
            </w:pPr>
            <w:r>
              <w:rPr>
                <w:rFonts w:ascii="Arial" w:cs="Arial" w:eastAsia="Arial" w:hAnsi="Arial"/>
                <w:sz w:val="16"/>
                <w:szCs w:val="16"/>
                <w:color w:val="auto"/>
              </w:rPr>
              <w:t>strategic goals.</w:t>
            </w:r>
          </w:p>
        </w:tc>
        <w:tc>
          <w:tcPr>
            <w:tcW w:w="140" w:type="dxa"/>
            <w:vAlign w:val="bottom"/>
            <w:shd w:val="clear" w:color="auto" w:fill="E8F5EA"/>
          </w:tcPr>
          <w:p>
            <w:pPr>
              <w:spacing w:after="0"/>
              <w:rPr>
                <w:sz w:val="18"/>
                <w:szCs w:val="18"/>
                <w:color w:val="auto"/>
              </w:rPr>
            </w:pPr>
          </w:p>
        </w:tc>
        <w:tc>
          <w:tcPr>
            <w:tcW w:w="3720" w:type="dxa"/>
            <w:vAlign w:val="bottom"/>
            <w:vMerge w:val="restart"/>
            <w:shd w:val="clear" w:color="auto" w:fill="E8F5EA"/>
          </w:tcPr>
          <w:p>
            <w:pPr>
              <w:spacing w:after="0"/>
              <w:rPr>
                <w:sz w:val="20"/>
                <w:szCs w:val="20"/>
                <w:color w:val="auto"/>
              </w:rPr>
            </w:pPr>
            <w:r>
              <w:rPr>
                <w:rFonts w:ascii="Arial" w:cs="Arial" w:eastAsia="Arial" w:hAnsi="Arial"/>
                <w:sz w:val="16"/>
                <w:szCs w:val="16"/>
                <w:color w:val="auto"/>
              </w:rPr>
              <w:t>Payouts dependent on meeting financial</w:t>
            </w:r>
          </w:p>
        </w:tc>
        <w:tc>
          <w:tcPr>
            <w:tcW w:w="0" w:type="dxa"/>
            <w:vAlign w:val="bottom"/>
          </w:tcPr>
          <w:p>
            <w:pPr>
              <w:spacing w:after="0"/>
              <w:rPr>
                <w:sz w:val="1"/>
                <w:szCs w:val="1"/>
                <w:color w:val="auto"/>
              </w:rPr>
            </w:pPr>
          </w:p>
        </w:tc>
      </w:tr>
      <w:tr>
        <w:trPr>
          <w:trHeight w:val="103"/>
        </w:trPr>
        <w:tc>
          <w:tcPr>
            <w:tcW w:w="320" w:type="dxa"/>
            <w:vAlign w:val="bottom"/>
            <w:shd w:val="clear" w:color="auto" w:fill="E8F5EA"/>
          </w:tcPr>
          <w:p>
            <w:pPr>
              <w:spacing w:after="0"/>
              <w:rPr>
                <w:sz w:val="8"/>
                <w:szCs w:val="8"/>
                <w:color w:val="auto"/>
              </w:rPr>
            </w:pPr>
          </w:p>
        </w:tc>
        <w:tc>
          <w:tcPr>
            <w:tcW w:w="2940" w:type="dxa"/>
            <w:vAlign w:val="bottom"/>
            <w:shd w:val="clear" w:color="auto" w:fill="E8F5EA"/>
          </w:tcPr>
          <w:p>
            <w:pPr>
              <w:spacing w:after="0"/>
              <w:rPr>
                <w:sz w:val="8"/>
                <w:szCs w:val="8"/>
                <w:color w:val="auto"/>
              </w:rPr>
            </w:pPr>
          </w:p>
        </w:tc>
        <w:tc>
          <w:tcPr>
            <w:tcW w:w="4140" w:type="dxa"/>
            <w:vAlign w:val="bottom"/>
            <w:shd w:val="clear" w:color="auto" w:fill="E8F5EA"/>
          </w:tcPr>
          <w:p>
            <w:pPr>
              <w:spacing w:after="0"/>
              <w:rPr>
                <w:sz w:val="8"/>
                <w:szCs w:val="8"/>
                <w:color w:val="auto"/>
              </w:rPr>
            </w:pPr>
          </w:p>
        </w:tc>
        <w:tc>
          <w:tcPr>
            <w:tcW w:w="140" w:type="dxa"/>
            <w:vAlign w:val="bottom"/>
            <w:shd w:val="clear" w:color="auto" w:fill="E8F5EA"/>
          </w:tcPr>
          <w:p>
            <w:pPr>
              <w:spacing w:after="0"/>
              <w:rPr>
                <w:sz w:val="8"/>
                <w:szCs w:val="8"/>
                <w:color w:val="auto"/>
              </w:rPr>
            </w:pPr>
          </w:p>
        </w:tc>
        <w:tc>
          <w:tcPr>
            <w:tcW w:w="3720" w:type="dxa"/>
            <w:vAlign w:val="bottom"/>
            <w:vMerge w:val="continue"/>
            <w:shd w:val="clear" w:color="auto" w:fill="E8F5EA"/>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20" w:type="dxa"/>
            <w:vAlign w:val="bottom"/>
            <w:shd w:val="clear" w:color="auto" w:fill="E8F5EA"/>
          </w:tcPr>
          <w:p>
            <w:pPr>
              <w:spacing w:after="0"/>
              <w:rPr>
                <w:sz w:val="15"/>
                <w:szCs w:val="15"/>
                <w:color w:val="auto"/>
              </w:rPr>
            </w:pPr>
          </w:p>
        </w:tc>
        <w:tc>
          <w:tcPr>
            <w:tcW w:w="2940" w:type="dxa"/>
            <w:vAlign w:val="bottom"/>
            <w:shd w:val="clear" w:color="auto" w:fill="E8F5EA"/>
          </w:tcPr>
          <w:p>
            <w:pPr>
              <w:spacing w:after="0"/>
              <w:rPr>
                <w:sz w:val="15"/>
                <w:szCs w:val="15"/>
                <w:color w:val="auto"/>
              </w:rPr>
            </w:pPr>
          </w:p>
        </w:tc>
        <w:tc>
          <w:tcPr>
            <w:tcW w:w="4140" w:type="dxa"/>
            <w:vAlign w:val="bottom"/>
            <w:shd w:val="clear" w:color="auto" w:fill="E8F5EA"/>
          </w:tcPr>
          <w:p>
            <w:pPr>
              <w:spacing w:after="0"/>
              <w:rPr>
                <w:sz w:val="15"/>
                <w:szCs w:val="15"/>
                <w:color w:val="auto"/>
              </w:rPr>
            </w:pPr>
          </w:p>
        </w:tc>
        <w:tc>
          <w:tcPr>
            <w:tcW w:w="140" w:type="dxa"/>
            <w:vAlign w:val="bottom"/>
            <w:shd w:val="clear" w:color="auto" w:fill="E8F5EA"/>
          </w:tcPr>
          <w:p>
            <w:pPr>
              <w:spacing w:after="0"/>
              <w:rPr>
                <w:sz w:val="15"/>
                <w:szCs w:val="15"/>
                <w:color w:val="auto"/>
              </w:rPr>
            </w:pPr>
          </w:p>
        </w:tc>
        <w:tc>
          <w:tcPr>
            <w:tcW w:w="3720" w:type="dxa"/>
            <w:vAlign w:val="bottom"/>
            <w:shd w:val="clear" w:color="auto" w:fill="E8F5EA"/>
          </w:tcPr>
          <w:p>
            <w:pPr>
              <w:spacing w:after="0" w:line="182" w:lineRule="exact"/>
              <w:rPr>
                <w:sz w:val="20"/>
                <w:szCs w:val="20"/>
                <w:color w:val="auto"/>
              </w:rPr>
            </w:pPr>
            <w:r>
              <w:rPr>
                <w:rFonts w:ascii="Arial" w:cs="Arial" w:eastAsia="Arial" w:hAnsi="Arial"/>
                <w:sz w:val="16"/>
                <w:szCs w:val="16"/>
                <w:color w:val="auto"/>
              </w:rPr>
              <w:t>performance goals, subject to a discretionary</w:t>
            </w:r>
          </w:p>
        </w:tc>
        <w:tc>
          <w:tcPr>
            <w:tcW w:w="0" w:type="dxa"/>
            <w:vAlign w:val="bottom"/>
          </w:tcPr>
          <w:p>
            <w:pPr>
              <w:spacing w:after="0"/>
              <w:rPr>
                <w:sz w:val="1"/>
                <w:szCs w:val="1"/>
                <w:color w:val="auto"/>
              </w:rPr>
            </w:pPr>
          </w:p>
        </w:tc>
      </w:tr>
      <w:tr>
        <w:trPr>
          <w:trHeight w:val="182"/>
        </w:trPr>
        <w:tc>
          <w:tcPr>
            <w:tcW w:w="320" w:type="dxa"/>
            <w:vAlign w:val="bottom"/>
            <w:shd w:val="clear" w:color="auto" w:fill="E8F5EA"/>
          </w:tcPr>
          <w:p>
            <w:pPr>
              <w:spacing w:after="0"/>
              <w:rPr>
                <w:sz w:val="15"/>
                <w:szCs w:val="15"/>
                <w:color w:val="auto"/>
              </w:rPr>
            </w:pPr>
          </w:p>
        </w:tc>
        <w:tc>
          <w:tcPr>
            <w:tcW w:w="2940" w:type="dxa"/>
            <w:vAlign w:val="bottom"/>
            <w:shd w:val="clear" w:color="auto" w:fill="E8F5EA"/>
          </w:tcPr>
          <w:p>
            <w:pPr>
              <w:spacing w:after="0"/>
              <w:rPr>
                <w:sz w:val="15"/>
                <w:szCs w:val="15"/>
                <w:color w:val="auto"/>
              </w:rPr>
            </w:pPr>
          </w:p>
        </w:tc>
        <w:tc>
          <w:tcPr>
            <w:tcW w:w="4140" w:type="dxa"/>
            <w:vAlign w:val="bottom"/>
            <w:shd w:val="clear" w:color="auto" w:fill="E8F5EA"/>
          </w:tcPr>
          <w:p>
            <w:pPr>
              <w:spacing w:after="0"/>
              <w:rPr>
                <w:sz w:val="15"/>
                <w:szCs w:val="15"/>
                <w:color w:val="auto"/>
              </w:rPr>
            </w:pPr>
          </w:p>
        </w:tc>
        <w:tc>
          <w:tcPr>
            <w:tcW w:w="140" w:type="dxa"/>
            <w:vAlign w:val="bottom"/>
            <w:shd w:val="clear" w:color="auto" w:fill="E8F5EA"/>
          </w:tcPr>
          <w:p>
            <w:pPr>
              <w:spacing w:after="0"/>
              <w:rPr>
                <w:sz w:val="15"/>
                <w:szCs w:val="15"/>
                <w:color w:val="auto"/>
              </w:rPr>
            </w:pPr>
          </w:p>
        </w:tc>
        <w:tc>
          <w:tcPr>
            <w:tcW w:w="3720" w:type="dxa"/>
            <w:vAlign w:val="bottom"/>
            <w:shd w:val="clear" w:color="auto" w:fill="E8F5EA"/>
          </w:tcPr>
          <w:p>
            <w:pPr>
              <w:spacing w:after="0" w:line="182" w:lineRule="exact"/>
              <w:rPr>
                <w:sz w:val="20"/>
                <w:szCs w:val="20"/>
                <w:color w:val="auto"/>
              </w:rPr>
            </w:pPr>
            <w:r>
              <w:rPr>
                <w:rFonts w:ascii="Arial" w:cs="Arial" w:eastAsia="Arial" w:hAnsi="Arial"/>
                <w:sz w:val="16"/>
                <w:szCs w:val="16"/>
                <w:color w:val="auto"/>
              </w:rPr>
              <w:t>modifier of up to +/- 20% based on assessment of</w:t>
            </w:r>
          </w:p>
        </w:tc>
        <w:tc>
          <w:tcPr>
            <w:tcW w:w="0" w:type="dxa"/>
            <w:vAlign w:val="bottom"/>
          </w:tcPr>
          <w:p>
            <w:pPr>
              <w:spacing w:after="0"/>
              <w:rPr>
                <w:sz w:val="1"/>
                <w:szCs w:val="1"/>
                <w:color w:val="auto"/>
              </w:rPr>
            </w:pPr>
          </w:p>
        </w:tc>
      </w:tr>
      <w:tr>
        <w:trPr>
          <w:trHeight w:val="205"/>
        </w:trPr>
        <w:tc>
          <w:tcPr>
            <w:tcW w:w="320" w:type="dxa"/>
            <w:vAlign w:val="bottom"/>
            <w:shd w:val="clear" w:color="auto" w:fill="E8F5EA"/>
          </w:tcPr>
          <w:p>
            <w:pPr>
              <w:spacing w:after="0"/>
              <w:rPr>
                <w:sz w:val="17"/>
                <w:szCs w:val="17"/>
                <w:color w:val="auto"/>
              </w:rPr>
            </w:pPr>
          </w:p>
        </w:tc>
        <w:tc>
          <w:tcPr>
            <w:tcW w:w="2940" w:type="dxa"/>
            <w:vAlign w:val="bottom"/>
            <w:shd w:val="clear" w:color="auto" w:fill="E8F5EA"/>
          </w:tcPr>
          <w:p>
            <w:pPr>
              <w:spacing w:after="0"/>
              <w:rPr>
                <w:sz w:val="17"/>
                <w:szCs w:val="17"/>
                <w:color w:val="auto"/>
              </w:rPr>
            </w:pPr>
          </w:p>
        </w:tc>
        <w:tc>
          <w:tcPr>
            <w:tcW w:w="4140" w:type="dxa"/>
            <w:vAlign w:val="bottom"/>
            <w:shd w:val="clear" w:color="auto" w:fill="E8F5EA"/>
          </w:tcPr>
          <w:p>
            <w:pPr>
              <w:spacing w:after="0"/>
              <w:rPr>
                <w:sz w:val="17"/>
                <w:szCs w:val="17"/>
                <w:color w:val="auto"/>
              </w:rPr>
            </w:pPr>
          </w:p>
        </w:tc>
        <w:tc>
          <w:tcPr>
            <w:tcW w:w="140" w:type="dxa"/>
            <w:vAlign w:val="bottom"/>
            <w:shd w:val="clear" w:color="auto" w:fill="E8F5EA"/>
          </w:tcPr>
          <w:p>
            <w:pPr>
              <w:spacing w:after="0"/>
              <w:rPr>
                <w:sz w:val="17"/>
                <w:szCs w:val="17"/>
                <w:color w:val="auto"/>
              </w:rPr>
            </w:pPr>
          </w:p>
        </w:tc>
        <w:tc>
          <w:tcPr>
            <w:tcW w:w="3720" w:type="dxa"/>
            <w:vAlign w:val="bottom"/>
            <w:shd w:val="clear" w:color="auto" w:fill="E8F5EA"/>
          </w:tcPr>
          <w:p>
            <w:pPr>
              <w:spacing w:after="0"/>
              <w:rPr>
                <w:sz w:val="20"/>
                <w:szCs w:val="20"/>
                <w:color w:val="auto"/>
              </w:rPr>
            </w:pPr>
            <w:r>
              <w:rPr>
                <w:rFonts w:ascii="Arial" w:cs="Arial" w:eastAsia="Arial" w:hAnsi="Arial"/>
                <w:sz w:val="16"/>
                <w:szCs w:val="16"/>
                <w:color w:val="auto"/>
              </w:rPr>
              <w:t>executive's performance.</w:t>
            </w:r>
          </w:p>
        </w:tc>
        <w:tc>
          <w:tcPr>
            <w:tcW w:w="0" w:type="dxa"/>
            <w:vAlign w:val="bottom"/>
          </w:tcPr>
          <w:p>
            <w:pPr>
              <w:spacing w:after="0"/>
              <w:rPr>
                <w:sz w:val="1"/>
                <w:szCs w:val="1"/>
                <w:color w:val="auto"/>
              </w:rPr>
            </w:pPr>
          </w:p>
        </w:tc>
      </w:tr>
      <w:tr>
        <w:trPr>
          <w:trHeight w:val="171"/>
        </w:trPr>
        <w:tc>
          <w:tcPr>
            <w:tcW w:w="3260" w:type="dxa"/>
            <w:vAlign w:val="bottom"/>
            <w:gridSpan w:val="2"/>
            <w:shd w:val="clear" w:color="auto" w:fill="CFE9D2"/>
          </w:tcPr>
          <w:p>
            <w:pPr>
              <w:spacing w:after="0" w:line="171" w:lineRule="exact"/>
              <w:rPr>
                <w:sz w:val="20"/>
                <w:szCs w:val="20"/>
                <w:color w:val="auto"/>
              </w:rPr>
            </w:pPr>
            <w:r>
              <w:rPr>
                <w:rFonts w:ascii="Arial" w:cs="Arial" w:eastAsia="Arial" w:hAnsi="Arial"/>
                <w:sz w:val="16"/>
                <w:szCs w:val="16"/>
                <w:b w:val="1"/>
                <w:bCs w:val="1"/>
                <w:color w:val="auto"/>
              </w:rPr>
              <w:t>Long-Term Equity Incentive Awards</w:t>
            </w:r>
          </w:p>
        </w:tc>
        <w:tc>
          <w:tcPr>
            <w:tcW w:w="4140" w:type="dxa"/>
            <w:vAlign w:val="bottom"/>
            <w:shd w:val="clear" w:color="auto" w:fill="CFE9D2"/>
          </w:tcPr>
          <w:p>
            <w:pPr>
              <w:ind w:left="140"/>
              <w:spacing w:after="0" w:line="171" w:lineRule="exact"/>
              <w:rPr>
                <w:sz w:val="20"/>
                <w:szCs w:val="20"/>
                <w:color w:val="auto"/>
              </w:rPr>
            </w:pPr>
            <w:r>
              <w:rPr>
                <w:rFonts w:ascii="Arial" w:cs="Arial" w:eastAsia="Arial" w:hAnsi="Arial"/>
                <w:sz w:val="16"/>
                <w:szCs w:val="16"/>
                <w:color w:val="auto"/>
              </w:rPr>
              <w:t>Align executives with shareholders by rewarding</w:t>
            </w:r>
          </w:p>
        </w:tc>
        <w:tc>
          <w:tcPr>
            <w:tcW w:w="140" w:type="dxa"/>
            <w:vAlign w:val="bottom"/>
            <w:shd w:val="clear" w:color="auto" w:fill="CFE9D2"/>
          </w:tcPr>
          <w:p>
            <w:pPr>
              <w:spacing w:after="0"/>
              <w:rPr>
                <w:sz w:val="14"/>
                <w:szCs w:val="14"/>
                <w:color w:val="auto"/>
              </w:rPr>
            </w:pPr>
          </w:p>
        </w:tc>
        <w:tc>
          <w:tcPr>
            <w:tcW w:w="3720" w:type="dxa"/>
            <w:vAlign w:val="bottom"/>
            <w:shd w:val="clear" w:color="auto" w:fill="CFE9D2"/>
          </w:tcPr>
          <w:p>
            <w:pPr>
              <w:spacing w:after="0" w:line="171" w:lineRule="exact"/>
              <w:rPr>
                <w:sz w:val="20"/>
                <w:szCs w:val="20"/>
                <w:color w:val="auto"/>
              </w:rPr>
            </w:pPr>
            <w:r>
              <w:rPr>
                <w:rFonts w:ascii="Arial" w:cs="Arial" w:eastAsia="Arial" w:hAnsi="Arial"/>
                <w:sz w:val="16"/>
                <w:szCs w:val="16"/>
                <w:color w:val="auto"/>
              </w:rPr>
              <w:t>Encourages retention through multi-year vesting</w:t>
            </w:r>
          </w:p>
        </w:tc>
        <w:tc>
          <w:tcPr>
            <w:tcW w:w="0" w:type="dxa"/>
            <w:vAlign w:val="bottom"/>
          </w:tcPr>
          <w:p>
            <w:pPr>
              <w:spacing w:after="0"/>
              <w:rPr>
                <w:sz w:val="1"/>
                <w:szCs w:val="1"/>
                <w:color w:val="auto"/>
              </w:rPr>
            </w:pPr>
          </w:p>
        </w:tc>
      </w:tr>
      <w:tr>
        <w:trPr>
          <w:trHeight w:val="182"/>
        </w:trPr>
        <w:tc>
          <w:tcPr>
            <w:tcW w:w="320" w:type="dxa"/>
            <w:vAlign w:val="bottom"/>
            <w:shd w:val="clear" w:color="auto" w:fill="CFE9D2"/>
          </w:tcPr>
          <w:p>
            <w:pPr>
              <w:spacing w:after="0"/>
              <w:rPr>
                <w:sz w:val="15"/>
                <w:szCs w:val="15"/>
                <w:color w:val="auto"/>
              </w:rPr>
            </w:pPr>
          </w:p>
        </w:tc>
        <w:tc>
          <w:tcPr>
            <w:tcW w:w="2940" w:type="dxa"/>
            <w:vAlign w:val="bottom"/>
            <w:shd w:val="clear" w:color="auto" w:fill="CFE9D2"/>
          </w:tcPr>
          <w:p>
            <w:pPr>
              <w:spacing w:after="0"/>
              <w:rPr>
                <w:sz w:val="15"/>
                <w:szCs w:val="15"/>
                <w:color w:val="auto"/>
              </w:rPr>
            </w:pPr>
          </w:p>
        </w:tc>
        <w:tc>
          <w:tcPr>
            <w:tcW w:w="4140" w:type="dxa"/>
            <w:vAlign w:val="bottom"/>
            <w:shd w:val="clear" w:color="auto" w:fill="CFE9D2"/>
          </w:tcPr>
          <w:p>
            <w:pPr>
              <w:ind w:left="140"/>
              <w:spacing w:after="0" w:line="182" w:lineRule="exact"/>
              <w:rPr>
                <w:sz w:val="20"/>
                <w:szCs w:val="20"/>
                <w:color w:val="auto"/>
              </w:rPr>
            </w:pPr>
            <w:r>
              <w:rPr>
                <w:rFonts w:ascii="Arial" w:cs="Arial" w:eastAsia="Arial" w:hAnsi="Arial"/>
                <w:sz w:val="16"/>
                <w:szCs w:val="16"/>
                <w:color w:val="auto"/>
              </w:rPr>
              <w:t>long-term shareholder value creation.</w:t>
            </w:r>
          </w:p>
        </w:tc>
        <w:tc>
          <w:tcPr>
            <w:tcW w:w="140" w:type="dxa"/>
            <w:vAlign w:val="bottom"/>
            <w:shd w:val="clear" w:color="auto" w:fill="CFE9D2"/>
          </w:tcPr>
          <w:p>
            <w:pPr>
              <w:spacing w:after="0"/>
              <w:rPr>
                <w:sz w:val="15"/>
                <w:szCs w:val="15"/>
                <w:color w:val="auto"/>
              </w:rPr>
            </w:pPr>
          </w:p>
        </w:tc>
        <w:tc>
          <w:tcPr>
            <w:tcW w:w="3720" w:type="dxa"/>
            <w:vAlign w:val="bottom"/>
            <w:shd w:val="clear" w:color="auto" w:fill="CFE9D2"/>
          </w:tcPr>
          <w:p>
            <w:pPr>
              <w:spacing w:after="0" w:line="182" w:lineRule="exact"/>
              <w:rPr>
                <w:sz w:val="20"/>
                <w:szCs w:val="20"/>
                <w:color w:val="auto"/>
              </w:rPr>
            </w:pPr>
            <w:r>
              <w:rPr>
                <w:rFonts w:ascii="Arial" w:cs="Arial" w:eastAsia="Arial" w:hAnsi="Arial"/>
                <w:sz w:val="16"/>
                <w:szCs w:val="16"/>
                <w:color w:val="auto"/>
              </w:rPr>
              <w:t>(three to four years) and shareholder alignment</w:t>
            </w:r>
          </w:p>
        </w:tc>
        <w:tc>
          <w:tcPr>
            <w:tcW w:w="0" w:type="dxa"/>
            <w:vAlign w:val="bottom"/>
          </w:tcPr>
          <w:p>
            <w:pPr>
              <w:spacing w:after="0"/>
              <w:rPr>
                <w:sz w:val="1"/>
                <w:szCs w:val="1"/>
                <w:color w:val="auto"/>
              </w:rPr>
            </w:pPr>
          </w:p>
        </w:tc>
      </w:tr>
      <w:tr>
        <w:trPr>
          <w:trHeight w:val="213"/>
        </w:trPr>
        <w:tc>
          <w:tcPr>
            <w:tcW w:w="320" w:type="dxa"/>
            <w:vAlign w:val="bottom"/>
            <w:shd w:val="clear" w:color="auto" w:fill="CFE9D2"/>
          </w:tcPr>
          <w:p>
            <w:pPr>
              <w:spacing w:after="0"/>
              <w:rPr>
                <w:sz w:val="18"/>
                <w:szCs w:val="18"/>
                <w:color w:val="auto"/>
              </w:rPr>
            </w:pPr>
          </w:p>
        </w:tc>
        <w:tc>
          <w:tcPr>
            <w:tcW w:w="2940" w:type="dxa"/>
            <w:vAlign w:val="bottom"/>
            <w:shd w:val="clear" w:color="auto" w:fill="CFE9D2"/>
          </w:tcPr>
          <w:p>
            <w:pPr>
              <w:spacing w:after="0"/>
              <w:rPr>
                <w:sz w:val="18"/>
                <w:szCs w:val="18"/>
                <w:color w:val="auto"/>
              </w:rPr>
            </w:pPr>
          </w:p>
        </w:tc>
        <w:tc>
          <w:tcPr>
            <w:tcW w:w="4140" w:type="dxa"/>
            <w:vAlign w:val="bottom"/>
            <w:vMerge w:val="restart"/>
            <w:shd w:val="clear" w:color="auto" w:fill="CFE9D2"/>
          </w:tcPr>
          <w:p>
            <w:pPr>
              <w:ind w:left="140"/>
              <w:spacing w:after="0"/>
              <w:rPr>
                <w:sz w:val="20"/>
                <w:szCs w:val="20"/>
                <w:color w:val="auto"/>
              </w:rPr>
            </w:pPr>
            <w:r>
              <w:rPr>
                <w:rFonts w:ascii="Arial" w:cs="Arial" w:eastAsia="Arial" w:hAnsi="Arial"/>
                <w:sz w:val="16"/>
                <w:szCs w:val="16"/>
                <w:color w:val="auto"/>
              </w:rPr>
              <w:t>Reward stock price appreciation and tie executive</w:t>
            </w:r>
          </w:p>
        </w:tc>
        <w:tc>
          <w:tcPr>
            <w:tcW w:w="140" w:type="dxa"/>
            <w:vAlign w:val="bottom"/>
            <w:shd w:val="clear" w:color="auto" w:fill="CFE9D2"/>
          </w:tcPr>
          <w:p>
            <w:pPr>
              <w:spacing w:after="0"/>
              <w:rPr>
                <w:sz w:val="18"/>
                <w:szCs w:val="18"/>
                <w:color w:val="auto"/>
              </w:rPr>
            </w:pPr>
          </w:p>
        </w:tc>
        <w:tc>
          <w:tcPr>
            <w:tcW w:w="3720" w:type="dxa"/>
            <w:vAlign w:val="bottom"/>
            <w:shd w:val="clear" w:color="auto" w:fill="CFE9D2"/>
          </w:tcPr>
          <w:p>
            <w:pPr>
              <w:spacing w:after="0"/>
              <w:rPr>
                <w:sz w:val="20"/>
                <w:szCs w:val="20"/>
                <w:color w:val="auto"/>
              </w:rPr>
            </w:pPr>
            <w:r>
              <w:rPr>
                <w:rFonts w:ascii="Arial" w:cs="Arial" w:eastAsia="Arial" w:hAnsi="Arial"/>
                <w:sz w:val="16"/>
                <w:szCs w:val="16"/>
                <w:color w:val="auto"/>
              </w:rPr>
              <w:t>through the use of performance goals.</w:t>
            </w:r>
          </w:p>
        </w:tc>
        <w:tc>
          <w:tcPr>
            <w:tcW w:w="0" w:type="dxa"/>
            <w:vAlign w:val="bottom"/>
          </w:tcPr>
          <w:p>
            <w:pPr>
              <w:spacing w:after="0"/>
              <w:rPr>
                <w:sz w:val="1"/>
                <w:szCs w:val="1"/>
                <w:color w:val="auto"/>
              </w:rPr>
            </w:pPr>
          </w:p>
        </w:tc>
      </w:tr>
      <w:tr>
        <w:trPr>
          <w:trHeight w:val="103"/>
        </w:trPr>
        <w:tc>
          <w:tcPr>
            <w:tcW w:w="320" w:type="dxa"/>
            <w:vAlign w:val="bottom"/>
            <w:shd w:val="clear" w:color="auto" w:fill="CFE9D2"/>
          </w:tcPr>
          <w:p>
            <w:pPr>
              <w:spacing w:after="0"/>
              <w:rPr>
                <w:sz w:val="8"/>
                <w:szCs w:val="8"/>
                <w:color w:val="auto"/>
              </w:rPr>
            </w:pPr>
          </w:p>
        </w:tc>
        <w:tc>
          <w:tcPr>
            <w:tcW w:w="2940" w:type="dxa"/>
            <w:vAlign w:val="bottom"/>
            <w:shd w:val="clear" w:color="auto" w:fill="CFE9D2"/>
          </w:tcPr>
          <w:p>
            <w:pPr>
              <w:spacing w:after="0"/>
              <w:rPr>
                <w:sz w:val="8"/>
                <w:szCs w:val="8"/>
                <w:color w:val="auto"/>
              </w:rPr>
            </w:pPr>
          </w:p>
        </w:tc>
        <w:tc>
          <w:tcPr>
            <w:tcW w:w="4140" w:type="dxa"/>
            <w:vAlign w:val="bottom"/>
            <w:vMerge w:val="continue"/>
            <w:shd w:val="clear" w:color="auto" w:fill="CFE9D2"/>
          </w:tcPr>
          <w:p>
            <w:pPr>
              <w:spacing w:after="0"/>
              <w:rPr>
                <w:sz w:val="8"/>
                <w:szCs w:val="8"/>
                <w:color w:val="auto"/>
              </w:rPr>
            </w:pPr>
          </w:p>
        </w:tc>
        <w:tc>
          <w:tcPr>
            <w:tcW w:w="140" w:type="dxa"/>
            <w:vAlign w:val="bottom"/>
            <w:shd w:val="clear" w:color="auto" w:fill="CFE9D2"/>
          </w:tcPr>
          <w:p>
            <w:pPr>
              <w:spacing w:after="0"/>
              <w:rPr>
                <w:sz w:val="8"/>
                <w:szCs w:val="8"/>
                <w:color w:val="auto"/>
              </w:rPr>
            </w:pPr>
          </w:p>
        </w:tc>
        <w:tc>
          <w:tcPr>
            <w:tcW w:w="3720" w:type="dxa"/>
            <w:vAlign w:val="bottom"/>
            <w:shd w:val="clear" w:color="auto" w:fill="CFE9D2"/>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320" w:type="dxa"/>
            <w:vAlign w:val="bottom"/>
            <w:shd w:val="clear" w:color="auto" w:fill="CFE9D2"/>
          </w:tcPr>
          <w:p>
            <w:pPr>
              <w:spacing w:after="0"/>
              <w:rPr>
                <w:sz w:val="20"/>
                <w:szCs w:val="20"/>
                <w:color w:val="auto"/>
              </w:rPr>
            </w:pPr>
          </w:p>
        </w:tc>
        <w:tc>
          <w:tcPr>
            <w:tcW w:w="2940" w:type="dxa"/>
            <w:vAlign w:val="bottom"/>
            <w:shd w:val="clear" w:color="auto" w:fill="CFE9D2"/>
          </w:tcPr>
          <w:p>
            <w:pPr>
              <w:spacing w:after="0"/>
              <w:rPr>
                <w:sz w:val="20"/>
                <w:szCs w:val="20"/>
                <w:color w:val="auto"/>
              </w:rPr>
            </w:pPr>
          </w:p>
        </w:tc>
        <w:tc>
          <w:tcPr>
            <w:tcW w:w="4140" w:type="dxa"/>
            <w:vAlign w:val="bottom"/>
            <w:shd w:val="clear" w:color="auto" w:fill="CFE9D2"/>
          </w:tcPr>
          <w:p>
            <w:pPr>
              <w:ind w:left="140"/>
              <w:spacing w:after="0"/>
              <w:rPr>
                <w:sz w:val="20"/>
                <w:szCs w:val="20"/>
                <w:color w:val="auto"/>
              </w:rPr>
            </w:pPr>
            <w:r>
              <w:rPr>
                <w:rFonts w:ascii="Arial" w:cs="Arial" w:eastAsia="Arial" w:hAnsi="Arial"/>
                <w:sz w:val="16"/>
                <w:szCs w:val="16"/>
                <w:color w:val="auto"/>
              </w:rPr>
              <w:t>wealth accumulation to long-term performance.</w:t>
            </w:r>
          </w:p>
        </w:tc>
        <w:tc>
          <w:tcPr>
            <w:tcW w:w="140" w:type="dxa"/>
            <w:vAlign w:val="bottom"/>
            <w:shd w:val="clear" w:color="auto" w:fill="CFE9D2"/>
          </w:tcPr>
          <w:p>
            <w:pPr>
              <w:spacing w:after="0"/>
              <w:rPr>
                <w:sz w:val="20"/>
                <w:szCs w:val="20"/>
                <w:color w:val="auto"/>
              </w:rPr>
            </w:pPr>
          </w:p>
        </w:tc>
        <w:tc>
          <w:tcPr>
            <w:tcW w:w="3720" w:type="dxa"/>
            <w:vAlign w:val="bottom"/>
            <w:shd w:val="clear" w:color="auto" w:fill="CFE9D2"/>
          </w:tcPr>
          <w:p>
            <w:pPr>
              <w:spacing w:after="0"/>
              <w:rPr>
                <w:sz w:val="20"/>
                <w:szCs w:val="20"/>
                <w:color w:val="auto"/>
              </w:rPr>
            </w:pPr>
            <w:r>
              <w:rPr>
                <w:rFonts w:ascii="Arial" w:cs="Arial" w:eastAsia="Arial" w:hAnsi="Arial"/>
                <w:sz w:val="16"/>
                <w:szCs w:val="16"/>
                <w:color w:val="auto"/>
              </w:rPr>
              <w:t>Performance units vest, if at all, at the end of a</w:t>
            </w:r>
          </w:p>
        </w:tc>
        <w:tc>
          <w:tcPr>
            <w:tcW w:w="0" w:type="dxa"/>
            <w:vAlign w:val="bottom"/>
          </w:tcPr>
          <w:p>
            <w:pPr>
              <w:spacing w:after="0"/>
              <w:rPr>
                <w:sz w:val="1"/>
                <w:szCs w:val="1"/>
                <w:color w:val="auto"/>
              </w:rPr>
            </w:pPr>
          </w:p>
        </w:tc>
      </w:tr>
      <w:tr>
        <w:trPr>
          <w:trHeight w:val="182"/>
        </w:trPr>
        <w:tc>
          <w:tcPr>
            <w:tcW w:w="320" w:type="dxa"/>
            <w:vAlign w:val="bottom"/>
            <w:shd w:val="clear" w:color="auto" w:fill="CFE9D2"/>
          </w:tcPr>
          <w:p>
            <w:pPr>
              <w:spacing w:after="0"/>
              <w:rPr>
                <w:sz w:val="15"/>
                <w:szCs w:val="15"/>
                <w:color w:val="auto"/>
              </w:rPr>
            </w:pPr>
          </w:p>
        </w:tc>
        <w:tc>
          <w:tcPr>
            <w:tcW w:w="2940" w:type="dxa"/>
            <w:vAlign w:val="bottom"/>
            <w:shd w:val="clear" w:color="auto" w:fill="CFE9D2"/>
          </w:tcPr>
          <w:p>
            <w:pPr>
              <w:spacing w:after="0"/>
              <w:rPr>
                <w:sz w:val="15"/>
                <w:szCs w:val="15"/>
                <w:color w:val="auto"/>
              </w:rPr>
            </w:pPr>
          </w:p>
        </w:tc>
        <w:tc>
          <w:tcPr>
            <w:tcW w:w="4140" w:type="dxa"/>
            <w:vAlign w:val="bottom"/>
            <w:shd w:val="clear" w:color="auto" w:fill="CFE9D2"/>
          </w:tcPr>
          <w:p>
            <w:pPr>
              <w:spacing w:after="0"/>
              <w:rPr>
                <w:sz w:val="15"/>
                <w:szCs w:val="15"/>
                <w:color w:val="auto"/>
              </w:rPr>
            </w:pPr>
          </w:p>
        </w:tc>
        <w:tc>
          <w:tcPr>
            <w:tcW w:w="140" w:type="dxa"/>
            <w:vAlign w:val="bottom"/>
            <w:shd w:val="clear" w:color="auto" w:fill="CFE9D2"/>
          </w:tcPr>
          <w:p>
            <w:pPr>
              <w:spacing w:after="0"/>
              <w:rPr>
                <w:sz w:val="15"/>
                <w:szCs w:val="15"/>
                <w:color w:val="auto"/>
              </w:rPr>
            </w:pPr>
          </w:p>
        </w:tc>
        <w:tc>
          <w:tcPr>
            <w:tcW w:w="3720" w:type="dxa"/>
            <w:vAlign w:val="bottom"/>
            <w:shd w:val="clear" w:color="auto" w:fill="CFE9D2"/>
          </w:tcPr>
          <w:p>
            <w:pPr>
              <w:spacing w:after="0" w:line="182" w:lineRule="exact"/>
              <w:rPr>
                <w:sz w:val="20"/>
                <w:szCs w:val="20"/>
                <w:color w:val="auto"/>
              </w:rPr>
            </w:pPr>
            <w:r>
              <w:rPr>
                <w:rFonts w:ascii="Arial" w:cs="Arial" w:eastAsia="Arial" w:hAnsi="Arial"/>
                <w:sz w:val="16"/>
                <w:szCs w:val="16"/>
                <w:color w:val="auto"/>
              </w:rPr>
              <w:t>three-year period depending on meeting</w:t>
            </w:r>
          </w:p>
        </w:tc>
        <w:tc>
          <w:tcPr>
            <w:tcW w:w="0" w:type="dxa"/>
            <w:vAlign w:val="bottom"/>
          </w:tcPr>
          <w:p>
            <w:pPr>
              <w:spacing w:after="0"/>
              <w:rPr>
                <w:sz w:val="1"/>
                <w:szCs w:val="1"/>
                <w:color w:val="auto"/>
              </w:rPr>
            </w:pPr>
          </w:p>
        </w:tc>
      </w:tr>
      <w:tr>
        <w:trPr>
          <w:trHeight w:val="199"/>
        </w:trPr>
        <w:tc>
          <w:tcPr>
            <w:tcW w:w="320" w:type="dxa"/>
            <w:vAlign w:val="bottom"/>
            <w:shd w:val="clear" w:color="auto" w:fill="CFE9D2"/>
          </w:tcPr>
          <w:p>
            <w:pPr>
              <w:spacing w:after="0"/>
              <w:rPr>
                <w:sz w:val="17"/>
                <w:szCs w:val="17"/>
                <w:color w:val="auto"/>
              </w:rPr>
            </w:pPr>
          </w:p>
        </w:tc>
        <w:tc>
          <w:tcPr>
            <w:tcW w:w="2940" w:type="dxa"/>
            <w:vAlign w:val="bottom"/>
            <w:shd w:val="clear" w:color="auto" w:fill="CFE9D2"/>
          </w:tcPr>
          <w:p>
            <w:pPr>
              <w:spacing w:after="0"/>
              <w:rPr>
                <w:sz w:val="17"/>
                <w:szCs w:val="17"/>
                <w:color w:val="auto"/>
              </w:rPr>
            </w:pPr>
          </w:p>
        </w:tc>
        <w:tc>
          <w:tcPr>
            <w:tcW w:w="4140" w:type="dxa"/>
            <w:vAlign w:val="bottom"/>
            <w:shd w:val="clear" w:color="auto" w:fill="CFE9D2"/>
          </w:tcPr>
          <w:p>
            <w:pPr>
              <w:spacing w:after="0"/>
              <w:rPr>
                <w:sz w:val="17"/>
                <w:szCs w:val="17"/>
                <w:color w:val="auto"/>
              </w:rPr>
            </w:pPr>
          </w:p>
        </w:tc>
        <w:tc>
          <w:tcPr>
            <w:tcW w:w="140" w:type="dxa"/>
            <w:vAlign w:val="bottom"/>
            <w:shd w:val="clear" w:color="auto" w:fill="CFE9D2"/>
          </w:tcPr>
          <w:p>
            <w:pPr>
              <w:spacing w:after="0"/>
              <w:rPr>
                <w:sz w:val="17"/>
                <w:szCs w:val="17"/>
                <w:color w:val="auto"/>
              </w:rPr>
            </w:pPr>
          </w:p>
        </w:tc>
        <w:tc>
          <w:tcPr>
            <w:tcW w:w="3720" w:type="dxa"/>
            <w:vAlign w:val="bottom"/>
            <w:shd w:val="clear" w:color="auto" w:fill="CFE9D2"/>
          </w:tcPr>
          <w:p>
            <w:pPr>
              <w:spacing w:after="0"/>
              <w:rPr>
                <w:sz w:val="20"/>
                <w:szCs w:val="20"/>
                <w:color w:val="auto"/>
              </w:rPr>
            </w:pPr>
            <w:r>
              <w:rPr>
                <w:rFonts w:ascii="Arial" w:cs="Arial" w:eastAsia="Arial" w:hAnsi="Arial"/>
                <w:sz w:val="16"/>
                <w:szCs w:val="16"/>
                <w:color w:val="auto"/>
              </w:rPr>
              <w:t>performance goals.</w:t>
            </w:r>
          </w:p>
        </w:tc>
        <w:tc>
          <w:tcPr>
            <w:tcW w:w="0" w:type="dxa"/>
            <w:vAlign w:val="bottom"/>
          </w:tcPr>
          <w:p>
            <w:pPr>
              <w:spacing w:after="0"/>
              <w:rPr>
                <w:sz w:val="1"/>
                <w:szCs w:val="1"/>
                <w:color w:val="auto"/>
              </w:rPr>
            </w:pPr>
          </w:p>
        </w:tc>
      </w:tr>
      <w:tr>
        <w:trPr>
          <w:trHeight w:val="521"/>
        </w:trPr>
        <w:tc>
          <w:tcPr>
            <w:tcW w:w="320" w:type="dxa"/>
            <w:vAlign w:val="bottom"/>
          </w:tcPr>
          <w:p>
            <w:pPr>
              <w:spacing w:after="0"/>
              <w:rPr>
                <w:sz w:val="20"/>
                <w:szCs w:val="20"/>
                <w:color w:val="auto"/>
              </w:rPr>
            </w:pPr>
            <w:r>
              <w:rPr>
                <w:rFonts w:ascii="Arial" w:cs="Arial" w:eastAsia="Arial" w:hAnsi="Arial"/>
                <w:sz w:val="16"/>
                <w:szCs w:val="16"/>
                <w:color w:val="auto"/>
              </w:rPr>
              <w:t>42</w:t>
            </w:r>
          </w:p>
        </w:tc>
        <w:tc>
          <w:tcPr>
            <w:tcW w:w="2940" w:type="dxa"/>
            <w:vAlign w:val="bottom"/>
          </w:tcPr>
          <w:p>
            <w:pPr>
              <w:jc w:val="right"/>
              <w:ind w:right="2627"/>
              <w:spacing w:after="0"/>
              <w:rPr>
                <w:sz w:val="20"/>
                <w:szCs w:val="20"/>
                <w:color w:val="auto"/>
              </w:rPr>
            </w:pPr>
            <w:r>
              <w:rPr>
                <w:rFonts w:ascii="Arial" w:cs="Arial" w:eastAsia="Arial" w:hAnsi="Arial"/>
                <w:sz w:val="23"/>
                <w:szCs w:val="23"/>
                <w:b w:val="1"/>
                <w:bCs w:val="1"/>
                <w:color w:val="53C072"/>
              </w:rPr>
              <w:t>|</w:t>
            </w:r>
          </w:p>
        </w:tc>
        <w:tc>
          <w:tcPr>
            <w:tcW w:w="4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20" w:type="dxa"/>
            <w:vAlign w:val="bottom"/>
            <w:tcBorders>
              <w:bottom w:val="single" w:sz="8" w:color="808080"/>
            </w:tcBorders>
          </w:tcPr>
          <w:p>
            <w:pPr>
              <w:spacing w:after="0"/>
              <w:rPr>
                <w:sz w:val="12"/>
                <w:szCs w:val="12"/>
                <w:color w:val="auto"/>
              </w:rPr>
            </w:pPr>
          </w:p>
        </w:tc>
        <w:tc>
          <w:tcPr>
            <w:tcW w:w="2940" w:type="dxa"/>
            <w:vAlign w:val="bottom"/>
            <w:tcBorders>
              <w:bottom w:val="single" w:sz="8" w:color="808080"/>
            </w:tcBorders>
          </w:tcPr>
          <w:p>
            <w:pPr>
              <w:spacing w:after="0"/>
              <w:rPr>
                <w:sz w:val="12"/>
                <w:szCs w:val="12"/>
                <w:color w:val="auto"/>
              </w:rPr>
            </w:pPr>
          </w:p>
        </w:tc>
        <w:tc>
          <w:tcPr>
            <w:tcW w:w="414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37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-13335</wp:posOffset>
            </wp:positionV>
            <wp:extent cx="1270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-302260</wp:posOffset>
            </wp:positionV>
            <wp:extent cx="1664970" cy="1231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13"/>
        </w:trPr>
        <w:tc>
          <w:tcPr>
            <w:tcW w:w="512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6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12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6140" w:type="dxa"/>
            <w:vAlign w:val="bottom"/>
            <w:vMerge w:val="restart"/>
          </w:tcPr>
          <w:p>
            <w:pPr>
              <w:ind w:left="3880"/>
              <w:spacing w:after="0"/>
              <w:rPr>
                <w:sz w:val="20"/>
                <w:szCs w:val="20"/>
                <w:color w:val="auto"/>
              </w:rPr>
            </w:pPr>
            <w:r>
              <w:rPr>
                <w:rFonts w:ascii="Arial" w:cs="Arial" w:eastAsia="Arial" w:hAnsi="Arial"/>
                <w:sz w:val="13"/>
                <w:szCs w:val="13"/>
                <w:color w:val="auto"/>
                <w:w w:val="98"/>
              </w:rPr>
              <w:t>Compensation Discussion and Analysis</w:t>
            </w:r>
          </w:p>
        </w:tc>
        <w:tc>
          <w:tcPr>
            <w:tcW w:w="0" w:type="dxa"/>
            <w:vAlign w:val="bottom"/>
          </w:tcPr>
          <w:p>
            <w:pPr>
              <w:spacing w:after="0"/>
              <w:rPr>
                <w:sz w:val="1"/>
                <w:szCs w:val="1"/>
                <w:color w:val="auto"/>
              </w:rPr>
            </w:pPr>
          </w:p>
        </w:tc>
      </w:tr>
      <w:tr>
        <w:trPr>
          <w:trHeight w:val="102"/>
        </w:trPr>
        <w:tc>
          <w:tcPr>
            <w:tcW w:w="512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6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120" w:type="dxa"/>
            <w:vAlign w:val="bottom"/>
            <w:vMerge w:val="continue"/>
          </w:tcPr>
          <w:p>
            <w:pPr>
              <w:spacing w:after="0"/>
              <w:rPr>
                <w:sz w:val="7"/>
                <w:szCs w:val="7"/>
                <w:color w:val="auto"/>
              </w:rPr>
            </w:pPr>
          </w:p>
        </w:tc>
        <w:tc>
          <w:tcPr>
            <w:tcW w:w="6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right="1000"/>
        <w:spacing w:after="0" w:line="275" w:lineRule="auto"/>
        <w:rPr>
          <w:sz w:val="20"/>
          <w:szCs w:val="20"/>
          <w:color w:val="auto"/>
        </w:rPr>
      </w:pPr>
      <w:r>
        <w:rPr>
          <w:rFonts w:ascii="Arial" w:cs="Arial" w:eastAsia="Arial" w:hAnsi="Arial"/>
          <w:sz w:val="16"/>
          <w:szCs w:val="16"/>
          <w:color w:val="auto"/>
        </w:rPr>
        <w:t>In addition, each NEO may be eligible to receive certain other benefits summarized below. See "Elements of Executive Compensation — Additional Compensation Elements" for more information.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shd w:val="clear" w:color="auto" w:fill="53C072"/>
          </w:tcPr>
          <w:p>
            <w:pPr>
              <w:spacing w:after="0"/>
              <w:rPr>
                <w:sz w:val="20"/>
                <w:szCs w:val="20"/>
                <w:color w:val="auto"/>
              </w:rPr>
            </w:pPr>
            <w:r>
              <w:rPr>
                <w:rFonts w:ascii="Arial" w:cs="Arial" w:eastAsia="Arial" w:hAnsi="Arial"/>
                <w:sz w:val="16"/>
                <w:szCs w:val="16"/>
                <w:b w:val="1"/>
                <w:bCs w:val="1"/>
                <w:color w:val="FFFFFE"/>
              </w:rPr>
              <w:t>Pay Component</w:t>
            </w:r>
          </w:p>
        </w:tc>
        <w:tc>
          <w:tcPr>
            <w:tcW w:w="6520" w:type="dxa"/>
            <w:vAlign w:val="bottom"/>
            <w:shd w:val="clear" w:color="auto" w:fill="53C072"/>
          </w:tcPr>
          <w:p>
            <w:pPr>
              <w:ind w:left="100"/>
              <w:spacing w:after="0"/>
              <w:rPr>
                <w:sz w:val="20"/>
                <w:szCs w:val="20"/>
                <w:color w:val="auto"/>
              </w:rPr>
            </w:pPr>
            <w:r>
              <w:rPr>
                <w:rFonts w:ascii="Arial" w:cs="Arial" w:eastAsia="Arial" w:hAnsi="Arial"/>
                <w:sz w:val="16"/>
                <w:szCs w:val="16"/>
                <w:b w:val="1"/>
                <w:bCs w:val="1"/>
                <w:color w:val="FFFFFE"/>
              </w:rPr>
              <w:t>Brief Description</w:t>
            </w:r>
          </w:p>
        </w:tc>
      </w:tr>
      <w:tr>
        <w:trPr>
          <w:trHeight w:val="229"/>
        </w:trPr>
        <w:tc>
          <w:tcPr>
            <w:tcW w:w="4740" w:type="dxa"/>
            <w:vAlign w:val="bottom"/>
            <w:shd w:val="clear" w:color="auto" w:fill="CFE9D2"/>
          </w:tcPr>
          <w:p>
            <w:pPr>
              <w:spacing w:after="0"/>
              <w:rPr>
                <w:sz w:val="20"/>
                <w:szCs w:val="20"/>
                <w:color w:val="auto"/>
              </w:rPr>
            </w:pPr>
            <w:r>
              <w:rPr>
                <w:rFonts w:ascii="Arial" w:cs="Arial" w:eastAsia="Arial" w:hAnsi="Arial"/>
                <w:sz w:val="16"/>
                <w:szCs w:val="16"/>
                <w:b w:val="1"/>
                <w:bCs w:val="1"/>
                <w:color w:val="auto"/>
              </w:rPr>
              <w:t>Retirement Benefits</w:t>
            </w:r>
          </w:p>
        </w:tc>
        <w:tc>
          <w:tcPr>
            <w:tcW w:w="6520" w:type="dxa"/>
            <w:vAlign w:val="bottom"/>
            <w:shd w:val="clear" w:color="auto" w:fill="CFE9D2"/>
          </w:tcPr>
          <w:p>
            <w:pPr>
              <w:ind w:left="10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Qualified cash balance plan (Pension Plan)</w:t>
            </w:r>
          </w:p>
        </w:tc>
      </w:tr>
      <w:tr>
        <w:trPr>
          <w:trHeight w:val="337"/>
        </w:trPr>
        <w:tc>
          <w:tcPr>
            <w:tcW w:w="4740" w:type="dxa"/>
            <w:vAlign w:val="bottom"/>
            <w:shd w:val="clear" w:color="auto" w:fill="CFE9D2"/>
          </w:tcPr>
          <w:p>
            <w:pPr>
              <w:spacing w:after="0"/>
              <w:rPr>
                <w:sz w:val="24"/>
                <w:szCs w:val="24"/>
                <w:color w:val="auto"/>
              </w:rPr>
            </w:pPr>
          </w:p>
        </w:tc>
        <w:tc>
          <w:tcPr>
            <w:tcW w:w="6520" w:type="dxa"/>
            <w:vAlign w:val="bottom"/>
            <w:shd w:val="clear" w:color="auto" w:fill="CFE9D2"/>
          </w:tcPr>
          <w:p>
            <w:pPr>
              <w:ind w:left="10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Qualified defined contribution plan (401(k) Plan)</w:t>
            </w:r>
          </w:p>
        </w:tc>
      </w:tr>
      <w:tr>
        <w:trPr>
          <w:trHeight w:val="364"/>
        </w:trPr>
        <w:tc>
          <w:tcPr>
            <w:tcW w:w="4740" w:type="dxa"/>
            <w:vAlign w:val="bottom"/>
            <w:shd w:val="clear" w:color="auto" w:fill="CFE9D2"/>
          </w:tcPr>
          <w:p>
            <w:pPr>
              <w:spacing w:after="0"/>
              <w:rPr>
                <w:sz w:val="24"/>
                <w:szCs w:val="24"/>
                <w:color w:val="auto"/>
              </w:rPr>
            </w:pPr>
          </w:p>
        </w:tc>
        <w:tc>
          <w:tcPr>
            <w:tcW w:w="6520" w:type="dxa"/>
            <w:vAlign w:val="bottom"/>
            <w:shd w:val="clear" w:color="auto" w:fill="CFE9D2"/>
          </w:tcPr>
          <w:p>
            <w:pPr>
              <w:ind w:left="10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Nonqualified restoration pension plan (Restoration Plan)</w:t>
            </w:r>
          </w:p>
        </w:tc>
      </w:tr>
      <w:tr>
        <w:trPr>
          <w:trHeight w:val="345"/>
        </w:trPr>
        <w:tc>
          <w:tcPr>
            <w:tcW w:w="4740" w:type="dxa"/>
            <w:vAlign w:val="bottom"/>
            <w:shd w:val="clear" w:color="auto" w:fill="CFE9D2"/>
          </w:tcPr>
          <w:p>
            <w:pPr>
              <w:spacing w:after="0"/>
              <w:rPr>
                <w:sz w:val="24"/>
                <w:szCs w:val="24"/>
                <w:color w:val="auto"/>
              </w:rPr>
            </w:pPr>
          </w:p>
        </w:tc>
        <w:tc>
          <w:tcPr>
            <w:tcW w:w="6520" w:type="dxa"/>
            <w:vAlign w:val="bottom"/>
            <w:shd w:val="clear" w:color="auto" w:fill="CFE9D2"/>
          </w:tcPr>
          <w:p>
            <w:pPr>
              <w:ind w:left="100"/>
              <w:spacing w:after="0"/>
              <w:rPr>
                <w:sz w:val="20"/>
                <w:szCs w:val="20"/>
                <w:color w:val="auto"/>
              </w:rPr>
            </w:pPr>
            <w:r>
              <w:rPr>
                <w:rFonts w:ascii="Arial" w:cs="Arial" w:eastAsia="Arial" w:hAnsi="Arial"/>
                <w:sz w:val="16"/>
                <w:szCs w:val="16"/>
                <w:color w:val="53C072"/>
              </w:rPr>
              <w:t xml:space="preserve">•   </w:t>
            </w:r>
            <w:r>
              <w:rPr>
                <w:rFonts w:ascii="Arial" w:cs="Arial" w:eastAsia="Arial" w:hAnsi="Arial"/>
                <w:sz w:val="16"/>
                <w:szCs w:val="16"/>
                <w:color w:val="000000"/>
              </w:rPr>
              <w:t>Nonqualified supplemental officers' retirement plan (SERP)</w:t>
            </w:r>
          </w:p>
        </w:tc>
      </w:tr>
      <w:tr>
        <w:trPr>
          <w:trHeight w:val="171"/>
        </w:trPr>
        <w:tc>
          <w:tcPr>
            <w:tcW w:w="4740" w:type="dxa"/>
            <w:vAlign w:val="bottom"/>
            <w:shd w:val="clear" w:color="auto" w:fill="E8F5EA"/>
          </w:tcPr>
          <w:p>
            <w:pPr>
              <w:spacing w:after="0" w:line="171" w:lineRule="exact"/>
              <w:rPr>
                <w:sz w:val="20"/>
                <w:szCs w:val="20"/>
                <w:color w:val="auto"/>
              </w:rPr>
            </w:pPr>
            <w:r>
              <w:rPr>
                <w:rFonts w:ascii="Arial" w:cs="Arial" w:eastAsia="Arial" w:hAnsi="Arial"/>
                <w:sz w:val="16"/>
                <w:szCs w:val="16"/>
                <w:b w:val="1"/>
                <w:bCs w:val="1"/>
                <w:color w:val="auto"/>
              </w:rPr>
              <w:t>Deferred Compensation</w:t>
            </w:r>
          </w:p>
        </w:tc>
        <w:tc>
          <w:tcPr>
            <w:tcW w:w="6520" w:type="dxa"/>
            <w:vAlign w:val="bottom"/>
            <w:shd w:val="clear" w:color="auto" w:fill="E8F5EA"/>
          </w:tcPr>
          <w:p>
            <w:pPr>
              <w:ind w:left="100"/>
              <w:spacing w:after="0" w:line="171" w:lineRule="exact"/>
              <w:rPr>
                <w:sz w:val="20"/>
                <w:szCs w:val="20"/>
                <w:color w:val="auto"/>
              </w:rPr>
            </w:pPr>
            <w:r>
              <w:rPr>
                <w:rFonts w:ascii="Arial" w:cs="Arial" w:eastAsia="Arial" w:hAnsi="Arial"/>
                <w:sz w:val="16"/>
                <w:szCs w:val="16"/>
                <w:color w:val="auto"/>
              </w:rPr>
              <w:t>Nonqualified plan allowing for the deferral of additional cash compensation beyond 401(k)</w:t>
            </w:r>
          </w:p>
        </w:tc>
      </w:tr>
      <w:tr>
        <w:trPr>
          <w:trHeight w:val="182"/>
        </w:trPr>
        <w:tc>
          <w:tcPr>
            <w:tcW w:w="4740" w:type="dxa"/>
            <w:vAlign w:val="bottom"/>
            <w:shd w:val="clear" w:color="auto" w:fill="E8F5EA"/>
          </w:tcPr>
          <w:p>
            <w:pPr>
              <w:spacing w:after="0"/>
              <w:rPr>
                <w:sz w:val="15"/>
                <w:szCs w:val="15"/>
                <w:color w:val="auto"/>
              </w:rPr>
            </w:pPr>
          </w:p>
        </w:tc>
        <w:tc>
          <w:tcPr>
            <w:tcW w:w="6520" w:type="dxa"/>
            <w:vAlign w:val="bottom"/>
            <w:shd w:val="clear" w:color="auto" w:fill="E8F5EA"/>
          </w:tcPr>
          <w:p>
            <w:pPr>
              <w:ind w:left="100"/>
              <w:spacing w:after="0" w:line="182" w:lineRule="exact"/>
              <w:rPr>
                <w:sz w:val="20"/>
                <w:szCs w:val="20"/>
                <w:color w:val="auto"/>
              </w:rPr>
            </w:pPr>
            <w:r>
              <w:rPr>
                <w:rFonts w:ascii="Arial" w:cs="Arial" w:eastAsia="Arial" w:hAnsi="Arial"/>
                <w:sz w:val="16"/>
                <w:szCs w:val="16"/>
                <w:color w:val="auto"/>
              </w:rPr>
              <w:t>limits. Effective for plan years beginning on or after March 1, 2020, the plan has been</w:t>
            </w:r>
          </w:p>
        </w:tc>
      </w:tr>
      <w:tr>
        <w:trPr>
          <w:trHeight w:val="205"/>
        </w:trPr>
        <w:tc>
          <w:tcPr>
            <w:tcW w:w="4740" w:type="dxa"/>
            <w:vAlign w:val="bottom"/>
            <w:shd w:val="clear" w:color="auto" w:fill="E8F5EA"/>
          </w:tcPr>
          <w:p>
            <w:pPr>
              <w:spacing w:after="0"/>
              <w:rPr>
                <w:sz w:val="17"/>
                <w:szCs w:val="17"/>
                <w:color w:val="auto"/>
              </w:rPr>
            </w:pPr>
          </w:p>
        </w:tc>
        <w:tc>
          <w:tcPr>
            <w:tcW w:w="6520" w:type="dxa"/>
            <w:vAlign w:val="bottom"/>
            <w:shd w:val="clear" w:color="auto" w:fill="E8F5EA"/>
          </w:tcPr>
          <w:p>
            <w:pPr>
              <w:ind w:left="100"/>
              <w:spacing w:after="0"/>
              <w:rPr>
                <w:sz w:val="20"/>
                <w:szCs w:val="20"/>
                <w:color w:val="auto"/>
              </w:rPr>
            </w:pPr>
            <w:r>
              <w:rPr>
                <w:rFonts w:ascii="Arial" w:cs="Arial" w:eastAsia="Arial" w:hAnsi="Arial"/>
                <w:sz w:val="16"/>
                <w:szCs w:val="16"/>
                <w:color w:val="auto"/>
              </w:rPr>
              <w:t>closed to new participants and for new contributions.</w:t>
            </w:r>
          </w:p>
        </w:tc>
      </w:tr>
      <w:tr>
        <w:trPr>
          <w:trHeight w:val="194"/>
        </w:trPr>
        <w:tc>
          <w:tcPr>
            <w:tcW w:w="4740" w:type="dxa"/>
            <w:vAlign w:val="bottom"/>
            <w:shd w:val="clear" w:color="auto" w:fill="CFE9D2"/>
          </w:tcPr>
          <w:p>
            <w:pPr>
              <w:spacing w:after="0"/>
              <w:rPr>
                <w:sz w:val="20"/>
                <w:szCs w:val="20"/>
                <w:color w:val="auto"/>
              </w:rPr>
            </w:pPr>
            <w:r>
              <w:rPr>
                <w:rFonts w:ascii="Arial" w:cs="Arial" w:eastAsia="Arial" w:hAnsi="Arial"/>
                <w:sz w:val="16"/>
                <w:szCs w:val="16"/>
                <w:b w:val="1"/>
                <w:bCs w:val="1"/>
                <w:color w:val="auto"/>
              </w:rPr>
              <w:t>Executive Benefits</w:t>
            </w:r>
          </w:p>
        </w:tc>
        <w:tc>
          <w:tcPr>
            <w:tcW w:w="6520" w:type="dxa"/>
            <w:vAlign w:val="bottom"/>
            <w:shd w:val="clear" w:color="auto" w:fill="CFE9D2"/>
          </w:tcPr>
          <w:p>
            <w:pPr>
              <w:ind w:left="100"/>
              <w:spacing w:after="0"/>
              <w:rPr>
                <w:sz w:val="20"/>
                <w:szCs w:val="20"/>
                <w:color w:val="auto"/>
              </w:rPr>
            </w:pPr>
            <w:r>
              <w:rPr>
                <w:rFonts w:ascii="Arial" w:cs="Arial" w:eastAsia="Arial" w:hAnsi="Arial"/>
                <w:sz w:val="16"/>
                <w:szCs w:val="16"/>
                <w:color w:val="auto"/>
              </w:rPr>
              <w:t>Limited perquisites to certain executives</w:t>
            </w:r>
          </w:p>
        </w:tc>
      </w:tr>
      <w:tr>
        <w:trPr>
          <w:trHeight w:val="171"/>
        </w:trPr>
        <w:tc>
          <w:tcPr>
            <w:tcW w:w="4740" w:type="dxa"/>
            <w:vAlign w:val="bottom"/>
            <w:shd w:val="clear" w:color="auto" w:fill="E8F5EA"/>
          </w:tcPr>
          <w:p>
            <w:pPr>
              <w:spacing w:after="0" w:line="171" w:lineRule="exact"/>
              <w:rPr>
                <w:sz w:val="20"/>
                <w:szCs w:val="20"/>
                <w:color w:val="auto"/>
              </w:rPr>
            </w:pPr>
            <w:r>
              <w:rPr>
                <w:rFonts w:ascii="Arial" w:cs="Arial" w:eastAsia="Arial" w:hAnsi="Arial"/>
                <w:sz w:val="16"/>
                <w:szCs w:val="16"/>
                <w:b w:val="1"/>
                <w:bCs w:val="1"/>
                <w:color w:val="auto"/>
              </w:rPr>
              <w:t>Change of Control Agreements</w:t>
            </w:r>
          </w:p>
        </w:tc>
        <w:tc>
          <w:tcPr>
            <w:tcW w:w="6520" w:type="dxa"/>
            <w:vAlign w:val="bottom"/>
            <w:shd w:val="clear" w:color="auto" w:fill="E8F5EA"/>
          </w:tcPr>
          <w:p>
            <w:pPr>
              <w:ind w:left="100"/>
              <w:spacing w:after="0" w:line="171" w:lineRule="exact"/>
              <w:rPr>
                <w:sz w:val="20"/>
                <w:szCs w:val="20"/>
                <w:color w:val="auto"/>
              </w:rPr>
            </w:pPr>
            <w:r>
              <w:rPr>
                <w:rFonts w:ascii="Arial" w:cs="Arial" w:eastAsia="Arial" w:hAnsi="Arial"/>
                <w:sz w:val="16"/>
                <w:szCs w:val="16"/>
                <w:color w:val="auto"/>
                <w:w w:val="98"/>
              </w:rPr>
              <w:t>Individual agreements providing enhanced severance in the case of a qualifying termination</w:t>
            </w:r>
          </w:p>
        </w:tc>
      </w:tr>
      <w:tr>
        <w:trPr>
          <w:trHeight w:val="205"/>
        </w:trPr>
        <w:tc>
          <w:tcPr>
            <w:tcW w:w="4740" w:type="dxa"/>
            <w:vAlign w:val="bottom"/>
            <w:shd w:val="clear" w:color="auto" w:fill="E8F5EA"/>
          </w:tcPr>
          <w:p>
            <w:pPr>
              <w:spacing w:after="0"/>
              <w:rPr>
                <w:sz w:val="17"/>
                <w:szCs w:val="17"/>
                <w:color w:val="auto"/>
              </w:rPr>
            </w:pPr>
          </w:p>
        </w:tc>
        <w:tc>
          <w:tcPr>
            <w:tcW w:w="6520" w:type="dxa"/>
            <w:vAlign w:val="bottom"/>
            <w:shd w:val="clear" w:color="auto" w:fill="E8F5EA"/>
          </w:tcPr>
          <w:p>
            <w:pPr>
              <w:ind w:left="100"/>
              <w:spacing w:after="0"/>
              <w:rPr>
                <w:sz w:val="20"/>
                <w:szCs w:val="20"/>
                <w:color w:val="auto"/>
              </w:rPr>
            </w:pPr>
            <w:r>
              <w:rPr>
                <w:rFonts w:ascii="Arial" w:cs="Arial" w:eastAsia="Arial" w:hAnsi="Arial"/>
                <w:sz w:val="16"/>
                <w:szCs w:val="16"/>
                <w:color w:val="auto"/>
              </w:rPr>
              <w:t>following a change of control of the Company</w:t>
            </w:r>
          </w:p>
        </w:tc>
      </w:tr>
      <w:tr>
        <w:trPr>
          <w:trHeight w:val="171"/>
        </w:trPr>
        <w:tc>
          <w:tcPr>
            <w:tcW w:w="4740" w:type="dxa"/>
            <w:vAlign w:val="bottom"/>
            <w:shd w:val="clear" w:color="auto" w:fill="CFE9D2"/>
          </w:tcPr>
          <w:p>
            <w:pPr>
              <w:spacing w:after="0" w:line="171" w:lineRule="exact"/>
              <w:rPr>
                <w:sz w:val="20"/>
                <w:szCs w:val="20"/>
                <w:color w:val="auto"/>
              </w:rPr>
            </w:pPr>
            <w:r>
              <w:rPr>
                <w:rFonts w:ascii="Arial" w:cs="Arial" w:eastAsia="Arial" w:hAnsi="Arial"/>
                <w:sz w:val="16"/>
                <w:szCs w:val="16"/>
                <w:b w:val="1"/>
                <w:bCs w:val="1"/>
                <w:color w:val="auto"/>
              </w:rPr>
              <w:t>Executive Severance Plan</w:t>
            </w:r>
          </w:p>
        </w:tc>
        <w:tc>
          <w:tcPr>
            <w:tcW w:w="6520" w:type="dxa"/>
            <w:vAlign w:val="bottom"/>
            <w:shd w:val="clear" w:color="auto" w:fill="CFE9D2"/>
          </w:tcPr>
          <w:p>
            <w:pPr>
              <w:ind w:left="100"/>
              <w:spacing w:after="0" w:line="171" w:lineRule="exact"/>
              <w:rPr>
                <w:sz w:val="20"/>
                <w:szCs w:val="20"/>
                <w:color w:val="auto"/>
              </w:rPr>
            </w:pPr>
            <w:r>
              <w:rPr>
                <w:rFonts w:ascii="Arial" w:cs="Arial" w:eastAsia="Arial" w:hAnsi="Arial"/>
                <w:sz w:val="16"/>
                <w:szCs w:val="16"/>
                <w:color w:val="auto"/>
              </w:rPr>
              <w:t>Plan providing severance benefits for executives, except for those covered by their</w:t>
            </w:r>
          </w:p>
        </w:tc>
      </w:tr>
      <w:tr>
        <w:trPr>
          <w:trHeight w:val="205"/>
        </w:trPr>
        <w:tc>
          <w:tcPr>
            <w:tcW w:w="4740" w:type="dxa"/>
            <w:vAlign w:val="bottom"/>
            <w:shd w:val="clear" w:color="auto" w:fill="CFE9D2"/>
          </w:tcPr>
          <w:p>
            <w:pPr>
              <w:spacing w:after="0"/>
              <w:rPr>
                <w:sz w:val="17"/>
                <w:szCs w:val="17"/>
                <w:color w:val="auto"/>
              </w:rPr>
            </w:pPr>
          </w:p>
        </w:tc>
        <w:tc>
          <w:tcPr>
            <w:tcW w:w="6520" w:type="dxa"/>
            <w:vAlign w:val="bottom"/>
            <w:shd w:val="clear" w:color="auto" w:fill="CFE9D2"/>
          </w:tcPr>
          <w:p>
            <w:pPr>
              <w:ind w:left="100"/>
              <w:spacing w:after="0"/>
              <w:rPr>
                <w:sz w:val="20"/>
                <w:szCs w:val="20"/>
                <w:color w:val="auto"/>
              </w:rPr>
            </w:pPr>
            <w:r>
              <w:rPr>
                <w:rFonts w:ascii="Arial" w:cs="Arial" w:eastAsia="Arial" w:hAnsi="Arial"/>
                <w:sz w:val="16"/>
                <w:szCs w:val="16"/>
                <w:color w:val="auto"/>
              </w:rPr>
              <w:t>employment agreements.</w:t>
            </w:r>
          </w:p>
        </w:tc>
      </w:tr>
      <w:tr>
        <w:trPr>
          <w:trHeight w:val="188"/>
        </w:trPr>
        <w:tc>
          <w:tcPr>
            <w:tcW w:w="4740" w:type="dxa"/>
            <w:vAlign w:val="bottom"/>
            <w:shd w:val="clear" w:color="auto" w:fill="E8F5EA"/>
          </w:tcPr>
          <w:p>
            <w:pPr>
              <w:spacing w:after="0"/>
              <w:rPr>
                <w:sz w:val="20"/>
                <w:szCs w:val="20"/>
                <w:color w:val="auto"/>
              </w:rPr>
            </w:pPr>
            <w:r>
              <w:rPr>
                <w:rFonts w:ascii="Arial" w:cs="Arial" w:eastAsia="Arial" w:hAnsi="Arial"/>
                <w:sz w:val="16"/>
                <w:szCs w:val="16"/>
                <w:b w:val="1"/>
                <w:bCs w:val="1"/>
                <w:color w:val="auto"/>
              </w:rPr>
              <w:t>Employee Stock Purchase Plan</w:t>
            </w:r>
          </w:p>
        </w:tc>
        <w:tc>
          <w:tcPr>
            <w:tcW w:w="6520" w:type="dxa"/>
            <w:vAlign w:val="bottom"/>
            <w:shd w:val="clear" w:color="auto" w:fill="E8F5EA"/>
          </w:tcPr>
          <w:p>
            <w:pPr>
              <w:ind w:left="100"/>
              <w:spacing w:after="0"/>
              <w:rPr>
                <w:sz w:val="20"/>
                <w:szCs w:val="20"/>
                <w:color w:val="auto"/>
              </w:rPr>
            </w:pPr>
            <w:r>
              <w:rPr>
                <w:rFonts w:ascii="Arial" w:cs="Arial" w:eastAsia="Arial" w:hAnsi="Arial"/>
                <w:sz w:val="16"/>
                <w:szCs w:val="16"/>
                <w:color w:val="auto"/>
              </w:rPr>
              <w:t>Qualified plan permitting the purchase of Company stock at a 5% discount</w:t>
            </w:r>
          </w:p>
        </w:tc>
      </w:tr>
      <w:tr>
        <w:trPr>
          <w:trHeight w:val="398"/>
        </w:trPr>
        <w:tc>
          <w:tcPr>
            <w:tcW w:w="4740" w:type="dxa"/>
            <w:vAlign w:val="bottom"/>
          </w:tcPr>
          <w:p>
            <w:pPr>
              <w:ind w:left="480"/>
              <w:spacing w:after="0"/>
              <w:rPr>
                <w:sz w:val="20"/>
                <w:szCs w:val="20"/>
                <w:color w:val="auto"/>
              </w:rPr>
            </w:pPr>
            <w:r>
              <w:rPr>
                <w:rFonts w:ascii="Arial" w:cs="Arial" w:eastAsia="Arial" w:hAnsi="Arial"/>
                <w:sz w:val="16"/>
                <w:szCs w:val="16"/>
                <w:b w:val="1"/>
                <w:bCs w:val="1"/>
                <w:color w:val="auto"/>
              </w:rPr>
              <w:t>Pay Mix</w:t>
            </w:r>
          </w:p>
        </w:tc>
        <w:tc>
          <w:tcPr>
            <w:tcW w:w="6520" w:type="dxa"/>
            <w:vAlign w:val="bottom"/>
          </w:tcPr>
          <w:p>
            <w:pPr>
              <w:spacing w:after="0"/>
              <w:rPr>
                <w:sz w:val="24"/>
                <w:szCs w:val="24"/>
                <w:color w:val="auto"/>
              </w:rPr>
            </w:pPr>
          </w:p>
        </w:tc>
      </w:tr>
    </w:tbl>
    <w:p>
      <w:pPr>
        <w:spacing w:after="0" w:line="15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For fiscal 2020, the compensation mix at target for the CEO and the other NEOs demonstrates that a significant portion of their pay is based on variable compensation, as shown in the below charts. The Company's long-term incentive compensation mix has traditionally been 50% performance share units ("PSU"), 25% stock options and 25% restricted stock units ("RSU").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107315</wp:posOffset>
            </wp:positionV>
            <wp:extent cx="5257165" cy="23355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257165" cy="2335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10720"/>
        <w:spacing w:after="0"/>
        <w:tabs>
          <w:tab w:leader="none" w:pos="11060" w:val="left"/>
        </w:tabs>
        <w:rPr>
          <w:sz w:val="20"/>
          <w:szCs w:val="20"/>
          <w:color w:val="auto"/>
        </w:rPr>
      </w:pPr>
      <w:r>
        <w:rPr>
          <w:rFonts w:ascii="Arial" w:cs="Arial" w:eastAsia="Arial" w:hAnsi="Arial"/>
          <w:sz w:val="23"/>
          <w:szCs w:val="23"/>
          <w:b w:val="1"/>
          <w:bCs w:val="1"/>
          <w:color w:val="53C072"/>
        </w:rPr>
        <w:t>|</w:t>
      </w:r>
      <w:r>
        <w:rPr>
          <w:sz w:val="20"/>
          <w:szCs w:val="20"/>
          <w:color w:val="auto"/>
        </w:rPr>
        <w:tab/>
      </w: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7151370" cy="203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-130175</wp:posOffset>
            </wp:positionV>
            <wp:extent cx="1664970" cy="1231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13"/>
        </w:trPr>
        <w:tc>
          <w:tcPr>
            <w:tcW w:w="512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6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12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6140" w:type="dxa"/>
            <w:vAlign w:val="bottom"/>
            <w:vMerge w:val="restart"/>
          </w:tcPr>
          <w:p>
            <w:pPr>
              <w:ind w:left="3880"/>
              <w:spacing w:after="0"/>
              <w:rPr>
                <w:sz w:val="20"/>
                <w:szCs w:val="20"/>
                <w:color w:val="auto"/>
              </w:rPr>
            </w:pPr>
            <w:r>
              <w:rPr>
                <w:rFonts w:ascii="Arial" w:cs="Arial" w:eastAsia="Arial" w:hAnsi="Arial"/>
                <w:sz w:val="13"/>
                <w:szCs w:val="13"/>
                <w:color w:val="auto"/>
                <w:w w:val="98"/>
              </w:rPr>
              <w:t>Compensation Discussion and Analysis</w:t>
            </w:r>
          </w:p>
        </w:tc>
        <w:tc>
          <w:tcPr>
            <w:tcW w:w="0" w:type="dxa"/>
            <w:vAlign w:val="bottom"/>
          </w:tcPr>
          <w:p>
            <w:pPr>
              <w:spacing w:after="0"/>
              <w:rPr>
                <w:sz w:val="1"/>
                <w:szCs w:val="1"/>
                <w:color w:val="auto"/>
              </w:rPr>
            </w:pPr>
          </w:p>
        </w:tc>
      </w:tr>
      <w:tr>
        <w:trPr>
          <w:trHeight w:val="102"/>
        </w:trPr>
        <w:tc>
          <w:tcPr>
            <w:tcW w:w="512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6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120" w:type="dxa"/>
            <w:vAlign w:val="bottom"/>
            <w:vMerge w:val="continue"/>
          </w:tcPr>
          <w:p>
            <w:pPr>
              <w:spacing w:after="0"/>
              <w:rPr>
                <w:sz w:val="7"/>
                <w:szCs w:val="7"/>
                <w:color w:val="auto"/>
              </w:rPr>
            </w:pPr>
          </w:p>
        </w:tc>
        <w:tc>
          <w:tcPr>
            <w:tcW w:w="6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Compensation Governance Practices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Company's executive compensation programs incorporate the following compensation governance practices:</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6"/>
          <w:szCs w:val="16"/>
          <w:b w:val="1"/>
          <w:bCs w:val="1"/>
          <w:color w:val="FFFFFE"/>
        </w:rPr>
        <w:t>What the Company Does: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1069975</wp:posOffset>
            </wp:positionH>
            <wp:positionV relativeFrom="paragraph">
              <wp:posOffset>-104140</wp:posOffset>
            </wp:positionV>
            <wp:extent cx="4995545" cy="56737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995545" cy="5673725"/>
                    </a:xfrm>
                    <a:prstGeom prst="rect">
                      <a:avLst/>
                    </a:prstGeom>
                    <a:noFill/>
                  </pic:spPr>
                </pic:pic>
              </a:graphicData>
            </a:graphic>
          </wp:anchor>
        </w:drawing>
      </w:r>
    </w:p>
    <w:p>
      <w:pPr>
        <w:spacing w:after="0" w:line="197" w:lineRule="exact"/>
        <w:rPr>
          <w:sz w:val="20"/>
          <w:szCs w:val="20"/>
          <w:color w:val="auto"/>
        </w:rPr>
      </w:pPr>
    </w:p>
    <w:p>
      <w:pPr>
        <w:ind w:left="2440" w:right="2020"/>
        <w:spacing w:after="0" w:line="245" w:lineRule="auto"/>
        <w:rPr>
          <w:sz w:val="20"/>
          <w:szCs w:val="20"/>
          <w:color w:val="auto"/>
        </w:rPr>
      </w:pPr>
      <w:r>
        <w:rPr>
          <w:rFonts w:ascii="Arial" w:cs="Arial" w:eastAsia="Arial" w:hAnsi="Arial"/>
          <w:sz w:val="16"/>
          <w:szCs w:val="16"/>
          <w:b w:val="1"/>
          <w:bCs w:val="1"/>
          <w:color w:val="auto"/>
        </w:rPr>
        <w:t xml:space="preserve">Aligns Pay-for-Performance. </w:t>
      </w:r>
      <w:r>
        <w:rPr>
          <w:rFonts w:ascii="Arial" w:cs="Arial" w:eastAsia="Arial" w:hAnsi="Arial"/>
          <w:sz w:val="16"/>
          <w:szCs w:val="16"/>
          <w:color w:val="auto"/>
        </w:rPr>
        <w:t>A significant portion of total compensation is dependent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achievement of short- and long-term financial and operational goals that are designed to increase shareholder value over time. As executives gain responsibility and seniority at the Company and exercise more direct influence over the Company's financial and operational performance, typically base salary as a percentage of total compensation will decrease and performance-based pay will increase.</w:t>
      </w:r>
    </w:p>
    <w:p>
      <w:pPr>
        <w:spacing w:after="0" w:line="184" w:lineRule="exact"/>
        <w:rPr>
          <w:sz w:val="20"/>
          <w:szCs w:val="20"/>
          <w:color w:val="auto"/>
        </w:rPr>
      </w:pPr>
    </w:p>
    <w:p>
      <w:pPr>
        <w:ind w:left="2440" w:right="2040"/>
        <w:spacing w:after="0" w:line="247" w:lineRule="auto"/>
        <w:rPr>
          <w:sz w:val="20"/>
          <w:szCs w:val="20"/>
          <w:color w:val="auto"/>
        </w:rPr>
      </w:pPr>
      <w:r>
        <w:rPr>
          <w:rFonts w:ascii="Arial" w:cs="Arial" w:eastAsia="Arial" w:hAnsi="Arial"/>
          <w:sz w:val="16"/>
          <w:szCs w:val="16"/>
          <w:b w:val="1"/>
          <w:bCs w:val="1"/>
          <w:color w:val="auto"/>
        </w:rPr>
        <w:t xml:space="preserve">Focuses on Long-Term Incentive Compensation. </w:t>
      </w:r>
      <w:r>
        <w:rPr>
          <w:rFonts w:ascii="Arial" w:cs="Arial" w:eastAsia="Arial" w:hAnsi="Arial"/>
          <w:sz w:val="16"/>
          <w:szCs w:val="16"/>
          <w:color w:val="auto"/>
        </w:rPr>
        <w:t>The long-term incentive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program is designed to provide a meaningful portion of compensation with the goal of having executive officers think and behave like owners over the long term. Long-term incentives, in the form of equity awards, vest over periods ranging from three to four years depending on the award type.</w:t>
      </w:r>
    </w:p>
    <w:p>
      <w:pPr>
        <w:spacing w:after="0" w:line="182" w:lineRule="exact"/>
        <w:rPr>
          <w:sz w:val="20"/>
          <w:szCs w:val="20"/>
          <w:color w:val="auto"/>
        </w:rPr>
      </w:pPr>
    </w:p>
    <w:p>
      <w:pPr>
        <w:ind w:left="2440" w:right="2100"/>
        <w:spacing w:after="0" w:line="247" w:lineRule="auto"/>
        <w:rPr>
          <w:sz w:val="20"/>
          <w:szCs w:val="20"/>
          <w:color w:val="auto"/>
        </w:rPr>
      </w:pPr>
      <w:r>
        <w:rPr>
          <w:rFonts w:ascii="Arial" w:cs="Arial" w:eastAsia="Arial" w:hAnsi="Arial"/>
          <w:sz w:val="16"/>
          <w:szCs w:val="16"/>
          <w:b w:val="1"/>
          <w:bCs w:val="1"/>
          <w:color w:val="auto"/>
        </w:rPr>
        <w:t xml:space="preserve">Uses Multiple Metrics in Incentive Plans. </w:t>
      </w:r>
      <w:r>
        <w:rPr>
          <w:rFonts w:ascii="Arial" w:cs="Arial" w:eastAsia="Arial" w:hAnsi="Arial"/>
          <w:sz w:val="16"/>
          <w:szCs w:val="16"/>
          <w:color w:val="auto"/>
        </w:rPr>
        <w:t>The annual cash and long-term incentive programs</w:t>
      </w:r>
      <w:r>
        <w:rPr>
          <w:rFonts w:ascii="Arial" w:cs="Arial" w:eastAsia="Arial" w:hAnsi="Arial"/>
          <w:sz w:val="16"/>
          <w:szCs w:val="16"/>
          <w:b w:val="1"/>
          <w:bCs w:val="1"/>
          <w:color w:val="auto"/>
        </w:rPr>
        <w:t xml:space="preserve"> </w:t>
      </w:r>
      <w:r>
        <w:rPr>
          <w:rFonts w:ascii="Arial" w:cs="Arial" w:eastAsia="Arial" w:hAnsi="Arial"/>
          <w:sz w:val="16"/>
          <w:szCs w:val="16"/>
          <w:color w:val="auto"/>
        </w:rPr>
        <w:t>employ multiple performance measures to assure focus is on the entire business. Further, the long-term incentive programs include awards that vest over several different and overlapping periods to help ensure that performance during any one period is not maximized to the detriment of other periods.</w:t>
      </w:r>
    </w:p>
    <w:p>
      <w:pPr>
        <w:spacing w:after="0" w:line="182" w:lineRule="exact"/>
        <w:rPr>
          <w:sz w:val="20"/>
          <w:szCs w:val="20"/>
          <w:color w:val="auto"/>
        </w:rPr>
      </w:pPr>
    </w:p>
    <w:p>
      <w:pPr>
        <w:ind w:left="2440" w:right="2020"/>
        <w:spacing w:after="0" w:line="277" w:lineRule="auto"/>
        <w:rPr>
          <w:sz w:val="20"/>
          <w:szCs w:val="20"/>
          <w:color w:val="auto"/>
        </w:rPr>
      </w:pPr>
      <w:r>
        <w:rPr>
          <w:rFonts w:ascii="Arial" w:cs="Arial" w:eastAsia="Arial" w:hAnsi="Arial"/>
          <w:sz w:val="16"/>
          <w:szCs w:val="16"/>
          <w:b w:val="1"/>
          <w:bCs w:val="1"/>
          <w:color w:val="auto"/>
        </w:rPr>
        <w:t xml:space="preserve">Uses Award Caps. </w:t>
      </w:r>
      <w:r>
        <w:rPr>
          <w:rFonts w:ascii="Arial" w:cs="Arial" w:eastAsia="Arial" w:hAnsi="Arial"/>
          <w:sz w:val="16"/>
          <w:szCs w:val="16"/>
          <w:color w:val="auto"/>
        </w:rPr>
        <w:t>Annual cash incentive awards and PSU awards are capped at 200% of target</w:t>
      </w:r>
      <w:r>
        <w:rPr>
          <w:rFonts w:ascii="Arial" w:cs="Arial" w:eastAsia="Arial" w:hAnsi="Arial"/>
          <w:sz w:val="16"/>
          <w:szCs w:val="16"/>
          <w:b w:val="1"/>
          <w:bCs w:val="1"/>
          <w:color w:val="auto"/>
        </w:rPr>
        <w:t xml:space="preserve"> </w:t>
      </w:r>
      <w:r>
        <w:rPr>
          <w:rFonts w:ascii="Arial" w:cs="Arial" w:eastAsia="Arial" w:hAnsi="Arial"/>
          <w:sz w:val="16"/>
          <w:szCs w:val="16"/>
          <w:color w:val="auto"/>
        </w:rPr>
        <w:t>to ensure such awards do not encourage excessive risk-taking.</w:t>
      </w:r>
    </w:p>
    <w:p>
      <w:pPr>
        <w:spacing w:after="0" w:line="158" w:lineRule="exact"/>
        <w:rPr>
          <w:sz w:val="20"/>
          <w:szCs w:val="20"/>
          <w:color w:val="auto"/>
        </w:rPr>
      </w:pPr>
    </w:p>
    <w:p>
      <w:pPr>
        <w:ind w:left="2440" w:right="2340"/>
        <w:spacing w:after="0" w:line="257" w:lineRule="auto"/>
        <w:rPr>
          <w:sz w:val="20"/>
          <w:szCs w:val="20"/>
          <w:color w:val="auto"/>
        </w:rPr>
      </w:pPr>
      <w:r>
        <w:rPr>
          <w:rFonts w:ascii="Arial" w:cs="Arial" w:eastAsia="Arial" w:hAnsi="Arial"/>
          <w:sz w:val="16"/>
          <w:szCs w:val="16"/>
          <w:b w:val="1"/>
          <w:bCs w:val="1"/>
          <w:color w:val="auto"/>
        </w:rPr>
        <w:t xml:space="preserve">Maintains Clawback Policy. </w:t>
      </w:r>
      <w:r>
        <w:rPr>
          <w:rFonts w:ascii="Arial" w:cs="Arial" w:eastAsia="Arial" w:hAnsi="Arial"/>
          <w:sz w:val="16"/>
          <w:szCs w:val="16"/>
          <w:color w:val="auto"/>
        </w:rPr>
        <w:t>The Company adopted an incentive compensation recoupment</w:t>
      </w:r>
      <w:r>
        <w:rPr>
          <w:rFonts w:ascii="Arial" w:cs="Arial" w:eastAsia="Arial" w:hAnsi="Arial"/>
          <w:sz w:val="16"/>
          <w:szCs w:val="16"/>
          <w:b w:val="1"/>
          <w:bCs w:val="1"/>
          <w:color w:val="auto"/>
        </w:rPr>
        <w:t xml:space="preserve"> </w:t>
      </w:r>
      <w:r>
        <w:rPr>
          <w:rFonts w:ascii="Arial" w:cs="Arial" w:eastAsia="Arial" w:hAnsi="Arial"/>
          <w:sz w:val="16"/>
          <w:szCs w:val="16"/>
          <w:color w:val="auto"/>
        </w:rPr>
        <w:t>policy, otherwise known as a clawback policy, that allows the Company to recoup incentive compensation due to employee misconduct or a financial restatement.</w:t>
      </w:r>
    </w:p>
    <w:p>
      <w:pPr>
        <w:spacing w:after="0" w:line="174" w:lineRule="exact"/>
        <w:rPr>
          <w:sz w:val="20"/>
          <w:szCs w:val="20"/>
          <w:color w:val="auto"/>
        </w:rPr>
      </w:pPr>
    </w:p>
    <w:p>
      <w:pPr>
        <w:ind w:left="2440" w:right="2120"/>
        <w:spacing w:after="0" w:line="250" w:lineRule="auto"/>
        <w:rPr>
          <w:sz w:val="20"/>
          <w:szCs w:val="20"/>
          <w:color w:val="auto"/>
        </w:rPr>
      </w:pPr>
      <w:r>
        <w:rPr>
          <w:rFonts w:ascii="Arial" w:cs="Arial" w:eastAsia="Arial" w:hAnsi="Arial"/>
          <w:sz w:val="16"/>
          <w:szCs w:val="16"/>
          <w:b w:val="1"/>
          <w:bCs w:val="1"/>
          <w:color w:val="auto"/>
        </w:rPr>
        <w:t xml:space="preserve">Conducts Annual Compensation Risk Assessment. </w:t>
      </w:r>
      <w:r>
        <w:rPr>
          <w:rFonts w:ascii="Arial" w:cs="Arial" w:eastAsia="Arial" w:hAnsi="Arial"/>
          <w:sz w:val="16"/>
          <w:szCs w:val="16"/>
          <w:color w:val="auto"/>
        </w:rPr>
        <w:t>The Compensation Committee annually</w:t>
      </w:r>
      <w:r>
        <w:rPr>
          <w:rFonts w:ascii="Arial" w:cs="Arial" w:eastAsia="Arial" w:hAnsi="Arial"/>
          <w:sz w:val="16"/>
          <w:szCs w:val="16"/>
          <w:b w:val="1"/>
          <w:bCs w:val="1"/>
          <w:color w:val="auto"/>
        </w:rPr>
        <w:t xml:space="preserve"> </w:t>
      </w:r>
      <w:r>
        <w:rPr>
          <w:rFonts w:ascii="Arial" w:cs="Arial" w:eastAsia="Arial" w:hAnsi="Arial"/>
          <w:sz w:val="16"/>
          <w:szCs w:val="16"/>
          <w:color w:val="auto"/>
        </w:rPr>
        <w:t>assesses the Company's compensation programs and determines whether the Company's policies and practices create risks that are reasonably likely to have a material adverse effect on the Company.</w:t>
      </w:r>
    </w:p>
    <w:p>
      <w:pPr>
        <w:spacing w:after="0" w:line="180" w:lineRule="exact"/>
        <w:rPr>
          <w:sz w:val="20"/>
          <w:szCs w:val="20"/>
          <w:color w:val="auto"/>
        </w:rPr>
      </w:pPr>
    </w:p>
    <w:p>
      <w:pPr>
        <w:ind w:left="2440" w:right="2240"/>
        <w:spacing w:after="0" w:line="257" w:lineRule="auto"/>
        <w:rPr>
          <w:sz w:val="20"/>
          <w:szCs w:val="20"/>
          <w:color w:val="auto"/>
        </w:rPr>
      </w:pPr>
      <w:r>
        <w:rPr>
          <w:rFonts w:ascii="Arial" w:cs="Arial" w:eastAsia="Arial" w:hAnsi="Arial"/>
          <w:sz w:val="16"/>
          <w:szCs w:val="16"/>
          <w:b w:val="1"/>
          <w:bCs w:val="1"/>
          <w:color w:val="auto"/>
        </w:rPr>
        <w:t xml:space="preserve">Stock Ownership Guidelines. </w:t>
      </w:r>
      <w:r>
        <w:rPr>
          <w:rFonts w:ascii="Arial" w:cs="Arial" w:eastAsia="Arial" w:hAnsi="Arial"/>
          <w:sz w:val="16"/>
          <w:szCs w:val="16"/>
          <w:color w:val="auto"/>
        </w:rPr>
        <w:t>The Company has stock ownership guidelines for its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and, as of July 1, 2020, each of the executive officers was in compliance with these guidelines.</w:t>
      </w:r>
    </w:p>
    <w:p>
      <w:pPr>
        <w:spacing w:after="0" w:line="174" w:lineRule="exact"/>
        <w:rPr>
          <w:sz w:val="20"/>
          <w:szCs w:val="20"/>
          <w:color w:val="auto"/>
        </w:rPr>
      </w:pPr>
    </w:p>
    <w:p>
      <w:pPr>
        <w:ind w:left="2440" w:right="2100"/>
        <w:spacing w:after="0" w:line="312" w:lineRule="auto"/>
        <w:rPr>
          <w:sz w:val="20"/>
          <w:szCs w:val="20"/>
          <w:color w:val="auto"/>
        </w:rPr>
      </w:pPr>
      <w:r>
        <w:rPr>
          <w:rFonts w:ascii="Arial" w:cs="Arial" w:eastAsia="Arial" w:hAnsi="Arial"/>
          <w:sz w:val="15"/>
          <w:szCs w:val="15"/>
          <w:b w:val="1"/>
          <w:bCs w:val="1"/>
          <w:color w:val="auto"/>
        </w:rPr>
        <w:t xml:space="preserve">Grants Stock Options at Fair Market Value. </w:t>
      </w:r>
      <w:r>
        <w:rPr>
          <w:rFonts w:ascii="Arial" w:cs="Arial" w:eastAsia="Arial" w:hAnsi="Arial"/>
          <w:sz w:val="15"/>
          <w:szCs w:val="15"/>
          <w:color w:val="auto"/>
        </w:rPr>
        <w:t>The Company grants stock options with an</w:t>
      </w:r>
      <w:r>
        <w:rPr>
          <w:rFonts w:ascii="Arial" w:cs="Arial" w:eastAsia="Arial" w:hAnsi="Arial"/>
          <w:sz w:val="15"/>
          <w:szCs w:val="15"/>
          <w:b w:val="1"/>
          <w:bCs w:val="1"/>
          <w:color w:val="auto"/>
        </w:rPr>
        <w:t xml:space="preserve"> </w:t>
      </w:r>
      <w:r>
        <w:rPr>
          <w:rFonts w:ascii="Arial" w:cs="Arial" w:eastAsia="Arial" w:hAnsi="Arial"/>
          <w:sz w:val="15"/>
          <w:szCs w:val="15"/>
          <w:color w:val="auto"/>
        </w:rPr>
        <w:t>exercise price at the fair market value of the Company's Common Stock on the date of the grant.</w:t>
      </w:r>
    </w:p>
    <w:p>
      <w:pPr>
        <w:spacing w:after="0" w:line="134" w:lineRule="exact"/>
        <w:rPr>
          <w:sz w:val="20"/>
          <w:szCs w:val="20"/>
          <w:color w:val="auto"/>
        </w:rPr>
      </w:pPr>
    </w:p>
    <w:p>
      <w:pPr>
        <w:ind w:left="2440" w:right="2180"/>
        <w:spacing w:after="0" w:line="277" w:lineRule="auto"/>
        <w:rPr>
          <w:sz w:val="20"/>
          <w:szCs w:val="20"/>
          <w:color w:val="auto"/>
        </w:rPr>
      </w:pPr>
      <w:r>
        <w:rPr>
          <w:rFonts w:ascii="Arial" w:cs="Arial" w:eastAsia="Arial" w:hAnsi="Arial"/>
          <w:sz w:val="16"/>
          <w:szCs w:val="16"/>
          <w:b w:val="1"/>
          <w:bCs w:val="1"/>
          <w:color w:val="auto"/>
        </w:rPr>
        <w:t xml:space="preserve">Maintains Compensation Committee Independence. </w:t>
      </w:r>
      <w:r>
        <w:rPr>
          <w:rFonts w:ascii="Arial" w:cs="Arial" w:eastAsia="Arial" w:hAnsi="Arial"/>
          <w:sz w:val="16"/>
          <w:szCs w:val="16"/>
          <w:color w:val="auto"/>
        </w:rPr>
        <w:t>The Compensation Committee is made</w:t>
      </w:r>
      <w:r>
        <w:rPr>
          <w:rFonts w:ascii="Arial" w:cs="Arial" w:eastAsia="Arial" w:hAnsi="Arial"/>
          <w:sz w:val="16"/>
          <w:szCs w:val="16"/>
          <w:b w:val="1"/>
          <w:bCs w:val="1"/>
          <w:color w:val="auto"/>
        </w:rPr>
        <w:t xml:space="preserve"> </w:t>
      </w:r>
      <w:r>
        <w:rPr>
          <w:rFonts w:ascii="Arial" w:cs="Arial" w:eastAsia="Arial" w:hAnsi="Arial"/>
          <w:sz w:val="16"/>
          <w:szCs w:val="16"/>
          <w:color w:val="auto"/>
        </w:rPr>
        <w:t>up entirely of Independent Directors.</w:t>
      </w:r>
    </w:p>
    <w:p>
      <w:pPr>
        <w:spacing w:after="0" w:line="158" w:lineRule="exact"/>
        <w:rPr>
          <w:sz w:val="20"/>
          <w:szCs w:val="20"/>
          <w:color w:val="auto"/>
        </w:rPr>
      </w:pPr>
    </w:p>
    <w:p>
      <w:pPr>
        <w:ind w:left="2440" w:right="2020"/>
        <w:spacing w:after="0" w:line="250" w:lineRule="auto"/>
        <w:rPr>
          <w:sz w:val="20"/>
          <w:szCs w:val="20"/>
          <w:color w:val="auto"/>
        </w:rPr>
      </w:pPr>
      <w:r>
        <w:rPr>
          <w:rFonts w:ascii="Arial" w:cs="Arial" w:eastAsia="Arial" w:hAnsi="Arial"/>
          <w:sz w:val="16"/>
          <w:szCs w:val="16"/>
          <w:b w:val="1"/>
          <w:bCs w:val="1"/>
          <w:color w:val="auto"/>
        </w:rPr>
        <w:t xml:space="preserve">Maintains Compensation Consultant Independence. </w:t>
      </w:r>
      <w:r>
        <w:rPr>
          <w:rFonts w:ascii="Arial" w:cs="Arial" w:eastAsia="Arial" w:hAnsi="Arial"/>
          <w:sz w:val="16"/>
          <w:szCs w:val="16"/>
          <w:color w:val="auto"/>
        </w:rPr>
        <w:t>The Compensation Consultant does not</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any services to management other than its services to the Compensation Committee, and the Compensation Committee annually assesses the independence of the Compensation Consultant.</w:t>
      </w:r>
    </w:p>
    <w:p>
      <w:pPr>
        <w:spacing w:after="0" w:line="193"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23"/>
          <w:szCs w:val="23"/>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118745</wp:posOffset>
            </wp:positionV>
            <wp:extent cx="7151370" cy="203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-163195</wp:posOffset>
            </wp:positionV>
            <wp:extent cx="1664970" cy="1231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13"/>
        </w:trPr>
        <w:tc>
          <w:tcPr>
            <w:tcW w:w="512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6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12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6140" w:type="dxa"/>
            <w:vAlign w:val="bottom"/>
            <w:vMerge w:val="restart"/>
          </w:tcPr>
          <w:p>
            <w:pPr>
              <w:ind w:left="3880"/>
              <w:spacing w:after="0"/>
              <w:rPr>
                <w:sz w:val="20"/>
                <w:szCs w:val="20"/>
                <w:color w:val="auto"/>
              </w:rPr>
            </w:pPr>
            <w:r>
              <w:rPr>
                <w:rFonts w:ascii="Arial" w:cs="Arial" w:eastAsia="Arial" w:hAnsi="Arial"/>
                <w:sz w:val="13"/>
                <w:szCs w:val="13"/>
                <w:color w:val="auto"/>
                <w:w w:val="98"/>
              </w:rPr>
              <w:t>Compensation Discussion and Analysis</w:t>
            </w:r>
          </w:p>
        </w:tc>
        <w:tc>
          <w:tcPr>
            <w:tcW w:w="0" w:type="dxa"/>
            <w:vAlign w:val="bottom"/>
          </w:tcPr>
          <w:p>
            <w:pPr>
              <w:spacing w:after="0"/>
              <w:rPr>
                <w:sz w:val="1"/>
                <w:szCs w:val="1"/>
                <w:color w:val="auto"/>
              </w:rPr>
            </w:pPr>
          </w:p>
        </w:tc>
      </w:tr>
      <w:tr>
        <w:trPr>
          <w:trHeight w:val="102"/>
        </w:trPr>
        <w:tc>
          <w:tcPr>
            <w:tcW w:w="512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6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120" w:type="dxa"/>
            <w:vAlign w:val="bottom"/>
            <w:vMerge w:val="continue"/>
          </w:tcPr>
          <w:p>
            <w:pPr>
              <w:spacing w:after="0"/>
              <w:rPr>
                <w:sz w:val="7"/>
                <w:szCs w:val="7"/>
                <w:color w:val="auto"/>
              </w:rPr>
            </w:pPr>
          </w:p>
        </w:tc>
        <w:tc>
          <w:tcPr>
            <w:tcW w:w="6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ind w:left="1980"/>
        <w:spacing w:after="0"/>
        <w:rPr>
          <w:sz w:val="20"/>
          <w:szCs w:val="20"/>
          <w:color w:val="auto"/>
        </w:rPr>
      </w:pPr>
      <w:r>
        <w:rPr>
          <w:rFonts w:ascii="Arial" w:cs="Arial" w:eastAsia="Arial" w:hAnsi="Arial"/>
          <w:sz w:val="16"/>
          <w:szCs w:val="16"/>
          <w:b w:val="1"/>
          <w:bCs w:val="1"/>
          <w:color w:val="FFFFFE"/>
        </w:rPr>
        <w:t>What the Company Doesn't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1069975</wp:posOffset>
            </wp:positionH>
            <wp:positionV relativeFrom="paragraph">
              <wp:posOffset>-104140</wp:posOffset>
            </wp:positionV>
            <wp:extent cx="4995545" cy="25285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995545" cy="2528570"/>
                    </a:xfrm>
                    <a:prstGeom prst="rect">
                      <a:avLst/>
                    </a:prstGeom>
                    <a:noFill/>
                  </pic:spPr>
                </pic:pic>
              </a:graphicData>
            </a:graphic>
          </wp:anchor>
        </w:drawing>
      </w:r>
    </w:p>
    <w:p>
      <w:pPr>
        <w:spacing w:after="0" w:line="197" w:lineRule="exact"/>
        <w:rPr>
          <w:sz w:val="20"/>
          <w:szCs w:val="20"/>
          <w:color w:val="auto"/>
        </w:rPr>
      </w:pPr>
    </w:p>
    <w:p>
      <w:pPr>
        <w:ind w:left="2440" w:right="2140"/>
        <w:spacing w:after="0" w:line="277" w:lineRule="auto"/>
        <w:rPr>
          <w:sz w:val="20"/>
          <w:szCs w:val="20"/>
          <w:color w:val="auto"/>
        </w:rPr>
      </w:pPr>
      <w:r>
        <w:rPr>
          <w:rFonts w:ascii="Arial" w:cs="Arial" w:eastAsia="Arial" w:hAnsi="Arial"/>
          <w:sz w:val="16"/>
          <w:szCs w:val="16"/>
          <w:b w:val="1"/>
          <w:bCs w:val="1"/>
          <w:color w:val="auto"/>
        </w:rPr>
        <w:t xml:space="preserve">Doesn't Provide for Excise Tax Gross-Ups. </w:t>
      </w:r>
      <w:r>
        <w:rPr>
          <w:rFonts w:ascii="Arial" w:cs="Arial" w:eastAsia="Arial" w:hAnsi="Arial"/>
          <w:sz w:val="16"/>
          <w:szCs w:val="16"/>
          <w:color w:val="auto"/>
        </w:rPr>
        <w:t>The Company's change of control agreements do</w:t>
      </w:r>
      <w:r>
        <w:rPr>
          <w:rFonts w:ascii="Arial" w:cs="Arial" w:eastAsia="Arial" w:hAnsi="Arial"/>
          <w:sz w:val="16"/>
          <w:szCs w:val="16"/>
          <w:b w:val="1"/>
          <w:bCs w:val="1"/>
          <w:color w:val="auto"/>
        </w:rPr>
        <w:t xml:space="preserve"> </w:t>
      </w:r>
      <w:r>
        <w:rPr>
          <w:rFonts w:ascii="Arial" w:cs="Arial" w:eastAsia="Arial" w:hAnsi="Arial"/>
          <w:sz w:val="16"/>
          <w:szCs w:val="16"/>
          <w:color w:val="auto"/>
        </w:rPr>
        <w:t>not provide for excise tax reimbursements to any of the Company's executive officers.</w:t>
      </w:r>
    </w:p>
    <w:p>
      <w:pPr>
        <w:spacing w:after="0" w:line="158" w:lineRule="exact"/>
        <w:rPr>
          <w:sz w:val="20"/>
          <w:szCs w:val="20"/>
          <w:color w:val="auto"/>
        </w:rPr>
      </w:pPr>
    </w:p>
    <w:p>
      <w:pPr>
        <w:ind w:left="2440" w:right="2340"/>
        <w:spacing w:after="0" w:line="282" w:lineRule="auto"/>
        <w:rPr>
          <w:sz w:val="20"/>
          <w:szCs w:val="20"/>
          <w:color w:val="auto"/>
        </w:rPr>
      </w:pPr>
      <w:r>
        <w:rPr>
          <w:rFonts w:ascii="Arial" w:cs="Arial" w:eastAsia="Arial" w:hAnsi="Arial"/>
          <w:sz w:val="15"/>
          <w:szCs w:val="15"/>
          <w:b w:val="1"/>
          <w:bCs w:val="1"/>
          <w:color w:val="auto"/>
        </w:rPr>
        <w:t xml:space="preserve">Doesn't Pay Dividends or Dividend Equivalents on Unearned/Unvested Equity Awards. </w:t>
      </w:r>
      <w:r>
        <w:rPr>
          <w:rFonts w:ascii="Arial" w:cs="Arial" w:eastAsia="Arial" w:hAnsi="Arial"/>
          <w:sz w:val="15"/>
          <w:szCs w:val="15"/>
          <w:color w:val="auto"/>
        </w:rPr>
        <w:t>Equity awards may provide for the accrual of dividends or dividends equivalents during the vesting period, which are paid solely to the extent the underlying equity awards vest.</w:t>
      </w:r>
    </w:p>
    <w:p>
      <w:pPr>
        <w:spacing w:after="0" w:line="157" w:lineRule="exact"/>
        <w:rPr>
          <w:sz w:val="20"/>
          <w:szCs w:val="20"/>
          <w:color w:val="auto"/>
        </w:rPr>
      </w:pPr>
    </w:p>
    <w:p>
      <w:pPr>
        <w:ind w:left="2440" w:right="2060"/>
        <w:spacing w:after="0" w:line="257" w:lineRule="auto"/>
        <w:rPr>
          <w:sz w:val="20"/>
          <w:szCs w:val="20"/>
          <w:color w:val="auto"/>
        </w:rPr>
      </w:pPr>
      <w:r>
        <w:rPr>
          <w:rFonts w:ascii="Arial" w:cs="Arial" w:eastAsia="Arial" w:hAnsi="Arial"/>
          <w:sz w:val="16"/>
          <w:szCs w:val="16"/>
          <w:b w:val="1"/>
          <w:bCs w:val="1"/>
          <w:color w:val="auto"/>
        </w:rPr>
        <w:t xml:space="preserve">Doesn't Permit Hedging or Pledging of Company Shares. </w:t>
      </w:r>
      <w:r>
        <w:rPr>
          <w:rFonts w:ascii="Arial" w:cs="Arial" w:eastAsia="Arial" w:hAnsi="Arial"/>
          <w:sz w:val="16"/>
          <w:szCs w:val="16"/>
          <w:color w:val="auto"/>
        </w:rPr>
        <w:t>The Company's trading procedures</w:t>
      </w:r>
      <w:r>
        <w:rPr>
          <w:rFonts w:ascii="Arial" w:cs="Arial" w:eastAsia="Arial" w:hAnsi="Arial"/>
          <w:sz w:val="16"/>
          <w:szCs w:val="16"/>
          <w:b w:val="1"/>
          <w:bCs w:val="1"/>
          <w:color w:val="auto"/>
        </w:rPr>
        <w:t xml:space="preserve"> </w:t>
      </w:r>
      <w:r>
        <w:rPr>
          <w:rFonts w:ascii="Arial" w:cs="Arial" w:eastAsia="Arial" w:hAnsi="Arial"/>
          <w:sz w:val="16"/>
          <w:szCs w:val="16"/>
          <w:color w:val="auto"/>
        </w:rPr>
        <w:t>for insiders prohibits Directors and executive officers from hedging or pledging the Company's securities without advance prior approval.</w:t>
      </w:r>
    </w:p>
    <w:p>
      <w:pPr>
        <w:spacing w:after="0" w:line="174" w:lineRule="exact"/>
        <w:rPr>
          <w:sz w:val="20"/>
          <w:szCs w:val="20"/>
          <w:color w:val="auto"/>
        </w:rPr>
      </w:pPr>
    </w:p>
    <w:p>
      <w:pPr>
        <w:ind w:left="2440" w:right="2280"/>
        <w:spacing w:after="0" w:line="277" w:lineRule="auto"/>
        <w:rPr>
          <w:sz w:val="20"/>
          <w:szCs w:val="20"/>
          <w:color w:val="auto"/>
        </w:rPr>
      </w:pPr>
      <w:r>
        <w:rPr>
          <w:rFonts w:ascii="Arial" w:cs="Arial" w:eastAsia="Arial" w:hAnsi="Arial"/>
          <w:sz w:val="16"/>
          <w:szCs w:val="16"/>
          <w:b w:val="1"/>
          <w:bCs w:val="1"/>
          <w:color w:val="auto"/>
        </w:rPr>
        <w:t xml:space="preserve">Doesn't Provide Above-Market Returns. </w:t>
      </w:r>
      <w:r>
        <w:rPr>
          <w:rFonts w:ascii="Arial" w:cs="Arial" w:eastAsia="Arial" w:hAnsi="Arial"/>
          <w:sz w:val="16"/>
          <w:szCs w:val="16"/>
          <w:color w:val="auto"/>
        </w:rPr>
        <w:t>The Company does not offer preferential or above-market returns on deferred compensation.</w:t>
      </w:r>
    </w:p>
    <w:p>
      <w:pPr>
        <w:spacing w:after="0" w:line="158" w:lineRule="exact"/>
        <w:rPr>
          <w:sz w:val="20"/>
          <w:szCs w:val="20"/>
          <w:color w:val="auto"/>
        </w:rPr>
      </w:pPr>
    </w:p>
    <w:p>
      <w:pPr>
        <w:jc w:val="both"/>
        <w:ind w:left="2440" w:right="2160"/>
        <w:spacing w:after="0" w:line="312" w:lineRule="auto"/>
        <w:rPr>
          <w:sz w:val="20"/>
          <w:szCs w:val="20"/>
          <w:color w:val="auto"/>
        </w:rPr>
      </w:pPr>
      <w:r>
        <w:rPr>
          <w:rFonts w:ascii="Arial" w:cs="Arial" w:eastAsia="Arial" w:hAnsi="Arial"/>
          <w:sz w:val="15"/>
          <w:szCs w:val="15"/>
          <w:b w:val="1"/>
          <w:bCs w:val="1"/>
          <w:color w:val="auto"/>
        </w:rPr>
        <w:t xml:space="preserve">Doesn't Reprice Awards. </w:t>
      </w:r>
      <w:r>
        <w:rPr>
          <w:rFonts w:ascii="Arial" w:cs="Arial" w:eastAsia="Arial" w:hAnsi="Arial"/>
          <w:sz w:val="15"/>
          <w:szCs w:val="15"/>
          <w:color w:val="auto"/>
        </w:rPr>
        <w:t>Repricing of stock options and stock appreciation rights is prohibited</w:t>
      </w:r>
      <w:r>
        <w:rPr>
          <w:rFonts w:ascii="Arial" w:cs="Arial" w:eastAsia="Arial" w:hAnsi="Arial"/>
          <w:sz w:val="15"/>
          <w:szCs w:val="15"/>
          <w:b w:val="1"/>
          <w:bCs w:val="1"/>
          <w:color w:val="auto"/>
        </w:rPr>
        <w:t xml:space="preserve"> </w:t>
      </w:r>
      <w:r>
        <w:rPr>
          <w:rFonts w:ascii="Arial" w:cs="Arial" w:eastAsia="Arial" w:hAnsi="Arial"/>
          <w:sz w:val="15"/>
          <w:szCs w:val="15"/>
          <w:color w:val="auto"/>
        </w:rPr>
        <w:t>without shareholder approval. The Company does not have a history of repricing equity awards.</w:t>
      </w:r>
    </w:p>
    <w:p>
      <w:pPr>
        <w:spacing w:after="0" w:line="134" w:lineRule="exact"/>
        <w:rPr>
          <w:sz w:val="20"/>
          <w:szCs w:val="20"/>
          <w:color w:val="auto"/>
        </w:rPr>
      </w:pPr>
    </w:p>
    <w:p>
      <w:pPr>
        <w:ind w:left="2440"/>
        <w:spacing w:after="0"/>
        <w:rPr>
          <w:sz w:val="20"/>
          <w:szCs w:val="20"/>
          <w:color w:val="auto"/>
        </w:rPr>
      </w:pPr>
      <w:r>
        <w:rPr>
          <w:rFonts w:ascii="Arial" w:cs="Arial" w:eastAsia="Arial" w:hAnsi="Arial"/>
          <w:sz w:val="16"/>
          <w:szCs w:val="16"/>
          <w:b w:val="1"/>
          <w:bCs w:val="1"/>
          <w:color w:val="auto"/>
        </w:rPr>
        <w:t>Doesn't Provide Excessive Severance Benefits or Perquisites.</w:t>
      </w:r>
    </w:p>
    <w:p>
      <w:pPr>
        <w:spacing w:after="0" w:line="314"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Compensation Risk Management</w:t>
      </w:r>
    </w:p>
    <w:p>
      <w:pPr>
        <w:spacing w:after="0" w:line="194" w:lineRule="exact"/>
        <w:rPr>
          <w:sz w:val="20"/>
          <w:szCs w:val="20"/>
          <w:color w:val="auto"/>
        </w:rPr>
      </w:pPr>
    </w:p>
    <w:p>
      <w:pPr>
        <w:ind w:right="140"/>
        <w:spacing w:after="0" w:line="245" w:lineRule="auto"/>
        <w:rPr>
          <w:sz w:val="20"/>
          <w:szCs w:val="20"/>
          <w:color w:val="auto"/>
        </w:rPr>
      </w:pPr>
      <w:r>
        <w:rPr>
          <w:rFonts w:ascii="Arial" w:cs="Arial" w:eastAsia="Arial" w:hAnsi="Arial"/>
          <w:sz w:val="16"/>
          <w:szCs w:val="16"/>
          <w:color w:val="auto"/>
        </w:rPr>
        <w:t>The Compensation Committee conducted its annual assessment of the Company's executive compensation programs and concluded that the Company's compensation policies and practices for fiscal 2020 did not create risks that are reasonably likely to have a material adverse effect on the Company or create inappropriate or unintended significant risk to the Company as a whole, and that the incentive compensation programs provide incentives that do not encourage risk-taking that is beyond the Company's ability to effectively identify and manage significant risks. Further, the Compensation Committee and management believe that the incentive compensation programs are compatible with effective internal controls and the Company's risk management practices, and are supported by the oversight and administration of the Compensation Committee with regard to executive compensation programs.</w:t>
      </w:r>
    </w:p>
    <w:p>
      <w:pPr>
        <w:spacing w:after="0" w:line="145"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ELEMENTS OF EXECUTIVE COMPENSATION</w:t>
      </w:r>
    </w:p>
    <w:p>
      <w:pPr>
        <w:spacing w:after="0" w:line="207"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Base Salary</w:t>
      </w:r>
    </w:p>
    <w:p>
      <w:pPr>
        <w:spacing w:after="0" w:line="194" w:lineRule="exact"/>
        <w:rPr>
          <w:sz w:val="20"/>
          <w:szCs w:val="20"/>
          <w:color w:val="auto"/>
        </w:rPr>
      </w:pPr>
    </w:p>
    <w:p>
      <w:pPr>
        <w:ind w:right="880"/>
        <w:spacing w:after="0" w:line="275" w:lineRule="auto"/>
        <w:rPr>
          <w:sz w:val="20"/>
          <w:szCs w:val="20"/>
          <w:color w:val="auto"/>
        </w:rPr>
      </w:pPr>
      <w:r>
        <w:rPr>
          <w:rFonts w:ascii="Arial" w:cs="Arial" w:eastAsia="Arial" w:hAnsi="Arial"/>
          <w:sz w:val="16"/>
          <w:szCs w:val="16"/>
          <w:color w:val="auto"/>
        </w:rPr>
        <w:t>The annualized salaries as of fiscal year end 2020 were as follows. As the market benchmarking data remained fairly consistent from fiscal 2019, the Compensation Committee decided to keep the NEOs' base salaries flat year-over-year.</w:t>
      </w:r>
    </w:p>
    <w:p>
      <w:pPr>
        <w:spacing w:after="0" w:line="136" w:lineRule="exact"/>
        <w:rPr>
          <w:sz w:val="20"/>
          <w:szCs w:val="20"/>
          <w:color w:val="auto"/>
        </w:rPr>
      </w:pPr>
    </w:p>
    <w:tbl>
      <w:tblPr>
        <w:tblLayout w:type="fixed"/>
        <w:tblInd w:w="1680" w:type="dxa"/>
        <w:tblCellMar>
          <w:top w:w="0" w:type="dxa"/>
          <w:left w:w="0" w:type="dxa"/>
          <w:bottom w:w="0" w:type="dxa"/>
          <w:right w:w="0" w:type="dxa"/>
        </w:tblCellMar>
      </w:tblPr>
      <w:tr>
        <w:trPr>
          <w:trHeight w:val="149"/>
        </w:trPr>
        <w:tc>
          <w:tcPr>
            <w:tcW w:w="3500" w:type="dxa"/>
            <w:vAlign w:val="bottom"/>
            <w:shd w:val="clear" w:color="auto" w:fill="53C072"/>
          </w:tcPr>
          <w:p>
            <w:pPr>
              <w:spacing w:after="0"/>
              <w:rPr>
                <w:sz w:val="12"/>
                <w:szCs w:val="12"/>
                <w:color w:val="auto"/>
              </w:rPr>
            </w:pPr>
          </w:p>
        </w:tc>
        <w:tc>
          <w:tcPr>
            <w:tcW w:w="3660" w:type="dxa"/>
            <w:vAlign w:val="bottom"/>
            <w:shd w:val="clear" w:color="auto" w:fill="53C072"/>
          </w:tcPr>
          <w:p>
            <w:pPr>
              <w:jc w:val="right"/>
              <w:ind w:right="6"/>
              <w:spacing w:after="0"/>
              <w:rPr>
                <w:sz w:val="20"/>
                <w:szCs w:val="20"/>
                <w:color w:val="auto"/>
              </w:rPr>
            </w:pPr>
            <w:r>
              <w:rPr>
                <w:rFonts w:ascii="Arial" w:cs="Arial" w:eastAsia="Arial" w:hAnsi="Arial"/>
                <w:sz w:val="13"/>
                <w:szCs w:val="13"/>
                <w:b w:val="1"/>
                <w:bCs w:val="1"/>
                <w:color w:val="FFFFFE"/>
              </w:rPr>
              <w:t>2020 FY End</w:t>
            </w:r>
          </w:p>
        </w:tc>
        <w:tc>
          <w:tcPr>
            <w:tcW w:w="72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 Change</w:t>
            </w:r>
          </w:p>
        </w:tc>
        <w:tc>
          <w:tcPr>
            <w:tcW w:w="0" w:type="dxa"/>
            <w:vAlign w:val="bottom"/>
          </w:tcPr>
          <w:p>
            <w:pPr>
              <w:spacing w:after="0"/>
              <w:rPr>
                <w:sz w:val="1"/>
                <w:szCs w:val="1"/>
                <w:color w:val="auto"/>
              </w:rPr>
            </w:pPr>
          </w:p>
        </w:tc>
      </w:tr>
      <w:tr>
        <w:trPr>
          <w:trHeight w:val="146"/>
        </w:trPr>
        <w:tc>
          <w:tcPr>
            <w:tcW w:w="3500" w:type="dxa"/>
            <w:vAlign w:val="bottom"/>
            <w:vMerge w:val="restart"/>
            <w:shd w:val="clear" w:color="auto" w:fill="53C072"/>
          </w:tcPr>
          <w:p>
            <w:pPr>
              <w:ind w:left="20"/>
              <w:spacing w:after="0"/>
              <w:rPr>
                <w:sz w:val="20"/>
                <w:szCs w:val="20"/>
                <w:color w:val="auto"/>
              </w:rPr>
            </w:pPr>
            <w:r>
              <w:rPr>
                <w:rFonts w:ascii="Arial" w:cs="Arial" w:eastAsia="Arial" w:hAnsi="Arial"/>
                <w:sz w:val="13"/>
                <w:szCs w:val="13"/>
                <w:b w:val="1"/>
                <w:bCs w:val="1"/>
                <w:color w:val="FFFFFE"/>
              </w:rPr>
              <w:t>NEO</w:t>
            </w:r>
          </w:p>
        </w:tc>
        <w:tc>
          <w:tcPr>
            <w:tcW w:w="3660" w:type="dxa"/>
            <w:vAlign w:val="bottom"/>
            <w:shd w:val="clear" w:color="auto" w:fill="53C072"/>
          </w:tcPr>
          <w:p>
            <w:pPr>
              <w:jc w:val="right"/>
              <w:ind w:right="6"/>
              <w:spacing w:after="0" w:line="146" w:lineRule="exact"/>
              <w:rPr>
                <w:sz w:val="20"/>
                <w:szCs w:val="20"/>
                <w:color w:val="auto"/>
              </w:rPr>
            </w:pPr>
            <w:r>
              <w:rPr>
                <w:rFonts w:ascii="Arial" w:cs="Arial" w:eastAsia="Arial" w:hAnsi="Arial"/>
                <w:sz w:val="13"/>
                <w:szCs w:val="13"/>
                <w:b w:val="1"/>
                <w:bCs w:val="1"/>
                <w:color w:val="FFFFFE"/>
              </w:rPr>
              <w:t>Annualized</w:t>
            </w:r>
          </w:p>
        </w:tc>
        <w:tc>
          <w:tcPr>
            <w:tcW w:w="72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from 2019</w:t>
            </w:r>
          </w:p>
        </w:tc>
        <w:tc>
          <w:tcPr>
            <w:tcW w:w="0" w:type="dxa"/>
            <w:vAlign w:val="bottom"/>
          </w:tcPr>
          <w:p>
            <w:pPr>
              <w:spacing w:after="0"/>
              <w:rPr>
                <w:sz w:val="1"/>
                <w:szCs w:val="1"/>
                <w:color w:val="auto"/>
              </w:rPr>
            </w:pPr>
          </w:p>
        </w:tc>
      </w:tr>
      <w:tr>
        <w:trPr>
          <w:trHeight w:val="159"/>
        </w:trPr>
        <w:tc>
          <w:tcPr>
            <w:tcW w:w="3500" w:type="dxa"/>
            <w:vAlign w:val="bottom"/>
            <w:vMerge w:val="continue"/>
            <w:shd w:val="clear" w:color="auto" w:fill="53C072"/>
          </w:tcPr>
          <w:p>
            <w:pPr>
              <w:spacing w:after="0"/>
              <w:rPr>
                <w:sz w:val="13"/>
                <w:szCs w:val="13"/>
                <w:color w:val="auto"/>
              </w:rPr>
            </w:pPr>
          </w:p>
        </w:tc>
        <w:tc>
          <w:tcPr>
            <w:tcW w:w="3660" w:type="dxa"/>
            <w:vAlign w:val="bottom"/>
            <w:shd w:val="clear" w:color="auto" w:fill="53C072"/>
          </w:tcPr>
          <w:p>
            <w:pPr>
              <w:jc w:val="right"/>
              <w:ind w:right="6"/>
              <w:spacing w:after="0"/>
              <w:rPr>
                <w:sz w:val="20"/>
                <w:szCs w:val="20"/>
                <w:color w:val="auto"/>
              </w:rPr>
            </w:pPr>
            <w:r>
              <w:rPr>
                <w:rFonts w:ascii="Arial" w:cs="Arial" w:eastAsia="Arial" w:hAnsi="Arial"/>
                <w:sz w:val="13"/>
                <w:szCs w:val="13"/>
                <w:b w:val="1"/>
                <w:bCs w:val="1"/>
                <w:color w:val="FFFFFE"/>
              </w:rPr>
              <w:t>Base Salary</w:t>
            </w:r>
          </w:p>
        </w:tc>
        <w:tc>
          <w:tcPr>
            <w:tcW w:w="72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FY End</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line="182" w:lineRule="exact"/>
              <w:rPr>
                <w:sz w:val="20"/>
                <w:szCs w:val="20"/>
                <w:color w:val="auto"/>
              </w:rPr>
            </w:pPr>
            <w:r>
              <w:rPr>
                <w:rFonts w:ascii="Arial" w:cs="Arial" w:eastAsia="Arial" w:hAnsi="Arial"/>
                <w:sz w:val="16"/>
                <w:szCs w:val="16"/>
                <w:color w:val="auto"/>
              </w:rPr>
              <w:t>Amelio</w:t>
            </w:r>
          </w:p>
        </w:tc>
        <w:tc>
          <w:tcPr>
            <w:tcW w:w="3660" w:type="dxa"/>
            <w:vAlign w:val="bottom"/>
          </w:tcPr>
          <w:p>
            <w:pPr>
              <w:jc w:val="right"/>
              <w:ind w:right="6"/>
              <w:spacing w:after="0" w:line="182" w:lineRule="exact"/>
              <w:rPr>
                <w:sz w:val="20"/>
                <w:szCs w:val="20"/>
                <w:color w:val="auto"/>
              </w:rPr>
            </w:pPr>
            <w:r>
              <w:rPr>
                <w:rFonts w:ascii="Arial" w:cs="Arial" w:eastAsia="Arial" w:hAnsi="Arial"/>
                <w:sz w:val="16"/>
                <w:szCs w:val="16"/>
                <w:color w:val="auto"/>
              </w:rPr>
              <w:t>$1,000,000</w:t>
            </w:r>
          </w:p>
        </w:tc>
        <w:tc>
          <w:tcPr>
            <w:tcW w:w="720" w:type="dxa"/>
            <w:vAlign w:val="bottom"/>
          </w:tcPr>
          <w:p>
            <w:pPr>
              <w:jc w:val="right"/>
              <w:spacing w:after="0" w:line="182" w:lineRule="exact"/>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2"/>
        </w:trPr>
        <w:tc>
          <w:tcPr>
            <w:tcW w:w="3500" w:type="dxa"/>
            <w:vAlign w:val="bottom"/>
            <w:shd w:val="clear" w:color="auto" w:fill="E8F5EA"/>
          </w:tcPr>
          <w:p>
            <w:pPr>
              <w:ind w:left="20"/>
              <w:spacing w:after="0" w:line="182" w:lineRule="exact"/>
              <w:rPr>
                <w:sz w:val="20"/>
                <w:szCs w:val="20"/>
                <w:color w:val="auto"/>
              </w:rPr>
            </w:pPr>
            <w:r>
              <w:rPr>
                <w:rFonts w:ascii="Arial" w:cs="Arial" w:eastAsia="Arial" w:hAnsi="Arial"/>
                <w:sz w:val="16"/>
                <w:szCs w:val="16"/>
                <w:color w:val="auto"/>
              </w:rPr>
              <w:t>Liguori</w:t>
            </w:r>
          </w:p>
        </w:tc>
        <w:tc>
          <w:tcPr>
            <w:tcW w:w="3660" w:type="dxa"/>
            <w:vAlign w:val="bottom"/>
            <w:shd w:val="clear" w:color="auto" w:fill="E8F5EA"/>
          </w:tcPr>
          <w:p>
            <w:pPr>
              <w:jc w:val="right"/>
              <w:ind w:right="6"/>
              <w:spacing w:after="0" w:line="182" w:lineRule="exact"/>
              <w:rPr>
                <w:sz w:val="20"/>
                <w:szCs w:val="20"/>
                <w:color w:val="auto"/>
              </w:rPr>
            </w:pPr>
            <w:r>
              <w:rPr>
                <w:rFonts w:ascii="Arial" w:cs="Arial" w:eastAsia="Arial" w:hAnsi="Arial"/>
                <w:sz w:val="16"/>
                <w:szCs w:val="16"/>
                <w:color w:val="auto"/>
              </w:rPr>
              <w:t>$530,000</w:t>
            </w:r>
          </w:p>
        </w:tc>
        <w:tc>
          <w:tcPr>
            <w:tcW w:w="72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line="182" w:lineRule="exact"/>
              <w:rPr>
                <w:sz w:val="20"/>
                <w:szCs w:val="20"/>
                <w:color w:val="auto"/>
              </w:rPr>
            </w:pPr>
            <w:r>
              <w:rPr>
                <w:rFonts w:ascii="Arial" w:cs="Arial" w:eastAsia="Arial" w:hAnsi="Arial"/>
                <w:sz w:val="16"/>
                <w:szCs w:val="16"/>
                <w:color w:val="auto"/>
              </w:rPr>
              <w:t>Bartolotta</w:t>
            </w:r>
          </w:p>
        </w:tc>
        <w:tc>
          <w:tcPr>
            <w:tcW w:w="3660" w:type="dxa"/>
            <w:vAlign w:val="bottom"/>
          </w:tcPr>
          <w:p>
            <w:pPr>
              <w:jc w:val="right"/>
              <w:ind w:right="6"/>
              <w:spacing w:after="0" w:line="182" w:lineRule="exact"/>
              <w:rPr>
                <w:sz w:val="20"/>
                <w:szCs w:val="20"/>
                <w:color w:val="auto"/>
              </w:rPr>
            </w:pPr>
            <w:r>
              <w:rPr>
                <w:rFonts w:ascii="Arial" w:cs="Arial" w:eastAsia="Arial" w:hAnsi="Arial"/>
                <w:sz w:val="16"/>
                <w:szCs w:val="16"/>
                <w:color w:val="auto"/>
              </w:rPr>
              <w:t>$550,000</w:t>
            </w:r>
          </w:p>
        </w:tc>
        <w:tc>
          <w:tcPr>
            <w:tcW w:w="720" w:type="dxa"/>
            <w:vAlign w:val="bottom"/>
          </w:tcPr>
          <w:p>
            <w:pPr>
              <w:jc w:val="right"/>
              <w:spacing w:after="0" w:line="182" w:lineRule="exact"/>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2"/>
        </w:trPr>
        <w:tc>
          <w:tcPr>
            <w:tcW w:w="3500" w:type="dxa"/>
            <w:vAlign w:val="bottom"/>
            <w:shd w:val="clear" w:color="auto" w:fill="E8F5EA"/>
          </w:tcPr>
          <w:p>
            <w:pPr>
              <w:ind w:left="20"/>
              <w:spacing w:after="0" w:line="182" w:lineRule="exact"/>
              <w:rPr>
                <w:sz w:val="20"/>
                <w:szCs w:val="20"/>
                <w:color w:val="auto"/>
              </w:rPr>
            </w:pPr>
            <w:r>
              <w:rPr>
                <w:rFonts w:ascii="Arial" w:cs="Arial" w:eastAsia="Arial" w:hAnsi="Arial"/>
                <w:sz w:val="16"/>
                <w:szCs w:val="16"/>
                <w:color w:val="auto"/>
              </w:rPr>
              <w:t>Gallagher</w:t>
            </w:r>
          </w:p>
        </w:tc>
        <w:tc>
          <w:tcPr>
            <w:tcW w:w="3660" w:type="dxa"/>
            <w:vAlign w:val="bottom"/>
            <w:shd w:val="clear" w:color="auto" w:fill="E8F5EA"/>
          </w:tcPr>
          <w:p>
            <w:pPr>
              <w:jc w:val="right"/>
              <w:ind w:right="6"/>
              <w:spacing w:after="0" w:line="182" w:lineRule="exact"/>
              <w:rPr>
                <w:sz w:val="20"/>
                <w:szCs w:val="20"/>
                <w:color w:val="auto"/>
              </w:rPr>
            </w:pPr>
            <w:r>
              <w:rPr>
                <w:rFonts w:ascii="Arial" w:cs="Arial" w:eastAsia="Arial" w:hAnsi="Arial"/>
                <w:sz w:val="16"/>
                <w:szCs w:val="16"/>
                <w:color w:val="auto"/>
              </w:rPr>
              <w:t>$565,000</w:t>
            </w:r>
          </w:p>
        </w:tc>
        <w:tc>
          <w:tcPr>
            <w:tcW w:w="72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2"/>
        </w:trPr>
        <w:tc>
          <w:tcPr>
            <w:tcW w:w="3500" w:type="dxa"/>
            <w:vAlign w:val="bottom"/>
          </w:tcPr>
          <w:p>
            <w:pPr>
              <w:ind w:left="20"/>
              <w:spacing w:after="0" w:line="182" w:lineRule="exact"/>
              <w:rPr>
                <w:sz w:val="20"/>
                <w:szCs w:val="20"/>
                <w:color w:val="auto"/>
              </w:rPr>
            </w:pPr>
            <w:r>
              <w:rPr>
                <w:rFonts w:ascii="Arial" w:cs="Arial" w:eastAsia="Arial" w:hAnsi="Arial"/>
                <w:sz w:val="16"/>
                <w:szCs w:val="16"/>
                <w:color w:val="auto"/>
              </w:rPr>
              <w:t>Miller</w:t>
            </w:r>
          </w:p>
        </w:tc>
        <w:tc>
          <w:tcPr>
            <w:tcW w:w="3660" w:type="dxa"/>
            <w:vAlign w:val="bottom"/>
          </w:tcPr>
          <w:p>
            <w:pPr>
              <w:jc w:val="right"/>
              <w:ind w:right="6"/>
              <w:spacing w:after="0" w:line="182" w:lineRule="exact"/>
              <w:rPr>
                <w:sz w:val="20"/>
                <w:szCs w:val="20"/>
                <w:color w:val="auto"/>
              </w:rPr>
            </w:pPr>
            <w:r>
              <w:rPr>
                <w:rFonts w:ascii="Arial" w:cs="Arial" w:eastAsia="Arial" w:hAnsi="Arial"/>
                <w:sz w:val="16"/>
                <w:szCs w:val="16"/>
                <w:color w:val="auto"/>
              </w:rPr>
              <w:t>$540,000</w:t>
            </w:r>
          </w:p>
        </w:tc>
        <w:tc>
          <w:tcPr>
            <w:tcW w:w="720" w:type="dxa"/>
            <w:vAlign w:val="bottom"/>
          </w:tcPr>
          <w:p>
            <w:pPr>
              <w:jc w:val="right"/>
              <w:spacing w:after="0" w:line="182" w:lineRule="exact"/>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2"/>
        </w:trPr>
        <w:tc>
          <w:tcPr>
            <w:tcW w:w="3500" w:type="dxa"/>
            <w:vAlign w:val="bottom"/>
            <w:shd w:val="clear" w:color="auto" w:fill="E8F5EA"/>
          </w:tcPr>
          <w:p>
            <w:pPr>
              <w:ind w:left="20"/>
              <w:spacing w:after="0" w:line="182" w:lineRule="exact"/>
              <w:rPr>
                <w:sz w:val="20"/>
                <w:szCs w:val="20"/>
                <w:color w:val="auto"/>
              </w:rPr>
            </w:pPr>
            <w:r>
              <w:rPr>
                <w:rFonts w:ascii="Arial" w:cs="Arial" w:eastAsia="Arial" w:hAnsi="Arial"/>
                <w:sz w:val="16"/>
                <w:szCs w:val="16"/>
                <w:color w:val="auto"/>
              </w:rPr>
              <w:t>O'Neill</w:t>
            </w:r>
          </w:p>
        </w:tc>
        <w:tc>
          <w:tcPr>
            <w:tcW w:w="3660" w:type="dxa"/>
            <w:vAlign w:val="bottom"/>
            <w:shd w:val="clear" w:color="auto" w:fill="E8F5EA"/>
          </w:tcPr>
          <w:p>
            <w:pPr>
              <w:jc w:val="right"/>
              <w:ind w:right="6"/>
              <w:spacing w:after="0" w:line="182" w:lineRule="exact"/>
              <w:rPr>
                <w:sz w:val="20"/>
                <w:szCs w:val="20"/>
                <w:color w:val="auto"/>
              </w:rPr>
            </w:pPr>
            <w:r>
              <w:rPr>
                <w:rFonts w:ascii="Arial" w:cs="Arial" w:eastAsia="Arial" w:hAnsi="Arial"/>
                <w:sz w:val="16"/>
                <w:szCs w:val="16"/>
                <w:color w:val="auto"/>
              </w:rPr>
              <w:t>$540,000</w:t>
            </w:r>
          </w:p>
        </w:tc>
        <w:tc>
          <w:tcPr>
            <w:tcW w:w="72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10720"/>
        <w:spacing w:after="0"/>
        <w:tabs>
          <w:tab w:leader="none" w:pos="11060" w:val="left"/>
        </w:tabs>
        <w:rPr>
          <w:sz w:val="20"/>
          <w:szCs w:val="20"/>
          <w:color w:val="auto"/>
        </w:rPr>
      </w:pPr>
      <w:r>
        <w:rPr>
          <w:rFonts w:ascii="Arial" w:cs="Arial" w:eastAsia="Arial" w:hAnsi="Arial"/>
          <w:sz w:val="23"/>
          <w:szCs w:val="23"/>
          <w:b w:val="1"/>
          <w:bCs w:val="1"/>
          <w:color w:val="53C072"/>
        </w:rPr>
        <w:t>|</w:t>
      </w:r>
      <w:r>
        <w:rPr>
          <w:sz w:val="20"/>
          <w:szCs w:val="20"/>
          <w:color w:val="auto"/>
        </w:rPr>
        <w:tab/>
      </w: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7151370" cy="203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-130175</wp:posOffset>
            </wp:positionV>
            <wp:extent cx="1664970" cy="1231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0" w:name="page51"/>
    <w:bookmarkEnd w:id="50"/>
    <w:tbl>
      <w:tblPr>
        <w:tblLayout w:type="fixed"/>
        <w:tblInd w:w="3" w:type="dxa"/>
        <w:tblCellMar>
          <w:top w:w="0" w:type="dxa"/>
          <w:left w:w="0" w:type="dxa"/>
          <w:bottom w:w="0" w:type="dxa"/>
          <w:right w:w="0" w:type="dxa"/>
        </w:tblCellMar>
      </w:tblPr>
      <w:tr>
        <w:trPr>
          <w:trHeight w:val="213"/>
        </w:trPr>
        <w:tc>
          <w:tcPr>
            <w:tcW w:w="512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6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12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6140" w:type="dxa"/>
            <w:vAlign w:val="bottom"/>
            <w:vMerge w:val="restart"/>
          </w:tcPr>
          <w:p>
            <w:pPr>
              <w:ind w:left="3880"/>
              <w:spacing w:after="0"/>
              <w:rPr>
                <w:sz w:val="20"/>
                <w:szCs w:val="20"/>
                <w:color w:val="auto"/>
              </w:rPr>
            </w:pPr>
            <w:r>
              <w:rPr>
                <w:rFonts w:ascii="Arial" w:cs="Arial" w:eastAsia="Arial" w:hAnsi="Arial"/>
                <w:sz w:val="13"/>
                <w:szCs w:val="13"/>
                <w:color w:val="auto"/>
                <w:w w:val="98"/>
              </w:rPr>
              <w:t>Compensation Discussion and Analysis</w:t>
            </w:r>
          </w:p>
        </w:tc>
        <w:tc>
          <w:tcPr>
            <w:tcW w:w="0" w:type="dxa"/>
            <w:vAlign w:val="bottom"/>
          </w:tcPr>
          <w:p>
            <w:pPr>
              <w:spacing w:after="0"/>
              <w:rPr>
                <w:sz w:val="1"/>
                <w:szCs w:val="1"/>
                <w:color w:val="auto"/>
              </w:rPr>
            </w:pPr>
          </w:p>
        </w:tc>
      </w:tr>
      <w:tr>
        <w:trPr>
          <w:trHeight w:val="102"/>
        </w:trPr>
        <w:tc>
          <w:tcPr>
            <w:tcW w:w="512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6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120" w:type="dxa"/>
            <w:vAlign w:val="bottom"/>
            <w:vMerge w:val="continue"/>
          </w:tcPr>
          <w:p>
            <w:pPr>
              <w:spacing w:after="0"/>
              <w:rPr>
                <w:sz w:val="7"/>
                <w:szCs w:val="7"/>
                <w:color w:val="auto"/>
              </w:rPr>
            </w:pPr>
          </w:p>
        </w:tc>
        <w:tc>
          <w:tcPr>
            <w:tcW w:w="6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left="3" w:right="120"/>
        <w:spacing w:after="0" w:line="256" w:lineRule="auto"/>
        <w:rPr>
          <w:sz w:val="20"/>
          <w:szCs w:val="20"/>
          <w:color w:val="auto"/>
        </w:rPr>
      </w:pPr>
      <w:r>
        <w:rPr>
          <w:rFonts w:ascii="Arial" w:cs="Arial" w:eastAsia="Arial" w:hAnsi="Arial"/>
          <w:sz w:val="16"/>
          <w:szCs w:val="16"/>
          <w:color w:val="auto"/>
        </w:rPr>
        <w:t>The Company generally implements base salary increases for executive officers on a fiscal year basis, although it may consider mid-year increases in the event of a promotion. In determining increases to base salaries, the Compensation Committee considers the benchmarking data, the NEO's experience in the position and the long-term performance of the individual NEO.</w:t>
      </w:r>
    </w:p>
    <w:p>
      <w:pPr>
        <w:spacing w:after="0" w:line="150" w:lineRule="exact"/>
        <w:rPr>
          <w:sz w:val="20"/>
          <w:szCs w:val="20"/>
          <w:color w:val="auto"/>
        </w:rPr>
      </w:pPr>
    </w:p>
    <w:p>
      <w:pPr>
        <w:ind w:left="483"/>
        <w:spacing w:after="0"/>
        <w:rPr>
          <w:sz w:val="20"/>
          <w:szCs w:val="20"/>
          <w:color w:val="auto"/>
        </w:rPr>
      </w:pPr>
      <w:r>
        <w:rPr>
          <w:rFonts w:ascii="Arial" w:cs="Arial" w:eastAsia="Arial" w:hAnsi="Arial"/>
          <w:sz w:val="16"/>
          <w:szCs w:val="16"/>
          <w:b w:val="1"/>
          <w:bCs w:val="1"/>
          <w:color w:val="auto"/>
        </w:rPr>
        <w:t>Annual Cash Incentives</w:t>
      </w:r>
    </w:p>
    <w:p>
      <w:pPr>
        <w:spacing w:after="0" w:line="194" w:lineRule="exact"/>
        <w:rPr>
          <w:sz w:val="20"/>
          <w:szCs w:val="20"/>
          <w:color w:val="auto"/>
        </w:rPr>
      </w:pPr>
    </w:p>
    <w:p>
      <w:pPr>
        <w:ind w:left="3" w:right="20"/>
        <w:spacing w:after="0" w:line="250" w:lineRule="auto"/>
        <w:rPr>
          <w:sz w:val="20"/>
          <w:szCs w:val="20"/>
          <w:color w:val="auto"/>
        </w:rPr>
      </w:pPr>
      <w:r>
        <w:rPr>
          <w:rFonts w:ascii="Arial" w:cs="Arial" w:eastAsia="Arial" w:hAnsi="Arial"/>
          <w:sz w:val="16"/>
          <w:szCs w:val="16"/>
          <w:color w:val="auto"/>
        </w:rPr>
        <w:t>For fiscal 2020, the Compensation Committee approved the NEOs participation in the Company's short-term incentive plan, whereby they were eligible to receive annual cash incentive compensation based on the financial performance of the Company against pre-established strategic goals as set forth in the following table. The design included a discretionary modifier, which permitted the Compensation Committee to adjust the amount of the final payout up to plus or minus 20% to recognize critical performance factors and industry conditions.</w:t>
      </w:r>
    </w:p>
    <w:p>
      <w:pPr>
        <w:sectPr>
          <w:pgSz w:w="11900" w:h="16838" w:orient="portrait"/>
          <w:cols w:equalWidth="0" w:num="1">
            <w:col w:w="11263"/>
          </w:cols>
          <w:pgMar w:left="317" w:top="122" w:right="319" w:bottom="1440" w:gutter="0" w:footer="0" w:header="0"/>
        </w:sectPr>
      </w:pPr>
    </w:p>
    <w:p>
      <w:pPr>
        <w:spacing w:after="0" w:line="305" w:lineRule="exact"/>
        <w:rPr>
          <w:sz w:val="20"/>
          <w:szCs w:val="20"/>
          <w:color w:val="auto"/>
        </w:rPr>
      </w:pPr>
    </w:p>
    <w:p>
      <w:pPr>
        <w:ind w:left="163"/>
        <w:spacing w:after="0"/>
        <w:rPr>
          <w:sz w:val="20"/>
          <w:szCs w:val="20"/>
          <w:color w:val="auto"/>
        </w:rPr>
      </w:pPr>
      <w:r>
        <w:rPr>
          <w:rFonts w:ascii="Arial" w:cs="Arial" w:eastAsia="Arial" w:hAnsi="Arial"/>
          <w:sz w:val="13"/>
          <w:szCs w:val="13"/>
          <w:b w:val="1"/>
          <w:bCs w:val="1"/>
          <w:color w:val="FFFFFE"/>
        </w:rPr>
        <w:t>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620" cy="3467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20" cy="346710"/>
                    </a:xfrm>
                    <a:prstGeom prst="rect">
                      <a:avLst/>
                    </a:prstGeom>
                    <a:noFill/>
                  </pic:spPr>
                </pic:pic>
              </a:graphicData>
            </a:graphic>
          </wp:anchor>
        </w:drawing>
      </w:r>
    </w:p>
    <w:p>
      <w:pPr>
        <w:spacing w:after="0" w:line="337" w:lineRule="exact"/>
        <w:rPr>
          <w:sz w:val="20"/>
          <w:szCs w:val="20"/>
          <w:color w:val="auto"/>
        </w:rPr>
      </w:pPr>
    </w:p>
    <w:p>
      <w:pPr>
        <w:ind w:left="163"/>
        <w:spacing w:after="0" w:line="290" w:lineRule="auto"/>
        <w:rPr>
          <w:sz w:val="20"/>
          <w:szCs w:val="20"/>
          <w:color w:val="auto"/>
        </w:rPr>
      </w:pPr>
      <w:r>
        <w:rPr>
          <w:rFonts w:ascii="Arial" w:cs="Arial" w:eastAsia="Arial" w:hAnsi="Arial"/>
          <w:sz w:val="16"/>
          <w:szCs w:val="16"/>
          <w:color w:val="auto"/>
        </w:rPr>
        <w:t>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-147320</wp:posOffset>
            </wp:positionV>
            <wp:extent cx="7620" cy="2387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20" cy="2387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0" w:type="dxa"/>
            <w:vAlign w:val="bottom"/>
            <w:vMerge w:val="restart"/>
          </w:tcPr>
          <w:p>
            <w:pPr>
              <w:jc w:val="center"/>
              <w:ind w:right="108"/>
              <w:spacing w:after="0"/>
              <w:rPr>
                <w:sz w:val="20"/>
                <w:szCs w:val="20"/>
                <w:color w:val="auto"/>
              </w:rPr>
            </w:pPr>
            <w:r>
              <w:rPr>
                <w:rFonts w:ascii="Arial" w:cs="Arial" w:eastAsia="Arial" w:hAnsi="Arial"/>
                <w:sz w:val="13"/>
                <w:szCs w:val="13"/>
                <w:b w:val="1"/>
                <w:bCs w:val="1"/>
                <w:color w:val="FFFFFE"/>
                <w:w w:val="98"/>
              </w:rPr>
              <w:t>Weighting</w:t>
            </w:r>
          </w:p>
        </w:tc>
        <w:tc>
          <w:tcPr>
            <w:tcW w:w="3260" w:type="dxa"/>
            <w:vAlign w:val="bottom"/>
            <w:vMerge w:val="restart"/>
          </w:tcPr>
          <w:p>
            <w:pPr>
              <w:ind w:left="640"/>
              <w:spacing w:after="0"/>
              <w:rPr>
                <w:sz w:val="20"/>
                <w:szCs w:val="20"/>
                <w:color w:val="auto"/>
              </w:rPr>
            </w:pPr>
            <w:r>
              <w:rPr>
                <w:rFonts w:ascii="Arial" w:cs="Arial" w:eastAsia="Arial" w:hAnsi="Arial"/>
                <w:sz w:val="13"/>
                <w:szCs w:val="13"/>
                <w:b w:val="1"/>
                <w:bCs w:val="1"/>
                <w:color w:val="FFFFFE"/>
              </w:rPr>
              <w:t>Financial Performance Metrics</w:t>
            </w:r>
          </w:p>
        </w:tc>
        <w:tc>
          <w:tcPr>
            <w:tcW w:w="940" w:type="dxa"/>
            <w:vAlign w:val="bottom"/>
            <w:vMerge w:val="restart"/>
          </w:tcPr>
          <w:p>
            <w:pPr>
              <w:ind w:left="100"/>
              <w:spacing w:after="0"/>
              <w:rPr>
                <w:sz w:val="20"/>
                <w:szCs w:val="20"/>
                <w:color w:val="auto"/>
              </w:rPr>
            </w:pPr>
            <w:r>
              <w:rPr>
                <w:rFonts w:ascii="Arial" w:cs="Arial" w:eastAsia="Arial" w:hAnsi="Arial"/>
                <w:sz w:val="13"/>
                <w:szCs w:val="13"/>
                <w:b w:val="1"/>
                <w:bCs w:val="1"/>
                <w:color w:val="FFFFFE"/>
              </w:rPr>
              <w:t>Weighting</w:t>
            </w:r>
          </w:p>
        </w:tc>
        <w:tc>
          <w:tcPr>
            <w:tcW w:w="4900" w:type="dxa"/>
            <w:vAlign w:val="bottom"/>
          </w:tcPr>
          <w:p>
            <w:pPr>
              <w:jc w:val="center"/>
              <w:ind w:right="46"/>
              <w:spacing w:after="0"/>
              <w:rPr>
                <w:sz w:val="20"/>
                <w:szCs w:val="20"/>
                <w:color w:val="auto"/>
              </w:rPr>
            </w:pPr>
            <w:r>
              <w:rPr>
                <w:rFonts w:ascii="Arial" w:cs="Arial" w:eastAsia="Arial" w:hAnsi="Arial"/>
                <w:sz w:val="13"/>
                <w:szCs w:val="13"/>
                <w:b w:val="1"/>
                <w:bCs w:val="1"/>
                <w:color w:val="FFFFFE"/>
                <w:w w:val="95"/>
              </w:rPr>
              <w:t>Target</w:t>
            </w:r>
          </w:p>
        </w:tc>
        <w:tc>
          <w:tcPr>
            <w:tcW w:w="0" w:type="dxa"/>
            <w:vAlign w:val="bottom"/>
          </w:tcPr>
          <w:p>
            <w:pPr>
              <w:spacing w:after="0"/>
              <w:rPr>
                <w:sz w:val="1"/>
                <w:szCs w:val="1"/>
                <w:color w:val="auto"/>
              </w:rPr>
            </w:pPr>
          </w:p>
        </w:tc>
      </w:tr>
      <w:tr>
        <w:trPr>
          <w:trHeight w:val="159"/>
        </w:trPr>
        <w:tc>
          <w:tcPr>
            <w:tcW w:w="800" w:type="dxa"/>
            <w:vAlign w:val="bottom"/>
            <w:vMerge w:val="continue"/>
          </w:tcPr>
          <w:p>
            <w:pPr>
              <w:spacing w:after="0"/>
              <w:rPr>
                <w:sz w:val="13"/>
                <w:szCs w:val="13"/>
                <w:color w:val="auto"/>
              </w:rPr>
            </w:pPr>
          </w:p>
        </w:tc>
        <w:tc>
          <w:tcPr>
            <w:tcW w:w="326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4900" w:type="dxa"/>
            <w:vAlign w:val="bottom"/>
          </w:tcPr>
          <w:p>
            <w:pPr>
              <w:jc w:val="center"/>
              <w:ind w:right="26"/>
              <w:spacing w:after="0"/>
              <w:rPr>
                <w:sz w:val="20"/>
                <w:szCs w:val="20"/>
                <w:color w:val="auto"/>
              </w:rPr>
            </w:pPr>
            <w:r>
              <w:rPr>
                <w:rFonts w:ascii="Arial" w:cs="Arial" w:eastAsia="Arial" w:hAnsi="Arial"/>
                <w:sz w:val="13"/>
                <w:szCs w:val="13"/>
                <w:b w:val="1"/>
                <w:bCs w:val="1"/>
                <w:color w:val="FFFFFE"/>
                <w:w w:val="99"/>
              </w:rPr>
              <w:t>Performance Goal</w:t>
            </w:r>
          </w:p>
        </w:tc>
        <w:tc>
          <w:tcPr>
            <w:tcW w:w="0" w:type="dxa"/>
            <w:vAlign w:val="bottom"/>
          </w:tcPr>
          <w:p>
            <w:pPr>
              <w:spacing w:after="0"/>
              <w:rPr>
                <w:sz w:val="1"/>
                <w:szCs w:val="1"/>
                <w:color w:val="auto"/>
              </w:rPr>
            </w:pPr>
          </w:p>
        </w:tc>
      </w:tr>
      <w:tr>
        <w:trPr>
          <w:trHeight w:val="213"/>
        </w:trPr>
        <w:tc>
          <w:tcPr>
            <w:tcW w:w="800" w:type="dxa"/>
            <w:vAlign w:val="bottom"/>
            <w:tcBorders>
              <w:right w:val="single" w:sz="8" w:color="53C072"/>
            </w:tcBorders>
            <w:vMerge w:val="restart"/>
          </w:tcPr>
          <w:p>
            <w:pPr>
              <w:jc w:val="right"/>
              <w:ind w:right="228"/>
              <w:spacing w:after="0"/>
              <w:rPr>
                <w:sz w:val="20"/>
                <w:szCs w:val="20"/>
                <w:color w:val="auto"/>
              </w:rPr>
            </w:pPr>
            <w:r>
              <w:rPr>
                <w:rFonts w:ascii="Arial" w:cs="Arial" w:eastAsia="Arial" w:hAnsi="Arial"/>
                <w:sz w:val="16"/>
                <w:szCs w:val="16"/>
                <w:color w:val="auto"/>
              </w:rPr>
              <w:t>100%</w:t>
            </w:r>
          </w:p>
        </w:tc>
        <w:tc>
          <w:tcPr>
            <w:tcW w:w="3260" w:type="dxa"/>
            <w:vAlign w:val="bottom"/>
            <w:tcBorders>
              <w:right w:val="single" w:sz="8" w:color="53C072"/>
            </w:tcBorders>
          </w:tcPr>
          <w:p>
            <w:pPr>
              <w:ind w:left="80"/>
              <w:spacing w:after="0"/>
              <w:rPr>
                <w:sz w:val="20"/>
                <w:szCs w:val="20"/>
                <w:color w:val="auto"/>
              </w:rPr>
            </w:pPr>
            <w:r>
              <w:rPr>
                <w:rFonts w:ascii="Arial" w:cs="Arial" w:eastAsia="Arial" w:hAnsi="Arial"/>
                <w:sz w:val="16"/>
                <w:szCs w:val="16"/>
                <w:color w:val="auto"/>
              </w:rPr>
              <w:t>Operating Income $</w:t>
            </w:r>
          </w:p>
        </w:tc>
        <w:tc>
          <w:tcPr>
            <w:tcW w:w="940" w:type="dxa"/>
            <w:vAlign w:val="bottom"/>
            <w:tcBorders>
              <w:right w:val="single" w:sz="8" w:color="53C072"/>
            </w:tcBorders>
          </w:tcPr>
          <w:p>
            <w:pPr>
              <w:jc w:val="center"/>
              <w:ind w:right="24"/>
              <w:spacing w:after="0"/>
              <w:rPr>
                <w:sz w:val="20"/>
                <w:szCs w:val="20"/>
                <w:color w:val="auto"/>
              </w:rPr>
            </w:pPr>
            <w:r>
              <w:rPr>
                <w:rFonts w:ascii="Arial" w:cs="Arial" w:eastAsia="Arial" w:hAnsi="Arial"/>
                <w:sz w:val="16"/>
                <w:szCs w:val="16"/>
                <w:color w:val="auto"/>
                <w:w w:val="99"/>
              </w:rPr>
              <w:t>40%</w:t>
            </w:r>
          </w:p>
        </w:tc>
        <w:tc>
          <w:tcPr>
            <w:tcW w:w="4900" w:type="dxa"/>
            <w:vAlign w:val="bottom"/>
            <w:tcBorders>
              <w:right w:val="single" w:sz="8" w:color="53C072"/>
            </w:tcBorders>
          </w:tcPr>
          <w:p>
            <w:pPr>
              <w:jc w:val="center"/>
              <w:ind w:right="26"/>
              <w:spacing w:after="0"/>
              <w:rPr>
                <w:sz w:val="20"/>
                <w:szCs w:val="20"/>
                <w:color w:val="auto"/>
              </w:rPr>
            </w:pPr>
            <w:r>
              <w:rPr>
                <w:rFonts w:ascii="Arial" w:cs="Arial" w:eastAsia="Arial" w:hAnsi="Arial"/>
                <w:sz w:val="16"/>
                <w:szCs w:val="16"/>
                <w:color w:val="auto"/>
                <w:w w:val="98"/>
              </w:rPr>
              <w:t>$548.6</w:t>
            </w:r>
          </w:p>
        </w:tc>
        <w:tc>
          <w:tcPr>
            <w:tcW w:w="0" w:type="dxa"/>
            <w:vAlign w:val="bottom"/>
          </w:tcPr>
          <w:p>
            <w:pPr>
              <w:spacing w:after="0"/>
              <w:rPr>
                <w:sz w:val="1"/>
                <w:szCs w:val="1"/>
                <w:color w:val="auto"/>
              </w:rPr>
            </w:pPr>
          </w:p>
        </w:tc>
      </w:tr>
      <w:tr>
        <w:trPr>
          <w:trHeight w:val="333"/>
        </w:trPr>
        <w:tc>
          <w:tcPr>
            <w:tcW w:w="800" w:type="dxa"/>
            <w:vAlign w:val="bottom"/>
            <w:tcBorders>
              <w:right w:val="single" w:sz="8" w:color="53C072"/>
            </w:tcBorders>
            <w:vMerge w:val="continue"/>
          </w:tcPr>
          <w:p>
            <w:pPr>
              <w:spacing w:after="0"/>
              <w:rPr>
                <w:sz w:val="24"/>
                <w:szCs w:val="24"/>
                <w:color w:val="auto"/>
              </w:rPr>
            </w:pPr>
          </w:p>
        </w:tc>
        <w:tc>
          <w:tcPr>
            <w:tcW w:w="3260" w:type="dxa"/>
            <w:vAlign w:val="bottom"/>
            <w:tcBorders>
              <w:bottom w:val="single" w:sz="8" w:color="53C072"/>
              <w:right w:val="single" w:sz="8" w:color="53C072"/>
            </w:tcBorders>
          </w:tcPr>
          <w:p>
            <w:pPr>
              <w:spacing w:after="0"/>
              <w:rPr>
                <w:sz w:val="24"/>
                <w:szCs w:val="24"/>
                <w:color w:val="auto"/>
              </w:rPr>
            </w:pPr>
          </w:p>
        </w:tc>
        <w:tc>
          <w:tcPr>
            <w:tcW w:w="940" w:type="dxa"/>
            <w:vAlign w:val="bottom"/>
            <w:tcBorders>
              <w:bottom w:val="single" w:sz="8" w:color="53C072"/>
              <w:right w:val="single" w:sz="8" w:color="53C072"/>
            </w:tcBorders>
          </w:tcPr>
          <w:p>
            <w:pPr>
              <w:spacing w:after="0"/>
              <w:rPr>
                <w:sz w:val="24"/>
                <w:szCs w:val="24"/>
                <w:color w:val="auto"/>
              </w:rPr>
            </w:pPr>
          </w:p>
        </w:tc>
        <w:tc>
          <w:tcPr>
            <w:tcW w:w="4900" w:type="dxa"/>
            <w:vAlign w:val="bottom"/>
            <w:tcBorders>
              <w:bottom w:val="single" w:sz="8" w:color="53C072"/>
              <w:right w:val="single" w:sz="8" w:color="53C072"/>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800" w:type="dxa"/>
            <w:vAlign w:val="bottom"/>
            <w:tcBorders>
              <w:right w:val="single" w:sz="8" w:color="53C072"/>
            </w:tcBorders>
            <w:vMerge w:val="continue"/>
          </w:tcPr>
          <w:p>
            <w:pPr>
              <w:spacing w:after="0"/>
              <w:rPr>
                <w:sz w:val="15"/>
                <w:szCs w:val="15"/>
                <w:color w:val="auto"/>
              </w:rPr>
            </w:pPr>
          </w:p>
        </w:tc>
        <w:tc>
          <w:tcPr>
            <w:tcW w:w="3260" w:type="dxa"/>
            <w:vAlign w:val="bottom"/>
            <w:tcBorders>
              <w:bottom w:val="single" w:sz="8" w:color="53C072"/>
              <w:right w:val="single" w:sz="8" w:color="53C072"/>
            </w:tcBorders>
          </w:tcPr>
          <w:p>
            <w:pPr>
              <w:ind w:left="80"/>
              <w:spacing w:after="0" w:line="175" w:lineRule="exact"/>
              <w:rPr>
                <w:sz w:val="20"/>
                <w:szCs w:val="20"/>
                <w:color w:val="auto"/>
              </w:rPr>
            </w:pPr>
            <w:r>
              <w:rPr>
                <w:rFonts w:ascii="Arial" w:cs="Arial" w:eastAsia="Arial" w:hAnsi="Arial"/>
                <w:sz w:val="16"/>
                <w:szCs w:val="16"/>
                <w:color w:val="auto"/>
              </w:rPr>
              <w:t>Gross Profit $</w:t>
            </w:r>
          </w:p>
        </w:tc>
        <w:tc>
          <w:tcPr>
            <w:tcW w:w="940" w:type="dxa"/>
            <w:vAlign w:val="bottom"/>
            <w:tcBorders>
              <w:bottom w:val="single" w:sz="8" w:color="53C072"/>
              <w:right w:val="single" w:sz="8" w:color="53C072"/>
            </w:tcBorders>
          </w:tcPr>
          <w:p>
            <w:pPr>
              <w:jc w:val="center"/>
              <w:ind w:right="24"/>
              <w:spacing w:after="0" w:line="175" w:lineRule="exact"/>
              <w:rPr>
                <w:sz w:val="20"/>
                <w:szCs w:val="20"/>
                <w:color w:val="auto"/>
              </w:rPr>
            </w:pPr>
            <w:r>
              <w:rPr>
                <w:rFonts w:ascii="Arial" w:cs="Arial" w:eastAsia="Arial" w:hAnsi="Arial"/>
                <w:sz w:val="16"/>
                <w:szCs w:val="16"/>
                <w:color w:val="auto"/>
                <w:w w:val="99"/>
              </w:rPr>
              <w:t>30%</w:t>
            </w:r>
          </w:p>
        </w:tc>
        <w:tc>
          <w:tcPr>
            <w:tcW w:w="4900" w:type="dxa"/>
            <w:vAlign w:val="bottom"/>
            <w:tcBorders>
              <w:bottom w:val="single" w:sz="8" w:color="53C072"/>
              <w:right w:val="single" w:sz="8" w:color="53C072"/>
            </w:tcBorders>
          </w:tcPr>
          <w:p>
            <w:pPr>
              <w:jc w:val="center"/>
              <w:ind w:right="46"/>
              <w:spacing w:after="0" w:line="175" w:lineRule="exact"/>
              <w:rPr>
                <w:sz w:val="20"/>
                <w:szCs w:val="20"/>
                <w:color w:val="auto"/>
              </w:rPr>
            </w:pPr>
            <w:r>
              <w:rPr>
                <w:rFonts w:ascii="Arial" w:cs="Arial" w:eastAsia="Arial" w:hAnsi="Arial"/>
                <w:sz w:val="16"/>
                <w:szCs w:val="16"/>
                <w:color w:val="auto"/>
                <w:w w:val="99"/>
              </w:rPr>
              <w:t>$2,354.4</w:t>
            </w:r>
          </w:p>
        </w:tc>
        <w:tc>
          <w:tcPr>
            <w:tcW w:w="0" w:type="dxa"/>
            <w:vAlign w:val="bottom"/>
          </w:tcPr>
          <w:p>
            <w:pPr>
              <w:spacing w:after="0"/>
              <w:rPr>
                <w:sz w:val="1"/>
                <w:szCs w:val="1"/>
                <w:color w:val="auto"/>
              </w:rPr>
            </w:pPr>
          </w:p>
        </w:tc>
      </w:tr>
      <w:tr>
        <w:trPr>
          <w:trHeight w:val="174"/>
        </w:trPr>
        <w:tc>
          <w:tcPr>
            <w:tcW w:w="800" w:type="dxa"/>
            <w:vAlign w:val="bottom"/>
            <w:tcBorders>
              <w:right w:val="single" w:sz="8" w:color="53C072"/>
            </w:tcBorders>
          </w:tcPr>
          <w:p>
            <w:pPr>
              <w:spacing w:after="0"/>
              <w:rPr>
                <w:sz w:val="15"/>
                <w:szCs w:val="15"/>
                <w:color w:val="auto"/>
              </w:rPr>
            </w:pPr>
          </w:p>
        </w:tc>
        <w:tc>
          <w:tcPr>
            <w:tcW w:w="3260" w:type="dxa"/>
            <w:vAlign w:val="bottom"/>
            <w:tcBorders>
              <w:bottom w:val="single" w:sz="8" w:color="53C072"/>
              <w:right w:val="single" w:sz="8" w:color="53C072"/>
            </w:tcBorders>
          </w:tcPr>
          <w:p>
            <w:pPr>
              <w:ind w:left="80"/>
              <w:spacing w:after="0" w:line="175" w:lineRule="exact"/>
              <w:rPr>
                <w:sz w:val="20"/>
                <w:szCs w:val="20"/>
                <w:color w:val="auto"/>
              </w:rPr>
            </w:pPr>
            <w:r>
              <w:rPr>
                <w:rFonts w:ascii="Arial" w:cs="Arial" w:eastAsia="Arial" w:hAnsi="Arial"/>
                <w:sz w:val="16"/>
                <w:szCs w:val="16"/>
                <w:color w:val="auto"/>
              </w:rPr>
              <w:t>Net Working Capital Days</w:t>
            </w:r>
          </w:p>
        </w:tc>
        <w:tc>
          <w:tcPr>
            <w:tcW w:w="940" w:type="dxa"/>
            <w:vAlign w:val="bottom"/>
            <w:tcBorders>
              <w:bottom w:val="single" w:sz="8" w:color="53C072"/>
              <w:right w:val="single" w:sz="8" w:color="53C072"/>
            </w:tcBorders>
          </w:tcPr>
          <w:p>
            <w:pPr>
              <w:jc w:val="center"/>
              <w:ind w:right="24"/>
              <w:spacing w:after="0" w:line="175" w:lineRule="exact"/>
              <w:rPr>
                <w:sz w:val="20"/>
                <w:szCs w:val="20"/>
                <w:color w:val="auto"/>
              </w:rPr>
            </w:pPr>
            <w:r>
              <w:rPr>
                <w:rFonts w:ascii="Arial" w:cs="Arial" w:eastAsia="Arial" w:hAnsi="Arial"/>
                <w:sz w:val="16"/>
                <w:szCs w:val="16"/>
                <w:color w:val="auto"/>
                <w:w w:val="99"/>
              </w:rPr>
              <w:t>30%</w:t>
            </w:r>
          </w:p>
        </w:tc>
        <w:tc>
          <w:tcPr>
            <w:tcW w:w="4900" w:type="dxa"/>
            <w:vAlign w:val="bottom"/>
            <w:tcBorders>
              <w:bottom w:val="single" w:sz="8" w:color="53C072"/>
              <w:right w:val="single" w:sz="8" w:color="53C072"/>
            </w:tcBorders>
          </w:tcPr>
          <w:p>
            <w:pPr>
              <w:jc w:val="center"/>
              <w:ind w:right="26"/>
              <w:spacing w:after="0" w:line="175" w:lineRule="exact"/>
              <w:rPr>
                <w:sz w:val="20"/>
                <w:szCs w:val="20"/>
                <w:color w:val="auto"/>
              </w:rPr>
            </w:pPr>
            <w:r>
              <w:rPr>
                <w:rFonts w:ascii="Arial" w:cs="Arial" w:eastAsia="Arial" w:hAnsi="Arial"/>
                <w:sz w:val="16"/>
                <w:szCs w:val="16"/>
                <w:color w:val="auto"/>
                <w:w w:val="99"/>
              </w:rPr>
              <w:t>85.19</w:t>
            </w:r>
          </w:p>
        </w:tc>
        <w:tc>
          <w:tcPr>
            <w:tcW w:w="0" w:type="dxa"/>
            <w:vAlign w:val="bottom"/>
          </w:tcPr>
          <w:p>
            <w:pPr>
              <w:spacing w:after="0"/>
              <w:rPr>
                <w:sz w:val="1"/>
                <w:szCs w:val="1"/>
                <w:color w:val="auto"/>
              </w:rPr>
            </w:pPr>
          </w:p>
        </w:tc>
      </w:tr>
      <w:tr>
        <w:trPr>
          <w:trHeight w:val="186"/>
        </w:trPr>
        <w:tc>
          <w:tcPr>
            <w:tcW w:w="800" w:type="dxa"/>
            <w:vAlign w:val="bottom"/>
            <w:tcBorders>
              <w:right w:val="single" w:sz="8" w:color="53C072"/>
            </w:tcBorders>
          </w:tcPr>
          <w:p>
            <w:pPr>
              <w:spacing w:after="0"/>
              <w:rPr>
                <w:sz w:val="16"/>
                <w:szCs w:val="16"/>
                <w:color w:val="auto"/>
              </w:rPr>
            </w:pPr>
          </w:p>
        </w:tc>
        <w:tc>
          <w:tcPr>
            <w:tcW w:w="3260" w:type="dxa"/>
            <w:vAlign w:val="bottom"/>
            <w:tcBorders>
              <w:right w:val="single" w:sz="8" w:color="53C072"/>
            </w:tcBorders>
          </w:tcPr>
          <w:p>
            <w:pPr>
              <w:ind w:left="80"/>
              <w:spacing w:after="0"/>
              <w:rPr>
                <w:sz w:val="20"/>
                <w:szCs w:val="20"/>
                <w:color w:val="auto"/>
              </w:rPr>
            </w:pPr>
            <w:r>
              <w:rPr>
                <w:rFonts w:ascii="Arial" w:cs="Arial" w:eastAsia="Arial" w:hAnsi="Arial"/>
                <w:sz w:val="16"/>
                <w:szCs w:val="16"/>
                <w:color w:val="auto"/>
              </w:rPr>
              <w:t>Discretionary Modifier</w:t>
            </w:r>
          </w:p>
        </w:tc>
        <w:tc>
          <w:tcPr>
            <w:tcW w:w="940" w:type="dxa"/>
            <w:vAlign w:val="bottom"/>
            <w:tcBorders>
              <w:right w:val="single" w:sz="8" w:color="53C072"/>
            </w:tcBorders>
          </w:tcPr>
          <w:p>
            <w:pPr>
              <w:jc w:val="center"/>
              <w:ind w:right="44"/>
              <w:spacing w:after="0"/>
              <w:rPr>
                <w:sz w:val="20"/>
                <w:szCs w:val="20"/>
                <w:color w:val="auto"/>
              </w:rPr>
            </w:pPr>
            <w:r>
              <w:rPr>
                <w:rFonts w:ascii="Arial" w:cs="Arial" w:eastAsia="Arial" w:hAnsi="Arial"/>
                <w:sz w:val="16"/>
                <w:szCs w:val="16"/>
                <w:color w:val="auto"/>
                <w:w w:val="97"/>
              </w:rPr>
              <w:t>+/– 20%</w:t>
            </w:r>
          </w:p>
        </w:tc>
        <w:tc>
          <w:tcPr>
            <w:tcW w:w="4900" w:type="dxa"/>
            <w:vAlign w:val="bottom"/>
            <w:tcBorders>
              <w:right w:val="single" w:sz="8" w:color="53C072"/>
            </w:tcBorders>
          </w:tcPr>
          <w:p>
            <w:pPr>
              <w:jc w:val="center"/>
              <w:ind w:right="46"/>
              <w:spacing w:after="0"/>
              <w:rPr>
                <w:sz w:val="20"/>
                <w:szCs w:val="20"/>
                <w:color w:val="auto"/>
              </w:rPr>
            </w:pPr>
            <w:r>
              <w:rPr>
                <w:rFonts w:ascii="Arial" w:cs="Arial" w:eastAsia="Arial" w:hAnsi="Arial"/>
                <w:sz w:val="16"/>
                <w:szCs w:val="16"/>
                <w:color w:val="auto"/>
                <w:w w:val="98"/>
              </w:rPr>
              <w:t>Determined by Compensation Committee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-864870</wp:posOffset>
            </wp:positionH>
            <wp:positionV relativeFrom="paragraph">
              <wp:posOffset>-909320</wp:posOffset>
            </wp:positionV>
            <wp:extent cx="7146290" cy="909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6290" cy="909955"/>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1083" w:space="280"/>
            <w:col w:w="9900"/>
          </w:cols>
          <w:pgMar w:left="317" w:top="122" w:right="319" w:bottom="1440" w:gutter="0" w:footer="0" w:header="0"/>
          <w:type w:val="continuous"/>
        </w:sectPr>
      </w:pPr>
    </w:p>
    <w:p>
      <w:pPr>
        <w:ind w:left="3" w:right="60"/>
        <w:spacing w:after="0" w:line="277" w:lineRule="auto"/>
        <w:rPr>
          <w:sz w:val="20"/>
          <w:szCs w:val="20"/>
          <w:color w:val="auto"/>
        </w:rPr>
      </w:pPr>
      <w:r>
        <w:rPr>
          <w:rFonts w:ascii="Arial" w:cs="Arial" w:eastAsia="Arial" w:hAnsi="Arial"/>
          <w:sz w:val="16"/>
          <w:szCs w:val="16"/>
          <w:b w:val="1"/>
          <w:bCs w:val="1"/>
          <w:color w:val="53C072"/>
        </w:rPr>
        <w:t xml:space="preserve">Target Annual Cash Incentive. </w:t>
      </w:r>
      <w:r>
        <w:rPr>
          <w:rFonts w:ascii="Arial" w:cs="Arial" w:eastAsia="Arial" w:hAnsi="Arial"/>
          <w:sz w:val="16"/>
          <w:szCs w:val="16"/>
          <w:color w:val="000000"/>
        </w:rPr>
        <w:t>The Compensation Committee sets each NEO's target incentive opportunity based on market competitive data, internal equity</w:t>
      </w:r>
      <w:r>
        <w:rPr>
          <w:rFonts w:ascii="Arial" w:cs="Arial" w:eastAsia="Arial" w:hAnsi="Arial"/>
          <w:sz w:val="16"/>
          <w:szCs w:val="16"/>
          <w:b w:val="1"/>
          <w:bCs w:val="1"/>
          <w:color w:val="53C072"/>
        </w:rPr>
        <w:t xml:space="preserve"> </w:t>
      </w:r>
      <w:r>
        <w:rPr>
          <w:rFonts w:ascii="Arial" w:cs="Arial" w:eastAsia="Arial" w:hAnsi="Arial"/>
          <w:sz w:val="16"/>
          <w:szCs w:val="16"/>
          <w:color w:val="000000"/>
        </w:rPr>
        <w:t>and other factors. The target annual cash incentive compensation for fiscal 2019 and fiscal 2020 for the NEOs is set forth in the following table:</w:t>
      </w:r>
    </w:p>
    <w:p>
      <w:pPr>
        <w:spacing w:after="0" w:line="149" w:lineRule="exact"/>
        <w:rPr>
          <w:sz w:val="20"/>
          <w:szCs w:val="20"/>
          <w:color w:val="auto"/>
        </w:rPr>
      </w:pPr>
    </w:p>
    <w:tbl>
      <w:tblPr>
        <w:tblLayout w:type="fixed"/>
        <w:tblInd w:w="1343" w:type="dxa"/>
        <w:tblCellMar>
          <w:top w:w="0" w:type="dxa"/>
          <w:left w:w="0" w:type="dxa"/>
          <w:bottom w:w="0" w:type="dxa"/>
          <w:right w:w="0" w:type="dxa"/>
        </w:tblCellMar>
      </w:tblPr>
      <w:tr>
        <w:trPr>
          <w:trHeight w:val="149"/>
        </w:trPr>
        <w:tc>
          <w:tcPr>
            <w:tcW w:w="3220" w:type="dxa"/>
            <w:vAlign w:val="bottom"/>
            <w:shd w:val="clear" w:color="auto" w:fill="53C072"/>
          </w:tcPr>
          <w:p>
            <w:pPr>
              <w:spacing w:after="0"/>
              <w:rPr>
                <w:sz w:val="20"/>
                <w:szCs w:val="20"/>
                <w:color w:val="auto"/>
              </w:rPr>
            </w:pPr>
            <w:r>
              <w:rPr>
                <w:rFonts w:ascii="Arial" w:cs="Arial" w:eastAsia="Arial" w:hAnsi="Arial"/>
                <w:sz w:val="13"/>
                <w:szCs w:val="13"/>
                <w:b w:val="1"/>
                <w:bCs w:val="1"/>
                <w:color w:val="FFFFFE"/>
              </w:rPr>
              <w:t>NEO</w:t>
            </w:r>
          </w:p>
        </w:tc>
        <w:tc>
          <w:tcPr>
            <w:tcW w:w="3380" w:type="dxa"/>
            <w:vAlign w:val="bottom"/>
            <w:shd w:val="clear" w:color="auto" w:fill="53C072"/>
          </w:tcPr>
          <w:p>
            <w:pPr>
              <w:jc w:val="right"/>
              <w:ind w:right="3"/>
              <w:spacing w:after="0"/>
              <w:rPr>
                <w:sz w:val="20"/>
                <w:szCs w:val="20"/>
                <w:color w:val="auto"/>
              </w:rPr>
            </w:pPr>
            <w:r>
              <w:rPr>
                <w:rFonts w:ascii="Arial" w:cs="Arial" w:eastAsia="Arial" w:hAnsi="Arial"/>
                <w:sz w:val="13"/>
                <w:szCs w:val="13"/>
                <w:b w:val="1"/>
                <w:bCs w:val="1"/>
                <w:color w:val="FFFFFE"/>
              </w:rPr>
              <w:t>FY 2019</w:t>
            </w:r>
          </w:p>
        </w:tc>
        <w:tc>
          <w:tcPr>
            <w:tcW w:w="980" w:type="dxa"/>
            <w:vAlign w:val="bottom"/>
            <w:shd w:val="clear" w:color="auto" w:fill="53C072"/>
          </w:tcPr>
          <w:p>
            <w:pPr>
              <w:jc w:val="right"/>
              <w:ind w:right="3"/>
              <w:spacing w:after="0"/>
              <w:rPr>
                <w:sz w:val="20"/>
                <w:szCs w:val="20"/>
                <w:color w:val="auto"/>
              </w:rPr>
            </w:pPr>
            <w:r>
              <w:rPr>
                <w:rFonts w:ascii="Arial" w:cs="Arial" w:eastAsia="Arial" w:hAnsi="Arial"/>
                <w:sz w:val="13"/>
                <w:szCs w:val="13"/>
                <w:b w:val="1"/>
                <w:bCs w:val="1"/>
                <w:color w:val="FFFFFE"/>
              </w:rPr>
              <w:t>FY 2020</w:t>
            </w:r>
          </w:p>
        </w:tc>
        <w:tc>
          <w:tcPr>
            <w:tcW w:w="72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 Change</w:t>
            </w:r>
          </w:p>
        </w:tc>
      </w:tr>
      <w:tr>
        <w:trPr>
          <w:trHeight w:val="182"/>
        </w:trPr>
        <w:tc>
          <w:tcPr>
            <w:tcW w:w="3220" w:type="dxa"/>
            <w:vAlign w:val="bottom"/>
          </w:tcPr>
          <w:p>
            <w:pPr>
              <w:spacing w:after="0" w:line="182" w:lineRule="exact"/>
              <w:rPr>
                <w:sz w:val="20"/>
                <w:szCs w:val="20"/>
                <w:color w:val="auto"/>
              </w:rPr>
            </w:pPr>
            <w:r>
              <w:rPr>
                <w:rFonts w:ascii="Arial" w:cs="Arial" w:eastAsia="Arial" w:hAnsi="Arial"/>
                <w:sz w:val="16"/>
                <w:szCs w:val="16"/>
                <w:color w:val="auto"/>
              </w:rPr>
              <w:t>Amelio</w:t>
            </w:r>
          </w:p>
        </w:tc>
        <w:tc>
          <w:tcPr>
            <w:tcW w:w="3380" w:type="dxa"/>
            <w:vAlign w:val="bottom"/>
          </w:tcPr>
          <w:p>
            <w:pPr>
              <w:jc w:val="right"/>
              <w:ind w:right="3"/>
              <w:spacing w:after="0" w:line="182" w:lineRule="exact"/>
              <w:rPr>
                <w:sz w:val="20"/>
                <w:szCs w:val="20"/>
                <w:color w:val="auto"/>
              </w:rPr>
            </w:pPr>
            <w:r>
              <w:rPr>
                <w:rFonts w:ascii="Arial" w:cs="Arial" w:eastAsia="Arial" w:hAnsi="Arial"/>
                <w:sz w:val="16"/>
                <w:szCs w:val="16"/>
                <w:color w:val="auto"/>
              </w:rPr>
              <w:t>$1,500,000</w:t>
            </w:r>
          </w:p>
        </w:tc>
        <w:tc>
          <w:tcPr>
            <w:tcW w:w="980" w:type="dxa"/>
            <w:vAlign w:val="bottom"/>
          </w:tcPr>
          <w:p>
            <w:pPr>
              <w:jc w:val="right"/>
              <w:ind w:right="3"/>
              <w:spacing w:after="0" w:line="182" w:lineRule="exact"/>
              <w:rPr>
                <w:sz w:val="20"/>
                <w:szCs w:val="20"/>
                <w:color w:val="auto"/>
              </w:rPr>
            </w:pPr>
            <w:r>
              <w:rPr>
                <w:rFonts w:ascii="Arial" w:cs="Arial" w:eastAsia="Arial" w:hAnsi="Arial"/>
                <w:sz w:val="16"/>
                <w:szCs w:val="16"/>
                <w:color w:val="auto"/>
              </w:rPr>
              <w:t>$1,500,000</w:t>
            </w:r>
          </w:p>
        </w:tc>
        <w:tc>
          <w:tcPr>
            <w:tcW w:w="720" w:type="dxa"/>
            <w:vAlign w:val="bottom"/>
          </w:tcPr>
          <w:p>
            <w:pPr>
              <w:jc w:val="right"/>
              <w:spacing w:after="0" w:line="182" w:lineRule="exact"/>
              <w:rPr>
                <w:sz w:val="20"/>
                <w:szCs w:val="20"/>
                <w:color w:val="auto"/>
              </w:rPr>
            </w:pPr>
            <w:r>
              <w:rPr>
                <w:rFonts w:ascii="Arial" w:cs="Arial" w:eastAsia="Arial" w:hAnsi="Arial"/>
                <w:sz w:val="16"/>
                <w:szCs w:val="16"/>
                <w:color w:val="auto"/>
              </w:rPr>
              <w:t>0%</w:t>
            </w:r>
          </w:p>
        </w:tc>
      </w:tr>
      <w:tr>
        <w:trPr>
          <w:trHeight w:val="182"/>
        </w:trPr>
        <w:tc>
          <w:tcPr>
            <w:tcW w:w="3220" w:type="dxa"/>
            <w:vAlign w:val="bottom"/>
            <w:shd w:val="clear" w:color="auto" w:fill="E8F5EA"/>
          </w:tcPr>
          <w:p>
            <w:pPr>
              <w:spacing w:after="0" w:line="182" w:lineRule="exact"/>
              <w:rPr>
                <w:sz w:val="20"/>
                <w:szCs w:val="20"/>
                <w:color w:val="auto"/>
              </w:rPr>
            </w:pPr>
            <w:r>
              <w:rPr>
                <w:rFonts w:ascii="Arial" w:cs="Arial" w:eastAsia="Arial" w:hAnsi="Arial"/>
                <w:sz w:val="16"/>
                <w:szCs w:val="16"/>
                <w:color w:val="auto"/>
              </w:rPr>
              <w:t>Liguori</w:t>
            </w:r>
          </w:p>
        </w:tc>
        <w:tc>
          <w:tcPr>
            <w:tcW w:w="3380" w:type="dxa"/>
            <w:vAlign w:val="bottom"/>
            <w:shd w:val="clear" w:color="auto" w:fill="E8F5EA"/>
          </w:tcPr>
          <w:p>
            <w:pPr>
              <w:jc w:val="right"/>
              <w:ind w:right="3"/>
              <w:spacing w:after="0" w:line="182" w:lineRule="exact"/>
              <w:rPr>
                <w:sz w:val="20"/>
                <w:szCs w:val="20"/>
                <w:color w:val="auto"/>
              </w:rPr>
            </w:pPr>
            <w:r>
              <w:rPr>
                <w:rFonts w:ascii="Arial" w:cs="Arial" w:eastAsia="Arial" w:hAnsi="Arial"/>
                <w:sz w:val="16"/>
                <w:szCs w:val="16"/>
                <w:color w:val="auto"/>
              </w:rPr>
              <w:t>$530,000</w:t>
            </w:r>
          </w:p>
        </w:tc>
        <w:tc>
          <w:tcPr>
            <w:tcW w:w="980" w:type="dxa"/>
            <w:vAlign w:val="bottom"/>
            <w:shd w:val="clear" w:color="auto" w:fill="E8F5EA"/>
          </w:tcPr>
          <w:p>
            <w:pPr>
              <w:jc w:val="right"/>
              <w:ind w:right="3"/>
              <w:spacing w:after="0" w:line="182" w:lineRule="exact"/>
              <w:rPr>
                <w:sz w:val="20"/>
                <w:szCs w:val="20"/>
                <w:color w:val="auto"/>
              </w:rPr>
            </w:pPr>
            <w:r>
              <w:rPr>
                <w:rFonts w:ascii="Arial" w:cs="Arial" w:eastAsia="Arial" w:hAnsi="Arial"/>
                <w:sz w:val="16"/>
                <w:szCs w:val="16"/>
                <w:color w:val="auto"/>
              </w:rPr>
              <w:t>$530,000</w:t>
            </w:r>
          </w:p>
        </w:tc>
        <w:tc>
          <w:tcPr>
            <w:tcW w:w="72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0%</w:t>
            </w:r>
          </w:p>
        </w:tc>
      </w:tr>
      <w:tr>
        <w:trPr>
          <w:trHeight w:val="182"/>
        </w:trPr>
        <w:tc>
          <w:tcPr>
            <w:tcW w:w="3220" w:type="dxa"/>
            <w:vAlign w:val="bottom"/>
          </w:tcPr>
          <w:p>
            <w:pPr>
              <w:spacing w:after="0" w:line="182" w:lineRule="exact"/>
              <w:rPr>
                <w:sz w:val="20"/>
                <w:szCs w:val="20"/>
                <w:color w:val="auto"/>
              </w:rPr>
            </w:pPr>
            <w:r>
              <w:rPr>
                <w:rFonts w:ascii="Arial" w:cs="Arial" w:eastAsia="Arial" w:hAnsi="Arial"/>
                <w:sz w:val="16"/>
                <w:szCs w:val="16"/>
                <w:color w:val="auto"/>
              </w:rPr>
              <w:t>Bartolotta</w:t>
            </w:r>
          </w:p>
        </w:tc>
        <w:tc>
          <w:tcPr>
            <w:tcW w:w="3380" w:type="dxa"/>
            <w:vAlign w:val="bottom"/>
          </w:tcPr>
          <w:p>
            <w:pPr>
              <w:jc w:val="right"/>
              <w:ind w:right="3"/>
              <w:spacing w:after="0" w:line="182" w:lineRule="exact"/>
              <w:rPr>
                <w:sz w:val="20"/>
                <w:szCs w:val="20"/>
                <w:color w:val="auto"/>
              </w:rPr>
            </w:pPr>
            <w:r>
              <w:rPr>
                <w:rFonts w:ascii="Arial" w:cs="Arial" w:eastAsia="Arial" w:hAnsi="Arial"/>
                <w:sz w:val="16"/>
                <w:szCs w:val="16"/>
                <w:color w:val="auto"/>
              </w:rPr>
              <w:t>$550,000</w:t>
            </w:r>
          </w:p>
        </w:tc>
        <w:tc>
          <w:tcPr>
            <w:tcW w:w="980" w:type="dxa"/>
            <w:vAlign w:val="bottom"/>
          </w:tcPr>
          <w:p>
            <w:pPr>
              <w:jc w:val="right"/>
              <w:ind w:right="3"/>
              <w:spacing w:after="0" w:line="182" w:lineRule="exact"/>
              <w:rPr>
                <w:sz w:val="20"/>
                <w:szCs w:val="20"/>
                <w:color w:val="auto"/>
              </w:rPr>
            </w:pPr>
            <w:r>
              <w:rPr>
                <w:rFonts w:ascii="Arial" w:cs="Arial" w:eastAsia="Arial" w:hAnsi="Arial"/>
                <w:sz w:val="16"/>
                <w:szCs w:val="16"/>
                <w:color w:val="auto"/>
              </w:rPr>
              <w:t>$550,000</w:t>
            </w:r>
          </w:p>
        </w:tc>
        <w:tc>
          <w:tcPr>
            <w:tcW w:w="720" w:type="dxa"/>
            <w:vAlign w:val="bottom"/>
          </w:tcPr>
          <w:p>
            <w:pPr>
              <w:jc w:val="right"/>
              <w:spacing w:after="0" w:line="182" w:lineRule="exact"/>
              <w:rPr>
                <w:sz w:val="20"/>
                <w:szCs w:val="20"/>
                <w:color w:val="auto"/>
              </w:rPr>
            </w:pPr>
            <w:r>
              <w:rPr>
                <w:rFonts w:ascii="Arial" w:cs="Arial" w:eastAsia="Arial" w:hAnsi="Arial"/>
                <w:sz w:val="16"/>
                <w:szCs w:val="16"/>
                <w:color w:val="auto"/>
              </w:rPr>
              <w:t>0%</w:t>
            </w:r>
          </w:p>
        </w:tc>
      </w:tr>
      <w:tr>
        <w:trPr>
          <w:trHeight w:val="182"/>
        </w:trPr>
        <w:tc>
          <w:tcPr>
            <w:tcW w:w="3220" w:type="dxa"/>
            <w:vAlign w:val="bottom"/>
            <w:shd w:val="clear" w:color="auto" w:fill="E8F5EA"/>
          </w:tcPr>
          <w:p>
            <w:pPr>
              <w:spacing w:after="0" w:line="182" w:lineRule="exact"/>
              <w:rPr>
                <w:sz w:val="20"/>
                <w:szCs w:val="20"/>
                <w:color w:val="auto"/>
              </w:rPr>
            </w:pPr>
            <w:r>
              <w:rPr>
                <w:rFonts w:ascii="Arial" w:cs="Arial" w:eastAsia="Arial" w:hAnsi="Arial"/>
                <w:sz w:val="16"/>
                <w:szCs w:val="16"/>
                <w:color w:val="auto"/>
              </w:rPr>
              <w:t>Gallagher</w:t>
            </w:r>
          </w:p>
        </w:tc>
        <w:tc>
          <w:tcPr>
            <w:tcW w:w="3380" w:type="dxa"/>
            <w:vAlign w:val="bottom"/>
            <w:shd w:val="clear" w:color="auto" w:fill="E8F5EA"/>
          </w:tcPr>
          <w:p>
            <w:pPr>
              <w:jc w:val="right"/>
              <w:ind w:right="3"/>
              <w:spacing w:after="0" w:line="182" w:lineRule="exact"/>
              <w:rPr>
                <w:sz w:val="20"/>
                <w:szCs w:val="20"/>
                <w:color w:val="auto"/>
              </w:rPr>
            </w:pPr>
            <w:r>
              <w:rPr>
                <w:rFonts w:ascii="Arial" w:cs="Arial" w:eastAsia="Arial" w:hAnsi="Arial"/>
                <w:sz w:val="16"/>
                <w:szCs w:val="16"/>
                <w:color w:val="auto"/>
              </w:rPr>
              <w:t>$565,000</w:t>
            </w:r>
          </w:p>
        </w:tc>
        <w:tc>
          <w:tcPr>
            <w:tcW w:w="980" w:type="dxa"/>
            <w:vAlign w:val="bottom"/>
            <w:shd w:val="clear" w:color="auto" w:fill="E8F5EA"/>
          </w:tcPr>
          <w:p>
            <w:pPr>
              <w:jc w:val="right"/>
              <w:ind w:right="3"/>
              <w:spacing w:after="0" w:line="182" w:lineRule="exact"/>
              <w:rPr>
                <w:sz w:val="20"/>
                <w:szCs w:val="20"/>
                <w:color w:val="auto"/>
              </w:rPr>
            </w:pPr>
            <w:r>
              <w:rPr>
                <w:rFonts w:ascii="Arial" w:cs="Arial" w:eastAsia="Arial" w:hAnsi="Arial"/>
                <w:sz w:val="16"/>
                <w:szCs w:val="16"/>
                <w:color w:val="auto"/>
              </w:rPr>
              <w:t>$565,000</w:t>
            </w:r>
          </w:p>
        </w:tc>
        <w:tc>
          <w:tcPr>
            <w:tcW w:w="72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0%</w:t>
            </w:r>
          </w:p>
        </w:tc>
      </w:tr>
      <w:tr>
        <w:trPr>
          <w:trHeight w:val="182"/>
        </w:trPr>
        <w:tc>
          <w:tcPr>
            <w:tcW w:w="3220" w:type="dxa"/>
            <w:vAlign w:val="bottom"/>
          </w:tcPr>
          <w:p>
            <w:pPr>
              <w:spacing w:after="0" w:line="182" w:lineRule="exact"/>
              <w:rPr>
                <w:sz w:val="20"/>
                <w:szCs w:val="20"/>
                <w:color w:val="auto"/>
              </w:rPr>
            </w:pPr>
            <w:r>
              <w:rPr>
                <w:rFonts w:ascii="Arial" w:cs="Arial" w:eastAsia="Arial" w:hAnsi="Arial"/>
                <w:sz w:val="16"/>
                <w:szCs w:val="16"/>
                <w:color w:val="auto"/>
              </w:rPr>
              <w:t>Miller</w:t>
            </w:r>
          </w:p>
        </w:tc>
        <w:tc>
          <w:tcPr>
            <w:tcW w:w="3380" w:type="dxa"/>
            <w:vAlign w:val="bottom"/>
          </w:tcPr>
          <w:p>
            <w:pPr>
              <w:jc w:val="right"/>
              <w:ind w:right="3"/>
              <w:spacing w:after="0" w:line="182" w:lineRule="exact"/>
              <w:rPr>
                <w:sz w:val="20"/>
                <w:szCs w:val="20"/>
                <w:color w:val="auto"/>
              </w:rPr>
            </w:pPr>
            <w:r>
              <w:rPr>
                <w:rFonts w:ascii="Arial" w:cs="Arial" w:eastAsia="Arial" w:hAnsi="Arial"/>
                <w:sz w:val="16"/>
                <w:szCs w:val="16"/>
                <w:color w:val="auto"/>
              </w:rPr>
              <w:t>$410,000</w:t>
            </w:r>
          </w:p>
        </w:tc>
        <w:tc>
          <w:tcPr>
            <w:tcW w:w="980" w:type="dxa"/>
            <w:vAlign w:val="bottom"/>
          </w:tcPr>
          <w:p>
            <w:pPr>
              <w:jc w:val="right"/>
              <w:ind w:right="3"/>
              <w:spacing w:after="0" w:line="182" w:lineRule="exact"/>
              <w:rPr>
                <w:sz w:val="20"/>
                <w:szCs w:val="20"/>
                <w:color w:val="auto"/>
              </w:rPr>
            </w:pPr>
            <w:r>
              <w:rPr>
                <w:rFonts w:ascii="Arial" w:cs="Arial" w:eastAsia="Arial" w:hAnsi="Arial"/>
                <w:sz w:val="16"/>
                <w:szCs w:val="16"/>
                <w:color w:val="auto"/>
              </w:rPr>
              <w:t>$410,000</w:t>
            </w:r>
          </w:p>
        </w:tc>
        <w:tc>
          <w:tcPr>
            <w:tcW w:w="720" w:type="dxa"/>
            <w:vAlign w:val="bottom"/>
          </w:tcPr>
          <w:p>
            <w:pPr>
              <w:jc w:val="right"/>
              <w:spacing w:after="0" w:line="182" w:lineRule="exact"/>
              <w:rPr>
                <w:sz w:val="20"/>
                <w:szCs w:val="20"/>
                <w:color w:val="auto"/>
              </w:rPr>
            </w:pPr>
            <w:r>
              <w:rPr>
                <w:rFonts w:ascii="Arial" w:cs="Arial" w:eastAsia="Arial" w:hAnsi="Arial"/>
                <w:sz w:val="16"/>
                <w:szCs w:val="16"/>
                <w:color w:val="auto"/>
              </w:rPr>
              <w:t>0%</w:t>
            </w:r>
          </w:p>
        </w:tc>
      </w:tr>
      <w:tr>
        <w:trPr>
          <w:trHeight w:val="235"/>
        </w:trPr>
        <w:tc>
          <w:tcPr>
            <w:tcW w:w="3220" w:type="dxa"/>
            <w:vAlign w:val="bottom"/>
            <w:tcBorders>
              <w:bottom w:val="single" w:sz="8" w:color="53C072"/>
            </w:tcBorders>
            <w:shd w:val="clear" w:color="auto" w:fill="E8F5EA"/>
          </w:tcPr>
          <w:p>
            <w:pPr>
              <w:spacing w:after="0" w:line="218" w:lineRule="exact"/>
              <w:rPr>
                <w:sz w:val="20"/>
                <w:szCs w:val="20"/>
                <w:color w:val="auto"/>
              </w:rPr>
            </w:pPr>
            <w:r>
              <w:rPr>
                <w:rFonts w:ascii="Arial" w:cs="Arial" w:eastAsia="Arial" w:hAnsi="Arial"/>
                <w:sz w:val="15"/>
                <w:szCs w:val="15"/>
                <w:color w:val="auto"/>
              </w:rPr>
              <w:t>O'Neill</w:t>
            </w:r>
            <w:r>
              <w:rPr>
                <w:rFonts w:ascii="Arial" w:cs="Arial" w:eastAsia="Arial" w:hAnsi="Arial"/>
                <w:sz w:val="25"/>
                <w:szCs w:val="25"/>
                <w:color w:val="auto"/>
                <w:vertAlign w:val="superscript"/>
              </w:rPr>
              <w:t>(1)</w:t>
            </w:r>
          </w:p>
        </w:tc>
        <w:tc>
          <w:tcPr>
            <w:tcW w:w="3380" w:type="dxa"/>
            <w:vAlign w:val="bottom"/>
            <w:tcBorders>
              <w:bottom w:val="single" w:sz="8" w:color="53C072"/>
            </w:tcBorders>
            <w:shd w:val="clear" w:color="auto" w:fill="E8F5EA"/>
          </w:tcPr>
          <w:p>
            <w:pPr>
              <w:jc w:val="right"/>
              <w:ind w:right="3"/>
              <w:spacing w:after="0"/>
              <w:rPr>
                <w:sz w:val="20"/>
                <w:szCs w:val="20"/>
                <w:color w:val="auto"/>
              </w:rPr>
            </w:pPr>
            <w:r>
              <w:rPr>
                <w:rFonts w:ascii="Arial" w:cs="Arial" w:eastAsia="Arial" w:hAnsi="Arial"/>
                <w:sz w:val="16"/>
                <w:szCs w:val="16"/>
                <w:color w:val="auto"/>
              </w:rPr>
              <w:t>$410,000</w:t>
            </w:r>
          </w:p>
        </w:tc>
        <w:tc>
          <w:tcPr>
            <w:tcW w:w="980" w:type="dxa"/>
            <w:vAlign w:val="bottom"/>
            <w:tcBorders>
              <w:bottom w:val="single" w:sz="8" w:color="53C072"/>
            </w:tcBorders>
            <w:shd w:val="clear" w:color="auto" w:fill="E8F5EA"/>
          </w:tcPr>
          <w:p>
            <w:pPr>
              <w:jc w:val="right"/>
              <w:ind w:right="3"/>
              <w:spacing w:after="0" w:line="218" w:lineRule="exact"/>
              <w:rPr>
                <w:sz w:val="20"/>
                <w:szCs w:val="20"/>
                <w:color w:val="auto"/>
              </w:rPr>
            </w:pPr>
            <w:r>
              <w:rPr>
                <w:rFonts w:ascii="Arial" w:cs="Arial" w:eastAsia="Arial" w:hAnsi="Arial"/>
                <w:sz w:val="15"/>
                <w:szCs w:val="15"/>
                <w:color w:val="auto"/>
              </w:rPr>
              <w:t>$315,385</w:t>
            </w:r>
            <w:r>
              <w:rPr>
                <w:rFonts w:ascii="Arial" w:cs="Arial" w:eastAsia="Arial" w:hAnsi="Arial"/>
                <w:sz w:val="25"/>
                <w:szCs w:val="25"/>
                <w:color w:val="auto"/>
                <w:vertAlign w:val="superscript"/>
              </w:rPr>
              <w:t>(1)</w:t>
            </w:r>
          </w:p>
        </w:tc>
        <w:tc>
          <w:tcPr>
            <w:tcW w:w="720" w:type="dxa"/>
            <w:vAlign w:val="bottom"/>
            <w:tcBorders>
              <w:bottom w:val="single" w:sz="8" w:color="53C072"/>
            </w:tcBorders>
            <w:shd w:val="clear" w:color="auto" w:fill="E8F5EA"/>
          </w:tcPr>
          <w:p>
            <w:pPr>
              <w:jc w:val="right"/>
              <w:spacing w:after="0"/>
              <w:rPr>
                <w:sz w:val="20"/>
                <w:szCs w:val="20"/>
                <w:color w:val="auto"/>
              </w:rPr>
            </w:pPr>
            <w:r>
              <w:rPr>
                <w:rFonts w:ascii="Arial" w:cs="Arial" w:eastAsia="Arial" w:hAnsi="Arial"/>
                <w:sz w:val="16"/>
                <w:szCs w:val="16"/>
                <w:color w:val="auto"/>
              </w:rPr>
              <w:t>0%</w:t>
            </w:r>
          </w:p>
        </w:tc>
      </w:tr>
    </w:tbl>
    <w:p>
      <w:pPr>
        <w:spacing w:after="0" w:line="177" w:lineRule="exact"/>
        <w:rPr>
          <w:sz w:val="20"/>
          <w:szCs w:val="20"/>
          <w:color w:val="auto"/>
        </w:rPr>
      </w:pPr>
    </w:p>
    <w:p>
      <w:pPr>
        <w:ind w:left="1843" w:hanging="492"/>
        <w:spacing w:after="0"/>
        <w:tabs>
          <w:tab w:leader="none" w:pos="1843" w:val="left"/>
        </w:tabs>
        <w:numPr>
          <w:ilvl w:val="0"/>
          <w:numId w:val="47"/>
        </w:numPr>
        <w:rPr>
          <w:rFonts w:ascii="Arial" w:cs="Arial" w:eastAsia="Arial" w:hAnsi="Arial"/>
          <w:sz w:val="16"/>
          <w:szCs w:val="16"/>
          <w:color w:val="auto"/>
        </w:rPr>
      </w:pPr>
      <w:r>
        <w:rPr>
          <w:rFonts w:ascii="Arial" w:cs="Arial" w:eastAsia="Arial" w:hAnsi="Arial"/>
          <w:sz w:val="16"/>
          <w:szCs w:val="16"/>
          <w:color w:val="auto"/>
        </w:rPr>
        <w:t>Mr. O'Neill's fiscal 2020 target annual cash incentive was prorated to reflect his departure date of March 31, 2020.</w:t>
      </w:r>
    </w:p>
    <w:p>
      <w:pPr>
        <w:spacing w:after="0" w:line="190" w:lineRule="exact"/>
        <w:rPr>
          <w:sz w:val="20"/>
          <w:szCs w:val="20"/>
          <w:color w:val="auto"/>
        </w:rPr>
      </w:pPr>
    </w:p>
    <w:p>
      <w:pPr>
        <w:ind w:left="3" w:right="140"/>
        <w:spacing w:after="0" w:line="245" w:lineRule="auto"/>
        <w:rPr>
          <w:sz w:val="20"/>
          <w:szCs w:val="20"/>
          <w:color w:val="auto"/>
        </w:rPr>
      </w:pPr>
      <w:r>
        <w:rPr>
          <w:rFonts w:ascii="Arial" w:cs="Arial" w:eastAsia="Arial" w:hAnsi="Arial"/>
          <w:sz w:val="16"/>
          <w:szCs w:val="16"/>
          <w:b w:val="1"/>
          <w:bCs w:val="1"/>
          <w:color w:val="53C072"/>
        </w:rPr>
        <w:t xml:space="preserve">Financial Performance Goals. </w:t>
      </w:r>
      <w:r>
        <w:rPr>
          <w:rFonts w:ascii="Arial" w:cs="Arial" w:eastAsia="Arial" w:hAnsi="Arial"/>
          <w:sz w:val="16"/>
          <w:szCs w:val="16"/>
          <w:color w:val="000000"/>
        </w:rPr>
        <w:t>For all NEOs, 100% of their target annual cash incentive compensation was tied to the achievement of financial performance</w:t>
      </w:r>
      <w:r>
        <w:rPr>
          <w:rFonts w:ascii="Arial" w:cs="Arial" w:eastAsia="Arial" w:hAnsi="Arial"/>
          <w:sz w:val="16"/>
          <w:szCs w:val="16"/>
          <w:b w:val="1"/>
          <w:bCs w:val="1"/>
          <w:color w:val="53C072"/>
        </w:rPr>
        <w:t xml:space="preserve"> </w:t>
      </w:r>
      <w:r>
        <w:rPr>
          <w:rFonts w:ascii="Arial" w:cs="Arial" w:eastAsia="Arial" w:hAnsi="Arial"/>
          <w:sz w:val="16"/>
          <w:szCs w:val="16"/>
          <w:color w:val="000000"/>
        </w:rPr>
        <w:t>goals and subject to the discretionary modifier. Such goals are reviewed in conjunction with the Company's budget for the upcoming fiscal year. When determining the budget, the Board seeks to ensure that it is fair, challenging and forward-looking, without encouraging excessive risk-taking. Additionally, when determining the fiscal 2020 budget, the Board considered the Company's results in fiscal 2019, projected growth and the operating environment as projected by industry analysts. At its August 2019 meeting, the Compensation Committee or the Board, as appropriate, finalized the financial goals and the target cash incentive compensation relating to such financial goals.</w:t>
      </w:r>
    </w:p>
    <w:p>
      <w:pPr>
        <w:spacing w:after="0" w:line="162" w:lineRule="exact"/>
        <w:rPr>
          <w:sz w:val="20"/>
          <w:szCs w:val="20"/>
          <w:color w:val="auto"/>
        </w:rPr>
      </w:pPr>
    </w:p>
    <w:p>
      <w:pPr>
        <w:ind w:left="3"/>
        <w:spacing w:after="0"/>
        <w:rPr>
          <w:sz w:val="20"/>
          <w:szCs w:val="20"/>
          <w:color w:val="auto"/>
        </w:rPr>
      </w:pPr>
      <w:r>
        <w:rPr>
          <w:rFonts w:ascii="Arial" w:cs="Arial" w:eastAsia="Arial" w:hAnsi="Arial"/>
          <w:sz w:val="16"/>
          <w:szCs w:val="16"/>
          <w:color w:val="auto"/>
        </w:rPr>
        <w:t>Company-wide financial performance goals were based on the percentage achievement of the Company's fiscal 2020: (1) Operating Income Dollars ("OI$)"),</w:t>
      </w:r>
    </w:p>
    <w:p>
      <w:pPr>
        <w:spacing w:after="0" w:line="18" w:lineRule="exact"/>
        <w:rPr>
          <w:sz w:val="20"/>
          <w:szCs w:val="20"/>
          <w:color w:val="auto"/>
        </w:rPr>
      </w:pPr>
    </w:p>
    <w:p>
      <w:pPr>
        <w:ind w:left="3" w:right="1840" w:hanging="3"/>
        <w:spacing w:after="0" w:line="489" w:lineRule="auto"/>
        <w:tabs>
          <w:tab w:leader="none" w:pos="239"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Gross Profit Dollars ("GP$") and (3) Net Working Capital Days ("NWCD"). These measures were selected to drive profitable growth. 46 </w:t>
      </w:r>
      <w:r>
        <w:rPr>
          <w:rFonts w:ascii="Arial" w:cs="Arial" w:eastAsia="Arial" w:hAnsi="Arial"/>
          <w:sz w:val="22"/>
          <w:szCs w:val="22"/>
          <w:b w:val="1"/>
          <w:bCs w:val="1"/>
          <w:color w:val="53C072"/>
        </w:rPr>
        <w:t xml:space="preserve">| </w:t>
      </w:r>
      <w:r>
        <w:rPr>
          <w:rFonts w:ascii="Arial" w:cs="Arial" w:eastAsia="Arial" w:hAnsi="Arial"/>
          <w:sz w:val="1"/>
          <w:szCs w:val="1"/>
          <w:color w:val="auto"/>
        </w:rPr>
        <w:drawing>
          <wp:inline distT="0" distB="0" distL="0" distR="0">
            <wp:extent cx="1664970" cy="12319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664970" cy="12319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wp:posOffset>
            </wp:positionV>
            <wp:extent cx="7151370" cy="203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1370" cy="20320"/>
                    </a:xfrm>
                    <a:prstGeom prst="rect">
                      <a:avLst/>
                    </a:prstGeom>
                    <a:noFill/>
                  </pic:spPr>
                </pic:pic>
              </a:graphicData>
            </a:graphic>
          </wp:anchor>
        </w:drawing>
      </w:r>
    </w:p>
    <w:p>
      <w:pPr>
        <w:sectPr>
          <w:pgSz w:w="11900" w:h="16838" w:orient="portrait"/>
          <w:cols w:equalWidth="0" w:num="1">
            <w:col w:w="11263"/>
          </w:cols>
          <w:pgMar w:left="317" w:top="122" w:right="31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13"/>
        </w:trPr>
        <w:tc>
          <w:tcPr>
            <w:tcW w:w="512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6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12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6140" w:type="dxa"/>
            <w:vAlign w:val="bottom"/>
            <w:vMerge w:val="restart"/>
          </w:tcPr>
          <w:p>
            <w:pPr>
              <w:ind w:left="3880"/>
              <w:spacing w:after="0"/>
              <w:rPr>
                <w:sz w:val="20"/>
                <w:szCs w:val="20"/>
                <w:color w:val="auto"/>
              </w:rPr>
            </w:pPr>
            <w:r>
              <w:rPr>
                <w:rFonts w:ascii="Arial" w:cs="Arial" w:eastAsia="Arial" w:hAnsi="Arial"/>
                <w:sz w:val="13"/>
                <w:szCs w:val="13"/>
                <w:color w:val="auto"/>
                <w:w w:val="98"/>
              </w:rPr>
              <w:t>Compensation Discussion and Analysis</w:t>
            </w:r>
          </w:p>
        </w:tc>
        <w:tc>
          <w:tcPr>
            <w:tcW w:w="0" w:type="dxa"/>
            <w:vAlign w:val="bottom"/>
          </w:tcPr>
          <w:p>
            <w:pPr>
              <w:spacing w:after="0"/>
              <w:rPr>
                <w:sz w:val="1"/>
                <w:szCs w:val="1"/>
                <w:color w:val="auto"/>
              </w:rPr>
            </w:pPr>
          </w:p>
        </w:tc>
      </w:tr>
      <w:tr>
        <w:trPr>
          <w:trHeight w:val="102"/>
        </w:trPr>
        <w:tc>
          <w:tcPr>
            <w:tcW w:w="512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6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120" w:type="dxa"/>
            <w:vAlign w:val="bottom"/>
            <w:vMerge w:val="continue"/>
          </w:tcPr>
          <w:p>
            <w:pPr>
              <w:spacing w:after="0"/>
              <w:rPr>
                <w:sz w:val="7"/>
                <w:szCs w:val="7"/>
                <w:color w:val="auto"/>
              </w:rPr>
            </w:pPr>
          </w:p>
        </w:tc>
        <w:tc>
          <w:tcPr>
            <w:tcW w:w="6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right="40"/>
        <w:spacing w:after="0" w:line="272" w:lineRule="auto"/>
        <w:rPr>
          <w:sz w:val="20"/>
          <w:szCs w:val="20"/>
          <w:color w:val="auto"/>
        </w:rPr>
      </w:pPr>
      <w:r>
        <w:rPr>
          <w:rFonts w:ascii="Arial" w:cs="Arial" w:eastAsia="Arial" w:hAnsi="Arial"/>
          <w:sz w:val="15"/>
          <w:szCs w:val="15"/>
          <w:color w:val="auto"/>
        </w:rPr>
        <w:t>The financial performance goals were subject to a discretionary modifier, which permitted the Compensation Committee to adjust the amount of the final payout up to plus or minus 20% to recognize critical performance factors and industry conditions, either for all NEOs as a group or separately. The Compensation Committee believes it is important to retain an ability to exercise a certain level of discretion so that the Board and management will have flexibility to plan for and react to changing industry circumstances, such as supplier prices, cost structures and M&amp;A activities, without creating conflicting incentives for management.</w:t>
      </w:r>
    </w:p>
    <w:p>
      <w:pPr>
        <w:spacing w:after="0" w:line="141"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Maximum annual cash incentive compensation relating to the financial performance goals was capped at 200% of target and no cash incentive compensation would be earned if actual performance was less than 80% of the financial targets.</w:t>
      </w:r>
    </w:p>
    <w:p>
      <w:pPr>
        <w:spacing w:after="0" w:line="135" w:lineRule="exact"/>
        <w:rPr>
          <w:sz w:val="20"/>
          <w:szCs w:val="20"/>
          <w:color w:val="auto"/>
        </w:rPr>
      </w:pPr>
    </w:p>
    <w:p>
      <w:pPr>
        <w:spacing w:after="0"/>
        <w:tabs>
          <w:tab w:leader="none" w:pos="1520" w:val="left"/>
        </w:tabs>
        <w:rPr>
          <w:sz w:val="20"/>
          <w:szCs w:val="20"/>
          <w:color w:val="auto"/>
        </w:rPr>
      </w:pPr>
      <w:r>
        <w:rPr>
          <w:rFonts w:ascii="Arial" w:cs="Arial" w:eastAsia="Arial" w:hAnsi="Arial"/>
          <w:sz w:val="16"/>
          <w:szCs w:val="16"/>
          <w:b w:val="1"/>
          <w:bCs w:val="1"/>
          <w:color w:val="53C072"/>
        </w:rPr>
        <w:t>Fiscal 2020 Goals.</w:t>
      </w:r>
      <w:r>
        <w:rPr>
          <w:sz w:val="20"/>
          <w:szCs w:val="20"/>
          <w:color w:val="auto"/>
        </w:rPr>
        <w:tab/>
      </w:r>
      <w:r>
        <w:rPr>
          <w:rFonts w:ascii="Arial" w:cs="Arial" w:eastAsia="Arial" w:hAnsi="Arial"/>
          <w:sz w:val="15"/>
          <w:szCs w:val="15"/>
          <w:color w:val="auto"/>
        </w:rPr>
        <w:t>The fiscal 2020 financial performance metrics, weightings, goals and methods for calculation are presented in the tables below.</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1580" w:type="dxa"/>
            <w:vAlign w:val="bottom"/>
            <w:tcBorders>
              <w:left w:val="single" w:sz="8" w:color="53C072"/>
              <w:right w:val="single" w:sz="8" w:color="53C072"/>
            </w:tcBorders>
            <w:shd w:val="clear" w:color="auto" w:fill="53C072"/>
          </w:tcPr>
          <w:p>
            <w:pPr>
              <w:spacing w:after="0"/>
              <w:rPr>
                <w:sz w:val="16"/>
                <w:szCs w:val="16"/>
                <w:color w:val="auto"/>
              </w:rPr>
            </w:pPr>
          </w:p>
        </w:tc>
        <w:tc>
          <w:tcPr>
            <w:tcW w:w="3300" w:type="dxa"/>
            <w:vAlign w:val="bottom"/>
            <w:tcBorders>
              <w:right w:val="single" w:sz="8" w:color="53C072"/>
            </w:tcBorders>
            <w:shd w:val="clear" w:color="auto" w:fill="53C072"/>
          </w:tcPr>
          <w:p>
            <w:pPr>
              <w:spacing w:after="0"/>
              <w:rPr>
                <w:sz w:val="16"/>
                <w:szCs w:val="16"/>
                <w:color w:val="auto"/>
              </w:rPr>
            </w:pPr>
          </w:p>
        </w:tc>
        <w:tc>
          <w:tcPr>
            <w:tcW w:w="100" w:type="dxa"/>
            <w:vAlign w:val="bottom"/>
            <w:tcBorders>
              <w:right w:val="single" w:sz="8" w:color="53C072"/>
            </w:tcBorders>
            <w:shd w:val="clear" w:color="auto" w:fill="53C072"/>
          </w:tcPr>
          <w:p>
            <w:pPr>
              <w:spacing w:after="0"/>
              <w:rPr>
                <w:sz w:val="16"/>
                <w:szCs w:val="16"/>
                <w:color w:val="auto"/>
              </w:rPr>
            </w:pPr>
          </w:p>
        </w:tc>
        <w:tc>
          <w:tcPr>
            <w:tcW w:w="1660" w:type="dxa"/>
            <w:vAlign w:val="bottom"/>
            <w:tcBorders>
              <w:right w:val="single" w:sz="8" w:color="53C072"/>
            </w:tcBorders>
            <w:gridSpan w:val="2"/>
            <w:shd w:val="clear" w:color="auto" w:fill="53C072"/>
          </w:tcPr>
          <w:p>
            <w:pPr>
              <w:jc w:val="center"/>
              <w:ind w:right="301"/>
              <w:spacing w:after="0"/>
              <w:rPr>
                <w:sz w:val="20"/>
                <w:szCs w:val="20"/>
                <w:color w:val="auto"/>
              </w:rPr>
            </w:pPr>
            <w:r>
              <w:rPr>
                <w:rFonts w:ascii="Arial" w:cs="Arial" w:eastAsia="Arial" w:hAnsi="Arial"/>
                <w:sz w:val="16"/>
                <w:szCs w:val="16"/>
                <w:b w:val="1"/>
                <w:bCs w:val="1"/>
                <w:color w:val="FFFFFE"/>
                <w:w w:val="98"/>
              </w:rPr>
              <w:t>FY20 OI$ Goals</w:t>
            </w:r>
          </w:p>
        </w:tc>
        <w:tc>
          <w:tcPr>
            <w:tcW w:w="240" w:type="dxa"/>
            <w:vAlign w:val="bottom"/>
            <w:tcBorders>
              <w:right w:val="single" w:sz="8" w:color="53C072"/>
            </w:tcBorders>
            <w:shd w:val="clear" w:color="auto" w:fill="53C072"/>
          </w:tcPr>
          <w:p>
            <w:pPr>
              <w:spacing w:after="0"/>
              <w:rPr>
                <w:sz w:val="16"/>
                <w:szCs w:val="16"/>
                <w:color w:val="auto"/>
              </w:rPr>
            </w:pPr>
          </w:p>
        </w:tc>
        <w:tc>
          <w:tcPr>
            <w:tcW w:w="4380" w:type="dxa"/>
            <w:vAlign w:val="bottom"/>
            <w:tcBorders>
              <w:right w:val="single" w:sz="8" w:color="53C072"/>
            </w:tcBorders>
            <w:shd w:val="clear" w:color="auto" w:fill="53C072"/>
          </w:tcPr>
          <w:p>
            <w:pPr>
              <w:spacing w:after="0"/>
              <w:rPr>
                <w:sz w:val="16"/>
                <w:szCs w:val="16"/>
                <w:color w:val="auto"/>
              </w:rPr>
            </w:pPr>
          </w:p>
        </w:tc>
      </w:tr>
      <w:tr>
        <w:trPr>
          <w:trHeight w:val="182"/>
        </w:trPr>
        <w:tc>
          <w:tcPr>
            <w:tcW w:w="1580" w:type="dxa"/>
            <w:vAlign w:val="bottom"/>
            <w:tcBorders>
              <w:left w:val="single" w:sz="8" w:color="53C072"/>
              <w:bottom w:val="single" w:sz="8" w:color="53C072"/>
              <w:right w:val="single" w:sz="8" w:color="53C072"/>
            </w:tcBorders>
            <w:shd w:val="clear" w:color="auto" w:fill="E8F5EA"/>
          </w:tcPr>
          <w:p>
            <w:pPr>
              <w:spacing w:after="0"/>
              <w:rPr>
                <w:sz w:val="15"/>
                <w:szCs w:val="15"/>
                <w:color w:val="auto"/>
              </w:rPr>
            </w:pPr>
          </w:p>
        </w:tc>
        <w:tc>
          <w:tcPr>
            <w:tcW w:w="3300" w:type="dxa"/>
            <w:vAlign w:val="bottom"/>
            <w:tcBorders>
              <w:bottom w:val="single" w:sz="8" w:color="53C072"/>
              <w:right w:val="single" w:sz="8" w:color="E8F5EA"/>
            </w:tcBorders>
            <w:shd w:val="clear" w:color="auto" w:fill="E8F5EA"/>
          </w:tcPr>
          <w:p>
            <w:pPr>
              <w:jc w:val="center"/>
              <w:ind w:right="1"/>
              <w:spacing w:after="0" w:line="182" w:lineRule="exact"/>
              <w:rPr>
                <w:sz w:val="20"/>
                <w:szCs w:val="20"/>
                <w:color w:val="auto"/>
              </w:rPr>
            </w:pPr>
            <w:r>
              <w:rPr>
                <w:rFonts w:ascii="Arial" w:cs="Arial" w:eastAsia="Arial" w:hAnsi="Arial"/>
                <w:sz w:val="16"/>
                <w:szCs w:val="16"/>
                <w:b w:val="1"/>
                <w:bCs w:val="1"/>
                <w:color w:val="auto"/>
                <w:w w:val="99"/>
              </w:rPr>
              <w:t>% Attainment</w:t>
            </w:r>
          </w:p>
        </w:tc>
        <w:tc>
          <w:tcPr>
            <w:tcW w:w="100" w:type="dxa"/>
            <w:vAlign w:val="bottom"/>
            <w:tcBorders>
              <w:bottom w:val="single" w:sz="8" w:color="53C072"/>
              <w:right w:val="single" w:sz="8" w:color="53C072"/>
            </w:tcBorders>
            <w:shd w:val="clear" w:color="auto" w:fill="E8F5EA"/>
          </w:tcPr>
          <w:p>
            <w:pPr>
              <w:spacing w:after="0"/>
              <w:rPr>
                <w:sz w:val="15"/>
                <w:szCs w:val="15"/>
                <w:color w:val="auto"/>
              </w:rPr>
            </w:pPr>
          </w:p>
        </w:tc>
        <w:tc>
          <w:tcPr>
            <w:tcW w:w="220" w:type="dxa"/>
            <w:vAlign w:val="bottom"/>
            <w:tcBorders>
              <w:bottom w:val="single" w:sz="8" w:color="53C072"/>
              <w:right w:val="single" w:sz="8" w:color="E8F5EA"/>
            </w:tcBorders>
            <w:shd w:val="clear" w:color="auto" w:fill="E8F5EA"/>
          </w:tcPr>
          <w:p>
            <w:pPr>
              <w:spacing w:after="0"/>
              <w:rPr>
                <w:sz w:val="15"/>
                <w:szCs w:val="15"/>
                <w:color w:val="auto"/>
              </w:rPr>
            </w:pPr>
          </w:p>
        </w:tc>
        <w:tc>
          <w:tcPr>
            <w:tcW w:w="1440" w:type="dxa"/>
            <w:vAlign w:val="bottom"/>
            <w:tcBorders>
              <w:bottom w:val="single" w:sz="8" w:color="53C072"/>
              <w:right w:val="single" w:sz="8" w:color="53C072"/>
            </w:tcBorders>
            <w:shd w:val="clear" w:color="auto" w:fill="E8F5EA"/>
          </w:tcPr>
          <w:p>
            <w:pPr>
              <w:ind w:left="400"/>
              <w:spacing w:after="0" w:line="182" w:lineRule="exact"/>
              <w:rPr>
                <w:sz w:val="20"/>
                <w:szCs w:val="20"/>
                <w:color w:val="auto"/>
              </w:rPr>
            </w:pPr>
            <w:r>
              <w:rPr>
                <w:rFonts w:ascii="Arial" w:cs="Arial" w:eastAsia="Arial" w:hAnsi="Arial"/>
                <w:sz w:val="16"/>
                <w:szCs w:val="16"/>
                <w:b w:val="1"/>
                <w:bCs w:val="1"/>
                <w:color w:val="auto"/>
              </w:rPr>
              <w:t>OI$</w:t>
            </w:r>
          </w:p>
        </w:tc>
        <w:tc>
          <w:tcPr>
            <w:tcW w:w="240" w:type="dxa"/>
            <w:vAlign w:val="bottom"/>
            <w:tcBorders>
              <w:bottom w:val="single" w:sz="8" w:color="53C072"/>
              <w:right w:val="single" w:sz="8" w:color="E8F5EA"/>
            </w:tcBorders>
            <w:shd w:val="clear" w:color="auto" w:fill="E8F5EA"/>
          </w:tcPr>
          <w:p>
            <w:pPr>
              <w:spacing w:after="0"/>
              <w:rPr>
                <w:sz w:val="15"/>
                <w:szCs w:val="15"/>
                <w:color w:val="auto"/>
              </w:rPr>
            </w:pPr>
          </w:p>
        </w:tc>
        <w:tc>
          <w:tcPr>
            <w:tcW w:w="4380" w:type="dxa"/>
            <w:vAlign w:val="bottom"/>
            <w:tcBorders>
              <w:bottom w:val="single" w:sz="8" w:color="53C072"/>
              <w:right w:val="single" w:sz="8" w:color="53C072"/>
            </w:tcBorders>
            <w:shd w:val="clear" w:color="auto" w:fill="E8F5EA"/>
          </w:tcPr>
          <w:p>
            <w:pPr>
              <w:ind w:left="1640"/>
              <w:spacing w:after="0" w:line="182" w:lineRule="exact"/>
              <w:rPr>
                <w:sz w:val="20"/>
                <w:szCs w:val="20"/>
                <w:color w:val="auto"/>
              </w:rPr>
            </w:pPr>
            <w:r>
              <w:rPr>
                <w:rFonts w:ascii="Arial" w:cs="Arial" w:eastAsia="Arial" w:hAnsi="Arial"/>
                <w:sz w:val="16"/>
                <w:szCs w:val="16"/>
                <w:b w:val="1"/>
                <w:bCs w:val="1"/>
                <w:color w:val="auto"/>
              </w:rPr>
              <w:t>% Payout</w:t>
            </w:r>
          </w:p>
        </w:tc>
      </w:tr>
      <w:tr>
        <w:trPr>
          <w:trHeight w:val="174"/>
        </w:trPr>
        <w:tc>
          <w:tcPr>
            <w:tcW w:w="1580" w:type="dxa"/>
            <w:vAlign w:val="bottom"/>
            <w:tcBorders>
              <w:left w:val="single" w:sz="8" w:color="53C072"/>
              <w:bottom w:val="single" w:sz="8" w:color="53C072"/>
              <w:right w:val="single" w:sz="8" w:color="53C072"/>
            </w:tcBorders>
          </w:tcPr>
          <w:p>
            <w:pPr>
              <w:ind w:left="280"/>
              <w:spacing w:after="0" w:line="175" w:lineRule="exact"/>
              <w:rPr>
                <w:sz w:val="20"/>
                <w:szCs w:val="20"/>
                <w:color w:val="auto"/>
              </w:rPr>
            </w:pPr>
            <w:r>
              <w:rPr>
                <w:rFonts w:ascii="Arial" w:cs="Arial" w:eastAsia="Arial" w:hAnsi="Arial"/>
                <w:sz w:val="16"/>
                <w:szCs w:val="16"/>
                <w:color w:val="auto"/>
              </w:rPr>
              <w:t>Maximum</w:t>
            </w:r>
          </w:p>
        </w:tc>
        <w:tc>
          <w:tcPr>
            <w:tcW w:w="3300" w:type="dxa"/>
            <w:vAlign w:val="bottom"/>
            <w:tcBorders>
              <w:bottom w:val="single" w:sz="8" w:color="53C072"/>
            </w:tcBorders>
          </w:tcPr>
          <w:p>
            <w:pPr>
              <w:ind w:left="1340"/>
              <w:spacing w:after="0" w:line="175" w:lineRule="exact"/>
              <w:rPr>
                <w:sz w:val="20"/>
                <w:szCs w:val="20"/>
                <w:color w:val="auto"/>
              </w:rPr>
            </w:pPr>
            <w:r>
              <w:rPr>
                <w:rFonts w:ascii="Arial" w:cs="Arial" w:eastAsia="Arial" w:hAnsi="Arial"/>
                <w:sz w:val="16"/>
                <w:szCs w:val="16"/>
                <w:color w:val="auto"/>
              </w:rPr>
              <w:t>125.0%</w:t>
            </w:r>
          </w:p>
        </w:tc>
        <w:tc>
          <w:tcPr>
            <w:tcW w:w="100" w:type="dxa"/>
            <w:vAlign w:val="bottom"/>
            <w:tcBorders>
              <w:bottom w:val="single" w:sz="8" w:color="53C072"/>
              <w:right w:val="single" w:sz="8" w:color="53C072"/>
            </w:tcBorders>
          </w:tcPr>
          <w:p>
            <w:pPr>
              <w:spacing w:after="0"/>
              <w:rPr>
                <w:sz w:val="15"/>
                <w:szCs w:val="15"/>
                <w:color w:val="auto"/>
              </w:rPr>
            </w:pPr>
          </w:p>
        </w:tc>
        <w:tc>
          <w:tcPr>
            <w:tcW w:w="1660" w:type="dxa"/>
            <w:vAlign w:val="bottom"/>
            <w:tcBorders>
              <w:bottom w:val="single" w:sz="8" w:color="53C072"/>
              <w:right w:val="single" w:sz="8" w:color="53C072"/>
            </w:tcBorders>
            <w:gridSpan w:val="2"/>
          </w:tcPr>
          <w:p>
            <w:pPr>
              <w:jc w:val="center"/>
              <w:ind w:right="101"/>
              <w:spacing w:after="0" w:line="175" w:lineRule="exact"/>
              <w:rPr>
                <w:sz w:val="20"/>
                <w:szCs w:val="20"/>
                <w:color w:val="auto"/>
              </w:rPr>
            </w:pPr>
            <w:r>
              <w:rPr>
                <w:rFonts w:ascii="Arial" w:cs="Arial" w:eastAsia="Arial" w:hAnsi="Arial"/>
                <w:sz w:val="16"/>
                <w:szCs w:val="16"/>
                <w:color w:val="auto"/>
                <w:w w:val="98"/>
              </w:rPr>
              <w:t>$685.8</w:t>
            </w:r>
          </w:p>
        </w:tc>
        <w:tc>
          <w:tcPr>
            <w:tcW w:w="240" w:type="dxa"/>
            <w:vAlign w:val="bottom"/>
            <w:tcBorders>
              <w:bottom w:val="single" w:sz="8" w:color="53C072"/>
            </w:tcBorders>
          </w:tcPr>
          <w:p>
            <w:pPr>
              <w:spacing w:after="0"/>
              <w:rPr>
                <w:sz w:val="15"/>
                <w:szCs w:val="15"/>
                <w:color w:val="auto"/>
              </w:rPr>
            </w:pPr>
          </w:p>
        </w:tc>
        <w:tc>
          <w:tcPr>
            <w:tcW w:w="4380" w:type="dxa"/>
            <w:vAlign w:val="bottom"/>
            <w:tcBorders>
              <w:bottom w:val="single" w:sz="8" w:color="53C072"/>
              <w:right w:val="single" w:sz="8" w:color="53C072"/>
            </w:tcBorders>
          </w:tcPr>
          <w:p>
            <w:pPr>
              <w:ind w:left="1780"/>
              <w:spacing w:after="0" w:line="175" w:lineRule="exact"/>
              <w:rPr>
                <w:sz w:val="20"/>
                <w:szCs w:val="20"/>
                <w:color w:val="auto"/>
              </w:rPr>
            </w:pPr>
            <w:r>
              <w:rPr>
                <w:rFonts w:ascii="Arial" w:cs="Arial" w:eastAsia="Arial" w:hAnsi="Arial"/>
                <w:sz w:val="16"/>
                <w:szCs w:val="16"/>
                <w:color w:val="auto"/>
              </w:rPr>
              <w:t>200%</w:t>
            </w:r>
          </w:p>
        </w:tc>
      </w:tr>
      <w:tr>
        <w:trPr>
          <w:trHeight w:val="174"/>
        </w:trPr>
        <w:tc>
          <w:tcPr>
            <w:tcW w:w="1580" w:type="dxa"/>
            <w:vAlign w:val="bottom"/>
            <w:tcBorders>
              <w:left w:val="single" w:sz="8" w:color="53C072"/>
              <w:bottom w:val="single" w:sz="8" w:color="53C072"/>
              <w:right w:val="single" w:sz="8" w:color="53C072"/>
            </w:tcBorders>
          </w:tcPr>
          <w:p>
            <w:pPr>
              <w:ind w:left="280"/>
              <w:spacing w:after="0" w:line="175" w:lineRule="exact"/>
              <w:rPr>
                <w:sz w:val="20"/>
                <w:szCs w:val="20"/>
                <w:color w:val="auto"/>
              </w:rPr>
            </w:pPr>
            <w:r>
              <w:rPr>
                <w:rFonts w:ascii="Arial" w:cs="Arial" w:eastAsia="Arial" w:hAnsi="Arial"/>
                <w:sz w:val="16"/>
                <w:szCs w:val="16"/>
                <w:color w:val="auto"/>
              </w:rPr>
              <w:t>&gt; Target</w:t>
            </w:r>
          </w:p>
        </w:tc>
        <w:tc>
          <w:tcPr>
            <w:tcW w:w="3300" w:type="dxa"/>
            <w:vAlign w:val="bottom"/>
            <w:tcBorders>
              <w:bottom w:val="single" w:sz="8" w:color="53C072"/>
            </w:tcBorders>
          </w:tcPr>
          <w:p>
            <w:pPr>
              <w:jc w:val="center"/>
              <w:ind w:right="1"/>
              <w:spacing w:after="0" w:line="175" w:lineRule="exact"/>
              <w:rPr>
                <w:sz w:val="20"/>
                <w:szCs w:val="20"/>
                <w:color w:val="auto"/>
              </w:rPr>
            </w:pPr>
            <w:r>
              <w:rPr>
                <w:rFonts w:ascii="Arial" w:cs="Arial" w:eastAsia="Arial" w:hAnsi="Arial"/>
                <w:sz w:val="16"/>
                <w:szCs w:val="16"/>
                <w:color w:val="auto"/>
                <w:w w:val="98"/>
              </w:rPr>
              <w:t>1% change = 1% change in attainment</w:t>
            </w:r>
          </w:p>
        </w:tc>
        <w:tc>
          <w:tcPr>
            <w:tcW w:w="100" w:type="dxa"/>
            <w:vAlign w:val="bottom"/>
            <w:tcBorders>
              <w:bottom w:val="single" w:sz="8" w:color="53C072"/>
              <w:right w:val="single" w:sz="8" w:color="53C072"/>
            </w:tcBorders>
          </w:tcPr>
          <w:p>
            <w:pPr>
              <w:spacing w:after="0"/>
              <w:rPr>
                <w:sz w:val="15"/>
                <w:szCs w:val="15"/>
                <w:color w:val="auto"/>
              </w:rPr>
            </w:pPr>
          </w:p>
        </w:tc>
        <w:tc>
          <w:tcPr>
            <w:tcW w:w="1660" w:type="dxa"/>
            <w:vAlign w:val="bottom"/>
            <w:tcBorders>
              <w:bottom w:val="single" w:sz="8" w:color="53C072"/>
              <w:right w:val="single" w:sz="8" w:color="53C072"/>
            </w:tcBorders>
            <w:gridSpan w:val="2"/>
          </w:tcPr>
          <w:p>
            <w:pPr>
              <w:jc w:val="center"/>
              <w:ind w:right="81"/>
              <w:spacing w:after="0" w:line="175" w:lineRule="exact"/>
              <w:rPr>
                <w:sz w:val="20"/>
                <w:szCs w:val="20"/>
                <w:color w:val="auto"/>
              </w:rPr>
            </w:pPr>
            <w:r>
              <w:rPr>
                <w:rFonts w:ascii="Arial" w:cs="Arial" w:eastAsia="Arial" w:hAnsi="Arial"/>
                <w:sz w:val="16"/>
                <w:szCs w:val="16"/>
                <w:color w:val="auto"/>
                <w:w w:val="98"/>
              </w:rPr>
              <w:t>$548.7 - $685.7</w:t>
            </w:r>
          </w:p>
        </w:tc>
        <w:tc>
          <w:tcPr>
            <w:tcW w:w="240" w:type="dxa"/>
            <w:vAlign w:val="bottom"/>
            <w:tcBorders>
              <w:bottom w:val="single" w:sz="8" w:color="53C072"/>
            </w:tcBorders>
          </w:tcPr>
          <w:p>
            <w:pPr>
              <w:spacing w:after="0"/>
              <w:rPr>
                <w:sz w:val="15"/>
                <w:szCs w:val="15"/>
                <w:color w:val="auto"/>
              </w:rPr>
            </w:pPr>
          </w:p>
        </w:tc>
        <w:tc>
          <w:tcPr>
            <w:tcW w:w="4380" w:type="dxa"/>
            <w:vAlign w:val="bottom"/>
            <w:tcBorders>
              <w:bottom w:val="single" w:sz="8" w:color="53C072"/>
              <w:right w:val="single" w:sz="8" w:color="53C072"/>
            </w:tcBorders>
          </w:tcPr>
          <w:p>
            <w:pPr>
              <w:spacing w:after="0" w:line="175" w:lineRule="exact"/>
              <w:rPr>
                <w:sz w:val="20"/>
                <w:szCs w:val="20"/>
                <w:color w:val="auto"/>
              </w:rPr>
            </w:pPr>
            <w:r>
              <w:rPr>
                <w:rFonts w:ascii="Arial" w:cs="Arial" w:eastAsia="Arial" w:hAnsi="Arial"/>
                <w:sz w:val="16"/>
                <w:szCs w:val="16"/>
                <w:color w:val="auto"/>
              </w:rPr>
              <w:t>4% increase in payout per 1% increase in attainment</w:t>
            </w:r>
          </w:p>
        </w:tc>
      </w:tr>
      <w:tr>
        <w:trPr>
          <w:trHeight w:val="174"/>
        </w:trPr>
        <w:tc>
          <w:tcPr>
            <w:tcW w:w="1580" w:type="dxa"/>
            <w:vAlign w:val="bottom"/>
            <w:tcBorders>
              <w:left w:val="single" w:sz="8" w:color="53C072"/>
              <w:bottom w:val="single" w:sz="8" w:color="53C072"/>
              <w:right w:val="single" w:sz="8" w:color="53C072"/>
            </w:tcBorders>
            <w:shd w:val="clear" w:color="auto" w:fill="E8F5EA"/>
          </w:tcPr>
          <w:p>
            <w:pPr>
              <w:ind w:left="280"/>
              <w:spacing w:after="0" w:line="175" w:lineRule="exact"/>
              <w:rPr>
                <w:sz w:val="20"/>
                <w:szCs w:val="20"/>
                <w:color w:val="auto"/>
              </w:rPr>
            </w:pPr>
            <w:r>
              <w:rPr>
                <w:rFonts w:ascii="Arial" w:cs="Arial" w:eastAsia="Arial" w:hAnsi="Arial"/>
                <w:sz w:val="16"/>
                <w:szCs w:val="16"/>
                <w:b w:val="1"/>
                <w:bCs w:val="1"/>
                <w:color w:val="auto"/>
              </w:rPr>
              <w:t>Target</w:t>
            </w:r>
          </w:p>
        </w:tc>
        <w:tc>
          <w:tcPr>
            <w:tcW w:w="3300" w:type="dxa"/>
            <w:vAlign w:val="bottom"/>
            <w:tcBorders>
              <w:bottom w:val="single" w:sz="8" w:color="53C072"/>
              <w:right w:val="single" w:sz="8" w:color="E8F5EA"/>
            </w:tcBorders>
            <w:shd w:val="clear" w:color="auto" w:fill="E8F5EA"/>
          </w:tcPr>
          <w:p>
            <w:pPr>
              <w:ind w:left="1340"/>
              <w:spacing w:after="0" w:line="175" w:lineRule="exact"/>
              <w:rPr>
                <w:sz w:val="20"/>
                <w:szCs w:val="20"/>
                <w:color w:val="auto"/>
              </w:rPr>
            </w:pPr>
            <w:r>
              <w:rPr>
                <w:rFonts w:ascii="Arial" w:cs="Arial" w:eastAsia="Arial" w:hAnsi="Arial"/>
                <w:sz w:val="16"/>
                <w:szCs w:val="16"/>
                <w:b w:val="1"/>
                <w:bCs w:val="1"/>
                <w:color w:val="auto"/>
              </w:rPr>
              <w:t>100.0%</w:t>
            </w:r>
          </w:p>
        </w:tc>
        <w:tc>
          <w:tcPr>
            <w:tcW w:w="100" w:type="dxa"/>
            <w:vAlign w:val="bottom"/>
            <w:tcBorders>
              <w:bottom w:val="single" w:sz="8" w:color="53C072"/>
              <w:right w:val="single" w:sz="8" w:color="53C072"/>
            </w:tcBorders>
            <w:shd w:val="clear" w:color="auto" w:fill="E8F5EA"/>
          </w:tcPr>
          <w:p>
            <w:pPr>
              <w:spacing w:after="0"/>
              <w:rPr>
                <w:sz w:val="15"/>
                <w:szCs w:val="15"/>
                <w:color w:val="auto"/>
              </w:rPr>
            </w:pPr>
          </w:p>
        </w:tc>
        <w:tc>
          <w:tcPr>
            <w:tcW w:w="1660" w:type="dxa"/>
            <w:vAlign w:val="bottom"/>
            <w:tcBorders>
              <w:bottom w:val="single" w:sz="8" w:color="53C072"/>
              <w:right w:val="single" w:sz="8" w:color="53C072"/>
            </w:tcBorders>
            <w:gridSpan w:val="2"/>
            <w:shd w:val="clear" w:color="auto" w:fill="E8F5EA"/>
          </w:tcPr>
          <w:p>
            <w:pPr>
              <w:jc w:val="center"/>
              <w:ind w:right="101"/>
              <w:spacing w:after="0" w:line="175" w:lineRule="exact"/>
              <w:rPr>
                <w:sz w:val="20"/>
                <w:szCs w:val="20"/>
                <w:color w:val="auto"/>
              </w:rPr>
            </w:pPr>
            <w:r>
              <w:rPr>
                <w:rFonts w:ascii="Arial" w:cs="Arial" w:eastAsia="Arial" w:hAnsi="Arial"/>
                <w:sz w:val="16"/>
                <w:szCs w:val="16"/>
                <w:b w:val="1"/>
                <w:bCs w:val="1"/>
                <w:color w:val="auto"/>
                <w:w w:val="98"/>
              </w:rPr>
              <w:t>$548.6</w:t>
            </w:r>
          </w:p>
        </w:tc>
        <w:tc>
          <w:tcPr>
            <w:tcW w:w="240" w:type="dxa"/>
            <w:vAlign w:val="bottom"/>
            <w:tcBorders>
              <w:bottom w:val="single" w:sz="8" w:color="53C072"/>
              <w:right w:val="single" w:sz="8" w:color="E8F5EA"/>
            </w:tcBorders>
            <w:shd w:val="clear" w:color="auto" w:fill="E8F5EA"/>
          </w:tcPr>
          <w:p>
            <w:pPr>
              <w:spacing w:after="0"/>
              <w:rPr>
                <w:sz w:val="15"/>
                <w:szCs w:val="15"/>
                <w:color w:val="auto"/>
              </w:rPr>
            </w:pPr>
          </w:p>
        </w:tc>
        <w:tc>
          <w:tcPr>
            <w:tcW w:w="4380" w:type="dxa"/>
            <w:vAlign w:val="bottom"/>
            <w:tcBorders>
              <w:bottom w:val="single" w:sz="8" w:color="53C072"/>
              <w:right w:val="single" w:sz="8" w:color="E8F5EA"/>
            </w:tcBorders>
            <w:shd w:val="clear" w:color="auto" w:fill="E8F5EA"/>
          </w:tcPr>
          <w:p>
            <w:pPr>
              <w:jc w:val="right"/>
              <w:ind w:right="2041"/>
              <w:spacing w:after="0" w:line="175" w:lineRule="exact"/>
              <w:rPr>
                <w:sz w:val="20"/>
                <w:szCs w:val="20"/>
                <w:color w:val="auto"/>
              </w:rPr>
            </w:pPr>
            <w:r>
              <w:rPr>
                <w:rFonts w:ascii="Arial" w:cs="Arial" w:eastAsia="Arial" w:hAnsi="Arial"/>
                <w:sz w:val="16"/>
                <w:szCs w:val="16"/>
                <w:b w:val="1"/>
                <w:bCs w:val="1"/>
                <w:color w:val="auto"/>
              </w:rPr>
              <w:t>100.0%</w:t>
            </w:r>
          </w:p>
        </w:tc>
      </w:tr>
      <w:tr>
        <w:trPr>
          <w:trHeight w:val="174"/>
        </w:trPr>
        <w:tc>
          <w:tcPr>
            <w:tcW w:w="1580" w:type="dxa"/>
            <w:vAlign w:val="bottom"/>
            <w:tcBorders>
              <w:left w:val="single" w:sz="8" w:color="53C072"/>
              <w:bottom w:val="single" w:sz="8" w:color="53C072"/>
              <w:right w:val="single" w:sz="8" w:color="53C072"/>
            </w:tcBorders>
          </w:tcPr>
          <w:p>
            <w:pPr>
              <w:ind w:left="280"/>
              <w:spacing w:after="0" w:line="175" w:lineRule="exact"/>
              <w:rPr>
                <w:sz w:val="20"/>
                <w:szCs w:val="20"/>
                <w:color w:val="auto"/>
              </w:rPr>
            </w:pPr>
            <w:r>
              <w:rPr>
                <w:rFonts w:ascii="Arial" w:cs="Arial" w:eastAsia="Arial" w:hAnsi="Arial"/>
                <w:sz w:val="16"/>
                <w:szCs w:val="16"/>
                <w:color w:val="auto"/>
              </w:rPr>
              <w:t>&lt; Target</w:t>
            </w:r>
          </w:p>
        </w:tc>
        <w:tc>
          <w:tcPr>
            <w:tcW w:w="3300" w:type="dxa"/>
            <w:vAlign w:val="bottom"/>
            <w:tcBorders>
              <w:bottom w:val="single" w:sz="8" w:color="53C072"/>
            </w:tcBorders>
          </w:tcPr>
          <w:p>
            <w:pPr>
              <w:jc w:val="center"/>
              <w:ind w:right="1"/>
              <w:spacing w:after="0" w:line="175" w:lineRule="exact"/>
              <w:rPr>
                <w:sz w:val="20"/>
                <w:szCs w:val="20"/>
                <w:color w:val="auto"/>
              </w:rPr>
            </w:pPr>
            <w:r>
              <w:rPr>
                <w:rFonts w:ascii="Arial" w:cs="Arial" w:eastAsia="Arial" w:hAnsi="Arial"/>
                <w:sz w:val="16"/>
                <w:szCs w:val="16"/>
                <w:color w:val="auto"/>
                <w:w w:val="98"/>
              </w:rPr>
              <w:t>1% change = 1% change in attainment</w:t>
            </w:r>
          </w:p>
        </w:tc>
        <w:tc>
          <w:tcPr>
            <w:tcW w:w="100" w:type="dxa"/>
            <w:vAlign w:val="bottom"/>
            <w:tcBorders>
              <w:bottom w:val="single" w:sz="8" w:color="53C072"/>
              <w:right w:val="single" w:sz="8" w:color="53C072"/>
            </w:tcBorders>
          </w:tcPr>
          <w:p>
            <w:pPr>
              <w:spacing w:after="0"/>
              <w:rPr>
                <w:sz w:val="15"/>
                <w:szCs w:val="15"/>
                <w:color w:val="auto"/>
              </w:rPr>
            </w:pPr>
          </w:p>
        </w:tc>
        <w:tc>
          <w:tcPr>
            <w:tcW w:w="1660" w:type="dxa"/>
            <w:vAlign w:val="bottom"/>
            <w:tcBorders>
              <w:bottom w:val="single" w:sz="8" w:color="53C072"/>
              <w:right w:val="single" w:sz="8" w:color="53C072"/>
            </w:tcBorders>
            <w:gridSpan w:val="2"/>
          </w:tcPr>
          <w:p>
            <w:pPr>
              <w:jc w:val="center"/>
              <w:ind w:right="81"/>
              <w:spacing w:after="0" w:line="175" w:lineRule="exact"/>
              <w:rPr>
                <w:sz w:val="20"/>
                <w:szCs w:val="20"/>
                <w:color w:val="auto"/>
              </w:rPr>
            </w:pPr>
            <w:r>
              <w:rPr>
                <w:rFonts w:ascii="Arial" w:cs="Arial" w:eastAsia="Arial" w:hAnsi="Arial"/>
                <w:sz w:val="16"/>
                <w:szCs w:val="16"/>
                <w:color w:val="auto"/>
                <w:w w:val="98"/>
              </w:rPr>
              <w:t>$439.0 - $548.5</w:t>
            </w:r>
          </w:p>
        </w:tc>
        <w:tc>
          <w:tcPr>
            <w:tcW w:w="240" w:type="dxa"/>
            <w:vAlign w:val="bottom"/>
            <w:tcBorders>
              <w:bottom w:val="single" w:sz="8" w:color="53C072"/>
            </w:tcBorders>
          </w:tcPr>
          <w:p>
            <w:pPr>
              <w:spacing w:after="0"/>
              <w:rPr>
                <w:sz w:val="15"/>
                <w:szCs w:val="15"/>
                <w:color w:val="auto"/>
              </w:rPr>
            </w:pPr>
          </w:p>
        </w:tc>
        <w:tc>
          <w:tcPr>
            <w:tcW w:w="4380" w:type="dxa"/>
            <w:vAlign w:val="bottom"/>
            <w:tcBorders>
              <w:bottom w:val="single" w:sz="8" w:color="53C072"/>
              <w:right w:val="single" w:sz="8" w:color="53C072"/>
            </w:tcBorders>
          </w:tcPr>
          <w:p>
            <w:pPr>
              <w:jc w:val="center"/>
              <w:ind w:right="601"/>
              <w:spacing w:after="0" w:line="175" w:lineRule="exact"/>
              <w:rPr>
                <w:sz w:val="20"/>
                <w:szCs w:val="20"/>
                <w:color w:val="auto"/>
              </w:rPr>
            </w:pPr>
            <w:r>
              <w:rPr>
                <w:rFonts w:ascii="Arial" w:cs="Arial" w:eastAsia="Arial" w:hAnsi="Arial"/>
                <w:sz w:val="16"/>
                <w:szCs w:val="16"/>
                <w:color w:val="auto"/>
                <w:w w:val="96"/>
              </w:rPr>
              <w:t>3% decrease in payout per 1% decrease in attainment</w:t>
            </w:r>
          </w:p>
        </w:tc>
      </w:tr>
      <w:tr>
        <w:trPr>
          <w:trHeight w:val="174"/>
        </w:trPr>
        <w:tc>
          <w:tcPr>
            <w:tcW w:w="1580" w:type="dxa"/>
            <w:vAlign w:val="bottom"/>
            <w:tcBorders>
              <w:left w:val="single" w:sz="8" w:color="53C072"/>
              <w:bottom w:val="single" w:sz="8" w:color="53C072"/>
              <w:right w:val="single" w:sz="8" w:color="53C072"/>
            </w:tcBorders>
          </w:tcPr>
          <w:p>
            <w:pPr>
              <w:ind w:left="280"/>
              <w:spacing w:after="0" w:line="175" w:lineRule="exact"/>
              <w:rPr>
                <w:sz w:val="20"/>
                <w:szCs w:val="20"/>
                <w:color w:val="auto"/>
              </w:rPr>
            </w:pPr>
            <w:r>
              <w:rPr>
                <w:rFonts w:ascii="Arial" w:cs="Arial" w:eastAsia="Arial" w:hAnsi="Arial"/>
                <w:sz w:val="16"/>
                <w:szCs w:val="16"/>
                <w:color w:val="auto"/>
              </w:rPr>
              <w:t>Threshold</w:t>
            </w:r>
          </w:p>
        </w:tc>
        <w:tc>
          <w:tcPr>
            <w:tcW w:w="3300" w:type="dxa"/>
            <w:vAlign w:val="bottom"/>
            <w:tcBorders>
              <w:bottom w:val="single" w:sz="8" w:color="53C072"/>
            </w:tcBorders>
          </w:tcPr>
          <w:p>
            <w:pPr>
              <w:jc w:val="right"/>
              <w:ind w:right="1381"/>
              <w:spacing w:after="0" w:line="175" w:lineRule="exact"/>
              <w:rPr>
                <w:sz w:val="20"/>
                <w:szCs w:val="20"/>
                <w:color w:val="auto"/>
              </w:rPr>
            </w:pPr>
            <w:r>
              <w:rPr>
                <w:rFonts w:ascii="Arial" w:cs="Arial" w:eastAsia="Arial" w:hAnsi="Arial"/>
                <w:sz w:val="16"/>
                <w:szCs w:val="16"/>
                <w:color w:val="auto"/>
              </w:rPr>
              <w:t>80.0%</w:t>
            </w:r>
          </w:p>
        </w:tc>
        <w:tc>
          <w:tcPr>
            <w:tcW w:w="100" w:type="dxa"/>
            <w:vAlign w:val="bottom"/>
            <w:tcBorders>
              <w:bottom w:val="single" w:sz="8" w:color="53C072"/>
              <w:right w:val="single" w:sz="8" w:color="53C072"/>
            </w:tcBorders>
          </w:tcPr>
          <w:p>
            <w:pPr>
              <w:spacing w:after="0"/>
              <w:rPr>
                <w:sz w:val="15"/>
                <w:szCs w:val="15"/>
                <w:color w:val="auto"/>
              </w:rPr>
            </w:pPr>
          </w:p>
        </w:tc>
        <w:tc>
          <w:tcPr>
            <w:tcW w:w="1660" w:type="dxa"/>
            <w:vAlign w:val="bottom"/>
            <w:tcBorders>
              <w:bottom w:val="single" w:sz="8" w:color="53C072"/>
              <w:right w:val="single" w:sz="8" w:color="53C072"/>
            </w:tcBorders>
            <w:gridSpan w:val="2"/>
          </w:tcPr>
          <w:p>
            <w:pPr>
              <w:jc w:val="center"/>
              <w:ind w:right="101"/>
              <w:spacing w:after="0" w:line="175" w:lineRule="exact"/>
              <w:rPr>
                <w:sz w:val="20"/>
                <w:szCs w:val="20"/>
                <w:color w:val="auto"/>
              </w:rPr>
            </w:pPr>
            <w:r>
              <w:rPr>
                <w:rFonts w:ascii="Arial" w:cs="Arial" w:eastAsia="Arial" w:hAnsi="Arial"/>
                <w:sz w:val="16"/>
                <w:szCs w:val="16"/>
                <w:color w:val="auto"/>
                <w:w w:val="98"/>
              </w:rPr>
              <w:t>$438.9</w:t>
            </w:r>
          </w:p>
        </w:tc>
        <w:tc>
          <w:tcPr>
            <w:tcW w:w="4620" w:type="dxa"/>
            <w:vAlign w:val="bottom"/>
            <w:tcBorders>
              <w:bottom w:val="single" w:sz="8" w:color="53C072"/>
              <w:right w:val="single" w:sz="8" w:color="53C072"/>
            </w:tcBorders>
            <w:gridSpan w:val="2"/>
          </w:tcPr>
          <w:p>
            <w:pPr>
              <w:ind w:left="2080"/>
              <w:spacing w:after="0" w:line="175" w:lineRule="exact"/>
              <w:rPr>
                <w:sz w:val="20"/>
                <w:szCs w:val="20"/>
                <w:color w:val="auto"/>
              </w:rPr>
            </w:pPr>
            <w:r>
              <w:rPr>
                <w:rFonts w:ascii="Arial" w:cs="Arial" w:eastAsia="Arial" w:hAnsi="Arial"/>
                <w:sz w:val="16"/>
                <w:szCs w:val="16"/>
                <w:color w:val="auto"/>
              </w:rPr>
              <w:t>40%</w:t>
            </w:r>
          </w:p>
        </w:tc>
      </w:tr>
      <w:tr>
        <w:trPr>
          <w:trHeight w:val="563"/>
        </w:trPr>
        <w:tc>
          <w:tcPr>
            <w:tcW w:w="15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182"/>
        </w:trPr>
        <w:tc>
          <w:tcPr>
            <w:tcW w:w="1580" w:type="dxa"/>
            <w:vAlign w:val="bottom"/>
            <w:tcBorders>
              <w:left w:val="single" w:sz="8" w:color="53C072"/>
              <w:right w:val="single" w:sz="8" w:color="53C072"/>
            </w:tcBorders>
            <w:shd w:val="clear" w:color="auto" w:fill="53C072"/>
          </w:tcPr>
          <w:p>
            <w:pPr>
              <w:spacing w:after="0"/>
              <w:rPr>
                <w:sz w:val="15"/>
                <w:szCs w:val="15"/>
                <w:color w:val="auto"/>
              </w:rPr>
            </w:pPr>
          </w:p>
        </w:tc>
        <w:tc>
          <w:tcPr>
            <w:tcW w:w="3300" w:type="dxa"/>
            <w:vAlign w:val="bottom"/>
            <w:tcBorders>
              <w:right w:val="single" w:sz="8" w:color="53C072"/>
            </w:tcBorders>
            <w:shd w:val="clear" w:color="auto" w:fill="53C072"/>
          </w:tcPr>
          <w:p>
            <w:pPr>
              <w:spacing w:after="0"/>
              <w:rPr>
                <w:sz w:val="15"/>
                <w:szCs w:val="15"/>
                <w:color w:val="auto"/>
              </w:rPr>
            </w:pPr>
          </w:p>
        </w:tc>
        <w:tc>
          <w:tcPr>
            <w:tcW w:w="100" w:type="dxa"/>
            <w:vAlign w:val="bottom"/>
            <w:tcBorders>
              <w:right w:val="single" w:sz="8" w:color="53C072"/>
            </w:tcBorders>
            <w:shd w:val="clear" w:color="auto" w:fill="53C072"/>
          </w:tcPr>
          <w:p>
            <w:pPr>
              <w:spacing w:after="0"/>
              <w:rPr>
                <w:sz w:val="15"/>
                <w:szCs w:val="15"/>
                <w:color w:val="auto"/>
              </w:rPr>
            </w:pPr>
          </w:p>
        </w:tc>
        <w:tc>
          <w:tcPr>
            <w:tcW w:w="1660" w:type="dxa"/>
            <w:vAlign w:val="bottom"/>
            <w:tcBorders>
              <w:right w:val="single" w:sz="8" w:color="53C072"/>
            </w:tcBorders>
            <w:gridSpan w:val="2"/>
            <w:shd w:val="clear" w:color="auto" w:fill="53C072"/>
          </w:tcPr>
          <w:p>
            <w:pPr>
              <w:jc w:val="center"/>
              <w:ind w:right="281"/>
              <w:spacing w:after="0" w:line="182" w:lineRule="exact"/>
              <w:rPr>
                <w:sz w:val="20"/>
                <w:szCs w:val="20"/>
                <w:color w:val="auto"/>
              </w:rPr>
            </w:pPr>
            <w:r>
              <w:rPr>
                <w:rFonts w:ascii="Arial" w:cs="Arial" w:eastAsia="Arial" w:hAnsi="Arial"/>
                <w:sz w:val="16"/>
                <w:szCs w:val="16"/>
                <w:b w:val="1"/>
                <w:bCs w:val="1"/>
                <w:color w:val="FFFFFE"/>
                <w:w w:val="98"/>
              </w:rPr>
              <w:t>FY20 GP$ Goals</w:t>
            </w:r>
          </w:p>
        </w:tc>
        <w:tc>
          <w:tcPr>
            <w:tcW w:w="240" w:type="dxa"/>
            <w:vAlign w:val="bottom"/>
            <w:tcBorders>
              <w:right w:val="single" w:sz="8" w:color="53C072"/>
            </w:tcBorders>
            <w:shd w:val="clear" w:color="auto" w:fill="53C072"/>
          </w:tcPr>
          <w:p>
            <w:pPr>
              <w:spacing w:after="0"/>
              <w:rPr>
                <w:sz w:val="15"/>
                <w:szCs w:val="15"/>
                <w:color w:val="auto"/>
              </w:rPr>
            </w:pPr>
          </w:p>
        </w:tc>
        <w:tc>
          <w:tcPr>
            <w:tcW w:w="4380" w:type="dxa"/>
            <w:vAlign w:val="bottom"/>
            <w:tcBorders>
              <w:right w:val="single" w:sz="8" w:color="53C072"/>
            </w:tcBorders>
            <w:shd w:val="clear" w:color="auto" w:fill="53C072"/>
          </w:tcPr>
          <w:p>
            <w:pPr>
              <w:spacing w:after="0"/>
              <w:rPr>
                <w:sz w:val="15"/>
                <w:szCs w:val="15"/>
                <w:color w:val="auto"/>
              </w:rPr>
            </w:pPr>
          </w:p>
        </w:tc>
      </w:tr>
      <w:tr>
        <w:trPr>
          <w:trHeight w:val="182"/>
        </w:trPr>
        <w:tc>
          <w:tcPr>
            <w:tcW w:w="1580" w:type="dxa"/>
            <w:vAlign w:val="bottom"/>
            <w:tcBorders>
              <w:left w:val="single" w:sz="8" w:color="53C072"/>
              <w:bottom w:val="single" w:sz="8" w:color="53C072"/>
              <w:right w:val="single" w:sz="8" w:color="53C072"/>
            </w:tcBorders>
            <w:shd w:val="clear" w:color="auto" w:fill="E8F5EA"/>
          </w:tcPr>
          <w:p>
            <w:pPr>
              <w:spacing w:after="0"/>
              <w:rPr>
                <w:sz w:val="15"/>
                <w:szCs w:val="15"/>
                <w:color w:val="auto"/>
              </w:rPr>
            </w:pPr>
          </w:p>
        </w:tc>
        <w:tc>
          <w:tcPr>
            <w:tcW w:w="3300" w:type="dxa"/>
            <w:vAlign w:val="bottom"/>
            <w:tcBorders>
              <w:bottom w:val="single" w:sz="8" w:color="53C072"/>
              <w:right w:val="single" w:sz="8" w:color="53C072"/>
            </w:tcBorders>
            <w:shd w:val="clear" w:color="auto" w:fill="E8F5EA"/>
          </w:tcPr>
          <w:p>
            <w:pPr>
              <w:jc w:val="center"/>
              <w:ind w:right="101"/>
              <w:spacing w:after="0" w:line="182" w:lineRule="exact"/>
              <w:rPr>
                <w:sz w:val="20"/>
                <w:szCs w:val="20"/>
                <w:color w:val="auto"/>
              </w:rPr>
            </w:pPr>
            <w:r>
              <w:rPr>
                <w:rFonts w:ascii="Arial" w:cs="Arial" w:eastAsia="Arial" w:hAnsi="Arial"/>
                <w:sz w:val="16"/>
                <w:szCs w:val="16"/>
                <w:b w:val="1"/>
                <w:bCs w:val="1"/>
                <w:color w:val="auto"/>
                <w:w w:val="97"/>
              </w:rPr>
              <w:t>% Attainment</w:t>
            </w:r>
          </w:p>
        </w:tc>
        <w:tc>
          <w:tcPr>
            <w:tcW w:w="100" w:type="dxa"/>
            <w:vAlign w:val="bottom"/>
            <w:tcBorders>
              <w:bottom w:val="single" w:sz="8" w:color="53C072"/>
              <w:right w:val="single" w:sz="8" w:color="E8F5EA"/>
            </w:tcBorders>
            <w:shd w:val="clear" w:color="auto" w:fill="E8F5EA"/>
          </w:tcPr>
          <w:p>
            <w:pPr>
              <w:spacing w:after="0"/>
              <w:rPr>
                <w:sz w:val="15"/>
                <w:szCs w:val="15"/>
                <w:color w:val="auto"/>
              </w:rPr>
            </w:pPr>
          </w:p>
        </w:tc>
        <w:tc>
          <w:tcPr>
            <w:tcW w:w="220" w:type="dxa"/>
            <w:vAlign w:val="bottom"/>
            <w:tcBorders>
              <w:bottom w:val="single" w:sz="8" w:color="53C072"/>
              <w:right w:val="single" w:sz="8" w:color="E8F5EA"/>
            </w:tcBorders>
            <w:shd w:val="clear" w:color="auto" w:fill="E8F5EA"/>
          </w:tcPr>
          <w:p>
            <w:pPr>
              <w:spacing w:after="0"/>
              <w:rPr>
                <w:sz w:val="15"/>
                <w:szCs w:val="15"/>
                <w:color w:val="auto"/>
              </w:rPr>
            </w:pPr>
          </w:p>
        </w:tc>
        <w:tc>
          <w:tcPr>
            <w:tcW w:w="1440" w:type="dxa"/>
            <w:vAlign w:val="bottom"/>
            <w:tcBorders>
              <w:bottom w:val="single" w:sz="8" w:color="53C072"/>
              <w:right w:val="single" w:sz="8" w:color="E8F5EA"/>
            </w:tcBorders>
            <w:shd w:val="clear" w:color="auto" w:fill="E8F5EA"/>
          </w:tcPr>
          <w:p>
            <w:pPr>
              <w:ind w:left="400"/>
              <w:spacing w:after="0" w:line="182" w:lineRule="exact"/>
              <w:rPr>
                <w:sz w:val="20"/>
                <w:szCs w:val="20"/>
                <w:color w:val="auto"/>
              </w:rPr>
            </w:pPr>
            <w:r>
              <w:rPr>
                <w:rFonts w:ascii="Arial" w:cs="Arial" w:eastAsia="Arial" w:hAnsi="Arial"/>
                <w:sz w:val="16"/>
                <w:szCs w:val="16"/>
                <w:b w:val="1"/>
                <w:bCs w:val="1"/>
                <w:color w:val="auto"/>
              </w:rPr>
              <w:t>GP$</w:t>
            </w:r>
          </w:p>
        </w:tc>
        <w:tc>
          <w:tcPr>
            <w:tcW w:w="240" w:type="dxa"/>
            <w:vAlign w:val="bottom"/>
            <w:tcBorders>
              <w:bottom w:val="single" w:sz="8" w:color="53C072"/>
              <w:right w:val="single" w:sz="8" w:color="53C072"/>
            </w:tcBorders>
            <w:shd w:val="clear" w:color="auto" w:fill="E8F5EA"/>
          </w:tcPr>
          <w:p>
            <w:pPr>
              <w:spacing w:after="0"/>
              <w:rPr>
                <w:sz w:val="15"/>
                <w:szCs w:val="15"/>
                <w:color w:val="auto"/>
              </w:rPr>
            </w:pPr>
          </w:p>
        </w:tc>
        <w:tc>
          <w:tcPr>
            <w:tcW w:w="4380" w:type="dxa"/>
            <w:vAlign w:val="bottom"/>
            <w:tcBorders>
              <w:bottom w:val="single" w:sz="8" w:color="53C072"/>
              <w:right w:val="single" w:sz="8" w:color="53C072"/>
            </w:tcBorders>
            <w:shd w:val="clear" w:color="auto" w:fill="E8F5EA"/>
          </w:tcPr>
          <w:p>
            <w:pPr>
              <w:ind w:left="1700"/>
              <w:spacing w:after="0" w:line="182" w:lineRule="exact"/>
              <w:rPr>
                <w:sz w:val="20"/>
                <w:szCs w:val="20"/>
                <w:color w:val="auto"/>
              </w:rPr>
            </w:pPr>
            <w:r>
              <w:rPr>
                <w:rFonts w:ascii="Arial" w:cs="Arial" w:eastAsia="Arial" w:hAnsi="Arial"/>
                <w:sz w:val="16"/>
                <w:szCs w:val="16"/>
                <w:b w:val="1"/>
                <w:bCs w:val="1"/>
                <w:color w:val="auto"/>
              </w:rPr>
              <w:t>% Payout</w:t>
            </w:r>
          </w:p>
        </w:tc>
      </w:tr>
      <w:tr>
        <w:trPr>
          <w:trHeight w:val="174"/>
        </w:trPr>
        <w:tc>
          <w:tcPr>
            <w:tcW w:w="1580" w:type="dxa"/>
            <w:vAlign w:val="bottom"/>
            <w:tcBorders>
              <w:left w:val="single" w:sz="8" w:color="53C072"/>
              <w:bottom w:val="single" w:sz="8" w:color="53C072"/>
              <w:right w:val="single" w:sz="8" w:color="53C072"/>
            </w:tcBorders>
          </w:tcPr>
          <w:p>
            <w:pPr>
              <w:ind w:left="280"/>
              <w:spacing w:after="0" w:line="175" w:lineRule="exact"/>
              <w:rPr>
                <w:sz w:val="20"/>
                <w:szCs w:val="20"/>
                <w:color w:val="auto"/>
              </w:rPr>
            </w:pPr>
            <w:r>
              <w:rPr>
                <w:rFonts w:ascii="Arial" w:cs="Arial" w:eastAsia="Arial" w:hAnsi="Arial"/>
                <w:sz w:val="16"/>
                <w:szCs w:val="16"/>
                <w:color w:val="auto"/>
              </w:rPr>
              <w:t>Maximum</w:t>
            </w:r>
          </w:p>
        </w:tc>
        <w:tc>
          <w:tcPr>
            <w:tcW w:w="3300" w:type="dxa"/>
            <w:vAlign w:val="bottom"/>
            <w:tcBorders>
              <w:bottom w:val="single" w:sz="8" w:color="53C072"/>
              <w:right w:val="single" w:sz="8" w:color="53C072"/>
            </w:tcBorders>
          </w:tcPr>
          <w:p>
            <w:pPr>
              <w:jc w:val="right"/>
              <w:ind w:right="1401"/>
              <w:spacing w:after="0" w:line="175" w:lineRule="exact"/>
              <w:rPr>
                <w:sz w:val="20"/>
                <w:szCs w:val="20"/>
                <w:color w:val="auto"/>
              </w:rPr>
            </w:pPr>
            <w:r>
              <w:rPr>
                <w:rFonts w:ascii="Arial" w:cs="Arial" w:eastAsia="Arial" w:hAnsi="Arial"/>
                <w:sz w:val="16"/>
                <w:szCs w:val="16"/>
                <w:color w:val="auto"/>
              </w:rPr>
              <w:t>125.0%</w:t>
            </w:r>
          </w:p>
        </w:tc>
        <w:tc>
          <w:tcPr>
            <w:tcW w:w="100" w:type="dxa"/>
            <w:vAlign w:val="bottom"/>
            <w:tcBorders>
              <w:bottom w:val="single" w:sz="8" w:color="53C072"/>
            </w:tcBorders>
          </w:tcPr>
          <w:p>
            <w:pPr>
              <w:spacing w:after="0"/>
              <w:rPr>
                <w:sz w:val="15"/>
                <w:szCs w:val="15"/>
                <w:color w:val="auto"/>
              </w:rPr>
            </w:pPr>
          </w:p>
        </w:tc>
        <w:tc>
          <w:tcPr>
            <w:tcW w:w="1660" w:type="dxa"/>
            <w:vAlign w:val="bottom"/>
            <w:tcBorders>
              <w:bottom w:val="single" w:sz="8" w:color="53C072"/>
            </w:tcBorders>
            <w:gridSpan w:val="2"/>
          </w:tcPr>
          <w:p>
            <w:pPr>
              <w:jc w:val="center"/>
              <w:ind w:right="41"/>
              <w:spacing w:after="0" w:line="175" w:lineRule="exact"/>
              <w:rPr>
                <w:sz w:val="20"/>
                <w:szCs w:val="20"/>
                <w:color w:val="auto"/>
              </w:rPr>
            </w:pPr>
            <w:r>
              <w:rPr>
                <w:rFonts w:ascii="Arial" w:cs="Arial" w:eastAsia="Arial" w:hAnsi="Arial"/>
                <w:sz w:val="16"/>
                <w:szCs w:val="16"/>
                <w:color w:val="auto"/>
                <w:w w:val="99"/>
              </w:rPr>
              <w:t>$2,943.0</w:t>
            </w:r>
          </w:p>
        </w:tc>
        <w:tc>
          <w:tcPr>
            <w:tcW w:w="240" w:type="dxa"/>
            <w:vAlign w:val="bottom"/>
            <w:tcBorders>
              <w:bottom w:val="single" w:sz="8" w:color="53C072"/>
              <w:right w:val="single" w:sz="8" w:color="53C072"/>
            </w:tcBorders>
          </w:tcPr>
          <w:p>
            <w:pPr>
              <w:spacing w:after="0"/>
              <w:rPr>
                <w:sz w:val="15"/>
                <w:szCs w:val="15"/>
                <w:color w:val="auto"/>
              </w:rPr>
            </w:pPr>
          </w:p>
        </w:tc>
        <w:tc>
          <w:tcPr>
            <w:tcW w:w="4380" w:type="dxa"/>
            <w:vAlign w:val="bottom"/>
            <w:tcBorders>
              <w:bottom w:val="single" w:sz="8" w:color="53C072"/>
              <w:right w:val="single" w:sz="8" w:color="53C072"/>
            </w:tcBorders>
          </w:tcPr>
          <w:p>
            <w:pPr>
              <w:jc w:val="right"/>
              <w:ind w:right="2041"/>
              <w:spacing w:after="0" w:line="175" w:lineRule="exact"/>
              <w:rPr>
                <w:sz w:val="20"/>
                <w:szCs w:val="20"/>
                <w:color w:val="auto"/>
              </w:rPr>
            </w:pPr>
            <w:r>
              <w:rPr>
                <w:rFonts w:ascii="Arial" w:cs="Arial" w:eastAsia="Arial" w:hAnsi="Arial"/>
                <w:sz w:val="16"/>
                <w:szCs w:val="16"/>
                <w:color w:val="auto"/>
              </w:rPr>
              <w:t>200%</w:t>
            </w:r>
          </w:p>
        </w:tc>
      </w:tr>
      <w:tr>
        <w:trPr>
          <w:trHeight w:val="174"/>
        </w:trPr>
        <w:tc>
          <w:tcPr>
            <w:tcW w:w="1580" w:type="dxa"/>
            <w:vAlign w:val="bottom"/>
            <w:tcBorders>
              <w:left w:val="single" w:sz="8" w:color="53C072"/>
              <w:bottom w:val="single" w:sz="8" w:color="53C072"/>
              <w:right w:val="single" w:sz="8" w:color="53C072"/>
            </w:tcBorders>
          </w:tcPr>
          <w:p>
            <w:pPr>
              <w:ind w:left="280"/>
              <w:spacing w:after="0" w:line="175" w:lineRule="exact"/>
              <w:rPr>
                <w:sz w:val="20"/>
                <w:szCs w:val="20"/>
                <w:color w:val="auto"/>
              </w:rPr>
            </w:pPr>
            <w:r>
              <w:rPr>
                <w:rFonts w:ascii="Arial" w:cs="Arial" w:eastAsia="Arial" w:hAnsi="Arial"/>
                <w:sz w:val="16"/>
                <w:szCs w:val="16"/>
                <w:color w:val="auto"/>
              </w:rPr>
              <w:t>&gt; Target</w:t>
            </w:r>
          </w:p>
        </w:tc>
        <w:tc>
          <w:tcPr>
            <w:tcW w:w="3300" w:type="dxa"/>
            <w:vAlign w:val="bottom"/>
            <w:tcBorders>
              <w:bottom w:val="single" w:sz="8" w:color="53C072"/>
              <w:right w:val="single" w:sz="8" w:color="53C072"/>
            </w:tcBorders>
          </w:tcPr>
          <w:p>
            <w:pPr>
              <w:jc w:val="center"/>
              <w:ind w:right="101"/>
              <w:spacing w:after="0" w:line="175" w:lineRule="exact"/>
              <w:rPr>
                <w:sz w:val="20"/>
                <w:szCs w:val="20"/>
                <w:color w:val="auto"/>
              </w:rPr>
            </w:pPr>
            <w:r>
              <w:rPr>
                <w:rFonts w:ascii="Arial" w:cs="Arial" w:eastAsia="Arial" w:hAnsi="Arial"/>
                <w:sz w:val="16"/>
                <w:szCs w:val="16"/>
                <w:color w:val="auto"/>
                <w:w w:val="99"/>
              </w:rPr>
              <w:t>1% change = 1% change in attainment</w:t>
            </w:r>
          </w:p>
        </w:tc>
        <w:tc>
          <w:tcPr>
            <w:tcW w:w="1760" w:type="dxa"/>
            <w:vAlign w:val="bottom"/>
            <w:tcBorders>
              <w:bottom w:val="single" w:sz="8" w:color="53C072"/>
            </w:tcBorders>
            <w:gridSpan w:val="3"/>
          </w:tcPr>
          <w:p>
            <w:pPr>
              <w:jc w:val="center"/>
              <w:spacing w:after="0" w:line="175" w:lineRule="exact"/>
              <w:rPr>
                <w:sz w:val="20"/>
                <w:szCs w:val="20"/>
                <w:color w:val="auto"/>
              </w:rPr>
            </w:pPr>
            <w:r>
              <w:rPr>
                <w:rFonts w:ascii="Arial" w:cs="Arial" w:eastAsia="Arial" w:hAnsi="Arial"/>
                <w:sz w:val="16"/>
                <w:szCs w:val="16"/>
                <w:color w:val="auto"/>
                <w:w w:val="99"/>
              </w:rPr>
              <w:t>$2,354.5 - $2,942.9</w:t>
            </w:r>
          </w:p>
        </w:tc>
        <w:tc>
          <w:tcPr>
            <w:tcW w:w="240" w:type="dxa"/>
            <w:vAlign w:val="bottom"/>
            <w:tcBorders>
              <w:bottom w:val="single" w:sz="8" w:color="53C072"/>
              <w:right w:val="single" w:sz="8" w:color="53C072"/>
            </w:tcBorders>
          </w:tcPr>
          <w:p>
            <w:pPr>
              <w:spacing w:after="0"/>
              <w:rPr>
                <w:sz w:val="15"/>
                <w:szCs w:val="15"/>
                <w:color w:val="auto"/>
              </w:rPr>
            </w:pPr>
          </w:p>
        </w:tc>
        <w:tc>
          <w:tcPr>
            <w:tcW w:w="4380" w:type="dxa"/>
            <w:vAlign w:val="bottom"/>
            <w:tcBorders>
              <w:bottom w:val="single" w:sz="8" w:color="53C072"/>
              <w:right w:val="single" w:sz="8" w:color="53C072"/>
            </w:tcBorders>
          </w:tcPr>
          <w:p>
            <w:pPr>
              <w:ind w:left="40"/>
              <w:spacing w:after="0" w:line="175" w:lineRule="exact"/>
              <w:rPr>
                <w:sz w:val="20"/>
                <w:szCs w:val="20"/>
                <w:color w:val="auto"/>
              </w:rPr>
            </w:pPr>
            <w:r>
              <w:rPr>
                <w:rFonts w:ascii="Arial" w:cs="Arial" w:eastAsia="Arial" w:hAnsi="Arial"/>
                <w:sz w:val="16"/>
                <w:szCs w:val="16"/>
                <w:color w:val="auto"/>
              </w:rPr>
              <w:t>4% increase in payout per 1% increase in attainment</w:t>
            </w:r>
          </w:p>
        </w:tc>
      </w:tr>
      <w:tr>
        <w:trPr>
          <w:trHeight w:val="174"/>
        </w:trPr>
        <w:tc>
          <w:tcPr>
            <w:tcW w:w="1580" w:type="dxa"/>
            <w:vAlign w:val="bottom"/>
            <w:tcBorders>
              <w:left w:val="single" w:sz="8" w:color="53C072"/>
              <w:bottom w:val="single" w:sz="8" w:color="53C072"/>
              <w:right w:val="single" w:sz="8" w:color="53C072"/>
            </w:tcBorders>
            <w:shd w:val="clear" w:color="auto" w:fill="E8F5EA"/>
          </w:tcPr>
          <w:p>
            <w:pPr>
              <w:ind w:left="280"/>
              <w:spacing w:after="0" w:line="175" w:lineRule="exact"/>
              <w:rPr>
                <w:sz w:val="20"/>
                <w:szCs w:val="20"/>
                <w:color w:val="auto"/>
              </w:rPr>
            </w:pPr>
            <w:r>
              <w:rPr>
                <w:rFonts w:ascii="Arial" w:cs="Arial" w:eastAsia="Arial" w:hAnsi="Arial"/>
                <w:sz w:val="16"/>
                <w:szCs w:val="16"/>
                <w:b w:val="1"/>
                <w:bCs w:val="1"/>
                <w:color w:val="auto"/>
              </w:rPr>
              <w:t>Target</w:t>
            </w:r>
          </w:p>
        </w:tc>
        <w:tc>
          <w:tcPr>
            <w:tcW w:w="3300" w:type="dxa"/>
            <w:vAlign w:val="bottom"/>
            <w:tcBorders>
              <w:bottom w:val="single" w:sz="8" w:color="53C072"/>
              <w:right w:val="single" w:sz="8" w:color="53C072"/>
            </w:tcBorders>
            <w:shd w:val="clear" w:color="auto" w:fill="E8F5EA"/>
          </w:tcPr>
          <w:p>
            <w:pPr>
              <w:jc w:val="right"/>
              <w:ind w:right="1401"/>
              <w:spacing w:after="0" w:line="175" w:lineRule="exact"/>
              <w:rPr>
                <w:sz w:val="20"/>
                <w:szCs w:val="20"/>
                <w:color w:val="auto"/>
              </w:rPr>
            </w:pPr>
            <w:r>
              <w:rPr>
                <w:rFonts w:ascii="Arial" w:cs="Arial" w:eastAsia="Arial" w:hAnsi="Arial"/>
                <w:sz w:val="16"/>
                <w:szCs w:val="16"/>
                <w:b w:val="1"/>
                <w:bCs w:val="1"/>
                <w:color w:val="auto"/>
              </w:rPr>
              <w:t>100.0%</w:t>
            </w:r>
          </w:p>
        </w:tc>
        <w:tc>
          <w:tcPr>
            <w:tcW w:w="100" w:type="dxa"/>
            <w:vAlign w:val="bottom"/>
            <w:tcBorders>
              <w:bottom w:val="single" w:sz="8" w:color="53C072"/>
              <w:right w:val="single" w:sz="8" w:color="E8F5EA"/>
            </w:tcBorders>
            <w:shd w:val="clear" w:color="auto" w:fill="E8F5EA"/>
          </w:tcPr>
          <w:p>
            <w:pPr>
              <w:spacing w:after="0"/>
              <w:rPr>
                <w:sz w:val="15"/>
                <w:szCs w:val="15"/>
                <w:color w:val="auto"/>
              </w:rPr>
            </w:pPr>
          </w:p>
        </w:tc>
        <w:tc>
          <w:tcPr>
            <w:tcW w:w="1660" w:type="dxa"/>
            <w:vAlign w:val="bottom"/>
            <w:tcBorders>
              <w:bottom w:val="single" w:sz="8" w:color="53C072"/>
              <w:right w:val="single" w:sz="8" w:color="E8F5EA"/>
            </w:tcBorders>
            <w:gridSpan w:val="2"/>
            <w:shd w:val="clear" w:color="auto" w:fill="E8F5EA"/>
          </w:tcPr>
          <w:p>
            <w:pPr>
              <w:jc w:val="center"/>
              <w:ind w:right="41"/>
              <w:spacing w:after="0" w:line="175" w:lineRule="exact"/>
              <w:rPr>
                <w:sz w:val="20"/>
                <w:szCs w:val="20"/>
                <w:color w:val="auto"/>
              </w:rPr>
            </w:pPr>
            <w:r>
              <w:rPr>
                <w:rFonts w:ascii="Arial" w:cs="Arial" w:eastAsia="Arial" w:hAnsi="Arial"/>
                <w:sz w:val="16"/>
                <w:szCs w:val="16"/>
                <w:b w:val="1"/>
                <w:bCs w:val="1"/>
                <w:color w:val="auto"/>
                <w:w w:val="99"/>
              </w:rPr>
              <w:t>$2,354.4</w:t>
            </w:r>
          </w:p>
        </w:tc>
        <w:tc>
          <w:tcPr>
            <w:tcW w:w="240" w:type="dxa"/>
            <w:vAlign w:val="bottom"/>
            <w:tcBorders>
              <w:bottom w:val="single" w:sz="8" w:color="53C072"/>
              <w:right w:val="single" w:sz="8" w:color="53C072"/>
            </w:tcBorders>
            <w:shd w:val="clear" w:color="auto" w:fill="E8F5EA"/>
          </w:tcPr>
          <w:p>
            <w:pPr>
              <w:spacing w:after="0"/>
              <w:rPr>
                <w:sz w:val="15"/>
                <w:szCs w:val="15"/>
                <w:color w:val="auto"/>
              </w:rPr>
            </w:pPr>
          </w:p>
        </w:tc>
        <w:tc>
          <w:tcPr>
            <w:tcW w:w="4380" w:type="dxa"/>
            <w:vAlign w:val="bottom"/>
            <w:tcBorders>
              <w:bottom w:val="single" w:sz="8" w:color="53C072"/>
              <w:right w:val="single" w:sz="8" w:color="53C072"/>
            </w:tcBorders>
            <w:shd w:val="clear" w:color="auto" w:fill="E8F5EA"/>
          </w:tcPr>
          <w:p>
            <w:pPr>
              <w:ind w:left="1800"/>
              <w:spacing w:after="0" w:line="175" w:lineRule="exact"/>
              <w:rPr>
                <w:sz w:val="20"/>
                <w:szCs w:val="20"/>
                <w:color w:val="auto"/>
              </w:rPr>
            </w:pPr>
            <w:r>
              <w:rPr>
                <w:rFonts w:ascii="Arial" w:cs="Arial" w:eastAsia="Arial" w:hAnsi="Arial"/>
                <w:sz w:val="16"/>
                <w:szCs w:val="16"/>
                <w:b w:val="1"/>
                <w:bCs w:val="1"/>
                <w:color w:val="auto"/>
              </w:rPr>
              <w:t>100.0%</w:t>
            </w:r>
          </w:p>
        </w:tc>
      </w:tr>
      <w:tr>
        <w:trPr>
          <w:trHeight w:val="174"/>
        </w:trPr>
        <w:tc>
          <w:tcPr>
            <w:tcW w:w="1580" w:type="dxa"/>
            <w:vAlign w:val="bottom"/>
            <w:tcBorders>
              <w:left w:val="single" w:sz="8" w:color="53C072"/>
              <w:bottom w:val="single" w:sz="8" w:color="53C072"/>
              <w:right w:val="single" w:sz="8" w:color="53C072"/>
            </w:tcBorders>
          </w:tcPr>
          <w:p>
            <w:pPr>
              <w:ind w:left="280"/>
              <w:spacing w:after="0" w:line="175" w:lineRule="exact"/>
              <w:rPr>
                <w:sz w:val="20"/>
                <w:szCs w:val="20"/>
                <w:color w:val="auto"/>
              </w:rPr>
            </w:pPr>
            <w:r>
              <w:rPr>
                <w:rFonts w:ascii="Arial" w:cs="Arial" w:eastAsia="Arial" w:hAnsi="Arial"/>
                <w:sz w:val="16"/>
                <w:szCs w:val="16"/>
                <w:color w:val="auto"/>
              </w:rPr>
              <w:t>&lt; Target</w:t>
            </w:r>
          </w:p>
        </w:tc>
        <w:tc>
          <w:tcPr>
            <w:tcW w:w="3300" w:type="dxa"/>
            <w:vAlign w:val="bottom"/>
            <w:tcBorders>
              <w:bottom w:val="single" w:sz="8" w:color="53C072"/>
              <w:right w:val="single" w:sz="8" w:color="53C072"/>
            </w:tcBorders>
          </w:tcPr>
          <w:p>
            <w:pPr>
              <w:jc w:val="center"/>
              <w:ind w:right="101"/>
              <w:spacing w:after="0" w:line="175" w:lineRule="exact"/>
              <w:rPr>
                <w:sz w:val="20"/>
                <w:szCs w:val="20"/>
                <w:color w:val="auto"/>
              </w:rPr>
            </w:pPr>
            <w:r>
              <w:rPr>
                <w:rFonts w:ascii="Arial" w:cs="Arial" w:eastAsia="Arial" w:hAnsi="Arial"/>
                <w:sz w:val="16"/>
                <w:szCs w:val="16"/>
                <w:color w:val="auto"/>
                <w:w w:val="99"/>
              </w:rPr>
              <w:t>1% change = 1% change in attainment</w:t>
            </w:r>
          </w:p>
        </w:tc>
        <w:tc>
          <w:tcPr>
            <w:tcW w:w="100" w:type="dxa"/>
            <w:vAlign w:val="bottom"/>
            <w:tcBorders>
              <w:bottom w:val="single" w:sz="8" w:color="53C072"/>
            </w:tcBorders>
          </w:tcPr>
          <w:p>
            <w:pPr>
              <w:spacing w:after="0"/>
              <w:rPr>
                <w:sz w:val="15"/>
                <w:szCs w:val="15"/>
                <w:color w:val="auto"/>
              </w:rPr>
            </w:pPr>
          </w:p>
        </w:tc>
        <w:tc>
          <w:tcPr>
            <w:tcW w:w="1660" w:type="dxa"/>
            <w:vAlign w:val="bottom"/>
            <w:tcBorders>
              <w:bottom w:val="single" w:sz="8" w:color="53C072"/>
            </w:tcBorders>
            <w:gridSpan w:val="2"/>
          </w:tcPr>
          <w:p>
            <w:pPr>
              <w:jc w:val="center"/>
              <w:ind w:right="41"/>
              <w:spacing w:after="0" w:line="175" w:lineRule="exact"/>
              <w:rPr>
                <w:sz w:val="20"/>
                <w:szCs w:val="20"/>
                <w:color w:val="auto"/>
              </w:rPr>
            </w:pPr>
            <w:r>
              <w:rPr>
                <w:rFonts w:ascii="Arial" w:cs="Arial" w:eastAsia="Arial" w:hAnsi="Arial"/>
                <w:sz w:val="16"/>
                <w:szCs w:val="16"/>
                <w:color w:val="auto"/>
                <w:w w:val="99"/>
              </w:rPr>
              <w:t>$1,883.6 - $2,354.3</w:t>
            </w:r>
          </w:p>
        </w:tc>
        <w:tc>
          <w:tcPr>
            <w:tcW w:w="240" w:type="dxa"/>
            <w:vAlign w:val="bottom"/>
            <w:tcBorders>
              <w:bottom w:val="single" w:sz="8" w:color="53C072"/>
              <w:right w:val="single" w:sz="8" w:color="53C072"/>
            </w:tcBorders>
          </w:tcPr>
          <w:p>
            <w:pPr>
              <w:spacing w:after="0"/>
              <w:rPr>
                <w:sz w:val="15"/>
                <w:szCs w:val="15"/>
                <w:color w:val="auto"/>
              </w:rPr>
            </w:pPr>
          </w:p>
        </w:tc>
        <w:tc>
          <w:tcPr>
            <w:tcW w:w="4380" w:type="dxa"/>
            <w:vAlign w:val="bottom"/>
            <w:tcBorders>
              <w:bottom w:val="single" w:sz="8" w:color="53C072"/>
              <w:right w:val="single" w:sz="8" w:color="53C072"/>
            </w:tcBorders>
          </w:tcPr>
          <w:p>
            <w:pPr>
              <w:ind w:left="40"/>
              <w:spacing w:after="0" w:line="175" w:lineRule="exact"/>
              <w:rPr>
                <w:sz w:val="20"/>
                <w:szCs w:val="20"/>
                <w:color w:val="auto"/>
              </w:rPr>
            </w:pPr>
            <w:r>
              <w:rPr>
                <w:rFonts w:ascii="Arial" w:cs="Arial" w:eastAsia="Arial" w:hAnsi="Arial"/>
                <w:sz w:val="16"/>
                <w:szCs w:val="16"/>
                <w:color w:val="auto"/>
              </w:rPr>
              <w:t>3% decrease in payout per 1% decrease in attainment</w:t>
            </w:r>
          </w:p>
        </w:tc>
      </w:tr>
      <w:tr>
        <w:trPr>
          <w:trHeight w:val="174"/>
        </w:trPr>
        <w:tc>
          <w:tcPr>
            <w:tcW w:w="1580" w:type="dxa"/>
            <w:vAlign w:val="bottom"/>
            <w:tcBorders>
              <w:left w:val="single" w:sz="8" w:color="53C072"/>
              <w:bottom w:val="single" w:sz="8" w:color="53C072"/>
              <w:right w:val="single" w:sz="8" w:color="53C072"/>
            </w:tcBorders>
          </w:tcPr>
          <w:p>
            <w:pPr>
              <w:ind w:left="280"/>
              <w:spacing w:after="0" w:line="175" w:lineRule="exact"/>
              <w:rPr>
                <w:sz w:val="20"/>
                <w:szCs w:val="20"/>
                <w:color w:val="auto"/>
              </w:rPr>
            </w:pPr>
            <w:r>
              <w:rPr>
                <w:rFonts w:ascii="Arial" w:cs="Arial" w:eastAsia="Arial" w:hAnsi="Arial"/>
                <w:sz w:val="16"/>
                <w:szCs w:val="16"/>
                <w:color w:val="auto"/>
              </w:rPr>
              <w:t>Threshold</w:t>
            </w:r>
          </w:p>
        </w:tc>
        <w:tc>
          <w:tcPr>
            <w:tcW w:w="3300" w:type="dxa"/>
            <w:vAlign w:val="bottom"/>
            <w:tcBorders>
              <w:bottom w:val="single" w:sz="8" w:color="53C072"/>
              <w:right w:val="single" w:sz="8" w:color="53C072"/>
            </w:tcBorders>
          </w:tcPr>
          <w:p>
            <w:pPr>
              <w:ind w:left="1340"/>
              <w:spacing w:after="0" w:line="175" w:lineRule="exact"/>
              <w:rPr>
                <w:sz w:val="20"/>
                <w:szCs w:val="20"/>
                <w:color w:val="auto"/>
              </w:rPr>
            </w:pPr>
            <w:r>
              <w:rPr>
                <w:rFonts w:ascii="Arial" w:cs="Arial" w:eastAsia="Arial" w:hAnsi="Arial"/>
                <w:sz w:val="16"/>
                <w:szCs w:val="16"/>
                <w:color w:val="auto"/>
              </w:rPr>
              <w:t>80.0%</w:t>
            </w:r>
          </w:p>
        </w:tc>
        <w:tc>
          <w:tcPr>
            <w:tcW w:w="1760" w:type="dxa"/>
            <w:vAlign w:val="bottom"/>
            <w:tcBorders>
              <w:bottom w:val="single" w:sz="8" w:color="53C072"/>
            </w:tcBorders>
            <w:gridSpan w:val="3"/>
          </w:tcPr>
          <w:p>
            <w:pPr>
              <w:jc w:val="center"/>
              <w:spacing w:after="0" w:line="175" w:lineRule="exact"/>
              <w:rPr>
                <w:sz w:val="20"/>
                <w:szCs w:val="20"/>
                <w:color w:val="auto"/>
              </w:rPr>
            </w:pPr>
            <w:r>
              <w:rPr>
                <w:rFonts w:ascii="Arial" w:cs="Arial" w:eastAsia="Arial" w:hAnsi="Arial"/>
                <w:sz w:val="16"/>
                <w:szCs w:val="16"/>
                <w:color w:val="auto"/>
                <w:w w:val="99"/>
              </w:rPr>
              <w:t>$1,883.5</w:t>
            </w:r>
          </w:p>
        </w:tc>
        <w:tc>
          <w:tcPr>
            <w:tcW w:w="240" w:type="dxa"/>
            <w:vAlign w:val="bottom"/>
            <w:tcBorders>
              <w:bottom w:val="single" w:sz="8" w:color="53C072"/>
              <w:right w:val="single" w:sz="8" w:color="53C072"/>
            </w:tcBorders>
          </w:tcPr>
          <w:p>
            <w:pPr>
              <w:spacing w:after="0"/>
              <w:rPr>
                <w:sz w:val="15"/>
                <w:szCs w:val="15"/>
                <w:color w:val="auto"/>
              </w:rPr>
            </w:pPr>
          </w:p>
        </w:tc>
        <w:tc>
          <w:tcPr>
            <w:tcW w:w="4380" w:type="dxa"/>
            <w:vAlign w:val="bottom"/>
            <w:tcBorders>
              <w:bottom w:val="single" w:sz="8" w:color="53C072"/>
              <w:right w:val="single" w:sz="8" w:color="53C072"/>
            </w:tcBorders>
          </w:tcPr>
          <w:p>
            <w:pPr>
              <w:ind w:left="1900"/>
              <w:spacing w:after="0" w:line="175" w:lineRule="exact"/>
              <w:rPr>
                <w:sz w:val="20"/>
                <w:szCs w:val="20"/>
                <w:color w:val="auto"/>
              </w:rPr>
            </w:pPr>
            <w:r>
              <w:rPr>
                <w:rFonts w:ascii="Arial" w:cs="Arial" w:eastAsia="Arial" w:hAnsi="Arial"/>
                <w:sz w:val="16"/>
                <w:szCs w:val="16"/>
                <w:color w:val="auto"/>
              </w:rPr>
              <w:t>40%</w:t>
            </w:r>
          </w:p>
        </w:tc>
      </w:tr>
      <w:tr>
        <w:trPr>
          <w:trHeight w:val="563"/>
        </w:trPr>
        <w:tc>
          <w:tcPr>
            <w:tcW w:w="15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182"/>
        </w:trPr>
        <w:tc>
          <w:tcPr>
            <w:tcW w:w="1580" w:type="dxa"/>
            <w:vAlign w:val="bottom"/>
            <w:tcBorders>
              <w:left w:val="single" w:sz="8" w:color="53C072"/>
              <w:right w:val="single" w:sz="8" w:color="53C072"/>
            </w:tcBorders>
            <w:shd w:val="clear" w:color="auto" w:fill="53C072"/>
          </w:tcPr>
          <w:p>
            <w:pPr>
              <w:spacing w:after="0"/>
              <w:rPr>
                <w:sz w:val="15"/>
                <w:szCs w:val="15"/>
                <w:color w:val="auto"/>
              </w:rPr>
            </w:pPr>
          </w:p>
        </w:tc>
        <w:tc>
          <w:tcPr>
            <w:tcW w:w="3300" w:type="dxa"/>
            <w:vAlign w:val="bottom"/>
            <w:tcBorders>
              <w:right w:val="single" w:sz="8" w:color="53C072"/>
            </w:tcBorders>
            <w:shd w:val="clear" w:color="auto" w:fill="53C072"/>
          </w:tcPr>
          <w:p>
            <w:pPr>
              <w:spacing w:after="0"/>
              <w:rPr>
                <w:sz w:val="15"/>
                <w:szCs w:val="15"/>
                <w:color w:val="auto"/>
              </w:rPr>
            </w:pPr>
          </w:p>
        </w:tc>
        <w:tc>
          <w:tcPr>
            <w:tcW w:w="1760" w:type="dxa"/>
            <w:vAlign w:val="bottom"/>
            <w:tcBorders>
              <w:right w:val="single" w:sz="8" w:color="53C072"/>
            </w:tcBorders>
            <w:gridSpan w:val="3"/>
            <w:shd w:val="clear" w:color="auto" w:fill="53C072"/>
          </w:tcPr>
          <w:p>
            <w:pPr>
              <w:jc w:val="center"/>
              <w:ind w:right="201"/>
              <w:spacing w:after="0" w:line="182" w:lineRule="exact"/>
              <w:rPr>
                <w:sz w:val="20"/>
                <w:szCs w:val="20"/>
                <w:color w:val="auto"/>
              </w:rPr>
            </w:pPr>
            <w:r>
              <w:rPr>
                <w:rFonts w:ascii="Arial" w:cs="Arial" w:eastAsia="Arial" w:hAnsi="Arial"/>
                <w:sz w:val="16"/>
                <w:szCs w:val="16"/>
                <w:b w:val="1"/>
                <w:bCs w:val="1"/>
                <w:color w:val="FFFFFE"/>
                <w:w w:val="99"/>
              </w:rPr>
              <w:t>FY20 NWCD Goals</w:t>
            </w:r>
          </w:p>
        </w:tc>
        <w:tc>
          <w:tcPr>
            <w:tcW w:w="240" w:type="dxa"/>
            <w:vAlign w:val="bottom"/>
            <w:tcBorders>
              <w:right w:val="single" w:sz="8" w:color="53C072"/>
            </w:tcBorders>
            <w:shd w:val="clear" w:color="auto" w:fill="53C072"/>
          </w:tcPr>
          <w:p>
            <w:pPr>
              <w:spacing w:after="0"/>
              <w:rPr>
                <w:sz w:val="15"/>
                <w:szCs w:val="15"/>
                <w:color w:val="auto"/>
              </w:rPr>
            </w:pPr>
          </w:p>
        </w:tc>
        <w:tc>
          <w:tcPr>
            <w:tcW w:w="4380" w:type="dxa"/>
            <w:vAlign w:val="bottom"/>
            <w:tcBorders>
              <w:right w:val="single" w:sz="8" w:color="53C072"/>
            </w:tcBorders>
            <w:shd w:val="clear" w:color="auto" w:fill="53C072"/>
          </w:tcPr>
          <w:p>
            <w:pPr>
              <w:spacing w:after="0"/>
              <w:rPr>
                <w:sz w:val="15"/>
                <w:szCs w:val="15"/>
                <w:color w:val="auto"/>
              </w:rPr>
            </w:pPr>
          </w:p>
        </w:tc>
      </w:tr>
      <w:tr>
        <w:trPr>
          <w:trHeight w:val="182"/>
        </w:trPr>
        <w:tc>
          <w:tcPr>
            <w:tcW w:w="1580" w:type="dxa"/>
            <w:vAlign w:val="bottom"/>
            <w:tcBorders>
              <w:left w:val="single" w:sz="8" w:color="53C072"/>
              <w:bottom w:val="single" w:sz="8" w:color="53C072"/>
              <w:right w:val="single" w:sz="8" w:color="53C072"/>
            </w:tcBorders>
            <w:shd w:val="clear" w:color="auto" w:fill="E8F5EA"/>
          </w:tcPr>
          <w:p>
            <w:pPr>
              <w:spacing w:after="0"/>
              <w:rPr>
                <w:sz w:val="15"/>
                <w:szCs w:val="15"/>
                <w:color w:val="auto"/>
              </w:rPr>
            </w:pPr>
          </w:p>
        </w:tc>
        <w:tc>
          <w:tcPr>
            <w:tcW w:w="3300" w:type="dxa"/>
            <w:vAlign w:val="bottom"/>
            <w:tcBorders>
              <w:bottom w:val="single" w:sz="8" w:color="53C072"/>
              <w:right w:val="single" w:sz="8" w:color="E8F5EA"/>
            </w:tcBorders>
            <w:shd w:val="clear" w:color="auto" w:fill="E8F5EA"/>
          </w:tcPr>
          <w:p>
            <w:pPr>
              <w:jc w:val="center"/>
              <w:ind w:left="61"/>
              <w:spacing w:after="0" w:line="182" w:lineRule="exact"/>
              <w:rPr>
                <w:sz w:val="20"/>
                <w:szCs w:val="20"/>
                <w:color w:val="auto"/>
              </w:rPr>
            </w:pPr>
            <w:r>
              <w:rPr>
                <w:rFonts w:ascii="Arial" w:cs="Arial" w:eastAsia="Arial" w:hAnsi="Arial"/>
                <w:sz w:val="16"/>
                <w:szCs w:val="16"/>
                <w:b w:val="1"/>
                <w:bCs w:val="1"/>
                <w:color w:val="auto"/>
                <w:w w:val="97"/>
              </w:rPr>
              <w:t>% Attainment</w:t>
            </w:r>
          </w:p>
        </w:tc>
        <w:tc>
          <w:tcPr>
            <w:tcW w:w="100" w:type="dxa"/>
            <w:vAlign w:val="bottom"/>
            <w:tcBorders>
              <w:bottom w:val="single" w:sz="8" w:color="53C072"/>
              <w:right w:val="single" w:sz="8" w:color="E8F5EA"/>
            </w:tcBorders>
            <w:shd w:val="clear" w:color="auto" w:fill="E8F5EA"/>
          </w:tcPr>
          <w:p>
            <w:pPr>
              <w:spacing w:after="0"/>
              <w:rPr>
                <w:sz w:val="15"/>
                <w:szCs w:val="15"/>
                <w:color w:val="auto"/>
              </w:rPr>
            </w:pPr>
          </w:p>
        </w:tc>
        <w:tc>
          <w:tcPr>
            <w:tcW w:w="220" w:type="dxa"/>
            <w:vAlign w:val="bottom"/>
            <w:tcBorders>
              <w:bottom w:val="single" w:sz="8" w:color="53C072"/>
              <w:right w:val="single" w:sz="8" w:color="53C072"/>
            </w:tcBorders>
            <w:shd w:val="clear" w:color="auto" w:fill="E8F5EA"/>
          </w:tcPr>
          <w:p>
            <w:pPr>
              <w:spacing w:after="0"/>
              <w:rPr>
                <w:sz w:val="15"/>
                <w:szCs w:val="15"/>
                <w:color w:val="auto"/>
              </w:rPr>
            </w:pPr>
          </w:p>
        </w:tc>
        <w:tc>
          <w:tcPr>
            <w:tcW w:w="1440" w:type="dxa"/>
            <w:vAlign w:val="bottom"/>
            <w:tcBorders>
              <w:bottom w:val="single" w:sz="8" w:color="53C072"/>
              <w:right w:val="single" w:sz="8" w:color="E8F5EA"/>
            </w:tcBorders>
            <w:shd w:val="clear" w:color="auto" w:fill="E8F5EA"/>
          </w:tcPr>
          <w:p>
            <w:pPr>
              <w:ind w:left="520"/>
              <w:spacing w:after="0" w:line="182" w:lineRule="exact"/>
              <w:rPr>
                <w:sz w:val="20"/>
                <w:szCs w:val="20"/>
                <w:color w:val="auto"/>
              </w:rPr>
            </w:pPr>
            <w:r>
              <w:rPr>
                <w:rFonts w:ascii="Arial" w:cs="Arial" w:eastAsia="Arial" w:hAnsi="Arial"/>
                <w:sz w:val="16"/>
                <w:szCs w:val="16"/>
                <w:b w:val="1"/>
                <w:bCs w:val="1"/>
                <w:color w:val="auto"/>
              </w:rPr>
              <w:t>NWCD</w:t>
            </w:r>
          </w:p>
        </w:tc>
        <w:tc>
          <w:tcPr>
            <w:tcW w:w="240" w:type="dxa"/>
            <w:vAlign w:val="bottom"/>
            <w:tcBorders>
              <w:bottom w:val="single" w:sz="8" w:color="53C072"/>
              <w:right w:val="single" w:sz="8" w:color="53C072"/>
            </w:tcBorders>
            <w:shd w:val="clear" w:color="auto" w:fill="E8F5EA"/>
          </w:tcPr>
          <w:p>
            <w:pPr>
              <w:spacing w:after="0"/>
              <w:rPr>
                <w:sz w:val="15"/>
                <w:szCs w:val="15"/>
                <w:color w:val="auto"/>
              </w:rPr>
            </w:pPr>
          </w:p>
        </w:tc>
        <w:tc>
          <w:tcPr>
            <w:tcW w:w="4380" w:type="dxa"/>
            <w:vAlign w:val="bottom"/>
            <w:tcBorders>
              <w:bottom w:val="single" w:sz="8" w:color="53C072"/>
              <w:right w:val="single" w:sz="8" w:color="53C072"/>
            </w:tcBorders>
            <w:shd w:val="clear" w:color="auto" w:fill="E8F5EA"/>
          </w:tcPr>
          <w:p>
            <w:pPr>
              <w:ind w:left="1760"/>
              <w:spacing w:after="0" w:line="182" w:lineRule="exact"/>
              <w:rPr>
                <w:sz w:val="20"/>
                <w:szCs w:val="20"/>
                <w:color w:val="auto"/>
              </w:rPr>
            </w:pPr>
            <w:r>
              <w:rPr>
                <w:rFonts w:ascii="Arial" w:cs="Arial" w:eastAsia="Arial" w:hAnsi="Arial"/>
                <w:sz w:val="16"/>
                <w:szCs w:val="16"/>
                <w:b w:val="1"/>
                <w:bCs w:val="1"/>
                <w:color w:val="auto"/>
              </w:rPr>
              <w:t>% Payout</w:t>
            </w:r>
          </w:p>
        </w:tc>
      </w:tr>
      <w:tr>
        <w:trPr>
          <w:trHeight w:val="174"/>
        </w:trPr>
        <w:tc>
          <w:tcPr>
            <w:tcW w:w="1580" w:type="dxa"/>
            <w:vAlign w:val="bottom"/>
            <w:tcBorders>
              <w:left w:val="single" w:sz="8" w:color="53C072"/>
              <w:bottom w:val="single" w:sz="8" w:color="53C072"/>
              <w:right w:val="single" w:sz="8" w:color="53C072"/>
            </w:tcBorders>
          </w:tcPr>
          <w:p>
            <w:pPr>
              <w:ind w:left="280"/>
              <w:spacing w:after="0" w:line="175" w:lineRule="exact"/>
              <w:rPr>
                <w:sz w:val="20"/>
                <w:szCs w:val="20"/>
                <w:color w:val="auto"/>
              </w:rPr>
            </w:pPr>
            <w:r>
              <w:rPr>
                <w:rFonts w:ascii="Arial" w:cs="Arial" w:eastAsia="Arial" w:hAnsi="Arial"/>
                <w:sz w:val="16"/>
                <w:szCs w:val="16"/>
                <w:color w:val="auto"/>
              </w:rPr>
              <w:t>Maximum</w:t>
            </w:r>
          </w:p>
        </w:tc>
        <w:tc>
          <w:tcPr>
            <w:tcW w:w="3300" w:type="dxa"/>
            <w:vAlign w:val="bottom"/>
            <w:tcBorders>
              <w:bottom w:val="single" w:sz="8" w:color="53C072"/>
            </w:tcBorders>
          </w:tcPr>
          <w:p>
            <w:pPr>
              <w:jc w:val="center"/>
              <w:ind w:left="81"/>
              <w:spacing w:after="0" w:line="175" w:lineRule="exact"/>
              <w:rPr>
                <w:sz w:val="20"/>
                <w:szCs w:val="20"/>
                <w:color w:val="auto"/>
              </w:rPr>
            </w:pPr>
            <w:r>
              <w:rPr>
                <w:rFonts w:ascii="Arial" w:cs="Arial" w:eastAsia="Arial" w:hAnsi="Arial"/>
                <w:sz w:val="16"/>
                <w:szCs w:val="16"/>
                <w:color w:val="auto"/>
                <w:w w:val="99"/>
              </w:rPr>
              <w:t>120.0%</w:t>
            </w:r>
          </w:p>
        </w:tc>
        <w:tc>
          <w:tcPr>
            <w:tcW w:w="320" w:type="dxa"/>
            <w:vAlign w:val="bottom"/>
            <w:tcBorders>
              <w:bottom w:val="single" w:sz="8" w:color="53C072"/>
              <w:right w:val="single" w:sz="8" w:color="53C072"/>
            </w:tcBorders>
            <w:gridSpan w:val="2"/>
          </w:tcPr>
          <w:p>
            <w:pPr>
              <w:spacing w:after="0"/>
              <w:rPr>
                <w:sz w:val="15"/>
                <w:szCs w:val="15"/>
                <w:color w:val="auto"/>
              </w:rPr>
            </w:pPr>
          </w:p>
        </w:tc>
        <w:tc>
          <w:tcPr>
            <w:tcW w:w="1440" w:type="dxa"/>
            <w:vAlign w:val="bottom"/>
            <w:tcBorders>
              <w:bottom w:val="single" w:sz="8" w:color="53C072"/>
            </w:tcBorders>
          </w:tcPr>
          <w:p>
            <w:pPr>
              <w:jc w:val="center"/>
              <w:ind w:left="1"/>
              <w:spacing w:after="0" w:line="175" w:lineRule="exact"/>
              <w:rPr>
                <w:sz w:val="20"/>
                <w:szCs w:val="20"/>
                <w:color w:val="auto"/>
              </w:rPr>
            </w:pPr>
            <w:r>
              <w:rPr>
                <w:rFonts w:ascii="Arial" w:cs="Arial" w:eastAsia="Arial" w:hAnsi="Arial"/>
                <w:sz w:val="16"/>
                <w:szCs w:val="16"/>
                <w:color w:val="auto"/>
                <w:w w:val="99"/>
              </w:rPr>
              <w:t>68.15</w:t>
            </w:r>
          </w:p>
        </w:tc>
        <w:tc>
          <w:tcPr>
            <w:tcW w:w="240" w:type="dxa"/>
            <w:vAlign w:val="bottom"/>
            <w:tcBorders>
              <w:bottom w:val="single" w:sz="8" w:color="53C072"/>
              <w:right w:val="single" w:sz="8" w:color="53C072"/>
            </w:tcBorders>
          </w:tcPr>
          <w:p>
            <w:pPr>
              <w:spacing w:after="0"/>
              <w:rPr>
                <w:sz w:val="15"/>
                <w:szCs w:val="15"/>
                <w:color w:val="auto"/>
              </w:rPr>
            </w:pPr>
          </w:p>
        </w:tc>
        <w:tc>
          <w:tcPr>
            <w:tcW w:w="4380" w:type="dxa"/>
            <w:vAlign w:val="bottom"/>
            <w:tcBorders>
              <w:bottom w:val="single" w:sz="8" w:color="53C072"/>
              <w:right w:val="single" w:sz="8" w:color="53C072"/>
            </w:tcBorders>
          </w:tcPr>
          <w:p>
            <w:pPr>
              <w:ind w:left="1900"/>
              <w:spacing w:after="0" w:line="175" w:lineRule="exact"/>
              <w:rPr>
                <w:sz w:val="20"/>
                <w:szCs w:val="20"/>
                <w:color w:val="auto"/>
              </w:rPr>
            </w:pPr>
            <w:r>
              <w:rPr>
                <w:rFonts w:ascii="Arial" w:cs="Arial" w:eastAsia="Arial" w:hAnsi="Arial"/>
                <w:sz w:val="16"/>
                <w:szCs w:val="16"/>
                <w:color w:val="auto"/>
              </w:rPr>
              <w:t>200%</w:t>
            </w:r>
          </w:p>
        </w:tc>
      </w:tr>
      <w:tr>
        <w:trPr>
          <w:trHeight w:val="174"/>
        </w:trPr>
        <w:tc>
          <w:tcPr>
            <w:tcW w:w="1580" w:type="dxa"/>
            <w:vAlign w:val="bottom"/>
            <w:tcBorders>
              <w:left w:val="single" w:sz="8" w:color="53C072"/>
              <w:bottom w:val="single" w:sz="8" w:color="53C072"/>
              <w:right w:val="single" w:sz="8" w:color="53C072"/>
            </w:tcBorders>
          </w:tcPr>
          <w:p>
            <w:pPr>
              <w:ind w:left="280"/>
              <w:spacing w:after="0" w:line="175" w:lineRule="exact"/>
              <w:rPr>
                <w:sz w:val="20"/>
                <w:szCs w:val="20"/>
                <w:color w:val="auto"/>
              </w:rPr>
            </w:pPr>
            <w:r>
              <w:rPr>
                <w:rFonts w:ascii="Arial" w:cs="Arial" w:eastAsia="Arial" w:hAnsi="Arial"/>
                <w:sz w:val="16"/>
                <w:szCs w:val="16"/>
                <w:color w:val="auto"/>
              </w:rPr>
              <w:t>&gt; Target</w:t>
            </w:r>
          </w:p>
        </w:tc>
        <w:tc>
          <w:tcPr>
            <w:tcW w:w="3300" w:type="dxa"/>
            <w:vAlign w:val="bottom"/>
            <w:tcBorders>
              <w:bottom w:val="single" w:sz="8" w:color="53C072"/>
            </w:tcBorders>
          </w:tcPr>
          <w:p>
            <w:pPr>
              <w:jc w:val="center"/>
              <w:ind w:left="81"/>
              <w:spacing w:after="0" w:line="175" w:lineRule="exact"/>
              <w:rPr>
                <w:sz w:val="20"/>
                <w:szCs w:val="20"/>
                <w:color w:val="auto"/>
              </w:rPr>
            </w:pPr>
            <w:r>
              <w:rPr>
                <w:rFonts w:ascii="Arial" w:cs="Arial" w:eastAsia="Arial" w:hAnsi="Arial"/>
                <w:sz w:val="16"/>
                <w:szCs w:val="16"/>
                <w:color w:val="auto"/>
                <w:w w:val="98"/>
              </w:rPr>
              <w:t>1% change = 5% change in attainment</w:t>
            </w:r>
          </w:p>
        </w:tc>
        <w:tc>
          <w:tcPr>
            <w:tcW w:w="320" w:type="dxa"/>
            <w:vAlign w:val="bottom"/>
            <w:tcBorders>
              <w:bottom w:val="single" w:sz="8" w:color="53C072"/>
              <w:right w:val="single" w:sz="8" w:color="53C072"/>
            </w:tcBorders>
            <w:gridSpan w:val="2"/>
          </w:tcPr>
          <w:p>
            <w:pPr>
              <w:spacing w:after="0"/>
              <w:rPr>
                <w:sz w:val="15"/>
                <w:szCs w:val="15"/>
                <w:color w:val="auto"/>
              </w:rPr>
            </w:pPr>
          </w:p>
        </w:tc>
        <w:tc>
          <w:tcPr>
            <w:tcW w:w="1440" w:type="dxa"/>
            <w:vAlign w:val="bottom"/>
            <w:tcBorders>
              <w:bottom w:val="single" w:sz="8" w:color="53C072"/>
            </w:tcBorders>
          </w:tcPr>
          <w:p>
            <w:pPr>
              <w:jc w:val="center"/>
              <w:ind w:left="1"/>
              <w:spacing w:after="0" w:line="175" w:lineRule="exact"/>
              <w:rPr>
                <w:sz w:val="20"/>
                <w:szCs w:val="20"/>
                <w:color w:val="auto"/>
              </w:rPr>
            </w:pPr>
            <w:r>
              <w:rPr>
                <w:rFonts w:ascii="Arial" w:cs="Arial" w:eastAsia="Arial" w:hAnsi="Arial"/>
                <w:sz w:val="16"/>
                <w:szCs w:val="16"/>
                <w:color w:val="auto"/>
                <w:w w:val="98"/>
              </w:rPr>
              <w:t>85.2 - 68.14</w:t>
            </w:r>
          </w:p>
        </w:tc>
        <w:tc>
          <w:tcPr>
            <w:tcW w:w="240" w:type="dxa"/>
            <w:vAlign w:val="bottom"/>
            <w:tcBorders>
              <w:bottom w:val="single" w:sz="8" w:color="53C072"/>
              <w:right w:val="single" w:sz="8" w:color="53C072"/>
            </w:tcBorders>
          </w:tcPr>
          <w:p>
            <w:pPr>
              <w:spacing w:after="0"/>
              <w:rPr>
                <w:sz w:val="15"/>
                <w:szCs w:val="15"/>
                <w:color w:val="auto"/>
              </w:rPr>
            </w:pPr>
          </w:p>
        </w:tc>
        <w:tc>
          <w:tcPr>
            <w:tcW w:w="4380" w:type="dxa"/>
            <w:vAlign w:val="bottom"/>
            <w:tcBorders>
              <w:bottom w:val="single" w:sz="8" w:color="53C072"/>
              <w:right w:val="single" w:sz="8" w:color="53C072"/>
            </w:tcBorders>
          </w:tcPr>
          <w:p>
            <w:pPr>
              <w:jc w:val="center"/>
              <w:ind w:right="721"/>
              <w:spacing w:after="0" w:line="175" w:lineRule="exact"/>
              <w:rPr>
                <w:sz w:val="20"/>
                <w:szCs w:val="20"/>
                <w:color w:val="auto"/>
              </w:rPr>
            </w:pPr>
            <w:r>
              <w:rPr>
                <w:rFonts w:ascii="Arial" w:cs="Arial" w:eastAsia="Arial" w:hAnsi="Arial"/>
                <w:sz w:val="16"/>
                <w:szCs w:val="16"/>
                <w:color w:val="auto"/>
                <w:w w:val="98"/>
              </w:rPr>
              <w:t>5.87% increase in payout per day above Target</w:t>
            </w:r>
          </w:p>
        </w:tc>
      </w:tr>
      <w:tr>
        <w:trPr>
          <w:trHeight w:val="174"/>
        </w:trPr>
        <w:tc>
          <w:tcPr>
            <w:tcW w:w="1580" w:type="dxa"/>
            <w:vAlign w:val="bottom"/>
            <w:tcBorders>
              <w:left w:val="single" w:sz="8" w:color="53C072"/>
              <w:bottom w:val="single" w:sz="8" w:color="53C072"/>
              <w:right w:val="single" w:sz="8" w:color="53C072"/>
            </w:tcBorders>
            <w:shd w:val="clear" w:color="auto" w:fill="E8F5EA"/>
          </w:tcPr>
          <w:p>
            <w:pPr>
              <w:ind w:left="280"/>
              <w:spacing w:after="0" w:line="175" w:lineRule="exact"/>
              <w:rPr>
                <w:sz w:val="20"/>
                <w:szCs w:val="20"/>
                <w:color w:val="auto"/>
              </w:rPr>
            </w:pPr>
            <w:r>
              <w:rPr>
                <w:rFonts w:ascii="Arial" w:cs="Arial" w:eastAsia="Arial" w:hAnsi="Arial"/>
                <w:sz w:val="16"/>
                <w:szCs w:val="16"/>
                <w:b w:val="1"/>
                <w:bCs w:val="1"/>
                <w:color w:val="auto"/>
              </w:rPr>
              <w:t>Target</w:t>
            </w:r>
          </w:p>
        </w:tc>
        <w:tc>
          <w:tcPr>
            <w:tcW w:w="3300" w:type="dxa"/>
            <w:vAlign w:val="bottom"/>
            <w:tcBorders>
              <w:bottom w:val="single" w:sz="8" w:color="53C072"/>
              <w:right w:val="single" w:sz="8" w:color="E8F5EA"/>
            </w:tcBorders>
            <w:shd w:val="clear" w:color="auto" w:fill="E8F5EA"/>
          </w:tcPr>
          <w:p>
            <w:pPr>
              <w:jc w:val="center"/>
              <w:ind w:left="81"/>
              <w:spacing w:after="0" w:line="175" w:lineRule="exact"/>
              <w:rPr>
                <w:sz w:val="20"/>
                <w:szCs w:val="20"/>
                <w:color w:val="auto"/>
              </w:rPr>
            </w:pPr>
            <w:r>
              <w:rPr>
                <w:rFonts w:ascii="Arial" w:cs="Arial" w:eastAsia="Arial" w:hAnsi="Arial"/>
                <w:sz w:val="16"/>
                <w:szCs w:val="16"/>
                <w:b w:val="1"/>
                <w:bCs w:val="1"/>
                <w:color w:val="auto"/>
                <w:w w:val="99"/>
              </w:rPr>
              <w:t>100.0%</w:t>
            </w:r>
          </w:p>
        </w:tc>
        <w:tc>
          <w:tcPr>
            <w:tcW w:w="320" w:type="dxa"/>
            <w:vAlign w:val="bottom"/>
            <w:tcBorders>
              <w:bottom w:val="single" w:sz="8" w:color="53C072"/>
              <w:right w:val="single" w:sz="8" w:color="53C072"/>
            </w:tcBorders>
            <w:gridSpan w:val="2"/>
            <w:shd w:val="clear" w:color="auto" w:fill="E8F5EA"/>
          </w:tcPr>
          <w:p>
            <w:pPr>
              <w:spacing w:after="0"/>
              <w:rPr>
                <w:sz w:val="15"/>
                <w:szCs w:val="15"/>
                <w:color w:val="auto"/>
              </w:rPr>
            </w:pPr>
          </w:p>
        </w:tc>
        <w:tc>
          <w:tcPr>
            <w:tcW w:w="1440" w:type="dxa"/>
            <w:vAlign w:val="bottom"/>
            <w:tcBorders>
              <w:bottom w:val="single" w:sz="8" w:color="53C072"/>
              <w:right w:val="single" w:sz="8" w:color="E8F5EA"/>
            </w:tcBorders>
            <w:shd w:val="clear" w:color="auto" w:fill="E8F5EA"/>
          </w:tcPr>
          <w:p>
            <w:pPr>
              <w:jc w:val="center"/>
              <w:ind w:left="1"/>
              <w:spacing w:after="0" w:line="175" w:lineRule="exact"/>
              <w:rPr>
                <w:sz w:val="20"/>
                <w:szCs w:val="20"/>
                <w:color w:val="auto"/>
              </w:rPr>
            </w:pPr>
            <w:r>
              <w:rPr>
                <w:rFonts w:ascii="Arial" w:cs="Arial" w:eastAsia="Arial" w:hAnsi="Arial"/>
                <w:sz w:val="16"/>
                <w:szCs w:val="16"/>
                <w:b w:val="1"/>
                <w:bCs w:val="1"/>
                <w:color w:val="auto"/>
                <w:w w:val="99"/>
              </w:rPr>
              <w:t>85.19</w:t>
            </w:r>
          </w:p>
        </w:tc>
        <w:tc>
          <w:tcPr>
            <w:tcW w:w="240" w:type="dxa"/>
            <w:vAlign w:val="bottom"/>
            <w:tcBorders>
              <w:bottom w:val="single" w:sz="8" w:color="53C072"/>
              <w:right w:val="single" w:sz="8" w:color="53C072"/>
            </w:tcBorders>
            <w:shd w:val="clear" w:color="auto" w:fill="E8F5EA"/>
          </w:tcPr>
          <w:p>
            <w:pPr>
              <w:spacing w:after="0"/>
              <w:rPr>
                <w:sz w:val="15"/>
                <w:szCs w:val="15"/>
                <w:color w:val="auto"/>
              </w:rPr>
            </w:pPr>
          </w:p>
        </w:tc>
        <w:tc>
          <w:tcPr>
            <w:tcW w:w="4380" w:type="dxa"/>
            <w:vAlign w:val="bottom"/>
            <w:tcBorders>
              <w:bottom w:val="single" w:sz="8" w:color="53C072"/>
              <w:right w:val="single" w:sz="8" w:color="53C072"/>
            </w:tcBorders>
            <w:shd w:val="clear" w:color="auto" w:fill="E8F5EA"/>
          </w:tcPr>
          <w:p>
            <w:pPr>
              <w:ind w:left="1840"/>
              <w:spacing w:after="0" w:line="175" w:lineRule="exact"/>
              <w:rPr>
                <w:sz w:val="20"/>
                <w:szCs w:val="20"/>
                <w:color w:val="auto"/>
              </w:rPr>
            </w:pPr>
            <w:r>
              <w:rPr>
                <w:rFonts w:ascii="Arial" w:cs="Arial" w:eastAsia="Arial" w:hAnsi="Arial"/>
                <w:sz w:val="16"/>
                <w:szCs w:val="16"/>
                <w:b w:val="1"/>
                <w:bCs w:val="1"/>
                <w:color w:val="auto"/>
              </w:rPr>
              <w:t>100.0%</w:t>
            </w:r>
          </w:p>
        </w:tc>
      </w:tr>
      <w:tr>
        <w:trPr>
          <w:trHeight w:val="174"/>
        </w:trPr>
        <w:tc>
          <w:tcPr>
            <w:tcW w:w="1580" w:type="dxa"/>
            <w:vAlign w:val="bottom"/>
            <w:tcBorders>
              <w:left w:val="single" w:sz="8" w:color="53C072"/>
              <w:bottom w:val="single" w:sz="8" w:color="53C072"/>
              <w:right w:val="single" w:sz="8" w:color="53C072"/>
            </w:tcBorders>
          </w:tcPr>
          <w:p>
            <w:pPr>
              <w:ind w:left="280"/>
              <w:spacing w:after="0" w:line="175" w:lineRule="exact"/>
              <w:rPr>
                <w:sz w:val="20"/>
                <w:szCs w:val="20"/>
                <w:color w:val="auto"/>
              </w:rPr>
            </w:pPr>
            <w:r>
              <w:rPr>
                <w:rFonts w:ascii="Arial" w:cs="Arial" w:eastAsia="Arial" w:hAnsi="Arial"/>
                <w:sz w:val="16"/>
                <w:szCs w:val="16"/>
                <w:color w:val="auto"/>
              </w:rPr>
              <w:t>&lt; Target</w:t>
            </w:r>
          </w:p>
        </w:tc>
        <w:tc>
          <w:tcPr>
            <w:tcW w:w="3300" w:type="dxa"/>
            <w:vAlign w:val="bottom"/>
            <w:tcBorders>
              <w:bottom w:val="single" w:sz="8" w:color="53C072"/>
            </w:tcBorders>
          </w:tcPr>
          <w:p>
            <w:pPr>
              <w:jc w:val="center"/>
              <w:ind w:left="81"/>
              <w:spacing w:after="0" w:line="175" w:lineRule="exact"/>
              <w:rPr>
                <w:sz w:val="20"/>
                <w:szCs w:val="20"/>
                <w:color w:val="auto"/>
              </w:rPr>
            </w:pPr>
            <w:r>
              <w:rPr>
                <w:rFonts w:ascii="Arial" w:cs="Arial" w:eastAsia="Arial" w:hAnsi="Arial"/>
                <w:sz w:val="16"/>
                <w:szCs w:val="16"/>
                <w:color w:val="auto"/>
                <w:w w:val="98"/>
              </w:rPr>
              <w:t>1% change = 2% change in attainment</w:t>
            </w:r>
          </w:p>
        </w:tc>
        <w:tc>
          <w:tcPr>
            <w:tcW w:w="320" w:type="dxa"/>
            <w:vAlign w:val="bottom"/>
            <w:tcBorders>
              <w:bottom w:val="single" w:sz="8" w:color="53C072"/>
              <w:right w:val="single" w:sz="8" w:color="53C072"/>
            </w:tcBorders>
            <w:gridSpan w:val="2"/>
          </w:tcPr>
          <w:p>
            <w:pPr>
              <w:spacing w:after="0"/>
              <w:rPr>
                <w:sz w:val="15"/>
                <w:szCs w:val="15"/>
                <w:color w:val="auto"/>
              </w:rPr>
            </w:pPr>
          </w:p>
        </w:tc>
        <w:tc>
          <w:tcPr>
            <w:tcW w:w="1440" w:type="dxa"/>
            <w:vAlign w:val="bottom"/>
            <w:tcBorders>
              <w:bottom w:val="single" w:sz="8" w:color="53C072"/>
            </w:tcBorders>
          </w:tcPr>
          <w:p>
            <w:pPr>
              <w:jc w:val="center"/>
              <w:spacing w:after="0" w:line="175" w:lineRule="exact"/>
              <w:rPr>
                <w:sz w:val="20"/>
                <w:szCs w:val="20"/>
                <w:color w:val="auto"/>
              </w:rPr>
            </w:pPr>
            <w:r>
              <w:rPr>
                <w:rFonts w:ascii="Arial" w:cs="Arial" w:eastAsia="Arial" w:hAnsi="Arial"/>
                <w:sz w:val="16"/>
                <w:szCs w:val="16"/>
                <w:color w:val="auto"/>
                <w:w w:val="98"/>
              </w:rPr>
              <w:t>102.22 - 85.18</w:t>
            </w:r>
          </w:p>
        </w:tc>
        <w:tc>
          <w:tcPr>
            <w:tcW w:w="240" w:type="dxa"/>
            <w:vAlign w:val="bottom"/>
            <w:tcBorders>
              <w:bottom w:val="single" w:sz="8" w:color="53C072"/>
              <w:right w:val="single" w:sz="8" w:color="53C072"/>
            </w:tcBorders>
          </w:tcPr>
          <w:p>
            <w:pPr>
              <w:spacing w:after="0"/>
              <w:rPr>
                <w:sz w:val="15"/>
                <w:szCs w:val="15"/>
                <w:color w:val="auto"/>
              </w:rPr>
            </w:pPr>
          </w:p>
        </w:tc>
        <w:tc>
          <w:tcPr>
            <w:tcW w:w="4380" w:type="dxa"/>
            <w:vAlign w:val="bottom"/>
            <w:tcBorders>
              <w:bottom w:val="single" w:sz="8" w:color="53C072"/>
              <w:right w:val="single" w:sz="8" w:color="53C072"/>
            </w:tcBorders>
          </w:tcPr>
          <w:p>
            <w:pPr>
              <w:jc w:val="center"/>
              <w:ind w:right="701"/>
              <w:spacing w:after="0" w:line="175" w:lineRule="exact"/>
              <w:rPr>
                <w:sz w:val="20"/>
                <w:szCs w:val="20"/>
                <w:color w:val="auto"/>
              </w:rPr>
            </w:pPr>
            <w:r>
              <w:rPr>
                <w:rFonts w:ascii="Arial" w:cs="Arial" w:eastAsia="Arial" w:hAnsi="Arial"/>
                <w:sz w:val="16"/>
                <w:szCs w:val="16"/>
                <w:color w:val="auto"/>
                <w:w w:val="97"/>
              </w:rPr>
              <w:t>2.35% decrease in payout per day below Target</w:t>
            </w:r>
          </w:p>
        </w:tc>
      </w:tr>
      <w:tr>
        <w:trPr>
          <w:trHeight w:val="174"/>
        </w:trPr>
        <w:tc>
          <w:tcPr>
            <w:tcW w:w="1580" w:type="dxa"/>
            <w:vAlign w:val="bottom"/>
            <w:tcBorders>
              <w:left w:val="single" w:sz="8" w:color="53C072"/>
              <w:bottom w:val="single" w:sz="8" w:color="53C072"/>
              <w:right w:val="single" w:sz="8" w:color="53C072"/>
            </w:tcBorders>
          </w:tcPr>
          <w:p>
            <w:pPr>
              <w:ind w:left="280"/>
              <w:spacing w:after="0" w:line="175" w:lineRule="exact"/>
              <w:rPr>
                <w:sz w:val="20"/>
                <w:szCs w:val="20"/>
                <w:color w:val="auto"/>
              </w:rPr>
            </w:pPr>
            <w:r>
              <w:rPr>
                <w:rFonts w:ascii="Arial" w:cs="Arial" w:eastAsia="Arial" w:hAnsi="Arial"/>
                <w:sz w:val="16"/>
                <w:szCs w:val="16"/>
                <w:color w:val="auto"/>
              </w:rPr>
              <w:t>Threshold</w:t>
            </w:r>
          </w:p>
        </w:tc>
        <w:tc>
          <w:tcPr>
            <w:tcW w:w="3300" w:type="dxa"/>
            <w:vAlign w:val="bottom"/>
            <w:tcBorders>
              <w:bottom w:val="single" w:sz="8" w:color="53C072"/>
            </w:tcBorders>
          </w:tcPr>
          <w:p>
            <w:pPr>
              <w:jc w:val="center"/>
              <w:ind w:left="61"/>
              <w:spacing w:after="0" w:line="175" w:lineRule="exact"/>
              <w:rPr>
                <w:sz w:val="20"/>
                <w:szCs w:val="20"/>
                <w:color w:val="auto"/>
              </w:rPr>
            </w:pPr>
            <w:r>
              <w:rPr>
                <w:rFonts w:ascii="Arial" w:cs="Arial" w:eastAsia="Arial" w:hAnsi="Arial"/>
                <w:sz w:val="16"/>
                <w:szCs w:val="16"/>
                <w:color w:val="auto"/>
                <w:w w:val="96"/>
              </w:rPr>
              <w:t>80.0%</w:t>
            </w:r>
          </w:p>
        </w:tc>
        <w:tc>
          <w:tcPr>
            <w:tcW w:w="320" w:type="dxa"/>
            <w:vAlign w:val="bottom"/>
            <w:tcBorders>
              <w:bottom w:val="single" w:sz="8" w:color="53C072"/>
              <w:right w:val="single" w:sz="8" w:color="53C072"/>
            </w:tcBorders>
            <w:gridSpan w:val="2"/>
          </w:tcPr>
          <w:p>
            <w:pPr>
              <w:spacing w:after="0"/>
              <w:rPr>
                <w:sz w:val="15"/>
                <w:szCs w:val="15"/>
                <w:color w:val="auto"/>
              </w:rPr>
            </w:pPr>
          </w:p>
        </w:tc>
        <w:tc>
          <w:tcPr>
            <w:tcW w:w="1440" w:type="dxa"/>
            <w:vAlign w:val="bottom"/>
            <w:tcBorders>
              <w:bottom w:val="single" w:sz="8" w:color="53C072"/>
            </w:tcBorders>
          </w:tcPr>
          <w:p>
            <w:pPr>
              <w:jc w:val="center"/>
              <w:ind w:left="1"/>
              <w:spacing w:after="0" w:line="175" w:lineRule="exact"/>
              <w:rPr>
                <w:sz w:val="20"/>
                <w:szCs w:val="20"/>
                <w:color w:val="auto"/>
              </w:rPr>
            </w:pPr>
            <w:r>
              <w:rPr>
                <w:rFonts w:ascii="Arial" w:cs="Arial" w:eastAsia="Arial" w:hAnsi="Arial"/>
                <w:sz w:val="16"/>
                <w:szCs w:val="16"/>
                <w:color w:val="auto"/>
                <w:w w:val="98"/>
              </w:rPr>
              <w:t>102.23</w:t>
            </w:r>
          </w:p>
        </w:tc>
        <w:tc>
          <w:tcPr>
            <w:tcW w:w="240" w:type="dxa"/>
            <w:vAlign w:val="bottom"/>
            <w:tcBorders>
              <w:bottom w:val="single" w:sz="8" w:color="53C072"/>
              <w:right w:val="single" w:sz="8" w:color="53C072"/>
            </w:tcBorders>
          </w:tcPr>
          <w:p>
            <w:pPr>
              <w:spacing w:after="0"/>
              <w:rPr>
                <w:sz w:val="15"/>
                <w:szCs w:val="15"/>
                <w:color w:val="auto"/>
              </w:rPr>
            </w:pPr>
          </w:p>
        </w:tc>
        <w:tc>
          <w:tcPr>
            <w:tcW w:w="4380" w:type="dxa"/>
            <w:vAlign w:val="bottom"/>
            <w:tcBorders>
              <w:bottom w:val="single" w:sz="8" w:color="53C072"/>
              <w:right w:val="single" w:sz="8" w:color="53C072"/>
            </w:tcBorders>
          </w:tcPr>
          <w:p>
            <w:pPr>
              <w:jc w:val="right"/>
              <w:ind w:right="2041"/>
              <w:spacing w:after="0" w:line="175" w:lineRule="exact"/>
              <w:rPr>
                <w:sz w:val="20"/>
                <w:szCs w:val="20"/>
                <w:color w:val="auto"/>
              </w:rPr>
            </w:pPr>
            <w:r>
              <w:rPr>
                <w:rFonts w:ascii="Arial" w:cs="Arial" w:eastAsia="Arial" w:hAnsi="Arial"/>
                <w:sz w:val="16"/>
                <w:szCs w:val="16"/>
                <w:color w:val="auto"/>
              </w:rPr>
              <w:t>60%</w:t>
            </w:r>
          </w:p>
        </w:tc>
      </w:tr>
    </w:tbl>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321"/>
        </w:trPr>
        <w:tc>
          <w:tcPr>
            <w:tcW w:w="10940" w:type="dxa"/>
            <w:vAlign w:val="bottom"/>
          </w:tcPr>
          <w:p>
            <w:pPr>
              <w:jc w:val="right"/>
              <w:ind w:right="47"/>
              <w:spacing w:after="0"/>
              <w:rPr>
                <w:sz w:val="20"/>
                <w:szCs w:val="20"/>
                <w:color w:val="auto"/>
              </w:rPr>
            </w:pPr>
            <w:r>
              <w:rPr>
                <w:rFonts w:ascii="Arial" w:cs="Arial" w:eastAsia="Arial" w:hAnsi="Arial"/>
                <w:sz w:val="23"/>
                <w:szCs w:val="23"/>
                <w:b w:val="1"/>
                <w:bCs w:val="1"/>
                <w:color w:val="53C072"/>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143"/>
        </w:trPr>
        <w:tc>
          <w:tcPr>
            <w:tcW w:w="1094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-13335</wp:posOffset>
            </wp:positionV>
            <wp:extent cx="1270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-302260</wp:posOffset>
            </wp:positionV>
            <wp:extent cx="1664970" cy="1231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13"/>
        </w:trPr>
        <w:tc>
          <w:tcPr>
            <w:tcW w:w="512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6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12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6140" w:type="dxa"/>
            <w:vAlign w:val="bottom"/>
            <w:vMerge w:val="restart"/>
          </w:tcPr>
          <w:p>
            <w:pPr>
              <w:ind w:left="3880"/>
              <w:spacing w:after="0"/>
              <w:rPr>
                <w:sz w:val="20"/>
                <w:szCs w:val="20"/>
                <w:color w:val="auto"/>
              </w:rPr>
            </w:pPr>
            <w:r>
              <w:rPr>
                <w:rFonts w:ascii="Arial" w:cs="Arial" w:eastAsia="Arial" w:hAnsi="Arial"/>
                <w:sz w:val="13"/>
                <w:szCs w:val="13"/>
                <w:color w:val="auto"/>
                <w:w w:val="98"/>
              </w:rPr>
              <w:t>Compensation Discussion and Analysis</w:t>
            </w:r>
          </w:p>
        </w:tc>
        <w:tc>
          <w:tcPr>
            <w:tcW w:w="0" w:type="dxa"/>
            <w:vAlign w:val="bottom"/>
          </w:tcPr>
          <w:p>
            <w:pPr>
              <w:spacing w:after="0"/>
              <w:rPr>
                <w:sz w:val="1"/>
                <w:szCs w:val="1"/>
                <w:color w:val="auto"/>
              </w:rPr>
            </w:pPr>
          </w:p>
        </w:tc>
      </w:tr>
      <w:tr>
        <w:trPr>
          <w:trHeight w:val="102"/>
        </w:trPr>
        <w:tc>
          <w:tcPr>
            <w:tcW w:w="512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6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120" w:type="dxa"/>
            <w:vAlign w:val="bottom"/>
            <w:vMerge w:val="continue"/>
          </w:tcPr>
          <w:p>
            <w:pPr>
              <w:spacing w:after="0"/>
              <w:rPr>
                <w:sz w:val="7"/>
                <w:szCs w:val="7"/>
                <w:color w:val="auto"/>
              </w:rPr>
            </w:pPr>
          </w:p>
        </w:tc>
        <w:tc>
          <w:tcPr>
            <w:tcW w:w="6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b w:val="1"/>
          <w:bCs w:val="1"/>
          <w:color w:val="53C072"/>
        </w:rPr>
        <w:t xml:space="preserve">Results &amp; Payout. </w:t>
      </w:r>
      <w:r>
        <w:rPr>
          <w:rFonts w:ascii="Arial" w:cs="Arial" w:eastAsia="Arial" w:hAnsi="Arial"/>
          <w:sz w:val="16"/>
          <w:szCs w:val="16"/>
          <w:color w:val="000000"/>
        </w:rPr>
        <w:t>For fiscal 2020, achievement of the financial performance goals and the percentages of target annual cash incentive earned with respect to</w:t>
      </w:r>
      <w:r>
        <w:rPr>
          <w:rFonts w:ascii="Arial" w:cs="Arial" w:eastAsia="Arial" w:hAnsi="Arial"/>
          <w:sz w:val="16"/>
          <w:szCs w:val="16"/>
          <w:b w:val="1"/>
          <w:bCs w:val="1"/>
          <w:color w:val="53C072"/>
        </w:rPr>
        <w:t xml:space="preserve"> </w:t>
      </w:r>
      <w:r>
        <w:rPr>
          <w:rFonts w:ascii="Arial" w:cs="Arial" w:eastAsia="Arial" w:hAnsi="Arial"/>
          <w:sz w:val="16"/>
          <w:szCs w:val="16"/>
          <w:color w:val="000000"/>
        </w:rPr>
        <w:t>the financial performance goals were as follows*.</w:t>
      </w:r>
    </w:p>
    <w:p>
      <w:pPr>
        <w:spacing w:after="0" w:line="149" w:lineRule="exact"/>
        <w:rPr>
          <w:sz w:val="20"/>
          <w:szCs w:val="20"/>
          <w:color w:val="auto"/>
        </w:rPr>
      </w:pPr>
    </w:p>
    <w:tbl>
      <w:tblPr>
        <w:tblLayout w:type="fixed"/>
        <w:tblInd w:w="1340" w:type="dxa"/>
        <w:tblCellMar>
          <w:top w:w="0" w:type="dxa"/>
          <w:left w:w="0" w:type="dxa"/>
          <w:bottom w:w="0" w:type="dxa"/>
          <w:right w:w="0" w:type="dxa"/>
        </w:tblCellMar>
      </w:tblPr>
      <w:tr>
        <w:trPr>
          <w:trHeight w:val="149"/>
        </w:trPr>
        <w:tc>
          <w:tcPr>
            <w:tcW w:w="1700" w:type="dxa"/>
            <w:vAlign w:val="bottom"/>
            <w:shd w:val="clear" w:color="auto" w:fill="53C072"/>
          </w:tcPr>
          <w:p>
            <w:pPr>
              <w:spacing w:after="0"/>
              <w:rPr>
                <w:sz w:val="20"/>
                <w:szCs w:val="20"/>
                <w:color w:val="auto"/>
              </w:rPr>
            </w:pPr>
            <w:r>
              <w:rPr>
                <w:rFonts w:ascii="Arial" w:cs="Arial" w:eastAsia="Arial" w:hAnsi="Arial"/>
                <w:sz w:val="13"/>
                <w:szCs w:val="13"/>
                <w:b w:val="1"/>
                <w:bCs w:val="1"/>
                <w:color w:val="FFFFFE"/>
              </w:rPr>
              <w:t>Goal</w:t>
            </w:r>
          </w:p>
        </w:tc>
        <w:tc>
          <w:tcPr>
            <w:tcW w:w="1560" w:type="dxa"/>
            <w:vAlign w:val="bottom"/>
            <w:shd w:val="clear" w:color="auto" w:fill="53C072"/>
          </w:tcPr>
          <w:p>
            <w:pPr>
              <w:spacing w:after="0"/>
              <w:rPr>
                <w:sz w:val="13"/>
                <w:szCs w:val="13"/>
                <w:color w:val="auto"/>
              </w:rPr>
            </w:pPr>
          </w:p>
        </w:tc>
        <w:tc>
          <w:tcPr>
            <w:tcW w:w="920" w:type="dxa"/>
            <w:vAlign w:val="bottom"/>
            <w:shd w:val="clear" w:color="auto" w:fill="53C072"/>
          </w:tcPr>
          <w:p>
            <w:pPr>
              <w:jc w:val="right"/>
              <w:ind w:right="25"/>
              <w:spacing w:after="0"/>
              <w:rPr>
                <w:sz w:val="20"/>
                <w:szCs w:val="20"/>
                <w:color w:val="auto"/>
              </w:rPr>
            </w:pPr>
            <w:r>
              <w:rPr>
                <w:rFonts w:ascii="Arial" w:cs="Arial" w:eastAsia="Arial" w:hAnsi="Arial"/>
                <w:sz w:val="13"/>
                <w:szCs w:val="13"/>
                <w:b w:val="1"/>
                <w:bCs w:val="1"/>
                <w:color w:val="FFFFFE"/>
              </w:rPr>
              <w:t>Target</w:t>
            </w:r>
          </w:p>
        </w:tc>
        <w:tc>
          <w:tcPr>
            <w:tcW w:w="500" w:type="dxa"/>
            <w:vAlign w:val="bottom"/>
            <w:shd w:val="clear" w:color="auto" w:fill="53C072"/>
          </w:tcPr>
          <w:p>
            <w:pPr>
              <w:spacing w:after="0"/>
              <w:rPr>
                <w:sz w:val="13"/>
                <w:szCs w:val="13"/>
                <w:color w:val="auto"/>
              </w:rPr>
            </w:pPr>
          </w:p>
        </w:tc>
        <w:tc>
          <w:tcPr>
            <w:tcW w:w="920" w:type="dxa"/>
            <w:vAlign w:val="bottom"/>
            <w:shd w:val="clear" w:color="auto" w:fill="53C072"/>
          </w:tcPr>
          <w:p>
            <w:pPr>
              <w:jc w:val="right"/>
              <w:ind w:right="45"/>
              <w:spacing w:after="0"/>
              <w:rPr>
                <w:sz w:val="20"/>
                <w:szCs w:val="20"/>
                <w:color w:val="auto"/>
              </w:rPr>
            </w:pPr>
            <w:r>
              <w:rPr>
                <w:rFonts w:ascii="Arial" w:cs="Arial" w:eastAsia="Arial" w:hAnsi="Arial"/>
                <w:sz w:val="13"/>
                <w:szCs w:val="13"/>
                <w:b w:val="1"/>
                <w:bCs w:val="1"/>
                <w:color w:val="FFFFFE"/>
              </w:rPr>
              <w:t>Actual</w:t>
            </w:r>
          </w:p>
        </w:tc>
        <w:tc>
          <w:tcPr>
            <w:tcW w:w="1560" w:type="dxa"/>
            <w:vAlign w:val="bottom"/>
            <w:shd w:val="clear" w:color="auto" w:fill="53C072"/>
          </w:tcPr>
          <w:p>
            <w:pPr>
              <w:jc w:val="right"/>
              <w:ind w:right="45"/>
              <w:spacing w:after="0"/>
              <w:rPr>
                <w:sz w:val="20"/>
                <w:szCs w:val="20"/>
                <w:color w:val="auto"/>
              </w:rPr>
            </w:pPr>
            <w:r>
              <w:rPr>
                <w:rFonts w:ascii="Arial" w:cs="Arial" w:eastAsia="Arial" w:hAnsi="Arial"/>
                <w:sz w:val="13"/>
                <w:szCs w:val="13"/>
                <w:b w:val="1"/>
                <w:bCs w:val="1"/>
                <w:color w:val="FFFFFE"/>
              </w:rPr>
              <w:t>% of Target Achieved</w:t>
            </w:r>
          </w:p>
        </w:tc>
        <w:tc>
          <w:tcPr>
            <w:tcW w:w="128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Payout % of Target</w:t>
            </w:r>
          </w:p>
        </w:tc>
      </w:tr>
      <w:tr>
        <w:trPr>
          <w:trHeight w:val="219"/>
        </w:trPr>
        <w:tc>
          <w:tcPr>
            <w:tcW w:w="1700" w:type="dxa"/>
            <w:vAlign w:val="bottom"/>
          </w:tcPr>
          <w:p>
            <w:pPr>
              <w:spacing w:after="0" w:line="218" w:lineRule="exact"/>
              <w:rPr>
                <w:sz w:val="20"/>
                <w:szCs w:val="20"/>
                <w:color w:val="auto"/>
              </w:rPr>
            </w:pPr>
            <w:r>
              <w:rPr>
                <w:rFonts w:ascii="Arial" w:cs="Arial" w:eastAsia="Arial" w:hAnsi="Arial"/>
                <w:sz w:val="15"/>
                <w:szCs w:val="15"/>
                <w:color w:val="auto"/>
              </w:rPr>
              <w:t>OI$</w:t>
            </w:r>
            <w:r>
              <w:rPr>
                <w:rFonts w:ascii="Arial" w:cs="Arial" w:eastAsia="Arial" w:hAnsi="Arial"/>
                <w:sz w:val="25"/>
                <w:szCs w:val="25"/>
                <w:color w:val="auto"/>
                <w:vertAlign w:val="superscript"/>
              </w:rPr>
              <w:t>(1)</w:t>
            </w:r>
          </w:p>
        </w:tc>
        <w:tc>
          <w:tcPr>
            <w:tcW w:w="1560" w:type="dxa"/>
            <w:vAlign w:val="bottom"/>
          </w:tcPr>
          <w:p>
            <w:pPr>
              <w:spacing w:after="0"/>
              <w:rPr>
                <w:sz w:val="19"/>
                <w:szCs w:val="19"/>
                <w:color w:val="auto"/>
              </w:rPr>
            </w:pPr>
          </w:p>
        </w:tc>
        <w:tc>
          <w:tcPr>
            <w:tcW w:w="920" w:type="dxa"/>
            <w:vAlign w:val="bottom"/>
          </w:tcPr>
          <w:p>
            <w:pPr>
              <w:jc w:val="right"/>
              <w:ind w:right="25"/>
              <w:spacing w:after="0"/>
              <w:rPr>
                <w:sz w:val="20"/>
                <w:szCs w:val="20"/>
                <w:color w:val="auto"/>
              </w:rPr>
            </w:pPr>
            <w:r>
              <w:rPr>
                <w:rFonts w:ascii="Arial" w:cs="Arial" w:eastAsia="Arial" w:hAnsi="Arial"/>
                <w:sz w:val="16"/>
                <w:szCs w:val="16"/>
                <w:color w:val="auto"/>
              </w:rPr>
              <w:t>$548.6</w:t>
            </w:r>
          </w:p>
        </w:tc>
        <w:tc>
          <w:tcPr>
            <w:tcW w:w="500" w:type="dxa"/>
            <w:vAlign w:val="bottom"/>
          </w:tcPr>
          <w:p>
            <w:pPr>
              <w:spacing w:after="0"/>
              <w:rPr>
                <w:sz w:val="19"/>
                <w:szCs w:val="19"/>
                <w:color w:val="auto"/>
              </w:rPr>
            </w:pPr>
          </w:p>
        </w:tc>
        <w:tc>
          <w:tcPr>
            <w:tcW w:w="920" w:type="dxa"/>
            <w:vAlign w:val="bottom"/>
          </w:tcPr>
          <w:p>
            <w:pPr>
              <w:jc w:val="right"/>
              <w:ind w:right="45"/>
              <w:spacing w:after="0"/>
              <w:rPr>
                <w:sz w:val="20"/>
                <w:szCs w:val="20"/>
                <w:color w:val="auto"/>
              </w:rPr>
            </w:pPr>
            <w:r>
              <w:rPr>
                <w:rFonts w:ascii="Arial" w:cs="Arial" w:eastAsia="Arial" w:hAnsi="Arial"/>
                <w:sz w:val="16"/>
                <w:szCs w:val="16"/>
                <w:color w:val="auto"/>
              </w:rPr>
              <w:t>$302.9</w:t>
            </w:r>
          </w:p>
        </w:tc>
        <w:tc>
          <w:tcPr>
            <w:tcW w:w="1560" w:type="dxa"/>
            <w:vAlign w:val="bottom"/>
          </w:tcPr>
          <w:p>
            <w:pPr>
              <w:jc w:val="right"/>
              <w:ind w:right="45"/>
              <w:spacing w:after="0"/>
              <w:rPr>
                <w:sz w:val="20"/>
                <w:szCs w:val="20"/>
                <w:color w:val="auto"/>
              </w:rPr>
            </w:pPr>
            <w:r>
              <w:rPr>
                <w:rFonts w:ascii="Arial" w:cs="Arial" w:eastAsia="Arial" w:hAnsi="Arial"/>
                <w:sz w:val="16"/>
                <w:szCs w:val="16"/>
                <w:color w:val="auto"/>
              </w:rPr>
              <w:t>55.2%</w:t>
            </w:r>
          </w:p>
        </w:tc>
        <w:tc>
          <w:tcPr>
            <w:tcW w:w="128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182"/>
        </w:trPr>
        <w:tc>
          <w:tcPr>
            <w:tcW w:w="1700" w:type="dxa"/>
            <w:vAlign w:val="bottom"/>
            <w:shd w:val="clear" w:color="auto" w:fill="E8F5EA"/>
          </w:tcPr>
          <w:p>
            <w:pPr>
              <w:spacing w:after="0" w:line="182" w:lineRule="exact"/>
              <w:rPr>
                <w:sz w:val="20"/>
                <w:szCs w:val="20"/>
                <w:color w:val="auto"/>
              </w:rPr>
            </w:pPr>
            <w:r>
              <w:rPr>
                <w:rFonts w:ascii="Arial" w:cs="Arial" w:eastAsia="Arial" w:hAnsi="Arial"/>
                <w:sz w:val="16"/>
                <w:szCs w:val="16"/>
                <w:color w:val="auto"/>
              </w:rPr>
              <w:t>GP$</w:t>
            </w:r>
          </w:p>
        </w:tc>
        <w:tc>
          <w:tcPr>
            <w:tcW w:w="1560" w:type="dxa"/>
            <w:vAlign w:val="bottom"/>
            <w:shd w:val="clear" w:color="auto" w:fill="E8F5EA"/>
          </w:tcPr>
          <w:p>
            <w:pPr>
              <w:jc w:val="right"/>
              <w:ind w:right="201"/>
              <w:spacing w:after="0" w:line="182" w:lineRule="exact"/>
              <w:rPr>
                <w:sz w:val="20"/>
                <w:szCs w:val="20"/>
                <w:color w:val="auto"/>
              </w:rPr>
            </w:pPr>
            <w:r>
              <w:rPr>
                <w:rFonts w:ascii="Arial" w:cs="Arial" w:eastAsia="Arial" w:hAnsi="Arial"/>
                <w:sz w:val="16"/>
                <w:szCs w:val="16"/>
                <w:color w:val="auto"/>
              </w:rPr>
              <w:t>$</w:t>
            </w:r>
          </w:p>
        </w:tc>
        <w:tc>
          <w:tcPr>
            <w:tcW w:w="920" w:type="dxa"/>
            <w:vAlign w:val="bottom"/>
            <w:shd w:val="clear" w:color="auto" w:fill="E8F5EA"/>
          </w:tcPr>
          <w:p>
            <w:pPr>
              <w:jc w:val="right"/>
              <w:ind w:right="25"/>
              <w:spacing w:after="0" w:line="182" w:lineRule="exact"/>
              <w:rPr>
                <w:sz w:val="20"/>
                <w:szCs w:val="20"/>
                <w:color w:val="auto"/>
              </w:rPr>
            </w:pPr>
            <w:r>
              <w:rPr>
                <w:rFonts w:ascii="Arial" w:cs="Arial" w:eastAsia="Arial" w:hAnsi="Arial"/>
                <w:sz w:val="16"/>
                <w:szCs w:val="16"/>
                <w:color w:val="auto"/>
              </w:rPr>
              <w:t>2,354.4</w:t>
            </w:r>
          </w:p>
        </w:tc>
        <w:tc>
          <w:tcPr>
            <w:tcW w:w="500" w:type="dxa"/>
            <w:vAlign w:val="bottom"/>
            <w:shd w:val="clear" w:color="auto" w:fill="E8F5EA"/>
          </w:tcPr>
          <w:p>
            <w:pPr>
              <w:jc w:val="right"/>
              <w:ind w:right="221"/>
              <w:spacing w:after="0" w:line="182" w:lineRule="exact"/>
              <w:rPr>
                <w:sz w:val="20"/>
                <w:szCs w:val="20"/>
                <w:color w:val="auto"/>
              </w:rPr>
            </w:pPr>
            <w:r>
              <w:rPr>
                <w:rFonts w:ascii="Arial" w:cs="Arial" w:eastAsia="Arial" w:hAnsi="Arial"/>
                <w:sz w:val="16"/>
                <w:szCs w:val="16"/>
                <w:color w:val="auto"/>
              </w:rPr>
              <w:t>$</w:t>
            </w:r>
          </w:p>
        </w:tc>
        <w:tc>
          <w:tcPr>
            <w:tcW w:w="920" w:type="dxa"/>
            <w:vAlign w:val="bottom"/>
            <w:shd w:val="clear" w:color="auto" w:fill="E8F5EA"/>
          </w:tcPr>
          <w:p>
            <w:pPr>
              <w:jc w:val="right"/>
              <w:ind w:right="45"/>
              <w:spacing w:after="0" w:line="182" w:lineRule="exact"/>
              <w:rPr>
                <w:sz w:val="20"/>
                <w:szCs w:val="20"/>
                <w:color w:val="auto"/>
              </w:rPr>
            </w:pPr>
            <w:r>
              <w:rPr>
                <w:rFonts w:ascii="Arial" w:cs="Arial" w:eastAsia="Arial" w:hAnsi="Arial"/>
                <w:sz w:val="16"/>
                <w:szCs w:val="16"/>
                <w:color w:val="auto"/>
              </w:rPr>
              <w:t>2,063.5</w:t>
            </w:r>
          </w:p>
        </w:tc>
        <w:tc>
          <w:tcPr>
            <w:tcW w:w="1560" w:type="dxa"/>
            <w:vAlign w:val="bottom"/>
            <w:shd w:val="clear" w:color="auto" w:fill="E8F5EA"/>
          </w:tcPr>
          <w:p>
            <w:pPr>
              <w:jc w:val="right"/>
              <w:ind w:right="45"/>
              <w:spacing w:after="0" w:line="182" w:lineRule="exact"/>
              <w:rPr>
                <w:sz w:val="20"/>
                <w:szCs w:val="20"/>
                <w:color w:val="auto"/>
              </w:rPr>
            </w:pPr>
            <w:r>
              <w:rPr>
                <w:rFonts w:ascii="Arial" w:cs="Arial" w:eastAsia="Arial" w:hAnsi="Arial"/>
                <w:sz w:val="16"/>
                <w:szCs w:val="16"/>
                <w:color w:val="auto"/>
              </w:rPr>
              <w:t>62.9%</w:t>
            </w:r>
          </w:p>
        </w:tc>
        <w:tc>
          <w:tcPr>
            <w:tcW w:w="128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18.9%</w:t>
            </w:r>
          </w:p>
        </w:tc>
      </w:tr>
      <w:tr>
        <w:trPr>
          <w:trHeight w:val="199"/>
        </w:trPr>
        <w:tc>
          <w:tcPr>
            <w:tcW w:w="1700" w:type="dxa"/>
            <w:vAlign w:val="bottom"/>
            <w:tcBorders>
              <w:bottom w:val="single" w:sz="8" w:color="53C072"/>
            </w:tcBorders>
          </w:tcPr>
          <w:p>
            <w:pPr>
              <w:spacing w:after="0" w:line="182" w:lineRule="exact"/>
              <w:rPr>
                <w:sz w:val="20"/>
                <w:szCs w:val="20"/>
                <w:color w:val="auto"/>
              </w:rPr>
            </w:pPr>
            <w:r>
              <w:rPr>
                <w:rFonts w:ascii="Arial" w:cs="Arial" w:eastAsia="Arial" w:hAnsi="Arial"/>
                <w:sz w:val="16"/>
                <w:szCs w:val="16"/>
                <w:color w:val="auto"/>
              </w:rPr>
              <w:t>NWCD</w:t>
            </w:r>
          </w:p>
        </w:tc>
        <w:tc>
          <w:tcPr>
            <w:tcW w:w="1560" w:type="dxa"/>
            <w:vAlign w:val="bottom"/>
            <w:tcBorders>
              <w:bottom w:val="single" w:sz="8" w:color="53C072"/>
            </w:tcBorders>
          </w:tcPr>
          <w:p>
            <w:pPr>
              <w:spacing w:after="0"/>
              <w:rPr>
                <w:sz w:val="17"/>
                <w:szCs w:val="17"/>
                <w:color w:val="auto"/>
              </w:rPr>
            </w:pPr>
          </w:p>
        </w:tc>
        <w:tc>
          <w:tcPr>
            <w:tcW w:w="920" w:type="dxa"/>
            <w:vAlign w:val="bottom"/>
            <w:tcBorders>
              <w:bottom w:val="single" w:sz="8" w:color="53C072"/>
            </w:tcBorders>
          </w:tcPr>
          <w:p>
            <w:pPr>
              <w:jc w:val="right"/>
              <w:ind w:right="25"/>
              <w:spacing w:after="0" w:line="182" w:lineRule="exact"/>
              <w:rPr>
                <w:sz w:val="20"/>
                <w:szCs w:val="20"/>
                <w:color w:val="auto"/>
              </w:rPr>
            </w:pPr>
            <w:r>
              <w:rPr>
                <w:rFonts w:ascii="Arial" w:cs="Arial" w:eastAsia="Arial" w:hAnsi="Arial"/>
                <w:sz w:val="16"/>
                <w:szCs w:val="16"/>
                <w:color w:val="auto"/>
              </w:rPr>
              <w:t>85.19</w:t>
            </w:r>
          </w:p>
        </w:tc>
        <w:tc>
          <w:tcPr>
            <w:tcW w:w="500" w:type="dxa"/>
            <w:vAlign w:val="bottom"/>
            <w:tcBorders>
              <w:bottom w:val="single" w:sz="8" w:color="53C072"/>
            </w:tcBorders>
          </w:tcPr>
          <w:p>
            <w:pPr>
              <w:spacing w:after="0"/>
              <w:rPr>
                <w:sz w:val="17"/>
                <w:szCs w:val="17"/>
                <w:color w:val="auto"/>
              </w:rPr>
            </w:pPr>
          </w:p>
        </w:tc>
        <w:tc>
          <w:tcPr>
            <w:tcW w:w="920" w:type="dxa"/>
            <w:vAlign w:val="bottom"/>
            <w:tcBorders>
              <w:bottom w:val="single" w:sz="8" w:color="53C072"/>
            </w:tcBorders>
          </w:tcPr>
          <w:p>
            <w:pPr>
              <w:jc w:val="right"/>
              <w:ind w:right="45"/>
              <w:spacing w:after="0" w:line="182" w:lineRule="exact"/>
              <w:rPr>
                <w:sz w:val="20"/>
                <w:szCs w:val="20"/>
                <w:color w:val="auto"/>
              </w:rPr>
            </w:pPr>
            <w:r>
              <w:rPr>
                <w:rFonts w:ascii="Arial" w:cs="Arial" w:eastAsia="Arial" w:hAnsi="Arial"/>
                <w:sz w:val="16"/>
                <w:szCs w:val="16"/>
                <w:color w:val="auto"/>
              </w:rPr>
              <w:t>84.62</w:t>
            </w:r>
          </w:p>
        </w:tc>
        <w:tc>
          <w:tcPr>
            <w:tcW w:w="1560" w:type="dxa"/>
            <w:vAlign w:val="bottom"/>
            <w:tcBorders>
              <w:bottom w:val="single" w:sz="8" w:color="53C072"/>
            </w:tcBorders>
          </w:tcPr>
          <w:p>
            <w:pPr>
              <w:jc w:val="right"/>
              <w:ind w:right="45"/>
              <w:spacing w:after="0" w:line="182" w:lineRule="exact"/>
              <w:rPr>
                <w:sz w:val="20"/>
                <w:szCs w:val="20"/>
                <w:color w:val="auto"/>
              </w:rPr>
            </w:pPr>
            <w:r>
              <w:rPr>
                <w:rFonts w:ascii="Arial" w:cs="Arial" w:eastAsia="Arial" w:hAnsi="Arial"/>
                <w:sz w:val="16"/>
                <w:szCs w:val="16"/>
                <w:color w:val="auto"/>
              </w:rPr>
              <w:t>103.4%</w:t>
            </w:r>
          </w:p>
        </w:tc>
        <w:tc>
          <w:tcPr>
            <w:tcW w:w="1280" w:type="dxa"/>
            <w:vAlign w:val="bottom"/>
            <w:tcBorders>
              <w:bottom w:val="single" w:sz="8" w:color="53C072"/>
            </w:tcBorders>
          </w:tcPr>
          <w:p>
            <w:pPr>
              <w:jc w:val="right"/>
              <w:spacing w:after="0" w:line="182" w:lineRule="exact"/>
              <w:rPr>
                <w:sz w:val="20"/>
                <w:szCs w:val="20"/>
                <w:color w:val="auto"/>
              </w:rPr>
            </w:pPr>
            <w:r>
              <w:rPr>
                <w:rFonts w:ascii="Arial" w:cs="Arial" w:eastAsia="Arial" w:hAnsi="Arial"/>
                <w:sz w:val="16"/>
                <w:szCs w:val="16"/>
                <w:color w:val="auto"/>
              </w:rPr>
              <w:t>31.0%</w:t>
            </w:r>
          </w:p>
        </w:tc>
      </w:tr>
    </w:tbl>
    <w:p>
      <w:pPr>
        <w:spacing w:after="0" w:line="177" w:lineRule="exact"/>
        <w:rPr>
          <w:sz w:val="20"/>
          <w:szCs w:val="20"/>
          <w:color w:val="auto"/>
        </w:rPr>
      </w:pPr>
    </w:p>
    <w:p>
      <w:pPr>
        <w:ind w:left="1840" w:right="100" w:hanging="492"/>
        <w:spacing w:after="0" w:line="256" w:lineRule="auto"/>
        <w:tabs>
          <w:tab w:leader="none" w:pos="18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to this Proxy Statement for a reconciliation of non-GAAP measures to the most directly comparable GAAP measures. For additional information regarding the fiscal 2020 performance of the Company, please refer to the Company's Annual Report on Form 10-K for the year ended June 27, 2020.</w:t>
      </w:r>
    </w:p>
    <w:p>
      <w:pPr>
        <w:spacing w:after="0" w:line="152" w:lineRule="exact"/>
        <w:rPr>
          <w:sz w:val="20"/>
          <w:szCs w:val="20"/>
          <w:color w:val="auto"/>
        </w:rPr>
      </w:pPr>
    </w:p>
    <w:p>
      <w:pPr>
        <w:ind w:left="1840" w:hanging="492"/>
        <w:spacing w:after="0"/>
        <w:tabs>
          <w:tab w:leader="none" w:pos="18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As the OI$ was less than 80% of the target goal, the threshold for payout was not met.</w:t>
      </w:r>
    </w:p>
    <w:p>
      <w:pPr>
        <w:spacing w:after="0" w:line="192"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For fiscal 2020, achievement of the financial performance goals, application of the discretionary modifier by the Compensation Committee and the annual cash incentive payout for each of the NEOs were as follows:</w:t>
      </w:r>
    </w:p>
    <w:p>
      <w:pPr>
        <w:spacing w:after="0" w:line="135" w:lineRule="exact"/>
        <w:rPr>
          <w:sz w:val="20"/>
          <w:szCs w:val="20"/>
          <w:color w:val="auto"/>
        </w:rPr>
      </w:pPr>
    </w:p>
    <w:p>
      <w:pPr>
        <w:jc w:val="center"/>
        <w:ind w:right="260"/>
        <w:spacing w:after="0"/>
        <w:rPr>
          <w:sz w:val="20"/>
          <w:szCs w:val="20"/>
          <w:color w:val="auto"/>
        </w:rPr>
      </w:pPr>
      <w:r>
        <w:rPr>
          <w:rFonts w:ascii="Arial" w:cs="Arial" w:eastAsia="Arial" w:hAnsi="Arial"/>
          <w:sz w:val="16"/>
          <w:szCs w:val="16"/>
          <w:b w:val="1"/>
          <w:bCs w:val="1"/>
          <w:color w:val="FFFFFE"/>
        </w:rPr>
        <w:t>FY20 Annual Cash Incentives Payouts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-104140</wp:posOffset>
            </wp:positionV>
            <wp:extent cx="5265420" cy="4546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265420" cy="45466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p>
      <w:pPr>
        <w:spacing w:after="0" w:line="37" w:lineRule="exact"/>
        <w:rPr>
          <w:sz w:val="20"/>
          <w:szCs w:val="20"/>
          <w:color w:val="auto"/>
        </w:rPr>
      </w:pPr>
    </w:p>
    <w:tbl>
      <w:tblPr>
        <w:tblLayout w:type="fixed"/>
        <w:tblInd w:w="1340" w:type="dxa"/>
        <w:tblCellMar>
          <w:top w:w="0" w:type="dxa"/>
          <w:left w:w="0" w:type="dxa"/>
          <w:bottom w:w="0" w:type="dxa"/>
          <w:right w:w="0" w:type="dxa"/>
        </w:tblCellMar>
      </w:tblPr>
      <w:tr>
        <w:trPr>
          <w:trHeight w:val="514"/>
        </w:trPr>
        <w:tc>
          <w:tcPr>
            <w:tcW w:w="1000" w:type="dxa"/>
            <w:vAlign w:val="bottom"/>
            <w:tcBorders>
              <w:bottom w:val="single" w:sz="8" w:color="53C072"/>
            </w:tcBorders>
            <w:shd w:val="clear" w:color="auto" w:fill="53C072"/>
          </w:tcPr>
          <w:p>
            <w:pPr>
              <w:spacing w:after="0"/>
              <w:rPr>
                <w:sz w:val="24"/>
                <w:szCs w:val="24"/>
                <w:color w:val="auto"/>
              </w:rPr>
            </w:pPr>
          </w:p>
        </w:tc>
        <w:tc>
          <w:tcPr>
            <w:tcW w:w="140" w:type="dxa"/>
            <w:vAlign w:val="bottom"/>
            <w:tcBorders>
              <w:bottom w:val="single" w:sz="8" w:color="53C072"/>
            </w:tcBorders>
          </w:tcPr>
          <w:p>
            <w:pPr>
              <w:spacing w:after="0"/>
              <w:rPr>
                <w:sz w:val="24"/>
                <w:szCs w:val="24"/>
                <w:color w:val="auto"/>
              </w:rPr>
            </w:pPr>
          </w:p>
        </w:tc>
        <w:tc>
          <w:tcPr>
            <w:tcW w:w="980" w:type="dxa"/>
            <w:vAlign w:val="bottom"/>
            <w:tcBorders>
              <w:bottom w:val="single" w:sz="8" w:color="53C072"/>
            </w:tcBorders>
          </w:tcPr>
          <w:p>
            <w:pPr>
              <w:spacing w:after="0"/>
              <w:rPr>
                <w:sz w:val="24"/>
                <w:szCs w:val="24"/>
                <w:color w:val="auto"/>
              </w:rPr>
            </w:pPr>
          </w:p>
        </w:tc>
        <w:tc>
          <w:tcPr>
            <w:tcW w:w="1840" w:type="dxa"/>
            <w:vAlign w:val="bottom"/>
            <w:tcBorders>
              <w:bottom w:val="single" w:sz="8" w:color="auto"/>
            </w:tcBorders>
            <w:gridSpan w:val="2"/>
          </w:tcPr>
          <w:p>
            <w:pPr>
              <w:jc w:val="right"/>
              <w:ind w:right="203"/>
              <w:spacing w:after="0"/>
              <w:rPr>
                <w:sz w:val="20"/>
                <w:szCs w:val="20"/>
                <w:color w:val="auto"/>
              </w:rPr>
            </w:pPr>
            <w:r>
              <w:rPr>
                <w:rFonts w:ascii="Arial" w:cs="Arial" w:eastAsia="Arial" w:hAnsi="Arial"/>
                <w:sz w:val="13"/>
                <w:szCs w:val="13"/>
                <w:b w:val="1"/>
                <w:bCs w:val="1"/>
                <w:color w:val="FFFFFE"/>
              </w:rPr>
              <w:t>Financial Performance</w:t>
            </w:r>
          </w:p>
        </w:tc>
        <w:tc>
          <w:tcPr>
            <w:tcW w:w="140" w:type="dxa"/>
            <w:vAlign w:val="bottom"/>
            <w:tcBorders>
              <w:bottom w:val="single" w:sz="8" w:color="53C072"/>
            </w:tcBorders>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000" w:type="dxa"/>
            <w:vAlign w:val="bottom"/>
            <w:vMerge w:val="restart"/>
            <w:shd w:val="clear" w:color="auto" w:fill="53C072"/>
          </w:tcPr>
          <w:p>
            <w:pPr>
              <w:spacing w:after="0"/>
              <w:rPr>
                <w:sz w:val="20"/>
                <w:szCs w:val="20"/>
                <w:color w:val="auto"/>
              </w:rPr>
            </w:pPr>
            <w:r>
              <w:rPr>
                <w:rFonts w:ascii="Arial" w:cs="Arial" w:eastAsia="Arial" w:hAnsi="Arial"/>
                <w:sz w:val="13"/>
                <w:szCs w:val="13"/>
                <w:b w:val="1"/>
                <w:bCs w:val="1"/>
                <w:color w:val="FFFFFE"/>
              </w:rPr>
              <w:t>NEO</w:t>
            </w:r>
          </w:p>
        </w:tc>
        <w:tc>
          <w:tcPr>
            <w:tcW w:w="140" w:type="dxa"/>
            <w:vAlign w:val="bottom"/>
            <w:shd w:val="clear" w:color="auto" w:fill="53C072"/>
          </w:tcPr>
          <w:p>
            <w:pPr>
              <w:spacing w:after="0"/>
              <w:rPr>
                <w:sz w:val="10"/>
                <w:szCs w:val="10"/>
                <w:color w:val="auto"/>
              </w:rPr>
            </w:pPr>
          </w:p>
        </w:tc>
        <w:tc>
          <w:tcPr>
            <w:tcW w:w="980" w:type="dxa"/>
            <w:vAlign w:val="bottom"/>
            <w:vMerge w:val="restart"/>
            <w:shd w:val="clear" w:color="auto" w:fill="53C072"/>
          </w:tcPr>
          <w:p>
            <w:pPr>
              <w:jc w:val="right"/>
              <w:ind w:right="63"/>
              <w:spacing w:after="0"/>
              <w:rPr>
                <w:sz w:val="20"/>
                <w:szCs w:val="20"/>
                <w:color w:val="auto"/>
              </w:rPr>
            </w:pPr>
            <w:r>
              <w:rPr>
                <w:rFonts w:ascii="Arial" w:cs="Arial" w:eastAsia="Arial" w:hAnsi="Arial"/>
                <w:sz w:val="13"/>
                <w:szCs w:val="13"/>
                <w:b w:val="1"/>
                <w:bCs w:val="1"/>
                <w:color w:val="FFFFFE"/>
              </w:rPr>
              <w:t>Target $</w:t>
            </w:r>
          </w:p>
        </w:tc>
        <w:tc>
          <w:tcPr>
            <w:tcW w:w="820" w:type="dxa"/>
            <w:vAlign w:val="bottom"/>
            <w:shd w:val="clear" w:color="auto" w:fill="53C072"/>
          </w:tcPr>
          <w:p>
            <w:pPr>
              <w:jc w:val="right"/>
              <w:ind w:right="6"/>
              <w:spacing w:after="0" w:line="124" w:lineRule="exact"/>
              <w:rPr>
                <w:sz w:val="20"/>
                <w:szCs w:val="20"/>
                <w:color w:val="auto"/>
              </w:rPr>
            </w:pPr>
            <w:r>
              <w:rPr>
                <w:rFonts w:ascii="Arial" w:cs="Arial" w:eastAsia="Arial" w:hAnsi="Arial"/>
                <w:sz w:val="13"/>
                <w:szCs w:val="13"/>
                <w:b w:val="1"/>
                <w:bCs w:val="1"/>
                <w:color w:val="FFFFFE"/>
              </w:rPr>
              <w:t>% of Target</w:t>
            </w:r>
          </w:p>
        </w:tc>
        <w:tc>
          <w:tcPr>
            <w:tcW w:w="1020" w:type="dxa"/>
            <w:vAlign w:val="bottom"/>
            <w:vMerge w:val="restart"/>
            <w:shd w:val="clear" w:color="auto" w:fill="53C072"/>
          </w:tcPr>
          <w:p>
            <w:pPr>
              <w:jc w:val="right"/>
              <w:ind w:right="203"/>
              <w:spacing w:after="0"/>
              <w:rPr>
                <w:sz w:val="20"/>
                <w:szCs w:val="20"/>
                <w:color w:val="auto"/>
              </w:rPr>
            </w:pPr>
            <w:r>
              <w:rPr>
                <w:rFonts w:ascii="Arial" w:cs="Arial" w:eastAsia="Arial" w:hAnsi="Arial"/>
                <w:sz w:val="13"/>
                <w:szCs w:val="13"/>
                <w:b w:val="1"/>
                <w:bCs w:val="1"/>
                <w:color w:val="FFFFFE"/>
              </w:rPr>
              <w:t>$ Actual</w:t>
            </w:r>
          </w:p>
        </w:tc>
        <w:tc>
          <w:tcPr>
            <w:tcW w:w="140" w:type="dxa"/>
            <w:vAlign w:val="bottom"/>
            <w:shd w:val="clear" w:color="auto" w:fill="53C072"/>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000" w:type="dxa"/>
            <w:vAlign w:val="bottom"/>
            <w:vMerge w:val="continue"/>
            <w:shd w:val="clear" w:color="auto" w:fill="53C072"/>
          </w:tcPr>
          <w:p>
            <w:pPr>
              <w:spacing w:after="0"/>
              <w:rPr>
                <w:sz w:val="13"/>
                <w:szCs w:val="13"/>
                <w:color w:val="auto"/>
              </w:rPr>
            </w:pPr>
          </w:p>
        </w:tc>
        <w:tc>
          <w:tcPr>
            <w:tcW w:w="140" w:type="dxa"/>
            <w:vAlign w:val="bottom"/>
            <w:shd w:val="clear" w:color="auto" w:fill="53C072"/>
          </w:tcPr>
          <w:p>
            <w:pPr>
              <w:spacing w:after="0"/>
              <w:rPr>
                <w:sz w:val="13"/>
                <w:szCs w:val="13"/>
                <w:color w:val="auto"/>
              </w:rPr>
            </w:pPr>
          </w:p>
        </w:tc>
        <w:tc>
          <w:tcPr>
            <w:tcW w:w="980" w:type="dxa"/>
            <w:vAlign w:val="bottom"/>
            <w:vMerge w:val="continue"/>
            <w:shd w:val="clear" w:color="auto" w:fill="53C072"/>
          </w:tcPr>
          <w:p>
            <w:pPr>
              <w:spacing w:after="0"/>
              <w:rPr>
                <w:sz w:val="13"/>
                <w:szCs w:val="13"/>
                <w:color w:val="auto"/>
              </w:rPr>
            </w:pPr>
          </w:p>
        </w:tc>
        <w:tc>
          <w:tcPr>
            <w:tcW w:w="820" w:type="dxa"/>
            <w:vAlign w:val="bottom"/>
            <w:shd w:val="clear" w:color="auto" w:fill="53C072"/>
          </w:tcPr>
          <w:p>
            <w:pPr>
              <w:jc w:val="right"/>
              <w:ind w:right="26"/>
              <w:spacing w:after="0"/>
              <w:rPr>
                <w:sz w:val="20"/>
                <w:szCs w:val="20"/>
                <w:color w:val="auto"/>
              </w:rPr>
            </w:pPr>
            <w:r>
              <w:rPr>
                <w:rFonts w:ascii="Arial" w:cs="Arial" w:eastAsia="Arial" w:hAnsi="Arial"/>
                <w:sz w:val="13"/>
                <w:szCs w:val="13"/>
                <w:b w:val="1"/>
                <w:bCs w:val="1"/>
                <w:color w:val="FFFFFE"/>
              </w:rPr>
              <w:t>Earned</w:t>
            </w:r>
          </w:p>
        </w:tc>
        <w:tc>
          <w:tcPr>
            <w:tcW w:w="1020" w:type="dxa"/>
            <w:vAlign w:val="bottom"/>
            <w:vMerge w:val="continue"/>
            <w:shd w:val="clear" w:color="auto" w:fill="53C072"/>
          </w:tcPr>
          <w:p>
            <w:pPr>
              <w:spacing w:after="0"/>
              <w:rPr>
                <w:sz w:val="13"/>
                <w:szCs w:val="13"/>
                <w:color w:val="auto"/>
              </w:rPr>
            </w:pPr>
          </w:p>
        </w:tc>
        <w:tc>
          <w:tcPr>
            <w:tcW w:w="140" w:type="dxa"/>
            <w:vAlign w:val="bottom"/>
            <w:shd w:val="clear" w:color="auto" w:fill="53C072"/>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00" w:type="dxa"/>
            <w:vAlign w:val="bottom"/>
          </w:tcPr>
          <w:p>
            <w:pPr>
              <w:spacing w:after="0" w:line="165" w:lineRule="exact"/>
              <w:rPr>
                <w:sz w:val="20"/>
                <w:szCs w:val="20"/>
                <w:color w:val="auto"/>
              </w:rPr>
            </w:pPr>
            <w:r>
              <w:rPr>
                <w:rFonts w:ascii="Arial" w:cs="Arial" w:eastAsia="Arial" w:hAnsi="Arial"/>
                <w:sz w:val="16"/>
                <w:szCs w:val="16"/>
                <w:color w:val="auto"/>
              </w:rPr>
              <w:t>Amelio</w:t>
            </w:r>
          </w:p>
        </w:tc>
        <w:tc>
          <w:tcPr>
            <w:tcW w:w="140" w:type="dxa"/>
            <w:vAlign w:val="bottom"/>
          </w:tcPr>
          <w:p>
            <w:pPr>
              <w:spacing w:after="0"/>
              <w:rPr>
                <w:sz w:val="14"/>
                <w:szCs w:val="14"/>
                <w:color w:val="auto"/>
              </w:rPr>
            </w:pPr>
          </w:p>
        </w:tc>
        <w:tc>
          <w:tcPr>
            <w:tcW w:w="980" w:type="dxa"/>
            <w:vAlign w:val="bottom"/>
          </w:tcPr>
          <w:p>
            <w:pPr>
              <w:jc w:val="right"/>
              <w:ind w:right="63"/>
              <w:spacing w:after="0" w:line="165" w:lineRule="exact"/>
              <w:rPr>
                <w:sz w:val="20"/>
                <w:szCs w:val="20"/>
                <w:color w:val="auto"/>
              </w:rPr>
            </w:pPr>
            <w:r>
              <w:rPr>
                <w:rFonts w:ascii="Arial" w:cs="Arial" w:eastAsia="Arial" w:hAnsi="Arial"/>
                <w:sz w:val="16"/>
                <w:szCs w:val="16"/>
                <w:color w:val="auto"/>
              </w:rPr>
              <w:t>$1,500,000</w:t>
            </w:r>
          </w:p>
        </w:tc>
        <w:tc>
          <w:tcPr>
            <w:tcW w:w="820" w:type="dxa"/>
            <w:vAlign w:val="bottom"/>
          </w:tcPr>
          <w:p>
            <w:pPr>
              <w:jc w:val="right"/>
              <w:ind w:right="26"/>
              <w:spacing w:after="0" w:line="165" w:lineRule="exact"/>
              <w:rPr>
                <w:sz w:val="20"/>
                <w:szCs w:val="20"/>
                <w:color w:val="auto"/>
              </w:rPr>
            </w:pPr>
            <w:r>
              <w:rPr>
                <w:rFonts w:ascii="Arial" w:cs="Arial" w:eastAsia="Arial" w:hAnsi="Arial"/>
                <w:sz w:val="16"/>
                <w:szCs w:val="16"/>
                <w:color w:val="auto"/>
              </w:rPr>
              <w:t>49.89%</w:t>
            </w:r>
          </w:p>
        </w:tc>
        <w:tc>
          <w:tcPr>
            <w:tcW w:w="1020" w:type="dxa"/>
            <w:vAlign w:val="bottom"/>
          </w:tcPr>
          <w:p>
            <w:pPr>
              <w:jc w:val="right"/>
              <w:ind w:right="203"/>
              <w:spacing w:after="0" w:line="165" w:lineRule="exact"/>
              <w:rPr>
                <w:sz w:val="20"/>
                <w:szCs w:val="20"/>
                <w:color w:val="auto"/>
              </w:rPr>
            </w:pPr>
            <w:r>
              <w:rPr>
                <w:rFonts w:ascii="Arial" w:cs="Arial" w:eastAsia="Arial" w:hAnsi="Arial"/>
                <w:sz w:val="16"/>
                <w:szCs w:val="16"/>
                <w:color w:val="auto"/>
              </w:rPr>
              <w:t>$748,350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140" w:type="dxa"/>
            <w:vAlign w:val="bottom"/>
            <w:gridSpan w:val="2"/>
          </w:tcPr>
          <w:p>
            <w:pPr>
              <w:spacing w:after="0" w:line="182" w:lineRule="exact"/>
              <w:rPr>
                <w:sz w:val="20"/>
                <w:szCs w:val="20"/>
                <w:color w:val="auto"/>
              </w:rPr>
            </w:pPr>
            <w:r>
              <w:rPr>
                <w:rFonts w:ascii="Arial" w:cs="Arial" w:eastAsia="Arial" w:hAnsi="Arial"/>
                <w:sz w:val="16"/>
                <w:szCs w:val="16"/>
                <w:color w:val="auto"/>
              </w:rPr>
              <w:t>Liguori</w:t>
            </w:r>
          </w:p>
        </w:tc>
        <w:tc>
          <w:tcPr>
            <w:tcW w:w="980" w:type="dxa"/>
            <w:vAlign w:val="bottom"/>
          </w:tcPr>
          <w:p>
            <w:pPr>
              <w:jc w:val="right"/>
              <w:ind w:right="63"/>
              <w:spacing w:after="0" w:line="182" w:lineRule="exact"/>
              <w:rPr>
                <w:sz w:val="20"/>
                <w:szCs w:val="20"/>
                <w:color w:val="auto"/>
              </w:rPr>
            </w:pPr>
            <w:r>
              <w:rPr>
                <w:rFonts w:ascii="Arial" w:cs="Arial" w:eastAsia="Arial" w:hAnsi="Arial"/>
                <w:sz w:val="16"/>
                <w:szCs w:val="16"/>
                <w:color w:val="auto"/>
              </w:rPr>
              <w:t>$530,000</w:t>
            </w:r>
          </w:p>
        </w:tc>
        <w:tc>
          <w:tcPr>
            <w:tcW w:w="820" w:type="dxa"/>
            <w:vAlign w:val="bottom"/>
          </w:tcPr>
          <w:p>
            <w:pPr>
              <w:jc w:val="right"/>
              <w:ind w:right="26"/>
              <w:spacing w:after="0" w:line="182" w:lineRule="exact"/>
              <w:rPr>
                <w:sz w:val="20"/>
                <w:szCs w:val="20"/>
                <w:color w:val="auto"/>
              </w:rPr>
            </w:pPr>
            <w:r>
              <w:rPr>
                <w:rFonts w:ascii="Arial" w:cs="Arial" w:eastAsia="Arial" w:hAnsi="Arial"/>
                <w:sz w:val="16"/>
                <w:szCs w:val="16"/>
                <w:color w:val="auto"/>
              </w:rPr>
              <w:t>49.89%</w:t>
            </w:r>
          </w:p>
        </w:tc>
        <w:tc>
          <w:tcPr>
            <w:tcW w:w="1020" w:type="dxa"/>
            <w:vAlign w:val="bottom"/>
          </w:tcPr>
          <w:p>
            <w:pPr>
              <w:jc w:val="right"/>
              <w:ind w:right="203"/>
              <w:spacing w:after="0" w:line="182" w:lineRule="exact"/>
              <w:rPr>
                <w:sz w:val="20"/>
                <w:szCs w:val="20"/>
                <w:color w:val="auto"/>
              </w:rPr>
            </w:pPr>
            <w:r>
              <w:rPr>
                <w:rFonts w:ascii="Arial" w:cs="Arial" w:eastAsia="Arial" w:hAnsi="Arial"/>
                <w:sz w:val="16"/>
                <w:szCs w:val="16"/>
                <w:color w:val="auto"/>
              </w:rPr>
              <w:t>$264,417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40" w:type="dxa"/>
            <w:vAlign w:val="bottom"/>
            <w:gridSpan w:val="2"/>
          </w:tcPr>
          <w:p>
            <w:pPr>
              <w:spacing w:after="0" w:line="182" w:lineRule="exact"/>
              <w:rPr>
                <w:sz w:val="20"/>
                <w:szCs w:val="20"/>
                <w:color w:val="auto"/>
              </w:rPr>
            </w:pPr>
            <w:r>
              <w:rPr>
                <w:rFonts w:ascii="Arial" w:cs="Arial" w:eastAsia="Arial" w:hAnsi="Arial"/>
                <w:sz w:val="16"/>
                <w:szCs w:val="16"/>
                <w:color w:val="auto"/>
              </w:rPr>
              <w:t>Bartolotta</w:t>
            </w:r>
          </w:p>
        </w:tc>
        <w:tc>
          <w:tcPr>
            <w:tcW w:w="980" w:type="dxa"/>
            <w:vAlign w:val="bottom"/>
          </w:tcPr>
          <w:p>
            <w:pPr>
              <w:jc w:val="right"/>
              <w:ind w:right="63"/>
              <w:spacing w:after="0" w:line="182" w:lineRule="exact"/>
              <w:rPr>
                <w:sz w:val="20"/>
                <w:szCs w:val="20"/>
                <w:color w:val="auto"/>
              </w:rPr>
            </w:pPr>
            <w:r>
              <w:rPr>
                <w:rFonts w:ascii="Arial" w:cs="Arial" w:eastAsia="Arial" w:hAnsi="Arial"/>
                <w:sz w:val="16"/>
                <w:szCs w:val="16"/>
                <w:color w:val="auto"/>
              </w:rPr>
              <w:t>$550,000</w:t>
            </w:r>
          </w:p>
        </w:tc>
        <w:tc>
          <w:tcPr>
            <w:tcW w:w="820" w:type="dxa"/>
            <w:vAlign w:val="bottom"/>
          </w:tcPr>
          <w:p>
            <w:pPr>
              <w:jc w:val="right"/>
              <w:ind w:right="26"/>
              <w:spacing w:after="0" w:line="182" w:lineRule="exact"/>
              <w:rPr>
                <w:sz w:val="20"/>
                <w:szCs w:val="20"/>
                <w:color w:val="auto"/>
              </w:rPr>
            </w:pPr>
            <w:r>
              <w:rPr>
                <w:rFonts w:ascii="Arial" w:cs="Arial" w:eastAsia="Arial" w:hAnsi="Arial"/>
                <w:sz w:val="16"/>
                <w:szCs w:val="16"/>
                <w:color w:val="auto"/>
              </w:rPr>
              <w:t>49.89%</w:t>
            </w:r>
          </w:p>
        </w:tc>
        <w:tc>
          <w:tcPr>
            <w:tcW w:w="1020" w:type="dxa"/>
            <w:vAlign w:val="bottom"/>
          </w:tcPr>
          <w:p>
            <w:pPr>
              <w:jc w:val="right"/>
              <w:ind w:right="203"/>
              <w:spacing w:after="0" w:line="182" w:lineRule="exact"/>
              <w:rPr>
                <w:sz w:val="20"/>
                <w:szCs w:val="20"/>
                <w:color w:val="auto"/>
              </w:rPr>
            </w:pPr>
            <w:r>
              <w:rPr>
                <w:rFonts w:ascii="Arial" w:cs="Arial" w:eastAsia="Arial" w:hAnsi="Arial"/>
                <w:sz w:val="16"/>
                <w:szCs w:val="16"/>
                <w:color w:val="auto"/>
              </w:rPr>
              <w:t>$274,395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40" w:type="dxa"/>
            <w:vAlign w:val="bottom"/>
            <w:gridSpan w:val="2"/>
          </w:tcPr>
          <w:p>
            <w:pPr>
              <w:spacing w:after="0" w:line="182" w:lineRule="exact"/>
              <w:rPr>
                <w:sz w:val="20"/>
                <w:szCs w:val="20"/>
                <w:color w:val="auto"/>
              </w:rPr>
            </w:pPr>
            <w:r>
              <w:rPr>
                <w:rFonts w:ascii="Arial" w:cs="Arial" w:eastAsia="Arial" w:hAnsi="Arial"/>
                <w:sz w:val="16"/>
                <w:szCs w:val="16"/>
                <w:color w:val="auto"/>
              </w:rPr>
              <w:t>Gallagher</w:t>
            </w:r>
          </w:p>
        </w:tc>
        <w:tc>
          <w:tcPr>
            <w:tcW w:w="980" w:type="dxa"/>
            <w:vAlign w:val="bottom"/>
          </w:tcPr>
          <w:p>
            <w:pPr>
              <w:jc w:val="right"/>
              <w:ind w:right="63"/>
              <w:spacing w:after="0" w:line="182" w:lineRule="exact"/>
              <w:rPr>
                <w:sz w:val="20"/>
                <w:szCs w:val="20"/>
                <w:color w:val="auto"/>
              </w:rPr>
            </w:pPr>
            <w:r>
              <w:rPr>
                <w:rFonts w:ascii="Arial" w:cs="Arial" w:eastAsia="Arial" w:hAnsi="Arial"/>
                <w:sz w:val="16"/>
                <w:szCs w:val="16"/>
                <w:color w:val="auto"/>
              </w:rPr>
              <w:t>$565,000</w:t>
            </w:r>
          </w:p>
        </w:tc>
        <w:tc>
          <w:tcPr>
            <w:tcW w:w="820" w:type="dxa"/>
            <w:vAlign w:val="bottom"/>
          </w:tcPr>
          <w:p>
            <w:pPr>
              <w:jc w:val="right"/>
              <w:ind w:right="26"/>
              <w:spacing w:after="0" w:line="182" w:lineRule="exact"/>
              <w:rPr>
                <w:sz w:val="20"/>
                <w:szCs w:val="20"/>
                <w:color w:val="auto"/>
              </w:rPr>
            </w:pPr>
            <w:r>
              <w:rPr>
                <w:rFonts w:ascii="Arial" w:cs="Arial" w:eastAsia="Arial" w:hAnsi="Arial"/>
                <w:sz w:val="16"/>
                <w:szCs w:val="16"/>
                <w:color w:val="auto"/>
              </w:rPr>
              <w:t>49.89%</w:t>
            </w:r>
          </w:p>
        </w:tc>
        <w:tc>
          <w:tcPr>
            <w:tcW w:w="1020" w:type="dxa"/>
            <w:vAlign w:val="bottom"/>
          </w:tcPr>
          <w:p>
            <w:pPr>
              <w:jc w:val="right"/>
              <w:ind w:right="203"/>
              <w:spacing w:after="0" w:line="182" w:lineRule="exact"/>
              <w:rPr>
                <w:sz w:val="20"/>
                <w:szCs w:val="20"/>
                <w:color w:val="auto"/>
              </w:rPr>
            </w:pPr>
            <w:r>
              <w:rPr>
                <w:rFonts w:ascii="Arial" w:cs="Arial" w:eastAsia="Arial" w:hAnsi="Arial"/>
                <w:sz w:val="16"/>
                <w:szCs w:val="16"/>
                <w:color w:val="auto"/>
              </w:rPr>
              <w:t>$281,879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140" w:type="dxa"/>
            <w:vAlign w:val="bottom"/>
            <w:gridSpan w:val="2"/>
          </w:tcPr>
          <w:p>
            <w:pPr>
              <w:spacing w:after="0"/>
              <w:rPr>
                <w:sz w:val="20"/>
                <w:szCs w:val="20"/>
                <w:color w:val="auto"/>
              </w:rPr>
            </w:pPr>
            <w:r>
              <w:rPr>
                <w:rFonts w:ascii="Arial" w:cs="Arial" w:eastAsia="Arial" w:hAnsi="Arial"/>
                <w:sz w:val="16"/>
                <w:szCs w:val="16"/>
                <w:color w:val="auto"/>
              </w:rPr>
              <w:t>Miller</w:t>
            </w:r>
          </w:p>
        </w:tc>
        <w:tc>
          <w:tcPr>
            <w:tcW w:w="980" w:type="dxa"/>
            <w:vAlign w:val="bottom"/>
          </w:tcPr>
          <w:p>
            <w:pPr>
              <w:jc w:val="right"/>
              <w:ind w:right="63"/>
              <w:spacing w:after="0"/>
              <w:rPr>
                <w:sz w:val="20"/>
                <w:szCs w:val="20"/>
                <w:color w:val="auto"/>
              </w:rPr>
            </w:pPr>
            <w:r>
              <w:rPr>
                <w:rFonts w:ascii="Arial" w:cs="Arial" w:eastAsia="Arial" w:hAnsi="Arial"/>
                <w:sz w:val="16"/>
                <w:szCs w:val="16"/>
                <w:color w:val="auto"/>
              </w:rPr>
              <w:t>$410,000</w:t>
            </w:r>
          </w:p>
        </w:tc>
        <w:tc>
          <w:tcPr>
            <w:tcW w:w="820" w:type="dxa"/>
            <w:vAlign w:val="bottom"/>
          </w:tcPr>
          <w:p>
            <w:pPr>
              <w:jc w:val="right"/>
              <w:ind w:right="26"/>
              <w:spacing w:after="0"/>
              <w:rPr>
                <w:sz w:val="20"/>
                <w:szCs w:val="20"/>
                <w:color w:val="auto"/>
              </w:rPr>
            </w:pPr>
            <w:r>
              <w:rPr>
                <w:rFonts w:ascii="Arial" w:cs="Arial" w:eastAsia="Arial" w:hAnsi="Arial"/>
                <w:sz w:val="16"/>
                <w:szCs w:val="16"/>
                <w:color w:val="auto"/>
              </w:rPr>
              <w:t>49.89%</w:t>
            </w:r>
          </w:p>
        </w:tc>
        <w:tc>
          <w:tcPr>
            <w:tcW w:w="1020" w:type="dxa"/>
            <w:vAlign w:val="bottom"/>
          </w:tcPr>
          <w:p>
            <w:pPr>
              <w:jc w:val="right"/>
              <w:ind w:right="203"/>
              <w:spacing w:after="0"/>
              <w:rPr>
                <w:sz w:val="20"/>
                <w:szCs w:val="20"/>
                <w:color w:val="auto"/>
              </w:rPr>
            </w:pPr>
            <w:r>
              <w:rPr>
                <w:rFonts w:ascii="Arial" w:cs="Arial" w:eastAsia="Arial" w:hAnsi="Arial"/>
                <w:sz w:val="16"/>
                <w:szCs w:val="16"/>
                <w:color w:val="auto"/>
              </w:rPr>
              <w:t>$204,549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1140" w:type="dxa"/>
            <w:vAlign w:val="bottom"/>
            <w:gridSpan w:val="2"/>
          </w:tcPr>
          <w:p>
            <w:pPr>
              <w:spacing w:after="0"/>
              <w:rPr>
                <w:sz w:val="20"/>
                <w:szCs w:val="20"/>
                <w:color w:val="auto"/>
              </w:rPr>
            </w:pPr>
            <w:r>
              <w:rPr>
                <w:rFonts w:ascii="Arial" w:cs="Arial" w:eastAsia="Arial" w:hAnsi="Arial"/>
                <w:sz w:val="16"/>
                <w:szCs w:val="16"/>
                <w:color w:val="auto"/>
              </w:rPr>
              <w:t>O'Neill</w:t>
            </w:r>
            <w:r>
              <w:rPr>
                <w:rFonts w:ascii="Arial" w:cs="Arial" w:eastAsia="Arial" w:hAnsi="Arial"/>
                <w:sz w:val="26"/>
                <w:szCs w:val="26"/>
                <w:color w:val="auto"/>
                <w:vertAlign w:val="superscript"/>
              </w:rPr>
              <w:t>(2)</w:t>
            </w:r>
          </w:p>
        </w:tc>
        <w:tc>
          <w:tcPr>
            <w:tcW w:w="980" w:type="dxa"/>
            <w:vAlign w:val="bottom"/>
          </w:tcPr>
          <w:p>
            <w:pPr>
              <w:jc w:val="right"/>
              <w:ind w:right="63"/>
              <w:spacing w:after="0"/>
              <w:rPr>
                <w:sz w:val="20"/>
                <w:szCs w:val="20"/>
                <w:color w:val="auto"/>
              </w:rPr>
            </w:pPr>
            <w:r>
              <w:rPr>
                <w:rFonts w:ascii="Arial" w:cs="Arial" w:eastAsia="Arial" w:hAnsi="Arial"/>
                <w:sz w:val="16"/>
                <w:szCs w:val="16"/>
                <w:color w:val="auto"/>
              </w:rPr>
              <w:t>$315,385</w:t>
            </w:r>
          </w:p>
        </w:tc>
        <w:tc>
          <w:tcPr>
            <w:tcW w:w="820" w:type="dxa"/>
            <w:vAlign w:val="bottom"/>
          </w:tcPr>
          <w:p>
            <w:pPr>
              <w:jc w:val="right"/>
              <w:ind w:right="26"/>
              <w:spacing w:after="0"/>
              <w:rPr>
                <w:sz w:val="20"/>
                <w:szCs w:val="20"/>
                <w:color w:val="auto"/>
              </w:rPr>
            </w:pPr>
            <w:r>
              <w:rPr>
                <w:rFonts w:ascii="Arial" w:cs="Arial" w:eastAsia="Arial" w:hAnsi="Arial"/>
                <w:sz w:val="16"/>
                <w:szCs w:val="16"/>
                <w:color w:val="auto"/>
              </w:rPr>
              <w:t>49.89%</w:t>
            </w:r>
          </w:p>
        </w:tc>
        <w:tc>
          <w:tcPr>
            <w:tcW w:w="1020" w:type="dxa"/>
            <w:vAlign w:val="bottom"/>
          </w:tcPr>
          <w:p>
            <w:pPr>
              <w:jc w:val="right"/>
              <w:ind w:right="203"/>
              <w:spacing w:after="0"/>
              <w:rPr>
                <w:sz w:val="20"/>
                <w:szCs w:val="20"/>
                <w:color w:val="auto"/>
              </w:rPr>
            </w:pPr>
            <w:r>
              <w:rPr>
                <w:rFonts w:ascii="Arial" w:cs="Arial" w:eastAsia="Arial" w:hAnsi="Arial"/>
                <w:sz w:val="16"/>
                <w:szCs w:val="16"/>
                <w:color w:val="auto"/>
              </w:rPr>
              <w:t>$157,345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-794385</wp:posOffset>
            </wp:positionV>
            <wp:extent cx="5265420" cy="7397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265420" cy="739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FFFFFE"/>
        </w:rPr>
        <w:t>Discretionary Modifier</w:t>
      </w:r>
      <w:r>
        <w:rPr>
          <w:rFonts w:ascii="Arial" w:cs="Arial" w:eastAsia="Arial" w:hAnsi="Arial"/>
          <w:sz w:val="19"/>
          <w:szCs w:val="19"/>
          <w:b w:val="1"/>
          <w:bCs w:val="1"/>
          <w:color w:val="FFFFFE"/>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-20955</wp:posOffset>
            </wp:positionV>
            <wp:extent cx="1487805" cy="1924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487805" cy="192405"/>
                    </a:xfrm>
                    <a:prstGeom prst="rect">
                      <a:avLst/>
                    </a:prstGeom>
                    <a:noFill/>
                  </pic:spPr>
                </pic:pic>
              </a:graphicData>
            </a:graphic>
          </wp:anchor>
        </w:drawing>
      </w:r>
    </w:p>
    <w:p>
      <w:pPr>
        <w:spacing w:after="0" w:line="90" w:lineRule="exact"/>
        <w:rPr>
          <w:sz w:val="20"/>
          <w:szCs w:val="20"/>
          <w:color w:val="auto"/>
        </w:rPr>
      </w:pPr>
    </w:p>
    <w:p>
      <w:pPr>
        <w:spacing w:after="0"/>
        <w:tabs>
          <w:tab w:leader="none" w:pos="1320" w:val="left"/>
        </w:tabs>
        <w:rPr>
          <w:sz w:val="20"/>
          <w:szCs w:val="20"/>
          <w:color w:val="auto"/>
        </w:rPr>
      </w:pPr>
      <w:r>
        <w:rPr>
          <w:rFonts w:ascii="Arial" w:cs="Arial" w:eastAsia="Arial" w:hAnsi="Arial"/>
          <w:sz w:val="13"/>
          <w:szCs w:val="13"/>
          <w:b w:val="1"/>
          <w:bCs w:val="1"/>
          <w:color w:val="FFFFFE"/>
        </w:rPr>
        <w:t>% of Adjustment</w:t>
      </w:r>
      <w:r>
        <w:rPr>
          <w:sz w:val="20"/>
          <w:szCs w:val="20"/>
          <w:color w:val="auto"/>
        </w:rPr>
        <w:tab/>
      </w:r>
      <w:r>
        <w:rPr>
          <w:rFonts w:ascii="Arial" w:cs="Arial" w:eastAsia="Arial" w:hAnsi="Arial"/>
          <w:sz w:val="12"/>
          <w:szCs w:val="12"/>
          <w:b w:val="1"/>
          <w:bCs w:val="1"/>
          <w:color w:val="FFFFFE"/>
        </w:rPr>
        <w:t>$ Actual</w:t>
      </w:r>
    </w:p>
    <w:p>
      <w:pPr>
        <w:spacing w:after="0" w:line="11" w:lineRule="exact"/>
        <w:rPr>
          <w:sz w:val="20"/>
          <w:szCs w:val="20"/>
          <w:color w:val="auto"/>
        </w:rPr>
      </w:pPr>
    </w:p>
    <w:p>
      <w:pPr>
        <w:ind w:left="800"/>
        <w:spacing w:after="0"/>
        <w:tabs>
          <w:tab w:leader="none" w:pos="1640" w:val="left"/>
        </w:tabs>
        <w:rPr>
          <w:sz w:val="20"/>
          <w:szCs w:val="20"/>
          <w:color w:val="auto"/>
        </w:rPr>
      </w:pPr>
      <w:r>
        <w:rPr>
          <w:rFonts w:ascii="Arial" w:cs="Arial" w:eastAsia="Arial" w:hAnsi="Arial"/>
          <w:sz w:val="16"/>
          <w:szCs w:val="16"/>
          <w:color w:val="auto"/>
        </w:rPr>
        <w:t>0%</w:t>
      </w:r>
      <w:r>
        <w:rPr>
          <w:sz w:val="20"/>
          <w:szCs w:val="20"/>
          <w:color w:val="auto"/>
        </w:rPr>
        <w:tab/>
      </w:r>
      <w:r>
        <w:rPr>
          <w:rFonts w:ascii="Arial" w:cs="Arial" w:eastAsia="Arial" w:hAnsi="Arial"/>
          <w:sz w:val="16"/>
          <w:szCs w:val="16"/>
          <w:color w:val="auto"/>
        </w:rPr>
        <w:t>$0</w:t>
      </w:r>
    </w:p>
    <w:p>
      <w:pPr>
        <w:ind w:left="700"/>
        <w:spacing w:after="0"/>
        <w:tabs>
          <w:tab w:leader="none" w:pos="1260" w:val="left"/>
        </w:tabs>
        <w:rPr>
          <w:sz w:val="20"/>
          <w:szCs w:val="20"/>
          <w:color w:val="auto"/>
        </w:rPr>
      </w:pPr>
      <w:r>
        <w:rPr>
          <w:rFonts w:ascii="Arial" w:cs="Arial" w:eastAsia="Arial" w:hAnsi="Arial"/>
          <w:sz w:val="15"/>
          <w:szCs w:val="15"/>
          <w:color w:val="auto"/>
        </w:rPr>
        <w:t>10%</w:t>
      </w:r>
      <w:r>
        <w:rPr>
          <w:sz w:val="20"/>
          <w:szCs w:val="20"/>
          <w:color w:val="auto"/>
        </w:rPr>
        <w:tab/>
      </w:r>
      <w:r>
        <w:rPr>
          <w:rFonts w:ascii="Arial" w:cs="Arial" w:eastAsia="Arial" w:hAnsi="Arial"/>
          <w:sz w:val="15"/>
          <w:szCs w:val="15"/>
          <w:color w:val="auto"/>
        </w:rPr>
        <w:t>$53,000</w:t>
      </w:r>
    </w:p>
    <w:p>
      <w:pPr>
        <w:spacing w:after="0" w:line="8" w:lineRule="exact"/>
        <w:rPr>
          <w:sz w:val="20"/>
          <w:szCs w:val="20"/>
          <w:color w:val="auto"/>
        </w:rPr>
      </w:pPr>
    </w:p>
    <w:p>
      <w:pPr>
        <w:ind w:left="800"/>
        <w:spacing w:after="0"/>
        <w:tabs>
          <w:tab w:leader="none" w:pos="1640" w:val="left"/>
        </w:tabs>
        <w:rPr>
          <w:sz w:val="20"/>
          <w:szCs w:val="20"/>
          <w:color w:val="auto"/>
        </w:rPr>
      </w:pPr>
      <w:r>
        <w:rPr>
          <w:rFonts w:ascii="Arial" w:cs="Arial" w:eastAsia="Arial" w:hAnsi="Arial"/>
          <w:sz w:val="16"/>
          <w:szCs w:val="16"/>
          <w:color w:val="auto"/>
        </w:rPr>
        <w:t>0%</w:t>
      </w:r>
      <w:r>
        <w:rPr>
          <w:sz w:val="20"/>
          <w:szCs w:val="20"/>
          <w:color w:val="auto"/>
        </w:rPr>
        <w:tab/>
      </w:r>
      <w:r>
        <w:rPr>
          <w:rFonts w:ascii="Arial" w:cs="Arial" w:eastAsia="Arial" w:hAnsi="Arial"/>
          <w:sz w:val="16"/>
          <w:szCs w:val="16"/>
          <w:color w:val="auto"/>
        </w:rPr>
        <w:t>$0</w:t>
      </w:r>
    </w:p>
    <w:p>
      <w:pPr>
        <w:ind w:left="700"/>
        <w:spacing w:after="0"/>
        <w:tabs>
          <w:tab w:leader="none" w:pos="1260" w:val="left"/>
        </w:tabs>
        <w:rPr>
          <w:sz w:val="20"/>
          <w:szCs w:val="20"/>
          <w:color w:val="auto"/>
        </w:rPr>
      </w:pPr>
      <w:r>
        <w:rPr>
          <w:rFonts w:ascii="Arial" w:cs="Arial" w:eastAsia="Arial" w:hAnsi="Arial"/>
          <w:sz w:val="15"/>
          <w:szCs w:val="15"/>
          <w:color w:val="auto"/>
        </w:rPr>
        <w:t>10%</w:t>
      </w:r>
      <w:r>
        <w:rPr>
          <w:sz w:val="20"/>
          <w:szCs w:val="20"/>
          <w:color w:val="auto"/>
        </w:rPr>
        <w:tab/>
      </w:r>
      <w:r>
        <w:rPr>
          <w:rFonts w:ascii="Arial" w:cs="Arial" w:eastAsia="Arial" w:hAnsi="Arial"/>
          <w:sz w:val="15"/>
          <w:szCs w:val="15"/>
          <w:color w:val="auto"/>
        </w:rPr>
        <w:t>$56,500</w:t>
      </w:r>
    </w:p>
    <w:p>
      <w:pPr>
        <w:spacing w:after="0" w:line="10" w:lineRule="exact"/>
        <w:rPr>
          <w:sz w:val="20"/>
          <w:szCs w:val="20"/>
          <w:color w:val="auto"/>
        </w:rPr>
      </w:pPr>
    </w:p>
    <w:p>
      <w:pPr>
        <w:ind w:left="800"/>
        <w:spacing w:after="0"/>
        <w:tabs>
          <w:tab w:leader="none" w:pos="1640" w:val="left"/>
        </w:tabs>
        <w:rPr>
          <w:sz w:val="20"/>
          <w:szCs w:val="20"/>
          <w:color w:val="auto"/>
        </w:rPr>
      </w:pPr>
      <w:r>
        <w:rPr>
          <w:rFonts w:ascii="Arial" w:cs="Arial" w:eastAsia="Arial" w:hAnsi="Arial"/>
          <w:sz w:val="16"/>
          <w:szCs w:val="16"/>
          <w:color w:val="auto"/>
        </w:rPr>
        <w:t>0%</w:t>
      </w:r>
      <w:r>
        <w:rPr>
          <w:sz w:val="20"/>
          <w:szCs w:val="20"/>
          <w:color w:val="auto"/>
        </w:rPr>
        <w:tab/>
      </w:r>
      <w:r>
        <w:rPr>
          <w:rFonts w:ascii="Arial" w:cs="Arial" w:eastAsia="Arial" w:hAnsi="Arial"/>
          <w:sz w:val="16"/>
          <w:szCs w:val="16"/>
          <w:color w:val="auto"/>
        </w:rPr>
        <w:t>$0</w:t>
      </w:r>
    </w:p>
    <w:p>
      <w:pPr>
        <w:spacing w:after="0" w:line="15" w:lineRule="exact"/>
        <w:rPr>
          <w:sz w:val="20"/>
          <w:szCs w:val="20"/>
          <w:color w:val="auto"/>
        </w:rPr>
      </w:pPr>
    </w:p>
    <w:p>
      <w:pPr>
        <w:ind w:left="800"/>
        <w:spacing w:after="0"/>
        <w:tabs>
          <w:tab w:leader="none" w:pos="1640" w:val="left"/>
        </w:tabs>
        <w:rPr>
          <w:sz w:val="20"/>
          <w:szCs w:val="20"/>
          <w:color w:val="auto"/>
        </w:rPr>
      </w:pPr>
      <w:r>
        <w:rPr>
          <w:rFonts w:ascii="Arial" w:cs="Arial" w:eastAsia="Arial" w:hAnsi="Arial"/>
          <w:sz w:val="16"/>
          <w:szCs w:val="16"/>
          <w:color w:val="auto"/>
        </w:rPr>
        <w:t>0%</w:t>
      </w:r>
      <w:r>
        <w:rPr>
          <w:sz w:val="20"/>
          <w:szCs w:val="20"/>
          <w:color w:val="auto"/>
        </w:rPr>
        <w:tab/>
      </w:r>
      <w:r>
        <w:rPr>
          <w:rFonts w:ascii="Arial" w:cs="Arial" w:eastAsia="Arial" w:hAnsi="Arial"/>
          <w:sz w:val="16"/>
          <w:szCs w:val="16"/>
          <w:color w:val="auto"/>
        </w:rPr>
        <w:t>$0</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right"/>
        <w:ind w:right="1620"/>
        <w:spacing w:after="0"/>
        <w:rPr>
          <w:sz w:val="20"/>
          <w:szCs w:val="20"/>
          <w:color w:val="auto"/>
        </w:rPr>
      </w:pPr>
      <w:r>
        <w:rPr>
          <w:rFonts w:ascii="Arial" w:cs="Arial" w:eastAsia="Arial" w:hAnsi="Arial"/>
          <w:sz w:val="13"/>
          <w:szCs w:val="13"/>
          <w:b w:val="1"/>
          <w:bCs w:val="1"/>
          <w:color w:val="FFFFFE"/>
        </w:rPr>
        <w:t>Total Incentive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6350</wp:posOffset>
            </wp:positionV>
            <wp:extent cx="107950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079500" cy="7620"/>
                    </a:xfrm>
                    <a:prstGeom prst="rect">
                      <a:avLst/>
                    </a:prstGeom>
                    <a:noFill/>
                  </pic:spPr>
                </pic:pic>
              </a:graphicData>
            </a:graphic>
          </wp:anchor>
        </w:drawing>
      </w:r>
    </w:p>
    <w:p>
      <w:pPr>
        <w:spacing w:after="0"/>
        <w:tabs>
          <w:tab w:leader="none" w:pos="1320" w:val="left"/>
        </w:tabs>
        <w:rPr>
          <w:sz w:val="20"/>
          <w:szCs w:val="20"/>
          <w:color w:val="auto"/>
        </w:rPr>
      </w:pPr>
      <w:r>
        <w:rPr>
          <w:sz w:val="1"/>
          <w:szCs w:val="1"/>
          <w:color w:val="auto"/>
        </w:rPr>
        <w:drawing>
          <wp:inline distT="0" distB="0" distL="0" distR="0">
            <wp:extent cx="92710" cy="180975"/>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2710" cy="180975"/>
                    </a:xfrm>
                    <a:prstGeom prst="rect">
                      <a:avLst/>
                    </a:prstGeom>
                    <a:noFill/>
                    <a:ln>
                      <a:noFill/>
                    </a:ln>
                  </pic:spPr>
                </pic:pic>
              </a:graphicData>
            </a:graphic>
          </wp:inline>
        </w:drawing>
      </w:r>
      <w:r>
        <w:rPr>
          <w:rFonts w:ascii="Arial" w:cs="Arial" w:eastAsia="Arial" w:hAnsi="Arial"/>
          <w:sz w:val="13"/>
          <w:szCs w:val="13"/>
          <w:b w:val="1"/>
          <w:bCs w:val="1"/>
          <w:color w:val="FFFFFE"/>
        </w:rPr>
        <w:t xml:space="preserve"> % of Target</w:t>
      </w:r>
      <w:r>
        <w:rPr>
          <w:sz w:val="20"/>
          <w:szCs w:val="20"/>
          <w:color w:val="auto"/>
        </w:rPr>
        <w:tab/>
      </w:r>
      <w:r>
        <w:rPr>
          <w:rFonts w:ascii="Arial" w:cs="Arial" w:eastAsia="Arial" w:hAnsi="Arial"/>
          <w:sz w:val="12"/>
          <w:szCs w:val="12"/>
          <w:b w:val="1"/>
          <w:bCs w:val="1"/>
          <w:color w:val="FFFFFE"/>
        </w:rPr>
        <w:t>$ Actual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-184150</wp:posOffset>
            </wp:positionV>
            <wp:extent cx="1079500" cy="1847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079500" cy="184785"/>
                    </a:xfrm>
                    <a:prstGeom prst="rect">
                      <a:avLst/>
                    </a:prstGeom>
                    <a:noFill/>
                  </pic:spPr>
                </pic:pic>
              </a:graphicData>
            </a:graphic>
          </wp:anchor>
        </w:drawing>
      </w:r>
    </w:p>
    <w:p>
      <w:pPr>
        <w:ind w:left="340"/>
        <w:spacing w:after="0"/>
        <w:tabs>
          <w:tab w:leader="none" w:pos="1160" w:val="left"/>
        </w:tabs>
        <w:rPr>
          <w:sz w:val="20"/>
          <w:szCs w:val="20"/>
          <w:color w:val="auto"/>
        </w:rPr>
      </w:pPr>
      <w:r>
        <w:rPr>
          <w:rFonts w:ascii="Arial" w:cs="Arial" w:eastAsia="Arial" w:hAnsi="Arial"/>
          <w:sz w:val="16"/>
          <w:szCs w:val="16"/>
          <w:color w:val="auto"/>
        </w:rPr>
        <w:t>49.89%</w:t>
      </w:r>
      <w:r>
        <w:rPr>
          <w:sz w:val="20"/>
          <w:szCs w:val="20"/>
          <w:color w:val="auto"/>
        </w:rPr>
        <w:tab/>
      </w:r>
      <w:r>
        <w:rPr>
          <w:rFonts w:ascii="Arial" w:cs="Arial" w:eastAsia="Arial" w:hAnsi="Arial"/>
          <w:sz w:val="15"/>
          <w:szCs w:val="15"/>
          <w:color w:val="auto"/>
        </w:rPr>
        <w:t>$748,350</w:t>
      </w:r>
    </w:p>
    <w:p>
      <w:pPr>
        <w:ind w:left="340"/>
        <w:spacing w:after="0"/>
        <w:tabs>
          <w:tab w:leader="none" w:pos="1160" w:val="left"/>
        </w:tabs>
        <w:rPr>
          <w:sz w:val="20"/>
          <w:szCs w:val="20"/>
          <w:color w:val="auto"/>
        </w:rPr>
      </w:pPr>
      <w:r>
        <w:rPr>
          <w:rFonts w:ascii="Arial" w:cs="Arial" w:eastAsia="Arial" w:hAnsi="Arial"/>
          <w:sz w:val="16"/>
          <w:szCs w:val="16"/>
          <w:color w:val="auto"/>
        </w:rPr>
        <w:t>59.89%</w:t>
      </w:r>
      <w:r>
        <w:rPr>
          <w:sz w:val="20"/>
          <w:szCs w:val="20"/>
          <w:color w:val="auto"/>
        </w:rPr>
        <w:tab/>
      </w:r>
      <w:r>
        <w:rPr>
          <w:rFonts w:ascii="Arial" w:cs="Arial" w:eastAsia="Arial" w:hAnsi="Arial"/>
          <w:sz w:val="15"/>
          <w:szCs w:val="15"/>
          <w:color w:val="auto"/>
        </w:rPr>
        <w:t>$317,417</w:t>
      </w:r>
    </w:p>
    <w:p>
      <w:pPr>
        <w:ind w:left="340"/>
        <w:spacing w:after="0"/>
        <w:tabs>
          <w:tab w:leader="none" w:pos="1160" w:val="left"/>
        </w:tabs>
        <w:rPr>
          <w:sz w:val="20"/>
          <w:szCs w:val="20"/>
          <w:color w:val="auto"/>
        </w:rPr>
      </w:pPr>
      <w:r>
        <w:rPr>
          <w:rFonts w:ascii="Arial" w:cs="Arial" w:eastAsia="Arial" w:hAnsi="Arial"/>
          <w:sz w:val="16"/>
          <w:szCs w:val="16"/>
          <w:color w:val="auto"/>
        </w:rPr>
        <w:t>49.89%</w:t>
      </w:r>
      <w:r>
        <w:rPr>
          <w:sz w:val="20"/>
          <w:szCs w:val="20"/>
          <w:color w:val="auto"/>
        </w:rPr>
        <w:tab/>
      </w:r>
      <w:r>
        <w:rPr>
          <w:rFonts w:ascii="Arial" w:cs="Arial" w:eastAsia="Arial" w:hAnsi="Arial"/>
          <w:sz w:val="15"/>
          <w:szCs w:val="15"/>
          <w:color w:val="auto"/>
        </w:rPr>
        <w:t>$274,395</w:t>
      </w:r>
    </w:p>
    <w:p>
      <w:pPr>
        <w:ind w:left="340"/>
        <w:spacing w:after="0"/>
        <w:tabs>
          <w:tab w:leader="none" w:pos="1160" w:val="left"/>
        </w:tabs>
        <w:rPr>
          <w:sz w:val="20"/>
          <w:szCs w:val="20"/>
          <w:color w:val="auto"/>
        </w:rPr>
      </w:pPr>
      <w:r>
        <w:rPr>
          <w:rFonts w:ascii="Arial" w:cs="Arial" w:eastAsia="Arial" w:hAnsi="Arial"/>
          <w:sz w:val="16"/>
          <w:szCs w:val="16"/>
          <w:color w:val="auto"/>
        </w:rPr>
        <w:t>59.89%</w:t>
      </w:r>
      <w:r>
        <w:rPr>
          <w:sz w:val="20"/>
          <w:szCs w:val="20"/>
          <w:color w:val="auto"/>
        </w:rPr>
        <w:tab/>
      </w:r>
      <w:r>
        <w:rPr>
          <w:rFonts w:ascii="Arial" w:cs="Arial" w:eastAsia="Arial" w:hAnsi="Arial"/>
          <w:sz w:val="15"/>
          <w:szCs w:val="15"/>
          <w:color w:val="auto"/>
        </w:rPr>
        <w:t>$338,379</w:t>
      </w:r>
    </w:p>
    <w:p>
      <w:pPr>
        <w:ind w:left="340"/>
        <w:spacing w:after="0"/>
        <w:tabs>
          <w:tab w:leader="none" w:pos="1160" w:val="left"/>
        </w:tabs>
        <w:rPr>
          <w:sz w:val="20"/>
          <w:szCs w:val="20"/>
          <w:color w:val="auto"/>
        </w:rPr>
      </w:pPr>
      <w:r>
        <w:rPr>
          <w:rFonts w:ascii="Arial" w:cs="Arial" w:eastAsia="Arial" w:hAnsi="Arial"/>
          <w:sz w:val="16"/>
          <w:szCs w:val="16"/>
          <w:color w:val="auto"/>
        </w:rPr>
        <w:t>49.89%</w:t>
      </w:r>
      <w:r>
        <w:rPr>
          <w:sz w:val="20"/>
          <w:szCs w:val="20"/>
          <w:color w:val="auto"/>
        </w:rPr>
        <w:tab/>
      </w:r>
      <w:r>
        <w:rPr>
          <w:rFonts w:ascii="Arial" w:cs="Arial" w:eastAsia="Arial" w:hAnsi="Arial"/>
          <w:sz w:val="15"/>
          <w:szCs w:val="15"/>
          <w:color w:val="auto"/>
        </w:rPr>
        <w:t>$204,549</w:t>
      </w:r>
    </w:p>
    <w:p>
      <w:pPr>
        <w:spacing w:after="0" w:line="15" w:lineRule="exact"/>
        <w:rPr>
          <w:sz w:val="20"/>
          <w:szCs w:val="20"/>
          <w:color w:val="auto"/>
        </w:rPr>
      </w:pPr>
    </w:p>
    <w:p>
      <w:pPr>
        <w:ind w:left="340"/>
        <w:spacing w:after="0"/>
        <w:tabs>
          <w:tab w:leader="none" w:pos="1160" w:val="left"/>
        </w:tabs>
        <w:rPr>
          <w:sz w:val="20"/>
          <w:szCs w:val="20"/>
          <w:color w:val="auto"/>
        </w:rPr>
      </w:pPr>
      <w:r>
        <w:rPr>
          <w:rFonts w:ascii="Arial" w:cs="Arial" w:eastAsia="Arial" w:hAnsi="Arial"/>
          <w:sz w:val="16"/>
          <w:szCs w:val="16"/>
          <w:color w:val="auto"/>
        </w:rPr>
        <w:t>49.89%</w:t>
      </w:r>
      <w:r>
        <w:rPr>
          <w:sz w:val="20"/>
          <w:szCs w:val="20"/>
          <w:color w:val="auto"/>
        </w:rPr>
        <w:tab/>
      </w:r>
      <w:r>
        <w:rPr>
          <w:rFonts w:ascii="Arial" w:cs="Arial" w:eastAsia="Arial" w:hAnsi="Arial"/>
          <w:sz w:val="15"/>
          <w:szCs w:val="15"/>
          <w:color w:val="auto"/>
        </w:rPr>
        <w:t>$157,345</w:t>
      </w:r>
    </w:p>
    <w:p>
      <w:pPr>
        <w:spacing w:after="0" w:line="228" w:lineRule="exact"/>
        <w:rPr>
          <w:sz w:val="20"/>
          <w:szCs w:val="20"/>
          <w:color w:val="auto"/>
        </w:rPr>
      </w:pPr>
    </w:p>
    <w:p>
      <w:pPr>
        <w:sectPr>
          <w:pgSz w:w="11900" w:h="16838" w:orient="portrait"/>
          <w:cols w:equalWidth="0" w:num="3">
            <w:col w:w="5440" w:space="220"/>
            <w:col w:w="1840" w:space="300"/>
            <w:col w:w="3460"/>
          </w:cols>
          <w:pgMar w:left="320" w:top="122" w:right="319" w:bottom="1440" w:gutter="0" w:footer="0" w:header="0"/>
          <w:type w:val="continuous"/>
        </w:sectPr>
      </w:pPr>
    </w:p>
    <w:p>
      <w:pPr>
        <w:ind w:left="1840" w:right="220" w:hanging="492"/>
        <w:spacing w:after="0" w:line="281" w:lineRule="auto"/>
        <w:tabs>
          <w:tab w:leader="none" w:pos="18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Based on the impact of COVID-19, the difficult working environment and individual contributions relative to their peers, the Compensation Committee decided to apply a +10% discretionary modifier to adjust the final payout levels for Messrs. Gallagher and Liguori but decided not to apply the modifier to the final payout levels for Messrs. Amelio, Bartolotta and O'Neill and Ms. Miller.</w:t>
      </w:r>
    </w:p>
    <w:p>
      <w:pPr>
        <w:spacing w:after="0" w:line="122" w:lineRule="exact"/>
        <w:rPr>
          <w:rFonts w:ascii="Arial" w:cs="Arial" w:eastAsia="Arial" w:hAnsi="Arial"/>
          <w:sz w:val="15"/>
          <w:szCs w:val="15"/>
          <w:color w:val="auto"/>
        </w:rPr>
      </w:pPr>
    </w:p>
    <w:p>
      <w:pPr>
        <w:ind w:left="1840" w:hanging="492"/>
        <w:spacing w:after="0"/>
        <w:tabs>
          <w:tab w:leader="none" w:pos="18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Mr. O'Neill's fiscal 2020 target annual cash incentive was prorated to reflect his departure date of March 31, 2020.</w:t>
      </w:r>
    </w:p>
    <w:p>
      <w:pPr>
        <w:spacing w:after="0" w:line="190"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Long-Term Incentives</w:t>
      </w:r>
    </w:p>
    <w:p>
      <w:pPr>
        <w:spacing w:after="0" w:line="194" w:lineRule="exact"/>
        <w:rPr>
          <w:sz w:val="20"/>
          <w:szCs w:val="20"/>
          <w:color w:val="auto"/>
        </w:rPr>
      </w:pPr>
    </w:p>
    <w:p>
      <w:pPr>
        <w:jc w:val="both"/>
        <w:ind w:right="80"/>
        <w:spacing w:after="0" w:line="256" w:lineRule="auto"/>
        <w:rPr>
          <w:sz w:val="20"/>
          <w:szCs w:val="20"/>
          <w:color w:val="auto"/>
        </w:rPr>
      </w:pPr>
      <w:r>
        <w:rPr>
          <w:rFonts w:ascii="Arial" w:cs="Arial" w:eastAsia="Arial" w:hAnsi="Arial"/>
          <w:sz w:val="16"/>
          <w:szCs w:val="16"/>
          <w:color w:val="auto"/>
        </w:rPr>
        <w:t>For fiscal 2020, the Compensation Committee approved the NEOs participation in the Company's long-term incentive plan, whereby they were eligible to receive a mix of equity awards, to provide a strong incentive to increase shareholder value over time, align the NEOs' interests with that of the shareholders, encourage retention and ensure that a portion of long-term compensation is tied to performance relative to peer companies.</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48</w:t>
      </w:r>
      <w:r>
        <w:rPr>
          <w:sz w:val="20"/>
          <w:szCs w:val="20"/>
          <w:color w:val="auto"/>
        </w:rPr>
        <w:tab/>
      </w:r>
      <w:r>
        <w:rPr>
          <w:rFonts w:ascii="Arial" w:cs="Arial" w:eastAsia="Arial" w:hAnsi="Arial"/>
          <w:sz w:val="23"/>
          <w:szCs w:val="23"/>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118745</wp:posOffset>
            </wp:positionV>
            <wp:extent cx="7151370" cy="203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-163195</wp:posOffset>
            </wp:positionV>
            <wp:extent cx="1664970" cy="1231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type w:val="continuous"/>
        </w:sectPr>
      </w:pPr>
    </w:p>
    <w:bookmarkStart w:id="53" w:name="page54"/>
    <w:bookmarkEnd w:id="53"/>
    <w:tbl>
      <w:tblPr>
        <w:tblLayout w:type="fixed"/>
        <w:tblInd w:w="3" w:type="dxa"/>
        <w:tblCellMar>
          <w:top w:w="0" w:type="dxa"/>
          <w:left w:w="0" w:type="dxa"/>
          <w:bottom w:w="0" w:type="dxa"/>
          <w:right w:w="0" w:type="dxa"/>
        </w:tblCellMar>
      </w:tblPr>
      <w:tr>
        <w:trPr>
          <w:trHeight w:val="213"/>
        </w:trPr>
        <w:tc>
          <w:tcPr>
            <w:tcW w:w="512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6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12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6140" w:type="dxa"/>
            <w:vAlign w:val="bottom"/>
            <w:vMerge w:val="restart"/>
          </w:tcPr>
          <w:p>
            <w:pPr>
              <w:ind w:left="3880"/>
              <w:spacing w:after="0"/>
              <w:rPr>
                <w:sz w:val="20"/>
                <w:szCs w:val="20"/>
                <w:color w:val="auto"/>
              </w:rPr>
            </w:pPr>
            <w:r>
              <w:rPr>
                <w:rFonts w:ascii="Arial" w:cs="Arial" w:eastAsia="Arial" w:hAnsi="Arial"/>
                <w:sz w:val="13"/>
                <w:szCs w:val="13"/>
                <w:color w:val="auto"/>
                <w:w w:val="98"/>
              </w:rPr>
              <w:t>Compensation Discussion and Analysis</w:t>
            </w:r>
          </w:p>
        </w:tc>
        <w:tc>
          <w:tcPr>
            <w:tcW w:w="0" w:type="dxa"/>
            <w:vAlign w:val="bottom"/>
          </w:tcPr>
          <w:p>
            <w:pPr>
              <w:spacing w:after="0"/>
              <w:rPr>
                <w:sz w:val="1"/>
                <w:szCs w:val="1"/>
                <w:color w:val="auto"/>
              </w:rPr>
            </w:pPr>
          </w:p>
        </w:tc>
      </w:tr>
      <w:tr>
        <w:trPr>
          <w:trHeight w:val="102"/>
        </w:trPr>
        <w:tc>
          <w:tcPr>
            <w:tcW w:w="512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6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120" w:type="dxa"/>
            <w:vAlign w:val="bottom"/>
            <w:vMerge w:val="continue"/>
          </w:tcPr>
          <w:p>
            <w:pPr>
              <w:spacing w:after="0"/>
              <w:rPr>
                <w:sz w:val="7"/>
                <w:szCs w:val="7"/>
                <w:color w:val="auto"/>
              </w:rPr>
            </w:pPr>
          </w:p>
        </w:tc>
        <w:tc>
          <w:tcPr>
            <w:tcW w:w="6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equity awards consisted of restricted stock units ("RSUs"), stock options, and performance share units ("PSUs"), as set forth in the following table.</w:t>
      </w:r>
    </w:p>
    <w:p>
      <w:pPr>
        <w:spacing w:after="0" w:line="188" w:lineRule="exact"/>
        <w:rPr>
          <w:sz w:val="20"/>
          <w:szCs w:val="20"/>
          <w:color w:val="auto"/>
        </w:rPr>
      </w:pPr>
    </w:p>
    <w:tbl>
      <w:tblPr>
        <w:tblLayout w:type="fixed"/>
        <w:tblInd w:w="13" w:type="dxa"/>
        <w:tblCellMar>
          <w:top w:w="0" w:type="dxa"/>
          <w:left w:w="0" w:type="dxa"/>
          <w:bottom w:w="0" w:type="dxa"/>
          <w:right w:w="0" w:type="dxa"/>
        </w:tblCellMar>
      </w:tblPr>
      <w:tr>
        <w:trPr>
          <w:trHeight w:val="184"/>
        </w:trPr>
        <w:tc>
          <w:tcPr>
            <w:tcW w:w="2880" w:type="dxa"/>
            <w:vAlign w:val="bottom"/>
            <w:tcBorders>
              <w:left w:val="single" w:sz="8" w:color="53C072"/>
              <w:right w:val="single" w:sz="8" w:color="53C072"/>
            </w:tcBorders>
            <w:shd w:val="clear" w:color="auto" w:fill="53C072"/>
          </w:tcPr>
          <w:p>
            <w:pPr>
              <w:spacing w:after="0"/>
              <w:rPr>
                <w:sz w:val="16"/>
                <w:szCs w:val="16"/>
                <w:color w:val="auto"/>
              </w:rPr>
            </w:pPr>
          </w:p>
        </w:tc>
        <w:tc>
          <w:tcPr>
            <w:tcW w:w="2780" w:type="dxa"/>
            <w:vAlign w:val="bottom"/>
            <w:tcBorders>
              <w:right w:val="single" w:sz="8" w:color="53C072"/>
            </w:tcBorders>
            <w:shd w:val="clear" w:color="auto" w:fill="53C072"/>
          </w:tcPr>
          <w:p>
            <w:pPr>
              <w:jc w:val="center"/>
              <w:ind w:right="41"/>
              <w:spacing w:after="0"/>
              <w:rPr>
                <w:sz w:val="20"/>
                <w:szCs w:val="20"/>
                <w:color w:val="auto"/>
              </w:rPr>
            </w:pPr>
            <w:r>
              <w:rPr>
                <w:rFonts w:ascii="Arial" w:cs="Arial" w:eastAsia="Arial" w:hAnsi="Arial"/>
                <w:sz w:val="16"/>
                <w:szCs w:val="16"/>
                <w:b w:val="1"/>
                <w:bCs w:val="1"/>
                <w:color w:val="FFFFFE"/>
                <w:w w:val="97"/>
              </w:rPr>
              <w:t>% of Target Value of</w:t>
            </w:r>
          </w:p>
        </w:tc>
        <w:tc>
          <w:tcPr>
            <w:tcW w:w="1960" w:type="dxa"/>
            <w:vAlign w:val="bottom"/>
            <w:shd w:val="clear" w:color="auto" w:fill="53C072"/>
          </w:tcPr>
          <w:p>
            <w:pPr>
              <w:spacing w:after="0"/>
              <w:rPr>
                <w:sz w:val="16"/>
                <w:szCs w:val="16"/>
                <w:color w:val="auto"/>
              </w:rPr>
            </w:pPr>
          </w:p>
        </w:tc>
        <w:tc>
          <w:tcPr>
            <w:tcW w:w="820" w:type="dxa"/>
            <w:vAlign w:val="bottom"/>
            <w:tcBorders>
              <w:right w:val="single" w:sz="8" w:color="53C072"/>
            </w:tcBorders>
            <w:shd w:val="clear" w:color="auto" w:fill="53C072"/>
          </w:tcPr>
          <w:p>
            <w:pPr>
              <w:spacing w:after="0"/>
              <w:rPr>
                <w:sz w:val="16"/>
                <w:szCs w:val="16"/>
                <w:color w:val="auto"/>
              </w:rPr>
            </w:pPr>
          </w:p>
        </w:tc>
        <w:tc>
          <w:tcPr>
            <w:tcW w:w="860" w:type="dxa"/>
            <w:vAlign w:val="bottom"/>
            <w:shd w:val="clear" w:color="auto" w:fill="53C072"/>
          </w:tcPr>
          <w:p>
            <w:pPr>
              <w:spacing w:after="0"/>
              <w:rPr>
                <w:sz w:val="16"/>
                <w:szCs w:val="16"/>
                <w:color w:val="auto"/>
              </w:rPr>
            </w:pPr>
          </w:p>
        </w:tc>
        <w:tc>
          <w:tcPr>
            <w:tcW w:w="1960" w:type="dxa"/>
            <w:vAlign w:val="bottom"/>
            <w:tcBorders>
              <w:right w:val="single" w:sz="8" w:color="53C072"/>
            </w:tcBorders>
            <w:shd w:val="clear" w:color="auto" w:fill="53C072"/>
          </w:tcPr>
          <w:p>
            <w:pPr>
              <w:spacing w:after="0"/>
              <w:rPr>
                <w:sz w:val="16"/>
                <w:szCs w:val="16"/>
                <w:color w:val="auto"/>
              </w:rPr>
            </w:pPr>
          </w:p>
        </w:tc>
      </w:tr>
      <w:tr>
        <w:trPr>
          <w:trHeight w:val="201"/>
        </w:trPr>
        <w:tc>
          <w:tcPr>
            <w:tcW w:w="2880" w:type="dxa"/>
            <w:vAlign w:val="bottom"/>
            <w:tcBorders>
              <w:left w:val="single" w:sz="8" w:color="53C072"/>
              <w:right w:val="single" w:sz="8" w:color="53C072"/>
            </w:tcBorders>
            <w:shd w:val="clear" w:color="auto" w:fill="53C072"/>
          </w:tcPr>
          <w:p>
            <w:pPr>
              <w:jc w:val="center"/>
              <w:spacing w:after="0"/>
              <w:rPr>
                <w:sz w:val="20"/>
                <w:szCs w:val="20"/>
                <w:color w:val="auto"/>
              </w:rPr>
            </w:pPr>
            <w:r>
              <w:rPr>
                <w:rFonts w:ascii="Arial" w:cs="Arial" w:eastAsia="Arial" w:hAnsi="Arial"/>
                <w:sz w:val="16"/>
                <w:szCs w:val="16"/>
                <w:b w:val="1"/>
                <w:bCs w:val="1"/>
                <w:color w:val="FFFFFE"/>
                <w:w w:val="96"/>
              </w:rPr>
              <w:t>Equity Vehicles</w:t>
            </w:r>
          </w:p>
        </w:tc>
        <w:tc>
          <w:tcPr>
            <w:tcW w:w="2780" w:type="dxa"/>
            <w:vAlign w:val="bottom"/>
            <w:tcBorders>
              <w:right w:val="single" w:sz="8" w:color="53C072"/>
            </w:tcBorders>
            <w:shd w:val="clear" w:color="auto" w:fill="53C072"/>
          </w:tcPr>
          <w:p>
            <w:pPr>
              <w:jc w:val="center"/>
              <w:ind w:right="41"/>
              <w:spacing w:after="0"/>
              <w:rPr>
                <w:sz w:val="20"/>
                <w:szCs w:val="20"/>
                <w:color w:val="auto"/>
              </w:rPr>
            </w:pPr>
            <w:r>
              <w:rPr>
                <w:rFonts w:ascii="Arial" w:cs="Arial" w:eastAsia="Arial" w:hAnsi="Arial"/>
                <w:sz w:val="16"/>
                <w:szCs w:val="16"/>
                <w:b w:val="1"/>
                <w:bCs w:val="1"/>
                <w:color w:val="FFFFFE"/>
                <w:w w:val="97"/>
              </w:rPr>
              <w:t>LTIP Award</w:t>
            </w:r>
          </w:p>
        </w:tc>
        <w:tc>
          <w:tcPr>
            <w:tcW w:w="1960" w:type="dxa"/>
            <w:vAlign w:val="bottom"/>
            <w:shd w:val="clear" w:color="auto" w:fill="53C072"/>
          </w:tcPr>
          <w:p>
            <w:pPr>
              <w:spacing w:after="0"/>
              <w:rPr>
                <w:sz w:val="17"/>
                <w:szCs w:val="17"/>
                <w:color w:val="auto"/>
              </w:rPr>
            </w:pPr>
          </w:p>
        </w:tc>
        <w:tc>
          <w:tcPr>
            <w:tcW w:w="1680" w:type="dxa"/>
            <w:vAlign w:val="bottom"/>
            <w:gridSpan w:val="2"/>
            <w:shd w:val="clear" w:color="auto" w:fill="53C072"/>
          </w:tcPr>
          <w:p>
            <w:pPr>
              <w:jc w:val="center"/>
              <w:ind w:right="160"/>
              <w:spacing w:after="0"/>
              <w:rPr>
                <w:sz w:val="20"/>
                <w:szCs w:val="20"/>
                <w:color w:val="auto"/>
              </w:rPr>
            </w:pPr>
            <w:r>
              <w:rPr>
                <w:rFonts w:ascii="Arial" w:cs="Arial" w:eastAsia="Arial" w:hAnsi="Arial"/>
                <w:sz w:val="16"/>
                <w:szCs w:val="16"/>
                <w:b w:val="1"/>
                <w:bCs w:val="1"/>
                <w:color w:val="FFFFFE"/>
                <w:w w:val="99"/>
              </w:rPr>
              <w:t>Metrics</w:t>
            </w:r>
          </w:p>
        </w:tc>
        <w:tc>
          <w:tcPr>
            <w:tcW w:w="1960" w:type="dxa"/>
            <w:vAlign w:val="bottom"/>
            <w:tcBorders>
              <w:right w:val="single" w:sz="8" w:color="53C072"/>
            </w:tcBorders>
            <w:shd w:val="clear" w:color="auto" w:fill="53C072"/>
          </w:tcPr>
          <w:p>
            <w:pPr>
              <w:spacing w:after="0"/>
              <w:rPr>
                <w:sz w:val="17"/>
                <w:szCs w:val="17"/>
                <w:color w:val="auto"/>
              </w:rPr>
            </w:pPr>
          </w:p>
        </w:tc>
      </w:tr>
      <w:tr>
        <w:trPr>
          <w:trHeight w:val="182"/>
        </w:trPr>
        <w:tc>
          <w:tcPr>
            <w:tcW w:w="2880" w:type="dxa"/>
            <w:vAlign w:val="bottom"/>
            <w:tcBorders>
              <w:left w:val="single" w:sz="8" w:color="53C072"/>
              <w:bottom w:val="single" w:sz="8" w:color="53C072"/>
              <w:right w:val="single" w:sz="8" w:color="53C072"/>
            </w:tcBorders>
          </w:tcPr>
          <w:p>
            <w:pPr>
              <w:jc w:val="center"/>
              <w:spacing w:after="0" w:line="182" w:lineRule="exact"/>
              <w:rPr>
                <w:sz w:val="20"/>
                <w:szCs w:val="20"/>
                <w:color w:val="auto"/>
              </w:rPr>
            </w:pPr>
            <w:r>
              <w:rPr>
                <w:rFonts w:ascii="Arial" w:cs="Arial" w:eastAsia="Arial" w:hAnsi="Arial"/>
                <w:sz w:val="16"/>
                <w:szCs w:val="16"/>
                <w:color w:val="auto"/>
              </w:rPr>
              <w:t>RSUs</w:t>
            </w:r>
          </w:p>
        </w:tc>
        <w:tc>
          <w:tcPr>
            <w:tcW w:w="2780" w:type="dxa"/>
            <w:vAlign w:val="bottom"/>
            <w:tcBorders>
              <w:bottom w:val="single" w:sz="8" w:color="53C072"/>
              <w:right w:val="single" w:sz="8" w:color="53C072"/>
            </w:tcBorders>
          </w:tcPr>
          <w:p>
            <w:pPr>
              <w:jc w:val="center"/>
              <w:ind w:right="41"/>
              <w:spacing w:after="0" w:line="182" w:lineRule="exact"/>
              <w:rPr>
                <w:sz w:val="20"/>
                <w:szCs w:val="20"/>
                <w:color w:val="auto"/>
              </w:rPr>
            </w:pPr>
            <w:r>
              <w:rPr>
                <w:rFonts w:ascii="Arial" w:cs="Arial" w:eastAsia="Arial" w:hAnsi="Arial"/>
                <w:sz w:val="16"/>
                <w:szCs w:val="16"/>
                <w:color w:val="auto"/>
                <w:w w:val="93"/>
              </w:rPr>
              <w:t>25%</w:t>
            </w:r>
          </w:p>
        </w:tc>
        <w:tc>
          <w:tcPr>
            <w:tcW w:w="1960" w:type="dxa"/>
            <w:vAlign w:val="bottom"/>
            <w:tcBorders>
              <w:bottom w:val="single" w:sz="8" w:color="53C072"/>
            </w:tcBorders>
          </w:tcPr>
          <w:p>
            <w:pPr>
              <w:spacing w:after="0"/>
              <w:rPr>
                <w:sz w:val="15"/>
                <w:szCs w:val="15"/>
                <w:color w:val="auto"/>
              </w:rPr>
            </w:pPr>
          </w:p>
        </w:tc>
        <w:tc>
          <w:tcPr>
            <w:tcW w:w="1680" w:type="dxa"/>
            <w:vAlign w:val="bottom"/>
            <w:tcBorders>
              <w:bottom w:val="single" w:sz="8" w:color="53C072"/>
            </w:tcBorders>
            <w:gridSpan w:val="2"/>
          </w:tcPr>
          <w:p>
            <w:pPr>
              <w:jc w:val="center"/>
              <w:ind w:right="140"/>
              <w:spacing w:after="0" w:line="182" w:lineRule="exact"/>
              <w:rPr>
                <w:sz w:val="20"/>
                <w:szCs w:val="20"/>
                <w:color w:val="auto"/>
              </w:rPr>
            </w:pPr>
            <w:r>
              <w:rPr>
                <w:rFonts w:ascii="Arial" w:cs="Arial" w:eastAsia="Arial" w:hAnsi="Arial"/>
                <w:sz w:val="16"/>
                <w:szCs w:val="16"/>
                <w:color w:val="auto"/>
                <w:w w:val="96"/>
              </w:rPr>
              <w:t>Time-based Vesting</w:t>
            </w:r>
          </w:p>
        </w:tc>
        <w:tc>
          <w:tcPr>
            <w:tcW w:w="1960" w:type="dxa"/>
            <w:vAlign w:val="bottom"/>
            <w:tcBorders>
              <w:bottom w:val="single" w:sz="8" w:color="53C072"/>
              <w:right w:val="single" w:sz="8" w:color="53C072"/>
            </w:tcBorders>
          </w:tcPr>
          <w:p>
            <w:pPr>
              <w:spacing w:after="0"/>
              <w:rPr>
                <w:sz w:val="15"/>
                <w:szCs w:val="15"/>
                <w:color w:val="auto"/>
              </w:rPr>
            </w:pPr>
          </w:p>
        </w:tc>
      </w:tr>
      <w:tr>
        <w:trPr>
          <w:trHeight w:val="174"/>
        </w:trPr>
        <w:tc>
          <w:tcPr>
            <w:tcW w:w="2880" w:type="dxa"/>
            <w:vAlign w:val="bottom"/>
            <w:tcBorders>
              <w:left w:val="single" w:sz="8" w:color="53C072"/>
              <w:bottom w:val="single" w:sz="8" w:color="53C072"/>
              <w:right w:val="single" w:sz="8" w:color="53C072"/>
            </w:tcBorders>
          </w:tcPr>
          <w:p>
            <w:pPr>
              <w:jc w:val="center"/>
              <w:spacing w:after="0" w:line="175" w:lineRule="exact"/>
              <w:rPr>
                <w:sz w:val="20"/>
                <w:szCs w:val="20"/>
                <w:color w:val="auto"/>
              </w:rPr>
            </w:pPr>
            <w:r>
              <w:rPr>
                <w:rFonts w:ascii="Arial" w:cs="Arial" w:eastAsia="Arial" w:hAnsi="Arial"/>
                <w:sz w:val="16"/>
                <w:szCs w:val="16"/>
                <w:color w:val="auto"/>
                <w:w w:val="97"/>
              </w:rPr>
              <w:t>Options</w:t>
            </w:r>
          </w:p>
        </w:tc>
        <w:tc>
          <w:tcPr>
            <w:tcW w:w="2780" w:type="dxa"/>
            <w:vAlign w:val="bottom"/>
            <w:tcBorders>
              <w:bottom w:val="single" w:sz="8" w:color="53C072"/>
              <w:right w:val="single" w:sz="8" w:color="53C072"/>
            </w:tcBorders>
          </w:tcPr>
          <w:p>
            <w:pPr>
              <w:jc w:val="center"/>
              <w:ind w:right="41"/>
              <w:spacing w:after="0" w:line="175" w:lineRule="exact"/>
              <w:rPr>
                <w:sz w:val="20"/>
                <w:szCs w:val="20"/>
                <w:color w:val="auto"/>
              </w:rPr>
            </w:pPr>
            <w:r>
              <w:rPr>
                <w:rFonts w:ascii="Arial" w:cs="Arial" w:eastAsia="Arial" w:hAnsi="Arial"/>
                <w:sz w:val="16"/>
                <w:szCs w:val="16"/>
                <w:color w:val="auto"/>
                <w:w w:val="93"/>
              </w:rPr>
              <w:t>25%</w:t>
            </w:r>
          </w:p>
        </w:tc>
        <w:tc>
          <w:tcPr>
            <w:tcW w:w="1960" w:type="dxa"/>
            <w:vAlign w:val="bottom"/>
            <w:tcBorders>
              <w:bottom w:val="single" w:sz="8" w:color="53C072"/>
            </w:tcBorders>
          </w:tcPr>
          <w:p>
            <w:pPr>
              <w:spacing w:after="0"/>
              <w:rPr>
                <w:sz w:val="15"/>
                <w:szCs w:val="15"/>
                <w:color w:val="auto"/>
              </w:rPr>
            </w:pPr>
          </w:p>
        </w:tc>
        <w:tc>
          <w:tcPr>
            <w:tcW w:w="1680" w:type="dxa"/>
            <w:vAlign w:val="bottom"/>
            <w:tcBorders>
              <w:bottom w:val="single" w:sz="8" w:color="53C072"/>
            </w:tcBorders>
            <w:gridSpan w:val="2"/>
          </w:tcPr>
          <w:p>
            <w:pPr>
              <w:jc w:val="center"/>
              <w:ind w:right="140"/>
              <w:spacing w:after="0" w:line="175" w:lineRule="exact"/>
              <w:rPr>
                <w:sz w:val="20"/>
                <w:szCs w:val="20"/>
                <w:color w:val="auto"/>
              </w:rPr>
            </w:pPr>
            <w:r>
              <w:rPr>
                <w:rFonts w:ascii="Arial" w:cs="Arial" w:eastAsia="Arial" w:hAnsi="Arial"/>
                <w:sz w:val="16"/>
                <w:szCs w:val="16"/>
                <w:color w:val="auto"/>
                <w:w w:val="96"/>
              </w:rPr>
              <w:t>Time-based Vesting</w:t>
            </w:r>
          </w:p>
        </w:tc>
        <w:tc>
          <w:tcPr>
            <w:tcW w:w="1960" w:type="dxa"/>
            <w:vAlign w:val="bottom"/>
            <w:tcBorders>
              <w:bottom w:val="single" w:sz="8" w:color="53C072"/>
              <w:right w:val="single" w:sz="8" w:color="53C072"/>
            </w:tcBorders>
          </w:tcPr>
          <w:p>
            <w:pPr>
              <w:spacing w:after="0"/>
              <w:rPr>
                <w:sz w:val="15"/>
                <w:szCs w:val="15"/>
                <w:color w:val="auto"/>
              </w:rPr>
            </w:pPr>
          </w:p>
        </w:tc>
      </w:tr>
      <w:tr>
        <w:trPr>
          <w:trHeight w:val="174"/>
        </w:trPr>
        <w:tc>
          <w:tcPr>
            <w:tcW w:w="2880" w:type="dxa"/>
            <w:vAlign w:val="bottom"/>
            <w:tcBorders>
              <w:left w:val="single" w:sz="8" w:color="53C072"/>
              <w:right w:val="single" w:sz="8" w:color="53C072"/>
            </w:tcBorders>
          </w:tcPr>
          <w:p>
            <w:pPr>
              <w:jc w:val="center"/>
              <w:spacing w:after="0" w:line="175" w:lineRule="exact"/>
              <w:rPr>
                <w:sz w:val="20"/>
                <w:szCs w:val="20"/>
                <w:color w:val="auto"/>
              </w:rPr>
            </w:pPr>
            <w:r>
              <w:rPr>
                <w:rFonts w:ascii="Arial" w:cs="Arial" w:eastAsia="Arial" w:hAnsi="Arial"/>
                <w:sz w:val="16"/>
                <w:szCs w:val="16"/>
                <w:color w:val="auto"/>
              </w:rPr>
              <w:t>PSUs</w:t>
            </w:r>
          </w:p>
        </w:tc>
        <w:tc>
          <w:tcPr>
            <w:tcW w:w="2780" w:type="dxa"/>
            <w:vAlign w:val="bottom"/>
            <w:tcBorders>
              <w:right w:val="single" w:sz="8" w:color="53C072"/>
            </w:tcBorders>
          </w:tcPr>
          <w:p>
            <w:pPr>
              <w:jc w:val="center"/>
              <w:ind w:right="41"/>
              <w:spacing w:after="0" w:line="175" w:lineRule="exact"/>
              <w:rPr>
                <w:sz w:val="20"/>
                <w:szCs w:val="20"/>
                <w:color w:val="auto"/>
              </w:rPr>
            </w:pPr>
            <w:r>
              <w:rPr>
                <w:rFonts w:ascii="Arial" w:cs="Arial" w:eastAsia="Arial" w:hAnsi="Arial"/>
                <w:sz w:val="16"/>
                <w:szCs w:val="16"/>
                <w:color w:val="auto"/>
                <w:w w:val="93"/>
              </w:rPr>
              <w:t>50%</w:t>
            </w:r>
          </w:p>
        </w:tc>
        <w:tc>
          <w:tcPr>
            <w:tcW w:w="2780" w:type="dxa"/>
            <w:vAlign w:val="bottom"/>
            <w:tcBorders>
              <w:bottom w:val="single" w:sz="8" w:color="53C072"/>
              <w:right w:val="single" w:sz="8" w:color="53C072"/>
            </w:tcBorders>
            <w:gridSpan w:val="2"/>
          </w:tcPr>
          <w:p>
            <w:pPr>
              <w:jc w:val="center"/>
              <w:ind w:right="41"/>
              <w:spacing w:after="0" w:line="175" w:lineRule="exact"/>
              <w:rPr>
                <w:sz w:val="20"/>
                <w:szCs w:val="20"/>
                <w:color w:val="auto"/>
              </w:rPr>
            </w:pPr>
            <w:r>
              <w:rPr>
                <w:rFonts w:ascii="Arial" w:cs="Arial" w:eastAsia="Arial" w:hAnsi="Arial"/>
                <w:sz w:val="16"/>
                <w:szCs w:val="16"/>
                <w:color w:val="auto"/>
                <w:w w:val="98"/>
              </w:rPr>
              <w:t>Performance Metrics:</w:t>
            </w:r>
          </w:p>
        </w:tc>
        <w:tc>
          <w:tcPr>
            <w:tcW w:w="860" w:type="dxa"/>
            <w:vAlign w:val="bottom"/>
            <w:tcBorders>
              <w:bottom w:val="single" w:sz="8" w:color="53C072"/>
            </w:tcBorders>
          </w:tcPr>
          <w:p>
            <w:pPr>
              <w:spacing w:after="0"/>
              <w:rPr>
                <w:sz w:val="15"/>
                <w:szCs w:val="15"/>
                <w:color w:val="auto"/>
              </w:rPr>
            </w:pPr>
          </w:p>
        </w:tc>
        <w:tc>
          <w:tcPr>
            <w:tcW w:w="1960" w:type="dxa"/>
            <w:vAlign w:val="bottom"/>
            <w:tcBorders>
              <w:bottom w:val="single" w:sz="8" w:color="53C072"/>
              <w:right w:val="single" w:sz="8" w:color="53C072"/>
            </w:tcBorders>
          </w:tcPr>
          <w:p>
            <w:pPr>
              <w:jc w:val="center"/>
              <w:ind w:right="921"/>
              <w:spacing w:after="0" w:line="175" w:lineRule="exact"/>
              <w:rPr>
                <w:sz w:val="20"/>
                <w:szCs w:val="20"/>
                <w:color w:val="auto"/>
              </w:rPr>
            </w:pPr>
            <w:r>
              <w:rPr>
                <w:rFonts w:ascii="Arial" w:cs="Arial" w:eastAsia="Arial" w:hAnsi="Arial"/>
                <w:sz w:val="16"/>
                <w:szCs w:val="16"/>
                <w:color w:val="auto"/>
                <w:w w:val="95"/>
              </w:rPr>
              <w:t>Weight:</w:t>
            </w:r>
          </w:p>
        </w:tc>
      </w:tr>
      <w:tr>
        <w:trPr>
          <w:trHeight w:val="174"/>
        </w:trPr>
        <w:tc>
          <w:tcPr>
            <w:tcW w:w="2880" w:type="dxa"/>
            <w:vAlign w:val="bottom"/>
            <w:tcBorders>
              <w:left w:val="single" w:sz="8" w:color="53C072"/>
              <w:right w:val="single" w:sz="8" w:color="53C072"/>
            </w:tcBorders>
          </w:tcPr>
          <w:p>
            <w:pPr>
              <w:spacing w:after="0"/>
              <w:rPr>
                <w:sz w:val="15"/>
                <w:szCs w:val="15"/>
                <w:color w:val="auto"/>
              </w:rPr>
            </w:pPr>
          </w:p>
        </w:tc>
        <w:tc>
          <w:tcPr>
            <w:tcW w:w="2780" w:type="dxa"/>
            <w:vAlign w:val="bottom"/>
            <w:tcBorders>
              <w:right w:val="single" w:sz="8" w:color="53C072"/>
            </w:tcBorders>
          </w:tcPr>
          <w:p>
            <w:pPr>
              <w:spacing w:after="0"/>
              <w:rPr>
                <w:sz w:val="15"/>
                <w:szCs w:val="15"/>
                <w:color w:val="auto"/>
              </w:rPr>
            </w:pPr>
          </w:p>
        </w:tc>
        <w:tc>
          <w:tcPr>
            <w:tcW w:w="1960" w:type="dxa"/>
            <w:vAlign w:val="bottom"/>
            <w:tcBorders>
              <w:bottom w:val="single" w:sz="8" w:color="53C072"/>
            </w:tcBorders>
          </w:tcPr>
          <w:p>
            <w:pPr>
              <w:jc w:val="center"/>
              <w:ind w:left="621"/>
              <w:spacing w:after="0" w:line="175" w:lineRule="exact"/>
              <w:rPr>
                <w:sz w:val="20"/>
                <w:szCs w:val="20"/>
                <w:color w:val="auto"/>
              </w:rPr>
            </w:pPr>
            <w:r>
              <w:rPr>
                <w:rFonts w:ascii="Arial" w:cs="Arial" w:eastAsia="Arial" w:hAnsi="Arial"/>
                <w:sz w:val="16"/>
                <w:szCs w:val="16"/>
                <w:color w:val="auto"/>
                <w:w w:val="97"/>
              </w:rPr>
              <w:t>Cumulative EPS</w:t>
            </w:r>
          </w:p>
        </w:tc>
        <w:tc>
          <w:tcPr>
            <w:tcW w:w="820" w:type="dxa"/>
            <w:vAlign w:val="bottom"/>
            <w:tcBorders>
              <w:bottom w:val="single" w:sz="8" w:color="53C072"/>
              <w:right w:val="single" w:sz="8" w:color="53C072"/>
            </w:tcBorders>
          </w:tcPr>
          <w:p>
            <w:pPr>
              <w:spacing w:after="0"/>
              <w:rPr>
                <w:sz w:val="15"/>
                <w:szCs w:val="15"/>
                <w:color w:val="auto"/>
              </w:rPr>
            </w:pPr>
          </w:p>
        </w:tc>
        <w:tc>
          <w:tcPr>
            <w:tcW w:w="860" w:type="dxa"/>
            <w:vAlign w:val="bottom"/>
            <w:tcBorders>
              <w:bottom w:val="single" w:sz="8" w:color="53C072"/>
            </w:tcBorders>
          </w:tcPr>
          <w:p>
            <w:pPr>
              <w:spacing w:after="0"/>
              <w:rPr>
                <w:sz w:val="15"/>
                <w:szCs w:val="15"/>
                <w:color w:val="auto"/>
              </w:rPr>
            </w:pPr>
          </w:p>
        </w:tc>
        <w:tc>
          <w:tcPr>
            <w:tcW w:w="1960" w:type="dxa"/>
            <w:vAlign w:val="bottom"/>
            <w:tcBorders>
              <w:bottom w:val="single" w:sz="8" w:color="53C072"/>
              <w:right w:val="single" w:sz="8" w:color="53C072"/>
            </w:tcBorders>
          </w:tcPr>
          <w:p>
            <w:pPr>
              <w:jc w:val="center"/>
              <w:ind w:right="921"/>
              <w:spacing w:after="0" w:line="175" w:lineRule="exact"/>
              <w:rPr>
                <w:sz w:val="20"/>
                <w:szCs w:val="20"/>
                <w:color w:val="auto"/>
              </w:rPr>
            </w:pPr>
            <w:r>
              <w:rPr>
                <w:rFonts w:ascii="Arial" w:cs="Arial" w:eastAsia="Arial" w:hAnsi="Arial"/>
                <w:sz w:val="16"/>
                <w:szCs w:val="16"/>
                <w:color w:val="auto"/>
                <w:w w:val="97"/>
              </w:rPr>
              <w:t>100%</w:t>
            </w:r>
          </w:p>
        </w:tc>
      </w:tr>
      <w:tr>
        <w:trPr>
          <w:trHeight w:val="174"/>
        </w:trPr>
        <w:tc>
          <w:tcPr>
            <w:tcW w:w="2880" w:type="dxa"/>
            <w:vAlign w:val="bottom"/>
            <w:tcBorders>
              <w:left w:val="single" w:sz="8" w:color="53C072"/>
              <w:bottom w:val="single" w:sz="8" w:color="53C072"/>
              <w:right w:val="single" w:sz="8" w:color="53C072"/>
            </w:tcBorders>
          </w:tcPr>
          <w:p>
            <w:pPr>
              <w:spacing w:after="0"/>
              <w:rPr>
                <w:sz w:val="15"/>
                <w:szCs w:val="15"/>
                <w:color w:val="auto"/>
              </w:rPr>
            </w:pPr>
          </w:p>
        </w:tc>
        <w:tc>
          <w:tcPr>
            <w:tcW w:w="2780" w:type="dxa"/>
            <w:vAlign w:val="bottom"/>
            <w:tcBorders>
              <w:bottom w:val="single" w:sz="8" w:color="53C072"/>
              <w:right w:val="single" w:sz="8" w:color="53C072"/>
            </w:tcBorders>
          </w:tcPr>
          <w:p>
            <w:pPr>
              <w:spacing w:after="0"/>
              <w:rPr>
                <w:sz w:val="15"/>
                <w:szCs w:val="15"/>
                <w:color w:val="auto"/>
              </w:rPr>
            </w:pPr>
          </w:p>
        </w:tc>
        <w:tc>
          <w:tcPr>
            <w:tcW w:w="1960" w:type="dxa"/>
            <w:vAlign w:val="bottom"/>
            <w:tcBorders>
              <w:bottom w:val="single" w:sz="8" w:color="53C072"/>
            </w:tcBorders>
          </w:tcPr>
          <w:p>
            <w:pPr>
              <w:jc w:val="center"/>
              <w:ind w:left="621"/>
              <w:spacing w:after="0" w:line="175" w:lineRule="exact"/>
              <w:rPr>
                <w:sz w:val="20"/>
                <w:szCs w:val="20"/>
                <w:color w:val="auto"/>
              </w:rPr>
            </w:pPr>
            <w:r>
              <w:rPr>
                <w:rFonts w:ascii="Arial" w:cs="Arial" w:eastAsia="Arial" w:hAnsi="Arial"/>
                <w:sz w:val="16"/>
                <w:szCs w:val="16"/>
                <w:color w:val="auto"/>
                <w:w w:val="99"/>
              </w:rPr>
              <w:t>Relative TSR</w:t>
            </w:r>
          </w:p>
        </w:tc>
        <w:tc>
          <w:tcPr>
            <w:tcW w:w="820" w:type="dxa"/>
            <w:vAlign w:val="bottom"/>
            <w:tcBorders>
              <w:bottom w:val="single" w:sz="8" w:color="53C072"/>
              <w:right w:val="single" w:sz="8" w:color="53C072"/>
            </w:tcBorders>
          </w:tcPr>
          <w:p>
            <w:pPr>
              <w:spacing w:after="0"/>
              <w:rPr>
                <w:sz w:val="15"/>
                <w:szCs w:val="15"/>
                <w:color w:val="auto"/>
              </w:rPr>
            </w:pPr>
          </w:p>
        </w:tc>
        <w:tc>
          <w:tcPr>
            <w:tcW w:w="860" w:type="dxa"/>
            <w:vAlign w:val="bottom"/>
            <w:tcBorders>
              <w:bottom w:val="single" w:sz="8" w:color="53C072"/>
            </w:tcBorders>
          </w:tcPr>
          <w:p>
            <w:pPr>
              <w:spacing w:after="0"/>
              <w:rPr>
                <w:sz w:val="15"/>
                <w:szCs w:val="15"/>
                <w:color w:val="auto"/>
              </w:rPr>
            </w:pPr>
          </w:p>
        </w:tc>
        <w:tc>
          <w:tcPr>
            <w:tcW w:w="1960" w:type="dxa"/>
            <w:vAlign w:val="bottom"/>
            <w:tcBorders>
              <w:bottom w:val="single" w:sz="8" w:color="53C072"/>
              <w:right w:val="single" w:sz="8" w:color="53C072"/>
            </w:tcBorders>
          </w:tcPr>
          <w:p>
            <w:pPr>
              <w:jc w:val="center"/>
              <w:ind w:right="921"/>
              <w:spacing w:after="0" w:line="175" w:lineRule="exact"/>
              <w:rPr>
                <w:sz w:val="20"/>
                <w:szCs w:val="20"/>
                <w:color w:val="auto"/>
              </w:rPr>
            </w:pPr>
            <w:r>
              <w:rPr>
                <w:rFonts w:ascii="Arial" w:cs="Arial" w:eastAsia="Arial" w:hAnsi="Arial"/>
                <w:sz w:val="16"/>
                <w:szCs w:val="16"/>
                <w:color w:val="auto"/>
                <w:w w:val="98"/>
              </w:rPr>
              <w:t>Modifier</w:t>
            </w:r>
          </w:p>
        </w:tc>
      </w:tr>
    </w:tbl>
    <w:p>
      <w:pPr>
        <w:spacing w:after="0" w:line="175" w:lineRule="exact"/>
        <w:rPr>
          <w:sz w:val="20"/>
          <w:szCs w:val="20"/>
          <w:color w:val="auto"/>
        </w:rPr>
      </w:pPr>
    </w:p>
    <w:p>
      <w:pPr>
        <w:ind w:left="3" w:right="220"/>
        <w:spacing w:after="0" w:line="257" w:lineRule="auto"/>
        <w:rPr>
          <w:sz w:val="20"/>
          <w:szCs w:val="20"/>
          <w:color w:val="auto"/>
        </w:rPr>
      </w:pPr>
      <w:r>
        <w:rPr>
          <w:rFonts w:ascii="Arial" w:cs="Arial" w:eastAsia="Arial" w:hAnsi="Arial"/>
          <w:sz w:val="16"/>
          <w:szCs w:val="16"/>
          <w:b w:val="1"/>
          <w:bCs w:val="1"/>
          <w:color w:val="53C072"/>
        </w:rPr>
        <w:t xml:space="preserve">Target LTIP Awards. </w:t>
      </w:r>
      <w:r>
        <w:rPr>
          <w:rFonts w:ascii="Arial" w:cs="Arial" w:eastAsia="Arial" w:hAnsi="Arial"/>
          <w:sz w:val="16"/>
          <w:szCs w:val="16"/>
          <w:color w:val="000000"/>
        </w:rPr>
        <w:t>The Compensation Committee sets each NEO's target LITP award value based on a number of factors including, benchmark data,</w:t>
      </w:r>
      <w:r>
        <w:rPr>
          <w:rFonts w:ascii="Arial" w:cs="Arial" w:eastAsia="Arial" w:hAnsi="Arial"/>
          <w:sz w:val="16"/>
          <w:szCs w:val="16"/>
          <w:b w:val="1"/>
          <w:bCs w:val="1"/>
          <w:color w:val="53C072"/>
        </w:rPr>
        <w:t xml:space="preserve"> </w:t>
      </w:r>
      <w:r>
        <w:rPr>
          <w:rFonts w:ascii="Arial" w:cs="Arial" w:eastAsia="Arial" w:hAnsi="Arial"/>
          <w:sz w:val="16"/>
          <w:szCs w:val="16"/>
          <w:color w:val="000000"/>
        </w:rPr>
        <w:t>NEO's responsibilities and duties, NEO's prior-year performance and Company performance. As a result, fiscal 2020 target LTIP award values vary among the NEOs and can vary from year to year.</w:t>
      </w:r>
    </w:p>
    <w:p>
      <w:pPr>
        <w:spacing w:after="0" w:line="151"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fiscal 2020 LTIP awards are listed in the following table.</w:t>
      </w:r>
    </w:p>
    <w:p>
      <w:pPr>
        <w:spacing w:after="0" w:line="192" w:lineRule="exact"/>
        <w:rPr>
          <w:sz w:val="20"/>
          <w:szCs w:val="20"/>
          <w:color w:val="auto"/>
        </w:rPr>
      </w:pPr>
    </w:p>
    <w:tbl>
      <w:tblPr>
        <w:tblLayout w:type="fixed"/>
        <w:tblInd w:w="1683" w:type="dxa"/>
        <w:tblCellMar>
          <w:top w:w="0" w:type="dxa"/>
          <w:left w:w="0" w:type="dxa"/>
          <w:bottom w:w="0" w:type="dxa"/>
          <w:right w:w="0" w:type="dxa"/>
        </w:tblCellMar>
      </w:tblPr>
      <w:tr>
        <w:trPr>
          <w:trHeight w:val="149"/>
        </w:trPr>
        <w:tc>
          <w:tcPr>
            <w:tcW w:w="2020" w:type="dxa"/>
            <w:vAlign w:val="bottom"/>
            <w:shd w:val="clear" w:color="auto" w:fill="53C072"/>
          </w:tcPr>
          <w:p>
            <w:pPr>
              <w:spacing w:after="0"/>
              <w:rPr>
                <w:sz w:val="13"/>
                <w:szCs w:val="13"/>
                <w:color w:val="auto"/>
              </w:rPr>
            </w:pPr>
          </w:p>
        </w:tc>
        <w:tc>
          <w:tcPr>
            <w:tcW w:w="1960" w:type="dxa"/>
            <w:vAlign w:val="bottom"/>
            <w:shd w:val="clear" w:color="auto" w:fill="53C072"/>
          </w:tcPr>
          <w:p>
            <w:pPr>
              <w:spacing w:after="0"/>
              <w:rPr>
                <w:sz w:val="13"/>
                <w:szCs w:val="13"/>
                <w:color w:val="auto"/>
              </w:rPr>
            </w:pPr>
          </w:p>
        </w:tc>
        <w:tc>
          <w:tcPr>
            <w:tcW w:w="1220" w:type="dxa"/>
            <w:vAlign w:val="bottom"/>
            <w:shd w:val="clear" w:color="auto" w:fill="53C072"/>
          </w:tcPr>
          <w:p>
            <w:pPr>
              <w:spacing w:after="0"/>
              <w:rPr>
                <w:sz w:val="13"/>
                <w:szCs w:val="13"/>
                <w:color w:val="auto"/>
              </w:rPr>
            </w:pPr>
          </w:p>
        </w:tc>
        <w:tc>
          <w:tcPr>
            <w:tcW w:w="720" w:type="dxa"/>
            <w:vAlign w:val="bottom"/>
            <w:shd w:val="clear" w:color="auto" w:fill="53C072"/>
          </w:tcPr>
          <w:p>
            <w:pPr>
              <w:spacing w:after="0"/>
              <w:rPr>
                <w:sz w:val="13"/>
                <w:szCs w:val="13"/>
                <w:color w:val="auto"/>
              </w:rPr>
            </w:pPr>
          </w:p>
        </w:tc>
        <w:tc>
          <w:tcPr>
            <w:tcW w:w="1000" w:type="dxa"/>
            <w:vAlign w:val="bottom"/>
            <w:shd w:val="clear" w:color="auto" w:fill="53C072"/>
          </w:tcPr>
          <w:p>
            <w:pPr>
              <w:jc w:val="right"/>
              <w:ind w:right="46"/>
              <w:spacing w:after="0"/>
              <w:rPr>
                <w:sz w:val="20"/>
                <w:szCs w:val="20"/>
                <w:color w:val="auto"/>
              </w:rPr>
            </w:pPr>
            <w:r>
              <w:rPr>
                <w:rFonts w:ascii="Arial" w:cs="Arial" w:eastAsia="Arial" w:hAnsi="Arial"/>
                <w:sz w:val="13"/>
                <w:szCs w:val="13"/>
                <w:b w:val="1"/>
                <w:bCs w:val="1"/>
                <w:color w:val="FFFFFE"/>
              </w:rPr>
              <w:t>Target Value</w:t>
            </w:r>
          </w:p>
        </w:tc>
        <w:tc>
          <w:tcPr>
            <w:tcW w:w="80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Total Value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20" w:type="dxa"/>
            <w:vAlign w:val="bottom"/>
            <w:vMerge w:val="restart"/>
            <w:shd w:val="clear" w:color="auto" w:fill="53C072"/>
          </w:tcPr>
          <w:p>
            <w:pPr>
              <w:ind w:left="20"/>
              <w:spacing w:after="0"/>
              <w:rPr>
                <w:sz w:val="20"/>
                <w:szCs w:val="20"/>
                <w:color w:val="auto"/>
              </w:rPr>
            </w:pPr>
            <w:r>
              <w:rPr>
                <w:rFonts w:ascii="Arial" w:cs="Arial" w:eastAsia="Arial" w:hAnsi="Arial"/>
                <w:sz w:val="13"/>
                <w:szCs w:val="13"/>
                <w:b w:val="1"/>
                <w:bCs w:val="1"/>
                <w:color w:val="FFFFFE"/>
              </w:rPr>
              <w:t>NEO</w:t>
            </w:r>
          </w:p>
        </w:tc>
        <w:tc>
          <w:tcPr>
            <w:tcW w:w="1960" w:type="dxa"/>
            <w:vAlign w:val="bottom"/>
            <w:vMerge w:val="restart"/>
            <w:shd w:val="clear" w:color="auto" w:fill="53C072"/>
          </w:tcPr>
          <w:p>
            <w:pPr>
              <w:jc w:val="right"/>
              <w:ind w:right="3"/>
              <w:spacing w:after="0"/>
              <w:rPr>
                <w:sz w:val="20"/>
                <w:szCs w:val="20"/>
                <w:color w:val="auto"/>
              </w:rPr>
            </w:pPr>
            <w:r>
              <w:rPr>
                <w:rFonts w:ascii="Arial" w:cs="Arial" w:eastAsia="Arial" w:hAnsi="Arial"/>
                <w:sz w:val="13"/>
                <w:szCs w:val="13"/>
                <w:b w:val="1"/>
                <w:bCs w:val="1"/>
                <w:color w:val="FFFFFE"/>
              </w:rPr>
              <w:t>RSUs (#)</w:t>
            </w:r>
          </w:p>
        </w:tc>
        <w:tc>
          <w:tcPr>
            <w:tcW w:w="1220" w:type="dxa"/>
            <w:vAlign w:val="bottom"/>
            <w:vMerge w:val="restart"/>
            <w:shd w:val="clear" w:color="auto" w:fill="53C072"/>
          </w:tcPr>
          <w:p>
            <w:pPr>
              <w:jc w:val="right"/>
              <w:ind w:right="3"/>
              <w:spacing w:after="0"/>
              <w:rPr>
                <w:sz w:val="20"/>
                <w:szCs w:val="20"/>
                <w:color w:val="auto"/>
              </w:rPr>
            </w:pPr>
            <w:r>
              <w:rPr>
                <w:rFonts w:ascii="Arial" w:cs="Arial" w:eastAsia="Arial" w:hAnsi="Arial"/>
                <w:sz w:val="13"/>
                <w:szCs w:val="13"/>
                <w:b w:val="1"/>
                <w:bCs w:val="1"/>
                <w:color w:val="FFFFFE"/>
              </w:rPr>
              <w:t>Stock Options (#)</w:t>
            </w:r>
          </w:p>
        </w:tc>
        <w:tc>
          <w:tcPr>
            <w:tcW w:w="720" w:type="dxa"/>
            <w:vAlign w:val="bottom"/>
            <w:vMerge w:val="restart"/>
            <w:shd w:val="clear" w:color="auto" w:fill="53C072"/>
          </w:tcPr>
          <w:p>
            <w:pPr>
              <w:jc w:val="right"/>
              <w:ind w:right="23"/>
              <w:spacing w:after="0"/>
              <w:rPr>
                <w:sz w:val="20"/>
                <w:szCs w:val="20"/>
                <w:color w:val="auto"/>
              </w:rPr>
            </w:pPr>
            <w:r>
              <w:rPr>
                <w:rFonts w:ascii="Arial" w:cs="Arial" w:eastAsia="Arial" w:hAnsi="Arial"/>
                <w:sz w:val="13"/>
                <w:szCs w:val="13"/>
                <w:b w:val="1"/>
                <w:bCs w:val="1"/>
                <w:color w:val="FFFFFE"/>
              </w:rPr>
              <w:t>PSUs (#)</w:t>
            </w:r>
          </w:p>
        </w:tc>
        <w:tc>
          <w:tcPr>
            <w:tcW w:w="1000" w:type="dxa"/>
            <w:vAlign w:val="bottom"/>
            <w:shd w:val="clear" w:color="auto" w:fill="53C072"/>
          </w:tcPr>
          <w:p>
            <w:pPr>
              <w:jc w:val="right"/>
              <w:ind w:right="46"/>
              <w:spacing w:after="0" w:line="146" w:lineRule="exact"/>
              <w:rPr>
                <w:sz w:val="20"/>
                <w:szCs w:val="20"/>
                <w:color w:val="auto"/>
              </w:rPr>
            </w:pPr>
            <w:r>
              <w:rPr>
                <w:rFonts w:ascii="Arial" w:cs="Arial" w:eastAsia="Arial" w:hAnsi="Arial"/>
                <w:sz w:val="13"/>
                <w:szCs w:val="13"/>
                <w:b w:val="1"/>
                <w:bCs w:val="1"/>
                <w:color w:val="FFFFFE"/>
              </w:rPr>
              <w:t>of LTIP</w:t>
            </w:r>
          </w:p>
        </w:tc>
        <w:tc>
          <w:tcPr>
            <w:tcW w:w="80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 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20" w:type="dxa"/>
            <w:vAlign w:val="bottom"/>
            <w:vMerge w:val="continue"/>
            <w:shd w:val="clear" w:color="auto" w:fill="53C072"/>
          </w:tcPr>
          <w:p>
            <w:pPr>
              <w:spacing w:after="0"/>
              <w:rPr>
                <w:sz w:val="13"/>
                <w:szCs w:val="13"/>
                <w:color w:val="auto"/>
              </w:rPr>
            </w:pPr>
          </w:p>
        </w:tc>
        <w:tc>
          <w:tcPr>
            <w:tcW w:w="1960" w:type="dxa"/>
            <w:vAlign w:val="bottom"/>
            <w:vMerge w:val="continue"/>
            <w:shd w:val="clear" w:color="auto" w:fill="53C072"/>
          </w:tcPr>
          <w:p>
            <w:pPr>
              <w:spacing w:after="0"/>
              <w:rPr>
                <w:sz w:val="13"/>
                <w:szCs w:val="13"/>
                <w:color w:val="auto"/>
              </w:rPr>
            </w:pPr>
          </w:p>
        </w:tc>
        <w:tc>
          <w:tcPr>
            <w:tcW w:w="1220" w:type="dxa"/>
            <w:vAlign w:val="bottom"/>
            <w:vMerge w:val="continue"/>
            <w:shd w:val="clear" w:color="auto" w:fill="53C072"/>
          </w:tcPr>
          <w:p>
            <w:pPr>
              <w:spacing w:after="0"/>
              <w:rPr>
                <w:sz w:val="13"/>
                <w:szCs w:val="13"/>
                <w:color w:val="auto"/>
              </w:rPr>
            </w:pPr>
          </w:p>
        </w:tc>
        <w:tc>
          <w:tcPr>
            <w:tcW w:w="720" w:type="dxa"/>
            <w:vAlign w:val="bottom"/>
            <w:vMerge w:val="continue"/>
            <w:shd w:val="clear" w:color="auto" w:fill="53C072"/>
          </w:tcPr>
          <w:p>
            <w:pPr>
              <w:spacing w:after="0"/>
              <w:rPr>
                <w:sz w:val="13"/>
                <w:szCs w:val="13"/>
                <w:color w:val="auto"/>
              </w:rPr>
            </w:pPr>
          </w:p>
        </w:tc>
        <w:tc>
          <w:tcPr>
            <w:tcW w:w="1000" w:type="dxa"/>
            <w:vAlign w:val="bottom"/>
            <w:shd w:val="clear" w:color="auto" w:fill="53C072"/>
          </w:tcPr>
          <w:p>
            <w:pPr>
              <w:jc w:val="right"/>
              <w:ind w:right="46"/>
              <w:spacing w:after="0"/>
              <w:rPr>
                <w:sz w:val="20"/>
                <w:szCs w:val="20"/>
                <w:color w:val="auto"/>
              </w:rPr>
            </w:pPr>
            <w:r>
              <w:rPr>
                <w:rFonts w:ascii="Arial" w:cs="Arial" w:eastAsia="Arial" w:hAnsi="Arial"/>
                <w:sz w:val="13"/>
                <w:szCs w:val="13"/>
                <w:b w:val="1"/>
                <w:bCs w:val="1"/>
                <w:color w:val="FFFFFE"/>
              </w:rPr>
              <w:t>Awards ($)</w:t>
            </w:r>
          </w:p>
        </w:tc>
        <w:tc>
          <w:tcPr>
            <w:tcW w:w="80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from FY20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20" w:type="dxa"/>
            <w:vAlign w:val="bottom"/>
          </w:tcPr>
          <w:p>
            <w:pPr>
              <w:ind w:left="20"/>
              <w:spacing w:after="0" w:line="182" w:lineRule="exact"/>
              <w:rPr>
                <w:sz w:val="20"/>
                <w:szCs w:val="20"/>
                <w:color w:val="auto"/>
              </w:rPr>
            </w:pPr>
            <w:r>
              <w:rPr>
                <w:rFonts w:ascii="Arial" w:cs="Arial" w:eastAsia="Arial" w:hAnsi="Arial"/>
                <w:sz w:val="16"/>
                <w:szCs w:val="16"/>
                <w:color w:val="auto"/>
              </w:rPr>
              <w:t>Amelio</w:t>
            </w:r>
          </w:p>
        </w:tc>
        <w:tc>
          <w:tcPr>
            <w:tcW w:w="1960" w:type="dxa"/>
            <w:vAlign w:val="bottom"/>
          </w:tcPr>
          <w:p>
            <w:pPr>
              <w:jc w:val="right"/>
              <w:ind w:right="3"/>
              <w:spacing w:after="0" w:line="182" w:lineRule="exact"/>
              <w:rPr>
                <w:sz w:val="20"/>
                <w:szCs w:val="20"/>
                <w:color w:val="auto"/>
              </w:rPr>
            </w:pPr>
            <w:r>
              <w:rPr>
                <w:rFonts w:ascii="Arial" w:cs="Arial" w:eastAsia="Arial" w:hAnsi="Arial"/>
                <w:sz w:val="16"/>
                <w:szCs w:val="16"/>
                <w:color w:val="auto"/>
              </w:rPr>
              <w:t>40,912</w:t>
            </w:r>
          </w:p>
        </w:tc>
        <w:tc>
          <w:tcPr>
            <w:tcW w:w="1220" w:type="dxa"/>
            <w:vAlign w:val="bottom"/>
          </w:tcPr>
          <w:p>
            <w:pPr>
              <w:jc w:val="right"/>
              <w:ind w:right="3"/>
              <w:spacing w:after="0" w:line="182" w:lineRule="exact"/>
              <w:rPr>
                <w:sz w:val="20"/>
                <w:szCs w:val="20"/>
                <w:color w:val="auto"/>
              </w:rPr>
            </w:pPr>
            <w:r>
              <w:rPr>
                <w:rFonts w:ascii="Arial" w:cs="Arial" w:eastAsia="Arial" w:hAnsi="Arial"/>
                <w:sz w:val="16"/>
                <w:szCs w:val="16"/>
                <w:color w:val="auto"/>
              </w:rPr>
              <w:t>153,592</w:t>
            </w:r>
          </w:p>
        </w:tc>
        <w:tc>
          <w:tcPr>
            <w:tcW w:w="720" w:type="dxa"/>
            <w:vAlign w:val="bottom"/>
          </w:tcPr>
          <w:p>
            <w:pPr>
              <w:jc w:val="right"/>
              <w:ind w:right="23"/>
              <w:spacing w:after="0" w:line="182" w:lineRule="exact"/>
              <w:rPr>
                <w:sz w:val="20"/>
                <w:szCs w:val="20"/>
                <w:color w:val="auto"/>
              </w:rPr>
            </w:pPr>
            <w:r>
              <w:rPr>
                <w:rFonts w:ascii="Arial" w:cs="Arial" w:eastAsia="Arial" w:hAnsi="Arial"/>
                <w:sz w:val="16"/>
                <w:szCs w:val="16"/>
                <w:color w:val="auto"/>
              </w:rPr>
              <w:t>81,822</w:t>
            </w:r>
          </w:p>
        </w:tc>
        <w:tc>
          <w:tcPr>
            <w:tcW w:w="1000" w:type="dxa"/>
            <w:vAlign w:val="bottom"/>
          </w:tcPr>
          <w:p>
            <w:pPr>
              <w:jc w:val="right"/>
              <w:ind w:right="46"/>
              <w:spacing w:after="0" w:line="182" w:lineRule="exact"/>
              <w:rPr>
                <w:sz w:val="20"/>
                <w:szCs w:val="20"/>
                <w:color w:val="auto"/>
              </w:rPr>
            </w:pPr>
            <w:r>
              <w:rPr>
                <w:rFonts w:ascii="Arial" w:cs="Arial" w:eastAsia="Arial" w:hAnsi="Arial"/>
                <w:sz w:val="16"/>
                <w:szCs w:val="16"/>
                <w:color w:val="auto"/>
              </w:rPr>
              <w:t>$6,500,000</w:t>
            </w:r>
          </w:p>
        </w:tc>
        <w:tc>
          <w:tcPr>
            <w:tcW w:w="800" w:type="dxa"/>
            <w:vAlign w:val="bottom"/>
          </w:tcPr>
          <w:p>
            <w:pPr>
              <w:jc w:val="right"/>
              <w:spacing w:after="0" w:line="182" w:lineRule="exact"/>
              <w:rPr>
                <w:sz w:val="20"/>
                <w:szCs w:val="20"/>
                <w:color w:val="auto"/>
              </w:rPr>
            </w:pPr>
            <w:r>
              <w:rPr>
                <w:rFonts w:ascii="Arial" w:cs="Arial" w:eastAsia="Arial" w:hAnsi="Arial"/>
                <w:sz w:val="16"/>
                <w:szCs w:val="16"/>
                <w:color w:val="auto"/>
              </w:rPr>
              <w:t>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20" w:type="dxa"/>
            <w:vAlign w:val="bottom"/>
            <w:shd w:val="clear" w:color="auto" w:fill="E8F5EA"/>
          </w:tcPr>
          <w:p>
            <w:pPr>
              <w:ind w:left="20"/>
              <w:spacing w:after="0" w:line="218" w:lineRule="exact"/>
              <w:rPr>
                <w:sz w:val="20"/>
                <w:szCs w:val="20"/>
                <w:color w:val="auto"/>
              </w:rPr>
            </w:pPr>
            <w:r>
              <w:rPr>
                <w:rFonts w:ascii="Arial" w:cs="Arial" w:eastAsia="Arial" w:hAnsi="Arial"/>
                <w:sz w:val="15"/>
                <w:szCs w:val="15"/>
                <w:color w:val="auto"/>
              </w:rPr>
              <w:t>Liguori</w:t>
            </w:r>
            <w:r>
              <w:rPr>
                <w:rFonts w:ascii="Arial" w:cs="Arial" w:eastAsia="Arial" w:hAnsi="Arial"/>
                <w:sz w:val="25"/>
                <w:szCs w:val="25"/>
                <w:color w:val="auto"/>
                <w:vertAlign w:val="superscript"/>
              </w:rPr>
              <w:t>(1)</w:t>
            </w:r>
          </w:p>
        </w:tc>
        <w:tc>
          <w:tcPr>
            <w:tcW w:w="1960" w:type="dxa"/>
            <w:vAlign w:val="bottom"/>
            <w:shd w:val="clear" w:color="auto" w:fill="E8F5EA"/>
          </w:tcPr>
          <w:p>
            <w:pPr>
              <w:jc w:val="right"/>
              <w:ind w:right="3"/>
              <w:spacing w:after="0"/>
              <w:rPr>
                <w:sz w:val="20"/>
                <w:szCs w:val="20"/>
                <w:color w:val="auto"/>
              </w:rPr>
            </w:pPr>
            <w:r>
              <w:rPr>
                <w:rFonts w:ascii="Arial" w:cs="Arial" w:eastAsia="Arial" w:hAnsi="Arial"/>
                <w:sz w:val="16"/>
                <w:szCs w:val="16"/>
                <w:color w:val="auto"/>
              </w:rPr>
              <w:t>9,440</w:t>
            </w:r>
          </w:p>
        </w:tc>
        <w:tc>
          <w:tcPr>
            <w:tcW w:w="1220" w:type="dxa"/>
            <w:vAlign w:val="bottom"/>
            <w:shd w:val="clear" w:color="auto" w:fill="E8F5EA"/>
          </w:tcPr>
          <w:p>
            <w:pPr>
              <w:jc w:val="right"/>
              <w:ind w:right="3"/>
              <w:spacing w:after="0"/>
              <w:rPr>
                <w:sz w:val="20"/>
                <w:szCs w:val="20"/>
                <w:color w:val="auto"/>
              </w:rPr>
            </w:pPr>
            <w:r>
              <w:rPr>
                <w:rFonts w:ascii="Arial" w:cs="Arial" w:eastAsia="Arial" w:hAnsi="Arial"/>
                <w:sz w:val="16"/>
                <w:szCs w:val="16"/>
                <w:color w:val="auto"/>
              </w:rPr>
              <w:t>35,444</w:t>
            </w:r>
          </w:p>
        </w:tc>
        <w:tc>
          <w:tcPr>
            <w:tcW w:w="720" w:type="dxa"/>
            <w:vAlign w:val="bottom"/>
            <w:shd w:val="clear" w:color="auto" w:fill="E8F5EA"/>
          </w:tcPr>
          <w:p>
            <w:pPr>
              <w:jc w:val="right"/>
              <w:ind w:right="23"/>
              <w:spacing w:after="0"/>
              <w:rPr>
                <w:sz w:val="20"/>
                <w:szCs w:val="20"/>
                <w:color w:val="auto"/>
              </w:rPr>
            </w:pPr>
            <w:r>
              <w:rPr>
                <w:rFonts w:ascii="Arial" w:cs="Arial" w:eastAsia="Arial" w:hAnsi="Arial"/>
                <w:sz w:val="16"/>
                <w:szCs w:val="16"/>
                <w:color w:val="auto"/>
              </w:rPr>
              <w:t>18,882</w:t>
            </w:r>
          </w:p>
        </w:tc>
        <w:tc>
          <w:tcPr>
            <w:tcW w:w="1000" w:type="dxa"/>
            <w:vAlign w:val="bottom"/>
            <w:shd w:val="clear" w:color="auto" w:fill="E8F5EA"/>
          </w:tcPr>
          <w:p>
            <w:pPr>
              <w:jc w:val="right"/>
              <w:ind w:right="46"/>
              <w:spacing w:after="0"/>
              <w:rPr>
                <w:sz w:val="20"/>
                <w:szCs w:val="20"/>
                <w:color w:val="auto"/>
              </w:rPr>
            </w:pPr>
            <w:r>
              <w:rPr>
                <w:rFonts w:ascii="Arial" w:cs="Arial" w:eastAsia="Arial" w:hAnsi="Arial"/>
                <w:sz w:val="16"/>
                <w:szCs w:val="16"/>
                <w:color w:val="auto"/>
              </w:rPr>
              <w:t>$1,500,000</w:t>
            </w:r>
          </w:p>
        </w:tc>
        <w:tc>
          <w:tcPr>
            <w:tcW w:w="800" w:type="dxa"/>
            <w:vAlign w:val="bottom"/>
            <w:shd w:val="clear" w:color="auto" w:fill="E8F5EA"/>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20" w:type="dxa"/>
            <w:vAlign w:val="bottom"/>
          </w:tcPr>
          <w:p>
            <w:pPr>
              <w:ind w:left="20"/>
              <w:spacing w:after="0" w:line="182" w:lineRule="exact"/>
              <w:rPr>
                <w:sz w:val="20"/>
                <w:szCs w:val="20"/>
                <w:color w:val="auto"/>
              </w:rPr>
            </w:pPr>
            <w:r>
              <w:rPr>
                <w:rFonts w:ascii="Arial" w:cs="Arial" w:eastAsia="Arial" w:hAnsi="Arial"/>
                <w:sz w:val="16"/>
                <w:szCs w:val="16"/>
                <w:color w:val="auto"/>
              </w:rPr>
              <w:t>Bartolotta</w:t>
            </w:r>
          </w:p>
        </w:tc>
        <w:tc>
          <w:tcPr>
            <w:tcW w:w="1960" w:type="dxa"/>
            <w:vAlign w:val="bottom"/>
          </w:tcPr>
          <w:p>
            <w:pPr>
              <w:jc w:val="right"/>
              <w:ind w:right="3"/>
              <w:spacing w:after="0" w:line="182" w:lineRule="exact"/>
              <w:rPr>
                <w:sz w:val="20"/>
                <w:szCs w:val="20"/>
                <w:color w:val="auto"/>
              </w:rPr>
            </w:pPr>
            <w:r>
              <w:rPr>
                <w:rFonts w:ascii="Arial" w:cs="Arial" w:eastAsia="Arial" w:hAnsi="Arial"/>
                <w:sz w:val="16"/>
                <w:szCs w:val="16"/>
                <w:color w:val="auto"/>
              </w:rPr>
              <w:t>6,924</w:t>
            </w:r>
          </w:p>
        </w:tc>
        <w:tc>
          <w:tcPr>
            <w:tcW w:w="1220" w:type="dxa"/>
            <w:vAlign w:val="bottom"/>
          </w:tcPr>
          <w:p>
            <w:pPr>
              <w:jc w:val="right"/>
              <w:ind w:right="3"/>
              <w:spacing w:after="0" w:line="182" w:lineRule="exact"/>
              <w:rPr>
                <w:sz w:val="20"/>
                <w:szCs w:val="20"/>
                <w:color w:val="auto"/>
              </w:rPr>
            </w:pPr>
            <w:r>
              <w:rPr>
                <w:rFonts w:ascii="Arial" w:cs="Arial" w:eastAsia="Arial" w:hAnsi="Arial"/>
                <w:sz w:val="16"/>
                <w:szCs w:val="16"/>
                <w:color w:val="auto"/>
              </w:rPr>
              <w:t>25,992</w:t>
            </w:r>
          </w:p>
        </w:tc>
        <w:tc>
          <w:tcPr>
            <w:tcW w:w="720" w:type="dxa"/>
            <w:vAlign w:val="bottom"/>
          </w:tcPr>
          <w:p>
            <w:pPr>
              <w:jc w:val="right"/>
              <w:ind w:right="23"/>
              <w:spacing w:after="0" w:line="182" w:lineRule="exact"/>
              <w:rPr>
                <w:sz w:val="20"/>
                <w:szCs w:val="20"/>
                <w:color w:val="auto"/>
              </w:rPr>
            </w:pPr>
            <w:r>
              <w:rPr>
                <w:rFonts w:ascii="Arial" w:cs="Arial" w:eastAsia="Arial" w:hAnsi="Arial"/>
                <w:sz w:val="16"/>
                <w:szCs w:val="16"/>
                <w:color w:val="auto"/>
              </w:rPr>
              <w:t>13,848</w:t>
            </w:r>
          </w:p>
        </w:tc>
        <w:tc>
          <w:tcPr>
            <w:tcW w:w="1000" w:type="dxa"/>
            <w:vAlign w:val="bottom"/>
          </w:tcPr>
          <w:p>
            <w:pPr>
              <w:jc w:val="right"/>
              <w:ind w:right="46"/>
              <w:spacing w:after="0" w:line="182" w:lineRule="exact"/>
              <w:rPr>
                <w:sz w:val="20"/>
                <w:szCs w:val="20"/>
                <w:color w:val="auto"/>
              </w:rPr>
            </w:pPr>
            <w:r>
              <w:rPr>
                <w:rFonts w:ascii="Arial" w:cs="Arial" w:eastAsia="Arial" w:hAnsi="Arial"/>
                <w:sz w:val="16"/>
                <w:szCs w:val="16"/>
                <w:color w:val="auto"/>
              </w:rPr>
              <w:t>$1,100,000</w:t>
            </w:r>
          </w:p>
        </w:tc>
        <w:tc>
          <w:tcPr>
            <w:tcW w:w="800" w:type="dxa"/>
            <w:vAlign w:val="bottom"/>
          </w:tcPr>
          <w:p>
            <w:pPr>
              <w:jc w:val="right"/>
              <w:spacing w:after="0" w:line="182" w:lineRule="exact"/>
              <w:rPr>
                <w:sz w:val="20"/>
                <w:szCs w:val="20"/>
                <w:color w:val="auto"/>
              </w:rPr>
            </w:pPr>
            <w:r>
              <w:rPr>
                <w:rFonts w:ascii="Arial" w:cs="Arial" w:eastAsia="Arial" w:hAnsi="Arial"/>
                <w:sz w:val="16"/>
                <w:szCs w:val="16"/>
                <w:color w:val="auto"/>
              </w:rPr>
              <w:t>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20" w:type="dxa"/>
            <w:vAlign w:val="bottom"/>
            <w:shd w:val="clear" w:color="auto" w:fill="E8F5EA"/>
          </w:tcPr>
          <w:p>
            <w:pPr>
              <w:ind w:left="20"/>
              <w:spacing w:after="0" w:line="182" w:lineRule="exact"/>
              <w:rPr>
                <w:sz w:val="20"/>
                <w:szCs w:val="20"/>
                <w:color w:val="auto"/>
              </w:rPr>
            </w:pPr>
            <w:r>
              <w:rPr>
                <w:rFonts w:ascii="Arial" w:cs="Arial" w:eastAsia="Arial" w:hAnsi="Arial"/>
                <w:sz w:val="16"/>
                <w:szCs w:val="16"/>
                <w:color w:val="auto"/>
              </w:rPr>
              <w:t>Gallagher</w:t>
            </w:r>
          </w:p>
        </w:tc>
        <w:tc>
          <w:tcPr>
            <w:tcW w:w="1960" w:type="dxa"/>
            <w:vAlign w:val="bottom"/>
            <w:shd w:val="clear" w:color="auto" w:fill="E8F5EA"/>
          </w:tcPr>
          <w:p>
            <w:pPr>
              <w:jc w:val="right"/>
              <w:ind w:right="3"/>
              <w:spacing w:after="0" w:line="182" w:lineRule="exact"/>
              <w:rPr>
                <w:sz w:val="20"/>
                <w:szCs w:val="20"/>
                <w:color w:val="auto"/>
              </w:rPr>
            </w:pPr>
            <w:r>
              <w:rPr>
                <w:rFonts w:ascii="Arial" w:cs="Arial" w:eastAsia="Arial" w:hAnsi="Arial"/>
                <w:sz w:val="16"/>
                <w:szCs w:val="16"/>
                <w:color w:val="auto"/>
              </w:rPr>
              <w:t>8,496</w:t>
            </w:r>
          </w:p>
        </w:tc>
        <w:tc>
          <w:tcPr>
            <w:tcW w:w="1220" w:type="dxa"/>
            <w:vAlign w:val="bottom"/>
            <w:shd w:val="clear" w:color="auto" w:fill="E8F5EA"/>
          </w:tcPr>
          <w:p>
            <w:pPr>
              <w:jc w:val="right"/>
              <w:ind w:right="3"/>
              <w:spacing w:after="0" w:line="182" w:lineRule="exact"/>
              <w:rPr>
                <w:sz w:val="20"/>
                <w:szCs w:val="20"/>
                <w:color w:val="auto"/>
              </w:rPr>
            </w:pPr>
            <w:r>
              <w:rPr>
                <w:rFonts w:ascii="Arial" w:cs="Arial" w:eastAsia="Arial" w:hAnsi="Arial"/>
                <w:sz w:val="16"/>
                <w:szCs w:val="16"/>
                <w:color w:val="auto"/>
              </w:rPr>
              <w:t>31,900</w:t>
            </w:r>
          </w:p>
        </w:tc>
        <w:tc>
          <w:tcPr>
            <w:tcW w:w="720" w:type="dxa"/>
            <w:vAlign w:val="bottom"/>
            <w:shd w:val="clear" w:color="auto" w:fill="E8F5EA"/>
          </w:tcPr>
          <w:p>
            <w:pPr>
              <w:jc w:val="right"/>
              <w:ind w:right="23"/>
              <w:spacing w:after="0" w:line="182" w:lineRule="exact"/>
              <w:rPr>
                <w:sz w:val="20"/>
                <w:szCs w:val="20"/>
                <w:color w:val="auto"/>
              </w:rPr>
            </w:pPr>
            <w:r>
              <w:rPr>
                <w:rFonts w:ascii="Arial" w:cs="Arial" w:eastAsia="Arial" w:hAnsi="Arial"/>
                <w:sz w:val="16"/>
                <w:szCs w:val="16"/>
                <w:color w:val="auto"/>
              </w:rPr>
              <w:t>16,995</w:t>
            </w:r>
          </w:p>
        </w:tc>
        <w:tc>
          <w:tcPr>
            <w:tcW w:w="1000" w:type="dxa"/>
            <w:vAlign w:val="bottom"/>
            <w:shd w:val="clear" w:color="auto" w:fill="E8F5EA"/>
          </w:tcPr>
          <w:p>
            <w:pPr>
              <w:jc w:val="right"/>
              <w:ind w:right="46"/>
              <w:spacing w:after="0" w:line="182" w:lineRule="exact"/>
              <w:rPr>
                <w:sz w:val="20"/>
                <w:szCs w:val="20"/>
                <w:color w:val="auto"/>
              </w:rPr>
            </w:pPr>
            <w:r>
              <w:rPr>
                <w:rFonts w:ascii="Arial" w:cs="Arial" w:eastAsia="Arial" w:hAnsi="Arial"/>
                <w:sz w:val="16"/>
                <w:szCs w:val="16"/>
                <w:color w:val="auto"/>
              </w:rPr>
              <w:t>$1,350,000</w:t>
            </w:r>
          </w:p>
        </w:tc>
        <w:tc>
          <w:tcPr>
            <w:tcW w:w="80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20" w:type="dxa"/>
            <w:vAlign w:val="bottom"/>
          </w:tcPr>
          <w:p>
            <w:pPr>
              <w:ind w:left="20"/>
              <w:spacing w:after="0" w:line="182" w:lineRule="exact"/>
              <w:rPr>
                <w:sz w:val="20"/>
                <w:szCs w:val="20"/>
                <w:color w:val="auto"/>
              </w:rPr>
            </w:pPr>
            <w:r>
              <w:rPr>
                <w:rFonts w:ascii="Arial" w:cs="Arial" w:eastAsia="Arial" w:hAnsi="Arial"/>
                <w:sz w:val="16"/>
                <w:szCs w:val="16"/>
                <w:color w:val="auto"/>
              </w:rPr>
              <w:t>Miller</w:t>
            </w:r>
          </w:p>
        </w:tc>
        <w:tc>
          <w:tcPr>
            <w:tcW w:w="1960" w:type="dxa"/>
            <w:vAlign w:val="bottom"/>
          </w:tcPr>
          <w:p>
            <w:pPr>
              <w:jc w:val="right"/>
              <w:ind w:right="3"/>
              <w:spacing w:after="0" w:line="182" w:lineRule="exact"/>
              <w:rPr>
                <w:sz w:val="20"/>
                <w:szCs w:val="20"/>
                <w:color w:val="auto"/>
              </w:rPr>
            </w:pPr>
            <w:r>
              <w:rPr>
                <w:rFonts w:ascii="Arial" w:cs="Arial" w:eastAsia="Arial" w:hAnsi="Arial"/>
                <w:sz w:val="16"/>
                <w:szCs w:val="16"/>
                <w:color w:val="auto"/>
              </w:rPr>
              <w:t>7,712</w:t>
            </w:r>
          </w:p>
        </w:tc>
        <w:tc>
          <w:tcPr>
            <w:tcW w:w="1220" w:type="dxa"/>
            <w:vAlign w:val="bottom"/>
          </w:tcPr>
          <w:p>
            <w:pPr>
              <w:jc w:val="right"/>
              <w:ind w:right="3"/>
              <w:spacing w:after="0" w:line="182" w:lineRule="exact"/>
              <w:rPr>
                <w:sz w:val="20"/>
                <w:szCs w:val="20"/>
                <w:color w:val="auto"/>
              </w:rPr>
            </w:pPr>
            <w:r>
              <w:rPr>
                <w:rFonts w:ascii="Arial" w:cs="Arial" w:eastAsia="Arial" w:hAnsi="Arial"/>
                <w:sz w:val="16"/>
                <w:szCs w:val="16"/>
                <w:color w:val="auto"/>
              </w:rPr>
              <w:t>28,948</w:t>
            </w:r>
          </w:p>
        </w:tc>
        <w:tc>
          <w:tcPr>
            <w:tcW w:w="720" w:type="dxa"/>
            <w:vAlign w:val="bottom"/>
          </w:tcPr>
          <w:p>
            <w:pPr>
              <w:jc w:val="right"/>
              <w:ind w:right="23"/>
              <w:spacing w:after="0" w:line="182" w:lineRule="exact"/>
              <w:rPr>
                <w:sz w:val="20"/>
                <w:szCs w:val="20"/>
                <w:color w:val="auto"/>
              </w:rPr>
            </w:pPr>
            <w:r>
              <w:rPr>
                <w:rFonts w:ascii="Arial" w:cs="Arial" w:eastAsia="Arial" w:hAnsi="Arial"/>
                <w:sz w:val="16"/>
                <w:szCs w:val="16"/>
                <w:color w:val="auto"/>
              </w:rPr>
              <w:t>15,420</w:t>
            </w:r>
          </w:p>
        </w:tc>
        <w:tc>
          <w:tcPr>
            <w:tcW w:w="1000" w:type="dxa"/>
            <w:vAlign w:val="bottom"/>
          </w:tcPr>
          <w:p>
            <w:pPr>
              <w:jc w:val="right"/>
              <w:ind w:right="46"/>
              <w:spacing w:after="0" w:line="182" w:lineRule="exact"/>
              <w:rPr>
                <w:sz w:val="20"/>
                <w:szCs w:val="20"/>
                <w:color w:val="auto"/>
              </w:rPr>
            </w:pPr>
            <w:r>
              <w:rPr>
                <w:rFonts w:ascii="Arial" w:cs="Arial" w:eastAsia="Arial" w:hAnsi="Arial"/>
                <w:sz w:val="16"/>
                <w:szCs w:val="16"/>
                <w:color w:val="auto"/>
              </w:rPr>
              <w:t>$1,225,000</w:t>
            </w:r>
          </w:p>
        </w:tc>
        <w:tc>
          <w:tcPr>
            <w:tcW w:w="800" w:type="dxa"/>
            <w:vAlign w:val="bottom"/>
          </w:tcPr>
          <w:p>
            <w:pPr>
              <w:jc w:val="right"/>
              <w:spacing w:after="0" w:line="182" w:lineRule="exact"/>
              <w:rPr>
                <w:sz w:val="20"/>
                <w:szCs w:val="20"/>
                <w:color w:val="auto"/>
              </w:rPr>
            </w:pPr>
            <w:r>
              <w:rPr>
                <w:rFonts w:ascii="Arial" w:cs="Arial" w:eastAsia="Arial" w:hAnsi="Arial"/>
                <w:sz w:val="16"/>
                <w:szCs w:val="16"/>
                <w:color w:val="auto"/>
              </w:rPr>
              <w:t>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20" w:type="dxa"/>
            <w:vAlign w:val="bottom"/>
            <w:tcBorders>
              <w:bottom w:val="single" w:sz="8" w:color="53C072"/>
            </w:tcBorders>
            <w:shd w:val="clear" w:color="auto" w:fill="E8F5EA"/>
          </w:tcPr>
          <w:p>
            <w:pPr>
              <w:ind w:left="20"/>
              <w:spacing w:after="0" w:line="182" w:lineRule="exact"/>
              <w:rPr>
                <w:sz w:val="20"/>
                <w:szCs w:val="20"/>
                <w:color w:val="auto"/>
              </w:rPr>
            </w:pPr>
            <w:r>
              <w:rPr>
                <w:rFonts w:ascii="Arial" w:cs="Arial" w:eastAsia="Arial" w:hAnsi="Arial"/>
                <w:sz w:val="16"/>
                <w:szCs w:val="16"/>
                <w:color w:val="auto"/>
              </w:rPr>
              <w:t>O'Neill</w:t>
            </w:r>
          </w:p>
        </w:tc>
        <w:tc>
          <w:tcPr>
            <w:tcW w:w="1960" w:type="dxa"/>
            <w:vAlign w:val="bottom"/>
            <w:tcBorders>
              <w:bottom w:val="single" w:sz="8" w:color="53C072"/>
            </w:tcBorders>
            <w:shd w:val="clear" w:color="auto" w:fill="E8F5EA"/>
          </w:tcPr>
          <w:p>
            <w:pPr>
              <w:jc w:val="right"/>
              <w:ind w:right="3"/>
              <w:spacing w:after="0" w:line="182" w:lineRule="exact"/>
              <w:rPr>
                <w:sz w:val="20"/>
                <w:szCs w:val="20"/>
                <w:color w:val="auto"/>
              </w:rPr>
            </w:pPr>
            <w:r>
              <w:rPr>
                <w:rFonts w:ascii="Arial" w:cs="Arial" w:eastAsia="Arial" w:hAnsi="Arial"/>
                <w:sz w:val="16"/>
                <w:szCs w:val="16"/>
                <w:color w:val="auto"/>
              </w:rPr>
              <w:t>6,608</w:t>
            </w:r>
          </w:p>
        </w:tc>
        <w:tc>
          <w:tcPr>
            <w:tcW w:w="1220" w:type="dxa"/>
            <w:vAlign w:val="bottom"/>
            <w:tcBorders>
              <w:bottom w:val="single" w:sz="8" w:color="53C072"/>
            </w:tcBorders>
            <w:shd w:val="clear" w:color="auto" w:fill="E8F5EA"/>
          </w:tcPr>
          <w:p>
            <w:pPr>
              <w:jc w:val="right"/>
              <w:ind w:right="3"/>
              <w:spacing w:after="0" w:line="182" w:lineRule="exact"/>
              <w:rPr>
                <w:sz w:val="20"/>
                <w:szCs w:val="20"/>
                <w:color w:val="auto"/>
              </w:rPr>
            </w:pPr>
            <w:r>
              <w:rPr>
                <w:rFonts w:ascii="Arial" w:cs="Arial" w:eastAsia="Arial" w:hAnsi="Arial"/>
                <w:sz w:val="16"/>
                <w:szCs w:val="16"/>
                <w:color w:val="auto"/>
              </w:rPr>
              <w:t>24,812</w:t>
            </w:r>
          </w:p>
        </w:tc>
        <w:tc>
          <w:tcPr>
            <w:tcW w:w="720" w:type="dxa"/>
            <w:vAlign w:val="bottom"/>
            <w:tcBorders>
              <w:bottom w:val="single" w:sz="8" w:color="53C072"/>
            </w:tcBorders>
            <w:shd w:val="clear" w:color="auto" w:fill="E8F5EA"/>
          </w:tcPr>
          <w:p>
            <w:pPr>
              <w:jc w:val="right"/>
              <w:ind w:right="23"/>
              <w:spacing w:after="0" w:line="182" w:lineRule="exact"/>
              <w:rPr>
                <w:sz w:val="20"/>
                <w:szCs w:val="20"/>
                <w:color w:val="auto"/>
              </w:rPr>
            </w:pPr>
            <w:r>
              <w:rPr>
                <w:rFonts w:ascii="Arial" w:cs="Arial" w:eastAsia="Arial" w:hAnsi="Arial"/>
                <w:sz w:val="16"/>
                <w:szCs w:val="16"/>
                <w:color w:val="auto"/>
              </w:rPr>
              <w:t>13,218</w:t>
            </w:r>
          </w:p>
        </w:tc>
        <w:tc>
          <w:tcPr>
            <w:tcW w:w="1000" w:type="dxa"/>
            <w:vAlign w:val="bottom"/>
            <w:tcBorders>
              <w:bottom w:val="single" w:sz="8" w:color="53C072"/>
            </w:tcBorders>
            <w:shd w:val="clear" w:color="auto" w:fill="E8F5EA"/>
          </w:tcPr>
          <w:p>
            <w:pPr>
              <w:jc w:val="right"/>
              <w:ind w:right="46"/>
              <w:spacing w:after="0" w:line="182" w:lineRule="exact"/>
              <w:rPr>
                <w:sz w:val="20"/>
                <w:szCs w:val="20"/>
                <w:color w:val="auto"/>
              </w:rPr>
            </w:pPr>
            <w:r>
              <w:rPr>
                <w:rFonts w:ascii="Arial" w:cs="Arial" w:eastAsia="Arial" w:hAnsi="Arial"/>
                <w:sz w:val="16"/>
                <w:szCs w:val="16"/>
                <w:color w:val="auto"/>
              </w:rPr>
              <w:t>$1,050,000</w:t>
            </w:r>
          </w:p>
        </w:tc>
        <w:tc>
          <w:tcPr>
            <w:tcW w:w="800" w:type="dxa"/>
            <w:vAlign w:val="bottom"/>
            <w:tcBorders>
              <w:bottom w:val="single" w:sz="8" w:color="53C072"/>
            </w:tcBorders>
            <w:shd w:val="clear" w:color="auto" w:fill="E8F5EA"/>
          </w:tcPr>
          <w:p>
            <w:pPr>
              <w:jc w:val="right"/>
              <w:spacing w:after="0" w:line="182" w:lineRule="exact"/>
              <w:rPr>
                <w:sz w:val="20"/>
                <w:szCs w:val="20"/>
                <w:color w:val="auto"/>
              </w:rPr>
            </w:pPr>
            <w:r>
              <w:rPr>
                <w:rFonts w:ascii="Arial" w:cs="Arial" w:eastAsia="Arial" w:hAnsi="Arial"/>
                <w:sz w:val="16"/>
                <w:szCs w:val="16"/>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483" w:hanging="483"/>
        <w:spacing w:after="0"/>
        <w:tabs>
          <w:tab w:leader="none" w:pos="483"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increase in Liguori's Target Value of LTIP Awards was to align more closely with benchmarking peer group data for chief financial officers.</w:t>
      </w:r>
    </w:p>
    <w:p>
      <w:pPr>
        <w:spacing w:after="0" w:line="190" w:lineRule="exact"/>
        <w:rPr>
          <w:sz w:val="20"/>
          <w:szCs w:val="20"/>
          <w:color w:val="auto"/>
        </w:rPr>
      </w:pPr>
    </w:p>
    <w:p>
      <w:pPr>
        <w:ind w:left="3" w:right="220"/>
        <w:spacing w:after="0" w:line="257" w:lineRule="auto"/>
        <w:rPr>
          <w:sz w:val="20"/>
          <w:szCs w:val="20"/>
          <w:color w:val="auto"/>
        </w:rPr>
      </w:pPr>
      <w:r>
        <w:rPr>
          <w:rFonts w:ascii="Arial" w:cs="Arial" w:eastAsia="Arial" w:hAnsi="Arial"/>
          <w:sz w:val="16"/>
          <w:szCs w:val="16"/>
          <w:b w:val="1"/>
          <w:bCs w:val="1"/>
          <w:color w:val="53C072"/>
        </w:rPr>
        <w:t xml:space="preserve">Restricted Stock Units. </w:t>
      </w:r>
      <w:r>
        <w:rPr>
          <w:rFonts w:ascii="Arial" w:cs="Arial" w:eastAsia="Arial" w:hAnsi="Arial"/>
          <w:sz w:val="16"/>
          <w:szCs w:val="16"/>
          <w:color w:val="000000"/>
        </w:rPr>
        <w:t>RSUs provide the NEOs the opportunity to earn shares of the Company's common stock over a stated vesting period. Each RSU is</w:t>
      </w:r>
      <w:r>
        <w:rPr>
          <w:rFonts w:ascii="Arial" w:cs="Arial" w:eastAsia="Arial" w:hAnsi="Arial"/>
          <w:sz w:val="16"/>
          <w:szCs w:val="16"/>
          <w:b w:val="1"/>
          <w:bCs w:val="1"/>
          <w:color w:val="53C072"/>
        </w:rPr>
        <w:t xml:space="preserve"> </w:t>
      </w:r>
      <w:r>
        <w:rPr>
          <w:rFonts w:ascii="Arial" w:cs="Arial" w:eastAsia="Arial" w:hAnsi="Arial"/>
          <w:sz w:val="16"/>
          <w:szCs w:val="16"/>
          <w:color w:val="000000"/>
        </w:rPr>
        <w:t>the economic equivalent of one share of the Company's common stock. When vested, the number of RSUs will be settled in a like number of shares of the Company's common stock. RSUs granted in fiscal 2020 vest in four equal installments over three-and-a-half years.</w:t>
      </w:r>
    </w:p>
    <w:p>
      <w:pPr>
        <w:spacing w:after="0" w:line="149" w:lineRule="exact"/>
        <w:rPr>
          <w:sz w:val="20"/>
          <w:szCs w:val="20"/>
          <w:color w:val="auto"/>
        </w:rPr>
      </w:pPr>
    </w:p>
    <w:p>
      <w:pPr>
        <w:ind w:left="3" w:right="100"/>
        <w:spacing w:after="0" w:line="250" w:lineRule="auto"/>
        <w:rPr>
          <w:sz w:val="20"/>
          <w:szCs w:val="20"/>
          <w:color w:val="auto"/>
        </w:rPr>
      </w:pPr>
      <w:r>
        <w:rPr>
          <w:rFonts w:ascii="Arial" w:cs="Arial" w:eastAsia="Arial" w:hAnsi="Arial"/>
          <w:sz w:val="16"/>
          <w:szCs w:val="16"/>
          <w:b w:val="1"/>
          <w:bCs w:val="1"/>
          <w:color w:val="53C072"/>
        </w:rPr>
        <w:t xml:space="preserve">Stock Options. </w:t>
      </w:r>
      <w:r>
        <w:rPr>
          <w:rFonts w:ascii="Arial" w:cs="Arial" w:eastAsia="Arial" w:hAnsi="Arial"/>
          <w:sz w:val="16"/>
          <w:szCs w:val="16"/>
          <w:color w:val="000000"/>
        </w:rPr>
        <w:t>Stock options provide the NEOs the opportunity to purchase a fixed number of shares of the Company's common stock at a fixed exercise</w:t>
      </w:r>
      <w:r>
        <w:rPr>
          <w:rFonts w:ascii="Arial" w:cs="Arial" w:eastAsia="Arial" w:hAnsi="Arial"/>
          <w:sz w:val="16"/>
          <w:szCs w:val="16"/>
          <w:b w:val="1"/>
          <w:bCs w:val="1"/>
          <w:color w:val="53C072"/>
        </w:rPr>
        <w:t xml:space="preserve"> </w:t>
      </w:r>
      <w:r>
        <w:rPr>
          <w:rFonts w:ascii="Arial" w:cs="Arial" w:eastAsia="Arial" w:hAnsi="Arial"/>
          <w:sz w:val="16"/>
          <w:szCs w:val="16"/>
          <w:color w:val="000000"/>
        </w:rPr>
        <w:t>price over a fixed period of time. Stock options granted in fiscal 2020 vest in four equal annual installments over a four-year period, and the vested portion can generally be exercised during a ten-year term. The exercise price is equal to the closing share price of the Company's common stock on the date of grant. Stock options provide the opportunity for compensation only if the stock price appreciates from the date of grant.</w:t>
      </w:r>
    </w:p>
    <w:p>
      <w:pPr>
        <w:spacing w:after="0" w:line="156" w:lineRule="exact"/>
        <w:rPr>
          <w:sz w:val="20"/>
          <w:szCs w:val="20"/>
          <w:color w:val="auto"/>
        </w:rPr>
      </w:pPr>
    </w:p>
    <w:p>
      <w:pPr>
        <w:ind w:left="3" w:right="160"/>
        <w:spacing w:after="0" w:line="247" w:lineRule="auto"/>
        <w:rPr>
          <w:sz w:val="20"/>
          <w:szCs w:val="20"/>
          <w:color w:val="auto"/>
        </w:rPr>
      </w:pPr>
      <w:r>
        <w:rPr>
          <w:rFonts w:ascii="Arial" w:cs="Arial" w:eastAsia="Arial" w:hAnsi="Arial"/>
          <w:sz w:val="16"/>
          <w:szCs w:val="16"/>
          <w:b w:val="1"/>
          <w:bCs w:val="1"/>
          <w:color w:val="53C072"/>
        </w:rPr>
        <w:t xml:space="preserve">Performance Share Units. </w:t>
      </w:r>
      <w:r>
        <w:rPr>
          <w:rFonts w:ascii="Arial" w:cs="Arial" w:eastAsia="Arial" w:hAnsi="Arial"/>
          <w:sz w:val="16"/>
          <w:szCs w:val="16"/>
          <w:color w:val="000000"/>
        </w:rPr>
        <w:t>PSUs provide the NEOs the opportunity to earn shares of the Company's common stock based on the achievement of pre-approved performance metrics over a three-year performance period. Each PSU is the economic equivalent of one share of the Company's common stock. If earned and vested, the number of PSUs will be settled in a like number of shares of the Company's common stock. PSUs granted in fiscal 2020 vest at the end of the performance period ending July 2, 2022 based on the Company's achievement of cumulative earnings per share ("Cumulative EPS") performance goals, with payout subject to a relative TSR ("rTSR") modifier. Based upon the Company's achieved</w:t>
      </w:r>
    </w:p>
    <w:p>
      <w:pPr>
        <w:spacing w:after="0" w:line="131" w:lineRule="exact"/>
        <w:rPr>
          <w:sz w:val="20"/>
          <w:szCs w:val="20"/>
          <w:color w:val="auto"/>
        </w:rPr>
      </w:pPr>
    </w:p>
    <w:p>
      <w:pPr>
        <w:jc w:val="both"/>
        <w:ind w:left="10723"/>
        <w:spacing w:after="0"/>
        <w:tabs>
          <w:tab w:leader="none" w:pos="11062" w:val="left"/>
        </w:tabs>
        <w:rPr>
          <w:sz w:val="20"/>
          <w:szCs w:val="20"/>
          <w:color w:val="auto"/>
        </w:rPr>
      </w:pPr>
      <w:r>
        <w:rPr>
          <w:rFonts w:ascii="Arial" w:cs="Arial" w:eastAsia="Arial" w:hAnsi="Arial"/>
          <w:sz w:val="23"/>
          <w:szCs w:val="23"/>
          <w:b w:val="1"/>
          <w:bCs w:val="1"/>
          <w:color w:val="53C072"/>
        </w:rPr>
        <w:t>|</w:t>
      </w:r>
      <w:r>
        <w:rPr>
          <w:sz w:val="20"/>
          <w:szCs w:val="20"/>
          <w:color w:val="auto"/>
        </w:rPr>
        <w:tab/>
      </w: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7151370" cy="203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-130175</wp:posOffset>
            </wp:positionV>
            <wp:extent cx="1664970" cy="1231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3"/>
          </w:cols>
          <w:pgMar w:left="317" w:top="122" w:right="3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13"/>
        </w:trPr>
        <w:tc>
          <w:tcPr>
            <w:tcW w:w="512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6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12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6140" w:type="dxa"/>
            <w:vAlign w:val="bottom"/>
            <w:vMerge w:val="restart"/>
          </w:tcPr>
          <w:p>
            <w:pPr>
              <w:ind w:left="3880"/>
              <w:spacing w:after="0"/>
              <w:rPr>
                <w:sz w:val="20"/>
                <w:szCs w:val="20"/>
                <w:color w:val="auto"/>
              </w:rPr>
            </w:pPr>
            <w:r>
              <w:rPr>
                <w:rFonts w:ascii="Arial" w:cs="Arial" w:eastAsia="Arial" w:hAnsi="Arial"/>
                <w:sz w:val="13"/>
                <w:szCs w:val="13"/>
                <w:color w:val="auto"/>
                <w:w w:val="98"/>
              </w:rPr>
              <w:t>Compensation Discussion and Analysis</w:t>
            </w:r>
          </w:p>
        </w:tc>
        <w:tc>
          <w:tcPr>
            <w:tcW w:w="0" w:type="dxa"/>
            <w:vAlign w:val="bottom"/>
          </w:tcPr>
          <w:p>
            <w:pPr>
              <w:spacing w:after="0"/>
              <w:rPr>
                <w:sz w:val="1"/>
                <w:szCs w:val="1"/>
                <w:color w:val="auto"/>
              </w:rPr>
            </w:pPr>
          </w:p>
        </w:tc>
      </w:tr>
      <w:tr>
        <w:trPr>
          <w:trHeight w:val="102"/>
        </w:trPr>
        <w:tc>
          <w:tcPr>
            <w:tcW w:w="512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6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120" w:type="dxa"/>
            <w:vAlign w:val="bottom"/>
            <w:vMerge w:val="continue"/>
          </w:tcPr>
          <w:p>
            <w:pPr>
              <w:spacing w:after="0"/>
              <w:rPr>
                <w:sz w:val="7"/>
                <w:szCs w:val="7"/>
                <w:color w:val="auto"/>
              </w:rPr>
            </w:pPr>
          </w:p>
        </w:tc>
        <w:tc>
          <w:tcPr>
            <w:tcW w:w="6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Cumulative EPS and the effect of the rTSR modifier, the potential payout will range from 0% to 200% of the NEO's target number of PSUs.</w:t>
      </w:r>
    </w:p>
    <w:p>
      <w:pPr>
        <w:spacing w:after="0" w:line="192"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The Compensation Committee selected Cumulative EPS as a measure of long-term performance because it is driven by effective profitability and balance sheet management, and is a key factor in creating shareholder value. In addition, the use of the rTSR modifier promotes a closer alignment between long-term incentive payments and shareholder returns delivered during the three-year performance period.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the fiscal 2020 PSU awards:</w:t>
      </w:r>
    </w:p>
    <w:p>
      <w:pPr>
        <w:spacing w:after="0" w:line="192" w:lineRule="exact"/>
        <w:rPr>
          <w:sz w:val="20"/>
          <w:szCs w:val="20"/>
          <w:color w:val="auto"/>
        </w:rPr>
      </w:pPr>
    </w:p>
    <w:p>
      <w:pPr>
        <w:ind w:left="960" w:right="180" w:hanging="477"/>
        <w:spacing w:after="0" w:line="275" w:lineRule="auto"/>
        <w:tabs>
          <w:tab w:leader="none" w:pos="960" w:val="left"/>
        </w:tabs>
        <w:numPr>
          <w:ilvl w:val="0"/>
          <w:numId w:val="53"/>
        </w:numPr>
        <w:rPr>
          <w:rFonts w:ascii="Arial" w:cs="Arial" w:eastAsia="Arial" w:hAnsi="Arial"/>
          <w:sz w:val="16"/>
          <w:szCs w:val="16"/>
          <w:color w:val="53C072"/>
        </w:rPr>
      </w:pPr>
      <w:r>
        <w:rPr>
          <w:rFonts w:ascii="Arial" w:cs="Arial" w:eastAsia="Arial" w:hAnsi="Arial"/>
          <w:sz w:val="16"/>
          <w:szCs w:val="16"/>
          <w:color w:val="auto"/>
        </w:rPr>
        <w:t>"Cumulative EPS" means the sum of the Company's adjusted diluted earnings per share for the fiscal years during the PSU's performance period as reported in the Company's financial reports filed with the US Securities &amp; Exchange Commission.</w:t>
      </w:r>
    </w:p>
    <w:p>
      <w:pPr>
        <w:spacing w:after="0" w:line="140" w:lineRule="exact"/>
        <w:rPr>
          <w:rFonts w:ascii="Arial" w:cs="Arial" w:eastAsia="Arial" w:hAnsi="Arial"/>
          <w:sz w:val="16"/>
          <w:szCs w:val="16"/>
          <w:color w:val="53C072"/>
        </w:rPr>
      </w:pPr>
    </w:p>
    <w:p>
      <w:pPr>
        <w:ind w:left="960" w:right="260" w:hanging="477"/>
        <w:spacing w:after="0" w:line="186" w:lineRule="auto"/>
        <w:tabs>
          <w:tab w:leader="none" w:pos="960" w:val="left"/>
        </w:tabs>
        <w:numPr>
          <w:ilvl w:val="0"/>
          <w:numId w:val="53"/>
        </w:numPr>
        <w:rPr>
          <w:rFonts w:ascii="Arial" w:cs="Arial" w:eastAsia="Arial" w:hAnsi="Arial"/>
          <w:sz w:val="32"/>
          <w:szCs w:val="32"/>
          <w:color w:val="53C072"/>
          <w:vertAlign w:val="superscript"/>
        </w:rPr>
      </w:pPr>
      <w:r>
        <w:rPr>
          <w:rFonts w:ascii="Arial" w:cs="Arial" w:eastAsia="Arial" w:hAnsi="Arial"/>
          <w:sz w:val="16"/>
          <w:szCs w:val="16"/>
          <w:color w:val="auto"/>
        </w:rPr>
        <w:t>"rTSR" means the percentile rank (from zero percentile for the lowest to 100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for the highest) of the Company's TSR compared to the individual TSR of each company in the S&amp;P MidCap400 Information Technology Index over the three-year performance period.</w:t>
      </w:r>
    </w:p>
    <w:p>
      <w:pPr>
        <w:spacing w:after="0" w:line="151" w:lineRule="exact"/>
        <w:rPr>
          <w:rFonts w:ascii="Arial" w:cs="Arial" w:eastAsia="Arial" w:hAnsi="Arial"/>
          <w:sz w:val="32"/>
          <w:szCs w:val="32"/>
          <w:color w:val="53C072"/>
          <w:vertAlign w:val="superscript"/>
        </w:rPr>
      </w:pPr>
    </w:p>
    <w:p>
      <w:pPr>
        <w:ind w:left="960" w:right="100" w:hanging="477"/>
        <w:spacing w:after="0" w:line="250" w:lineRule="auto"/>
        <w:tabs>
          <w:tab w:leader="none" w:pos="960" w:val="left"/>
        </w:tabs>
        <w:numPr>
          <w:ilvl w:val="0"/>
          <w:numId w:val="53"/>
        </w:numPr>
        <w:rPr>
          <w:rFonts w:ascii="Arial" w:cs="Arial" w:eastAsia="Arial" w:hAnsi="Arial"/>
          <w:sz w:val="16"/>
          <w:szCs w:val="16"/>
          <w:color w:val="53C072"/>
        </w:rPr>
      </w:pPr>
      <w:r>
        <w:rPr>
          <w:rFonts w:ascii="Arial" w:cs="Arial" w:eastAsia="Arial" w:hAnsi="Arial"/>
          <w:sz w:val="16"/>
          <w:szCs w:val="16"/>
          <w:color w:val="auto"/>
        </w:rPr>
        <w:t>"Total Shareholder Return" (or "TSR") means the percent calculated using the following formula: "average stock price" at the end of period minus the average stock price at the start of period plus dividends, divided by the average stock price at the start of period. The term "average stock price" means the 30-trading day average immediately before and including the start day of the performance period and the 30-trading day average immediately before and including the end day of the performance period.</w:t>
      </w:r>
    </w:p>
    <w:p>
      <w:pPr>
        <w:spacing w:after="0" w:line="156"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Compensation Committee selected the S&amp;P MidCap400 Information Technology Index as the comparator group because the group includes companies with whom the Company competes for investor dollars and the group's composition has shown relative stability over an extended period.</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For fiscal 2020 PSUs, the financial performance metrics, goals and methods for calculation are presented in the table below:</w:t>
      </w:r>
    </w:p>
    <w:p>
      <w:pPr>
        <w:spacing w:after="0" w:line="190" w:lineRule="exact"/>
        <w:rPr>
          <w:sz w:val="20"/>
          <w:szCs w:val="20"/>
          <w:color w:val="auto"/>
        </w:rPr>
      </w:pPr>
    </w:p>
    <w:tbl>
      <w:tblPr>
        <w:tblLayout w:type="fixed"/>
        <w:tblInd w:w="1130" w:type="dxa"/>
        <w:tblCellMar>
          <w:top w:w="0" w:type="dxa"/>
          <w:left w:w="0" w:type="dxa"/>
          <w:bottom w:w="0" w:type="dxa"/>
          <w:right w:w="0" w:type="dxa"/>
        </w:tblCellMar>
      </w:tblPr>
      <w:tr>
        <w:trPr>
          <w:trHeight w:val="194"/>
        </w:trPr>
        <w:tc>
          <w:tcPr>
            <w:tcW w:w="3120" w:type="dxa"/>
            <w:vAlign w:val="bottom"/>
            <w:tcBorders>
              <w:top w:val="single" w:sz="8" w:color="53C072"/>
              <w:left w:val="single" w:sz="8" w:color="53C072"/>
            </w:tcBorders>
            <w:shd w:val="clear" w:color="auto" w:fill="E8F5EA"/>
          </w:tcPr>
          <w:p>
            <w:pPr>
              <w:ind w:left="300"/>
              <w:spacing w:after="0"/>
              <w:rPr>
                <w:sz w:val="20"/>
                <w:szCs w:val="20"/>
                <w:color w:val="auto"/>
              </w:rPr>
            </w:pPr>
            <w:r>
              <w:rPr>
                <w:rFonts w:ascii="Arial" w:cs="Arial" w:eastAsia="Arial" w:hAnsi="Arial"/>
                <w:sz w:val="16"/>
                <w:szCs w:val="16"/>
                <w:b w:val="1"/>
                <w:bCs w:val="1"/>
                <w:color w:val="auto"/>
              </w:rPr>
              <w:t>Cumulative EPS</w:t>
            </w:r>
          </w:p>
        </w:tc>
        <w:tc>
          <w:tcPr>
            <w:tcW w:w="1820" w:type="dxa"/>
            <w:vAlign w:val="bottom"/>
            <w:tcBorders>
              <w:top w:val="single" w:sz="8" w:color="53C072"/>
            </w:tcBorders>
            <w:shd w:val="clear" w:color="auto" w:fill="E8F5EA"/>
          </w:tcPr>
          <w:p>
            <w:pPr>
              <w:spacing w:after="0"/>
              <w:rPr>
                <w:sz w:val="16"/>
                <w:szCs w:val="16"/>
                <w:color w:val="auto"/>
              </w:rPr>
            </w:pPr>
          </w:p>
        </w:tc>
        <w:tc>
          <w:tcPr>
            <w:tcW w:w="800" w:type="dxa"/>
            <w:vAlign w:val="bottom"/>
            <w:tcBorders>
              <w:top w:val="single" w:sz="8" w:color="53C072"/>
            </w:tcBorders>
            <w:shd w:val="clear" w:color="auto" w:fill="E8F5EA"/>
          </w:tcPr>
          <w:p>
            <w:pPr>
              <w:spacing w:after="0"/>
              <w:rPr>
                <w:sz w:val="16"/>
                <w:szCs w:val="16"/>
                <w:color w:val="auto"/>
              </w:rPr>
            </w:pPr>
          </w:p>
        </w:tc>
        <w:tc>
          <w:tcPr>
            <w:tcW w:w="940" w:type="dxa"/>
            <w:vAlign w:val="bottom"/>
            <w:tcBorders>
              <w:top w:val="single" w:sz="8" w:color="53C072"/>
            </w:tcBorders>
            <w:shd w:val="clear" w:color="auto" w:fill="E8F5EA"/>
          </w:tcPr>
          <w:p>
            <w:pPr>
              <w:spacing w:after="0"/>
              <w:rPr>
                <w:sz w:val="16"/>
                <w:szCs w:val="16"/>
                <w:color w:val="auto"/>
              </w:rPr>
            </w:pPr>
          </w:p>
        </w:tc>
        <w:tc>
          <w:tcPr>
            <w:tcW w:w="1180" w:type="dxa"/>
            <w:vAlign w:val="bottom"/>
            <w:tcBorders>
              <w:top w:val="single" w:sz="8" w:color="53C072"/>
            </w:tcBorders>
            <w:shd w:val="clear" w:color="auto" w:fill="E8F5EA"/>
          </w:tcPr>
          <w:p>
            <w:pPr>
              <w:spacing w:after="0"/>
              <w:rPr>
                <w:sz w:val="16"/>
                <w:szCs w:val="16"/>
                <w:color w:val="auto"/>
              </w:rPr>
            </w:pPr>
          </w:p>
        </w:tc>
        <w:tc>
          <w:tcPr>
            <w:tcW w:w="1120" w:type="dxa"/>
            <w:vAlign w:val="bottom"/>
            <w:tcBorders>
              <w:top w:val="single" w:sz="8" w:color="53C072"/>
              <w:right w:val="single" w:sz="8" w:color="53C072"/>
            </w:tcBorders>
            <w:vMerge w:val="restart"/>
            <w:shd w:val="clear" w:color="auto" w:fill="E8F5EA"/>
          </w:tcPr>
          <w:p>
            <w:pPr>
              <w:jc w:val="right"/>
              <w:ind w:right="221"/>
              <w:spacing w:after="0"/>
              <w:rPr>
                <w:sz w:val="20"/>
                <w:szCs w:val="20"/>
                <w:color w:val="auto"/>
              </w:rPr>
            </w:pPr>
            <w:r>
              <w:rPr>
                <w:rFonts w:ascii="Times New Roman" w:cs="Times New Roman" w:eastAsia="Times New Roman" w:hAnsi="Times New Roman"/>
                <w:sz w:val="16"/>
                <w:szCs w:val="16"/>
                <w:color w:val="auto"/>
              </w:rPr>
              <w:t>³</w:t>
            </w:r>
            <w:r>
              <w:rPr>
                <w:rFonts w:ascii="Arial" w:cs="Arial" w:eastAsia="Arial" w:hAnsi="Arial"/>
                <w:sz w:val="16"/>
                <w:szCs w:val="16"/>
                <w:color w:val="auto"/>
              </w:rPr>
              <w:t>$16.09</w:t>
            </w:r>
          </w:p>
        </w:tc>
        <w:tc>
          <w:tcPr>
            <w:tcW w:w="0" w:type="dxa"/>
            <w:vAlign w:val="bottom"/>
          </w:tcPr>
          <w:p>
            <w:pPr>
              <w:spacing w:after="0"/>
              <w:rPr>
                <w:sz w:val="1"/>
                <w:szCs w:val="1"/>
                <w:color w:val="auto"/>
              </w:rPr>
            </w:pPr>
          </w:p>
        </w:tc>
      </w:tr>
      <w:tr>
        <w:trPr>
          <w:trHeight w:val="194"/>
        </w:trPr>
        <w:tc>
          <w:tcPr>
            <w:tcW w:w="3120" w:type="dxa"/>
            <w:vAlign w:val="bottom"/>
            <w:tcBorders>
              <w:left w:val="single" w:sz="8" w:color="53C072"/>
            </w:tcBorders>
            <w:shd w:val="clear" w:color="auto" w:fill="E8F5EA"/>
          </w:tcPr>
          <w:p>
            <w:pPr>
              <w:ind w:left="300"/>
              <w:spacing w:after="0"/>
              <w:rPr>
                <w:sz w:val="20"/>
                <w:szCs w:val="20"/>
                <w:color w:val="auto"/>
              </w:rPr>
            </w:pPr>
            <w:r>
              <w:rPr>
                <w:rFonts w:ascii="Arial" w:cs="Arial" w:eastAsia="Arial" w:hAnsi="Arial"/>
                <w:sz w:val="16"/>
                <w:szCs w:val="16"/>
                <w:color w:val="auto"/>
              </w:rPr>
              <w:t>Cumulative EPS</w:t>
            </w:r>
          </w:p>
        </w:tc>
        <w:tc>
          <w:tcPr>
            <w:tcW w:w="1820" w:type="dxa"/>
            <w:vAlign w:val="bottom"/>
            <w:shd w:val="clear" w:color="auto" w:fill="E8F5EA"/>
          </w:tcPr>
          <w:p>
            <w:pPr>
              <w:jc w:val="right"/>
              <w:ind w:right="81"/>
              <w:spacing w:after="0"/>
              <w:rPr>
                <w:sz w:val="20"/>
                <w:szCs w:val="20"/>
                <w:color w:val="auto"/>
              </w:rPr>
            </w:pPr>
            <w:r>
              <w:rPr>
                <w:rFonts w:ascii="Arial" w:cs="Arial" w:eastAsia="Arial" w:hAnsi="Arial"/>
                <w:sz w:val="16"/>
                <w:szCs w:val="16"/>
                <w:color w:val="auto"/>
              </w:rPr>
              <w:t>&lt;$10.30</w:t>
            </w:r>
          </w:p>
        </w:tc>
        <w:tc>
          <w:tcPr>
            <w:tcW w:w="800" w:type="dxa"/>
            <w:vAlign w:val="bottom"/>
            <w:shd w:val="clear" w:color="auto" w:fill="E8F5EA"/>
          </w:tcPr>
          <w:p>
            <w:pPr>
              <w:jc w:val="right"/>
              <w:ind w:right="81"/>
              <w:spacing w:after="0"/>
              <w:rPr>
                <w:sz w:val="20"/>
                <w:szCs w:val="20"/>
                <w:color w:val="auto"/>
              </w:rPr>
            </w:pPr>
            <w:r>
              <w:rPr>
                <w:rFonts w:ascii="Arial" w:cs="Arial" w:eastAsia="Arial" w:hAnsi="Arial"/>
                <w:sz w:val="16"/>
                <w:szCs w:val="16"/>
                <w:color w:val="auto"/>
              </w:rPr>
              <w:t>$10.30</w:t>
            </w:r>
          </w:p>
        </w:tc>
        <w:tc>
          <w:tcPr>
            <w:tcW w:w="940" w:type="dxa"/>
            <w:vAlign w:val="bottom"/>
            <w:shd w:val="clear" w:color="auto" w:fill="E8F5EA"/>
          </w:tcPr>
          <w:p>
            <w:pPr>
              <w:jc w:val="right"/>
              <w:ind w:right="221"/>
              <w:spacing w:after="0"/>
              <w:rPr>
                <w:sz w:val="20"/>
                <w:szCs w:val="20"/>
                <w:color w:val="auto"/>
              </w:rPr>
            </w:pPr>
            <w:r>
              <w:rPr>
                <w:rFonts w:ascii="Arial" w:cs="Arial" w:eastAsia="Arial" w:hAnsi="Arial"/>
                <w:sz w:val="16"/>
                <w:szCs w:val="16"/>
                <w:color w:val="auto"/>
              </w:rPr>
              <w:t>$12.87</w:t>
            </w:r>
          </w:p>
        </w:tc>
        <w:tc>
          <w:tcPr>
            <w:tcW w:w="1180" w:type="dxa"/>
            <w:vAlign w:val="bottom"/>
            <w:shd w:val="clear" w:color="auto" w:fill="E8F5EA"/>
          </w:tcPr>
          <w:p>
            <w:pPr>
              <w:jc w:val="right"/>
              <w:ind w:right="201"/>
              <w:spacing w:after="0"/>
              <w:rPr>
                <w:sz w:val="20"/>
                <w:szCs w:val="20"/>
                <w:color w:val="auto"/>
              </w:rPr>
            </w:pPr>
            <w:r>
              <w:rPr>
                <w:rFonts w:ascii="Arial" w:cs="Arial" w:eastAsia="Arial" w:hAnsi="Arial"/>
                <w:sz w:val="16"/>
                <w:szCs w:val="16"/>
                <w:color w:val="auto"/>
              </w:rPr>
              <w:t>$14.48</w:t>
            </w:r>
          </w:p>
        </w:tc>
        <w:tc>
          <w:tcPr>
            <w:tcW w:w="1120" w:type="dxa"/>
            <w:vAlign w:val="bottom"/>
            <w:tcBorders>
              <w:right w:val="single" w:sz="8" w:color="53C072"/>
            </w:tcBorders>
            <w:vMerge w:val="continue"/>
            <w:shd w:val="clear" w:color="auto" w:fill="E8F5EA"/>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120" w:type="dxa"/>
            <w:vAlign w:val="bottom"/>
            <w:tcBorders>
              <w:left w:val="single" w:sz="8" w:color="53C072"/>
              <w:bottom w:val="single" w:sz="8" w:color="53C072"/>
            </w:tcBorders>
          </w:tcPr>
          <w:p>
            <w:pPr>
              <w:ind w:left="300"/>
              <w:spacing w:after="0" w:line="182" w:lineRule="exact"/>
              <w:rPr>
                <w:sz w:val="20"/>
                <w:szCs w:val="20"/>
                <w:color w:val="auto"/>
              </w:rPr>
            </w:pPr>
            <w:r>
              <w:rPr>
                <w:rFonts w:ascii="Arial" w:cs="Arial" w:eastAsia="Arial" w:hAnsi="Arial"/>
                <w:sz w:val="16"/>
                <w:szCs w:val="16"/>
                <w:color w:val="auto"/>
              </w:rPr>
              <w:t>Payout Percent of Target</w:t>
            </w:r>
          </w:p>
        </w:tc>
        <w:tc>
          <w:tcPr>
            <w:tcW w:w="1820" w:type="dxa"/>
            <w:vAlign w:val="bottom"/>
            <w:tcBorders>
              <w:bottom w:val="single" w:sz="8" w:color="53C072"/>
            </w:tcBorders>
          </w:tcPr>
          <w:p>
            <w:pPr>
              <w:jc w:val="right"/>
              <w:ind w:right="81"/>
              <w:spacing w:after="0" w:line="182" w:lineRule="exact"/>
              <w:rPr>
                <w:sz w:val="20"/>
                <w:szCs w:val="20"/>
                <w:color w:val="auto"/>
              </w:rPr>
            </w:pPr>
            <w:r>
              <w:rPr>
                <w:rFonts w:ascii="Arial" w:cs="Arial" w:eastAsia="Arial" w:hAnsi="Arial"/>
                <w:sz w:val="16"/>
                <w:szCs w:val="16"/>
                <w:color w:val="auto"/>
              </w:rPr>
              <w:t>0%</w:t>
            </w:r>
          </w:p>
        </w:tc>
        <w:tc>
          <w:tcPr>
            <w:tcW w:w="800" w:type="dxa"/>
            <w:vAlign w:val="bottom"/>
            <w:tcBorders>
              <w:bottom w:val="single" w:sz="8" w:color="53C072"/>
            </w:tcBorders>
          </w:tcPr>
          <w:p>
            <w:pPr>
              <w:jc w:val="right"/>
              <w:ind w:right="81"/>
              <w:spacing w:after="0" w:line="182" w:lineRule="exact"/>
              <w:rPr>
                <w:sz w:val="20"/>
                <w:szCs w:val="20"/>
                <w:color w:val="auto"/>
              </w:rPr>
            </w:pPr>
            <w:r>
              <w:rPr>
                <w:rFonts w:ascii="Arial" w:cs="Arial" w:eastAsia="Arial" w:hAnsi="Arial"/>
                <w:sz w:val="16"/>
                <w:szCs w:val="16"/>
                <w:color w:val="auto"/>
              </w:rPr>
              <w:t>40%</w:t>
            </w:r>
          </w:p>
        </w:tc>
        <w:tc>
          <w:tcPr>
            <w:tcW w:w="940" w:type="dxa"/>
            <w:vAlign w:val="bottom"/>
            <w:tcBorders>
              <w:bottom w:val="single" w:sz="8" w:color="53C072"/>
            </w:tcBorders>
          </w:tcPr>
          <w:p>
            <w:pPr>
              <w:jc w:val="right"/>
              <w:ind w:right="221"/>
              <w:spacing w:after="0" w:line="182" w:lineRule="exact"/>
              <w:rPr>
                <w:sz w:val="20"/>
                <w:szCs w:val="20"/>
                <w:color w:val="auto"/>
              </w:rPr>
            </w:pPr>
            <w:r>
              <w:rPr>
                <w:rFonts w:ascii="Arial" w:cs="Arial" w:eastAsia="Arial" w:hAnsi="Arial"/>
                <w:sz w:val="16"/>
                <w:szCs w:val="16"/>
                <w:color w:val="auto"/>
              </w:rPr>
              <w:t>100%</w:t>
            </w:r>
          </w:p>
        </w:tc>
        <w:tc>
          <w:tcPr>
            <w:tcW w:w="1180" w:type="dxa"/>
            <w:vAlign w:val="bottom"/>
            <w:tcBorders>
              <w:bottom w:val="single" w:sz="8" w:color="53C072"/>
            </w:tcBorders>
          </w:tcPr>
          <w:p>
            <w:pPr>
              <w:jc w:val="right"/>
              <w:ind w:right="201"/>
              <w:spacing w:after="0" w:line="182" w:lineRule="exact"/>
              <w:rPr>
                <w:sz w:val="20"/>
                <w:szCs w:val="20"/>
                <w:color w:val="auto"/>
              </w:rPr>
            </w:pPr>
            <w:r>
              <w:rPr>
                <w:rFonts w:ascii="Arial" w:cs="Arial" w:eastAsia="Arial" w:hAnsi="Arial"/>
                <w:sz w:val="16"/>
                <w:szCs w:val="16"/>
                <w:color w:val="auto"/>
              </w:rPr>
              <w:t>150%</w:t>
            </w:r>
          </w:p>
        </w:tc>
        <w:tc>
          <w:tcPr>
            <w:tcW w:w="1120" w:type="dxa"/>
            <w:vAlign w:val="bottom"/>
            <w:tcBorders>
              <w:bottom w:val="single" w:sz="8" w:color="53C072"/>
              <w:right w:val="single" w:sz="8" w:color="53C072"/>
            </w:tcBorders>
          </w:tcPr>
          <w:p>
            <w:pPr>
              <w:jc w:val="right"/>
              <w:ind w:right="221"/>
              <w:spacing w:after="0" w:line="182" w:lineRule="exact"/>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74"/>
        </w:trPr>
        <w:tc>
          <w:tcPr>
            <w:tcW w:w="3120" w:type="dxa"/>
            <w:vAlign w:val="bottom"/>
            <w:tcBorders>
              <w:left w:val="single" w:sz="8" w:color="53C072"/>
            </w:tcBorders>
            <w:shd w:val="clear" w:color="auto" w:fill="E8F5EA"/>
          </w:tcPr>
          <w:p>
            <w:pPr>
              <w:ind w:left="300"/>
              <w:spacing w:after="0" w:line="175" w:lineRule="exact"/>
              <w:rPr>
                <w:sz w:val="20"/>
                <w:szCs w:val="20"/>
                <w:color w:val="auto"/>
              </w:rPr>
            </w:pPr>
            <w:r>
              <w:rPr>
                <w:rFonts w:ascii="Arial" w:cs="Arial" w:eastAsia="Arial" w:hAnsi="Arial"/>
                <w:sz w:val="16"/>
                <w:szCs w:val="16"/>
                <w:b w:val="1"/>
                <w:bCs w:val="1"/>
                <w:color w:val="auto"/>
              </w:rPr>
              <w:t>Relative TSR</w:t>
            </w:r>
          </w:p>
        </w:tc>
        <w:tc>
          <w:tcPr>
            <w:tcW w:w="1820" w:type="dxa"/>
            <w:vAlign w:val="bottom"/>
            <w:shd w:val="clear" w:color="auto" w:fill="E8F5EA"/>
          </w:tcPr>
          <w:p>
            <w:pPr>
              <w:spacing w:after="0"/>
              <w:rPr>
                <w:sz w:val="15"/>
                <w:szCs w:val="15"/>
                <w:color w:val="auto"/>
              </w:rPr>
            </w:pPr>
          </w:p>
        </w:tc>
        <w:tc>
          <w:tcPr>
            <w:tcW w:w="800" w:type="dxa"/>
            <w:vAlign w:val="bottom"/>
            <w:shd w:val="clear" w:color="auto" w:fill="E8F5EA"/>
          </w:tcPr>
          <w:p>
            <w:pPr>
              <w:spacing w:after="0"/>
              <w:rPr>
                <w:sz w:val="15"/>
                <w:szCs w:val="15"/>
                <w:color w:val="auto"/>
              </w:rPr>
            </w:pPr>
          </w:p>
        </w:tc>
        <w:tc>
          <w:tcPr>
            <w:tcW w:w="940" w:type="dxa"/>
            <w:vAlign w:val="bottom"/>
            <w:shd w:val="clear" w:color="auto" w:fill="E8F5EA"/>
          </w:tcPr>
          <w:p>
            <w:pPr>
              <w:spacing w:after="0"/>
              <w:rPr>
                <w:sz w:val="15"/>
                <w:szCs w:val="15"/>
                <w:color w:val="auto"/>
              </w:rPr>
            </w:pPr>
          </w:p>
        </w:tc>
        <w:tc>
          <w:tcPr>
            <w:tcW w:w="1180" w:type="dxa"/>
            <w:vAlign w:val="bottom"/>
            <w:shd w:val="clear" w:color="auto" w:fill="E8F5EA"/>
          </w:tcPr>
          <w:p>
            <w:pPr>
              <w:spacing w:after="0"/>
              <w:rPr>
                <w:sz w:val="15"/>
                <w:szCs w:val="15"/>
                <w:color w:val="auto"/>
              </w:rPr>
            </w:pPr>
          </w:p>
        </w:tc>
        <w:tc>
          <w:tcPr>
            <w:tcW w:w="1120" w:type="dxa"/>
            <w:vAlign w:val="bottom"/>
            <w:tcBorders>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120" w:type="dxa"/>
            <w:vAlign w:val="bottom"/>
            <w:tcBorders>
              <w:left w:val="single" w:sz="8" w:color="53C072"/>
            </w:tcBorders>
          </w:tcPr>
          <w:p>
            <w:pPr>
              <w:ind w:left="300"/>
              <w:spacing w:after="0"/>
              <w:rPr>
                <w:sz w:val="20"/>
                <w:szCs w:val="20"/>
                <w:color w:val="auto"/>
              </w:rPr>
            </w:pPr>
            <w:r>
              <w:rPr>
                <w:rFonts w:ascii="Arial" w:cs="Arial" w:eastAsia="Arial" w:hAnsi="Arial"/>
                <w:sz w:val="16"/>
                <w:szCs w:val="16"/>
                <w:color w:val="auto"/>
              </w:rPr>
              <w:t>Percentile Rank</w:t>
            </w:r>
          </w:p>
        </w:tc>
        <w:tc>
          <w:tcPr>
            <w:tcW w:w="18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30%ile</w:t>
            </w:r>
          </w:p>
        </w:tc>
        <w:tc>
          <w:tcPr>
            <w:tcW w:w="1740" w:type="dxa"/>
            <w:vAlign w:val="bottom"/>
            <w:gridSpan w:val="2"/>
          </w:tcPr>
          <w:p>
            <w:pPr>
              <w:jc w:val="right"/>
              <w:ind w:right="641"/>
              <w:spacing w:after="0"/>
              <w:rPr>
                <w:sz w:val="20"/>
                <w:szCs w:val="20"/>
                <w:color w:val="auto"/>
              </w:rPr>
            </w:pPr>
            <w:r>
              <w:rPr>
                <w:rFonts w:ascii="Arial" w:cs="Arial" w:eastAsia="Arial" w:hAnsi="Arial"/>
                <w:sz w:val="16"/>
                <w:szCs w:val="16"/>
                <w:color w:val="auto"/>
              </w:rPr>
              <w:t>50%ile</w:t>
            </w:r>
          </w:p>
        </w:tc>
        <w:tc>
          <w:tcPr>
            <w:tcW w:w="11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³</w:t>
            </w:r>
            <w:r>
              <w:rPr>
                <w:rFonts w:ascii="Arial" w:cs="Arial" w:eastAsia="Arial" w:hAnsi="Arial"/>
                <w:sz w:val="16"/>
                <w:szCs w:val="16"/>
                <w:color w:val="auto"/>
              </w:rPr>
              <w:t>75%ile+</w:t>
            </w:r>
          </w:p>
        </w:tc>
        <w:tc>
          <w:tcPr>
            <w:tcW w:w="1120" w:type="dxa"/>
            <w:vAlign w:val="bottom"/>
            <w:tcBorders>
              <w:right w:val="single" w:sz="8" w:color="53C072"/>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120" w:type="dxa"/>
            <w:vAlign w:val="bottom"/>
            <w:tcBorders>
              <w:left w:val="single" w:sz="8" w:color="53C072"/>
              <w:bottom w:val="single" w:sz="8" w:color="53C072"/>
            </w:tcBorders>
            <w:shd w:val="clear" w:color="auto" w:fill="E8F5EA"/>
          </w:tcPr>
          <w:p>
            <w:pPr>
              <w:ind w:left="300"/>
              <w:spacing w:after="0" w:line="182" w:lineRule="exact"/>
              <w:rPr>
                <w:sz w:val="20"/>
                <w:szCs w:val="20"/>
                <w:color w:val="auto"/>
              </w:rPr>
            </w:pPr>
            <w:r>
              <w:rPr>
                <w:rFonts w:ascii="Arial" w:cs="Arial" w:eastAsia="Arial" w:hAnsi="Arial"/>
                <w:sz w:val="16"/>
                <w:szCs w:val="16"/>
                <w:color w:val="auto"/>
              </w:rPr>
              <w:t>Payout Percent of Target</w:t>
            </w:r>
          </w:p>
        </w:tc>
        <w:tc>
          <w:tcPr>
            <w:tcW w:w="1820" w:type="dxa"/>
            <w:vAlign w:val="bottom"/>
            <w:tcBorders>
              <w:bottom w:val="single" w:sz="8" w:color="53C072"/>
            </w:tcBorders>
            <w:shd w:val="clear" w:color="auto" w:fill="E8F5EA"/>
          </w:tcPr>
          <w:p>
            <w:pPr>
              <w:jc w:val="right"/>
              <w:ind w:right="81"/>
              <w:spacing w:after="0" w:line="182" w:lineRule="exact"/>
              <w:rPr>
                <w:sz w:val="20"/>
                <w:szCs w:val="20"/>
                <w:color w:val="auto"/>
              </w:rPr>
            </w:pPr>
            <w:r>
              <w:rPr>
                <w:rFonts w:ascii="Arial" w:cs="Arial" w:eastAsia="Arial" w:hAnsi="Arial"/>
                <w:sz w:val="16"/>
                <w:szCs w:val="16"/>
                <w:color w:val="auto"/>
              </w:rPr>
              <w:t>–20%</w:t>
            </w:r>
          </w:p>
        </w:tc>
        <w:tc>
          <w:tcPr>
            <w:tcW w:w="1740" w:type="dxa"/>
            <w:vAlign w:val="bottom"/>
            <w:tcBorders>
              <w:bottom w:val="single" w:sz="8" w:color="53C072"/>
            </w:tcBorders>
            <w:gridSpan w:val="2"/>
            <w:shd w:val="clear" w:color="auto" w:fill="E8F5EA"/>
          </w:tcPr>
          <w:p>
            <w:pPr>
              <w:jc w:val="right"/>
              <w:ind w:right="341"/>
              <w:spacing w:after="0" w:line="182" w:lineRule="exact"/>
              <w:rPr>
                <w:sz w:val="20"/>
                <w:szCs w:val="20"/>
                <w:color w:val="auto"/>
              </w:rPr>
            </w:pPr>
            <w:r>
              <w:rPr>
                <w:rFonts w:ascii="Arial" w:cs="Arial" w:eastAsia="Arial" w:hAnsi="Arial"/>
                <w:sz w:val="16"/>
                <w:szCs w:val="16"/>
                <w:color w:val="auto"/>
              </w:rPr>
              <w:t>No Adjustment</w:t>
            </w:r>
          </w:p>
        </w:tc>
        <w:tc>
          <w:tcPr>
            <w:tcW w:w="1180" w:type="dxa"/>
            <w:vAlign w:val="bottom"/>
            <w:tcBorders>
              <w:bottom w:val="single" w:sz="8" w:color="53C072"/>
            </w:tcBorders>
            <w:shd w:val="clear" w:color="auto" w:fill="E8F5EA"/>
          </w:tcPr>
          <w:p>
            <w:pPr>
              <w:jc w:val="right"/>
              <w:ind w:right="201"/>
              <w:spacing w:after="0" w:line="182" w:lineRule="exact"/>
              <w:rPr>
                <w:sz w:val="20"/>
                <w:szCs w:val="20"/>
                <w:color w:val="auto"/>
              </w:rPr>
            </w:pPr>
            <w:r>
              <w:rPr>
                <w:rFonts w:ascii="Arial" w:cs="Arial" w:eastAsia="Arial" w:hAnsi="Arial"/>
                <w:sz w:val="16"/>
                <w:szCs w:val="16"/>
                <w:color w:val="auto"/>
              </w:rPr>
              <w:t>+20%</w:t>
            </w:r>
          </w:p>
        </w:tc>
        <w:tc>
          <w:tcPr>
            <w:tcW w:w="1120" w:type="dxa"/>
            <w:vAlign w:val="bottom"/>
            <w:tcBorders>
              <w:bottom w:val="single" w:sz="8" w:color="53C072"/>
              <w:right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620"/>
        <w:spacing w:after="0" w:line="275" w:lineRule="auto"/>
        <w:rPr>
          <w:sz w:val="20"/>
          <w:szCs w:val="20"/>
          <w:color w:val="auto"/>
        </w:rPr>
      </w:pPr>
      <w:r>
        <w:rPr>
          <w:rFonts w:ascii="Arial" w:cs="Arial" w:eastAsia="Arial" w:hAnsi="Arial"/>
          <w:sz w:val="16"/>
          <w:szCs w:val="16"/>
          <w:color w:val="auto"/>
        </w:rPr>
        <w:t>If the Company's actual Cumulative EPS or Relative TSR is between two achievement levels set forth in the table above, the percentage vesting shall be determined by linear interpolation.</w:t>
      </w:r>
    </w:p>
    <w:p>
      <w:pPr>
        <w:spacing w:after="0" w:line="135" w:lineRule="exact"/>
        <w:rPr>
          <w:sz w:val="20"/>
          <w:szCs w:val="20"/>
          <w:color w:val="auto"/>
        </w:rPr>
      </w:pPr>
    </w:p>
    <w:p>
      <w:pPr>
        <w:ind w:right="280"/>
        <w:spacing w:after="0" w:line="277" w:lineRule="auto"/>
        <w:rPr>
          <w:sz w:val="20"/>
          <w:szCs w:val="20"/>
          <w:color w:val="auto"/>
        </w:rPr>
      </w:pPr>
      <w:r>
        <w:rPr>
          <w:rFonts w:ascii="Arial" w:cs="Arial" w:eastAsia="Arial" w:hAnsi="Arial"/>
          <w:sz w:val="16"/>
          <w:szCs w:val="16"/>
          <w:b w:val="1"/>
          <w:bCs w:val="1"/>
          <w:color w:val="53C072"/>
        </w:rPr>
        <w:t xml:space="preserve">PSU Earnouts for Fiscal 2020. </w:t>
      </w:r>
      <w:r>
        <w:rPr>
          <w:rFonts w:ascii="Arial" w:cs="Arial" w:eastAsia="Arial" w:hAnsi="Arial"/>
          <w:sz w:val="16"/>
          <w:szCs w:val="16"/>
          <w:color w:val="000000"/>
        </w:rPr>
        <w:t>PSUs granted in fiscal 2018 vested to the extent earned at the end of fiscal year 2020. The design of the fiscal 2018 PSUs,</w:t>
      </w:r>
      <w:r>
        <w:rPr>
          <w:rFonts w:ascii="Arial" w:cs="Arial" w:eastAsia="Arial" w:hAnsi="Arial"/>
          <w:sz w:val="16"/>
          <w:szCs w:val="16"/>
          <w:b w:val="1"/>
          <w:bCs w:val="1"/>
          <w:color w:val="53C072"/>
        </w:rPr>
        <w:t xml:space="preserve"> </w:t>
      </w:r>
      <w:r>
        <w:rPr>
          <w:rFonts w:ascii="Arial" w:cs="Arial" w:eastAsia="Arial" w:hAnsi="Arial"/>
          <w:sz w:val="16"/>
          <w:szCs w:val="16"/>
          <w:color w:val="000000"/>
        </w:rPr>
        <w:t>goals and number of PSUs earned by each NEO are</w:t>
      </w:r>
    </w:p>
    <w:p>
      <w:pPr>
        <w:spacing w:after="0" w:line="159"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50</w:t>
      </w:r>
      <w:r>
        <w:rPr>
          <w:sz w:val="20"/>
          <w:szCs w:val="20"/>
          <w:color w:val="auto"/>
        </w:rPr>
        <w:tab/>
      </w:r>
      <w:r>
        <w:rPr>
          <w:rFonts w:ascii="Arial" w:cs="Arial" w:eastAsia="Arial" w:hAnsi="Arial"/>
          <w:sz w:val="23"/>
          <w:szCs w:val="23"/>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118745</wp:posOffset>
            </wp:positionV>
            <wp:extent cx="7151370" cy="203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-163195</wp:posOffset>
            </wp:positionV>
            <wp:extent cx="1664970" cy="1231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5" w:name="page56"/>
    <w:bookmarkEnd w:id="55"/>
    <w:tbl>
      <w:tblPr>
        <w:tblLayout w:type="fixed"/>
        <w:tblInd w:w="3" w:type="dxa"/>
        <w:tblCellMar>
          <w:top w:w="0" w:type="dxa"/>
          <w:left w:w="0" w:type="dxa"/>
          <w:bottom w:w="0" w:type="dxa"/>
          <w:right w:w="0" w:type="dxa"/>
        </w:tblCellMar>
      </w:tblPr>
      <w:tr>
        <w:trPr>
          <w:trHeight w:val="213"/>
        </w:trPr>
        <w:tc>
          <w:tcPr>
            <w:tcW w:w="512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6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12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6140" w:type="dxa"/>
            <w:vAlign w:val="bottom"/>
            <w:vMerge w:val="restart"/>
          </w:tcPr>
          <w:p>
            <w:pPr>
              <w:ind w:left="3880"/>
              <w:spacing w:after="0"/>
              <w:rPr>
                <w:sz w:val="20"/>
                <w:szCs w:val="20"/>
                <w:color w:val="auto"/>
              </w:rPr>
            </w:pPr>
            <w:r>
              <w:rPr>
                <w:rFonts w:ascii="Arial" w:cs="Arial" w:eastAsia="Arial" w:hAnsi="Arial"/>
                <w:sz w:val="13"/>
                <w:szCs w:val="13"/>
                <w:color w:val="auto"/>
                <w:w w:val="98"/>
              </w:rPr>
              <w:t>Compensation Discussion and Analysis</w:t>
            </w:r>
          </w:p>
        </w:tc>
        <w:tc>
          <w:tcPr>
            <w:tcW w:w="0" w:type="dxa"/>
            <w:vAlign w:val="bottom"/>
          </w:tcPr>
          <w:p>
            <w:pPr>
              <w:spacing w:after="0"/>
              <w:rPr>
                <w:sz w:val="1"/>
                <w:szCs w:val="1"/>
                <w:color w:val="auto"/>
              </w:rPr>
            </w:pPr>
          </w:p>
        </w:tc>
      </w:tr>
      <w:tr>
        <w:trPr>
          <w:trHeight w:val="102"/>
        </w:trPr>
        <w:tc>
          <w:tcPr>
            <w:tcW w:w="512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6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120" w:type="dxa"/>
            <w:vAlign w:val="bottom"/>
            <w:vMerge w:val="continue"/>
          </w:tcPr>
          <w:p>
            <w:pPr>
              <w:spacing w:after="0"/>
              <w:rPr>
                <w:sz w:val="7"/>
                <w:szCs w:val="7"/>
                <w:color w:val="auto"/>
              </w:rPr>
            </w:pPr>
          </w:p>
        </w:tc>
        <w:tc>
          <w:tcPr>
            <w:tcW w:w="6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 w:right="340"/>
        <w:spacing w:after="0" w:line="275" w:lineRule="auto"/>
        <w:rPr>
          <w:sz w:val="20"/>
          <w:szCs w:val="20"/>
          <w:color w:val="auto"/>
        </w:rPr>
      </w:pPr>
      <w:r>
        <w:rPr>
          <w:rFonts w:ascii="Arial" w:cs="Arial" w:eastAsia="Arial" w:hAnsi="Arial"/>
          <w:sz w:val="16"/>
          <w:szCs w:val="16"/>
          <w:color w:val="auto"/>
        </w:rPr>
        <w:t>summarized in the following tables. For additional information regarding the fiscal 2018 PSUs, please refer to the Company's Proxy Statement for the Annual Shareholder Meeting on November 16, 2018.</w:t>
      </w:r>
    </w:p>
    <w:p>
      <w:pPr>
        <w:sectPr>
          <w:pgSz w:w="11900" w:h="16838" w:orient="portrait"/>
          <w:cols w:equalWidth="0" w:num="1">
            <w:col w:w="11263"/>
          </w:cols>
          <w:pgMar w:left="317" w:top="122" w:right="319" w:bottom="1440" w:gutter="0" w:footer="0" w:header="0"/>
        </w:sectPr>
      </w:pPr>
    </w:p>
    <w:p>
      <w:pPr>
        <w:spacing w:after="0" w:line="319" w:lineRule="exact"/>
        <w:rPr>
          <w:sz w:val="20"/>
          <w:szCs w:val="20"/>
          <w:color w:val="auto"/>
        </w:rPr>
      </w:pPr>
    </w:p>
    <w:p>
      <w:pPr>
        <w:jc w:val="center"/>
        <w:ind w:left="523"/>
        <w:spacing w:after="0"/>
        <w:rPr>
          <w:sz w:val="20"/>
          <w:szCs w:val="20"/>
          <w:color w:val="auto"/>
        </w:rPr>
      </w:pPr>
      <w:r>
        <w:rPr>
          <w:rFonts w:ascii="Arial" w:cs="Arial" w:eastAsia="Arial" w:hAnsi="Arial"/>
          <w:sz w:val="15"/>
          <w:szCs w:val="15"/>
          <w:color w:val="auto"/>
        </w:rPr>
        <w:t>50% of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7620" cy="3467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20" cy="346710"/>
                    </a:xfrm>
                    <a:prstGeom prst="rect">
                      <a:avLst/>
                    </a:prstGeom>
                    <a:noFill/>
                  </pic:spPr>
                </pic:pic>
              </a:graphicData>
            </a:graphic>
          </wp:anchor>
        </w:drawing>
      </w:r>
    </w:p>
    <w:p>
      <w:pPr>
        <w:spacing w:after="0" w:line="8" w:lineRule="exact"/>
        <w:rPr>
          <w:sz w:val="20"/>
          <w:szCs w:val="20"/>
          <w:color w:val="auto"/>
        </w:rPr>
      </w:pPr>
    </w:p>
    <w:p>
      <w:pPr>
        <w:jc w:val="center"/>
        <w:ind w:left="523"/>
        <w:spacing w:after="0"/>
        <w:rPr>
          <w:sz w:val="20"/>
          <w:szCs w:val="20"/>
          <w:color w:val="auto"/>
        </w:rPr>
      </w:pPr>
      <w:r>
        <w:rPr>
          <w:rFonts w:ascii="Arial" w:cs="Arial" w:eastAsia="Arial" w:hAnsi="Arial"/>
          <w:sz w:val="16"/>
          <w:szCs w:val="16"/>
          <w:color w:val="auto"/>
        </w:rPr>
        <w:t>Value of LTIP</w:t>
      </w:r>
    </w:p>
    <w:p>
      <w:pPr>
        <w:jc w:val="center"/>
        <w:ind w:left="523"/>
        <w:spacing w:after="0"/>
        <w:rPr>
          <w:sz w:val="20"/>
          <w:szCs w:val="20"/>
          <w:color w:val="auto"/>
        </w:rPr>
      </w:pPr>
      <w:r>
        <w:rPr>
          <w:rFonts w:ascii="Arial" w:cs="Arial" w:eastAsia="Arial" w:hAnsi="Arial"/>
          <w:sz w:val="16"/>
          <w:szCs w:val="16"/>
          <w:color w:val="auto"/>
        </w:rPr>
        <w:t>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7620" cy="2311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20" cy="2311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2860"/>
        <w:spacing w:after="0"/>
        <w:rPr>
          <w:sz w:val="20"/>
          <w:szCs w:val="20"/>
          <w:color w:val="auto"/>
        </w:rPr>
      </w:pPr>
      <w:r>
        <w:rPr>
          <w:rFonts w:ascii="Arial" w:cs="Arial" w:eastAsia="Arial" w:hAnsi="Arial"/>
          <w:sz w:val="16"/>
          <w:szCs w:val="16"/>
          <w:b w:val="1"/>
          <w:bCs w:val="1"/>
          <w:color w:val="FFFFFE"/>
        </w:rPr>
        <w:t>FY18-20PSU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-1283970</wp:posOffset>
            </wp:positionH>
            <wp:positionV relativeFrom="paragraph">
              <wp:posOffset>-104140</wp:posOffset>
            </wp:positionV>
            <wp:extent cx="7146290" cy="1155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6290" cy="115570"/>
                    </a:xfrm>
                    <a:prstGeom prst="rect">
                      <a:avLst/>
                    </a:prstGeom>
                    <a:noFill/>
                  </pic:spPr>
                </pic:pic>
              </a:graphicData>
            </a:graphic>
          </wp:anchor>
        </w:drawing>
      </w:r>
    </w:p>
    <w:p>
      <w:pPr>
        <w:spacing w:after="0" w:line="17"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4440" w:type="dxa"/>
            <w:vAlign w:val="bottom"/>
            <w:tcBorders>
              <w:left w:val="single" w:sz="8" w:color="53C072"/>
              <w:right w:val="single" w:sz="8" w:color="53C072"/>
            </w:tcBorders>
            <w:shd w:val="clear" w:color="auto" w:fill="E8F5EA"/>
          </w:tcPr>
          <w:p>
            <w:pPr>
              <w:ind w:left="1480"/>
              <w:spacing w:after="0"/>
              <w:rPr>
                <w:sz w:val="20"/>
                <w:szCs w:val="20"/>
                <w:color w:val="auto"/>
              </w:rPr>
            </w:pPr>
            <w:r>
              <w:rPr>
                <w:rFonts w:ascii="Arial" w:cs="Arial" w:eastAsia="Arial" w:hAnsi="Arial"/>
                <w:sz w:val="13"/>
                <w:szCs w:val="13"/>
                <w:b w:val="1"/>
                <w:bCs w:val="1"/>
                <w:color w:val="auto"/>
              </w:rPr>
              <w:t>Performance Metrics:</w:t>
            </w:r>
          </w:p>
        </w:tc>
        <w:tc>
          <w:tcPr>
            <w:tcW w:w="4800" w:type="dxa"/>
            <w:vAlign w:val="bottom"/>
            <w:tcBorders>
              <w:right w:val="single" w:sz="8" w:color="53C072"/>
            </w:tcBorders>
            <w:shd w:val="clear" w:color="auto" w:fill="E8F5EA"/>
          </w:tcPr>
          <w:p>
            <w:pPr>
              <w:jc w:val="center"/>
              <w:ind w:right="84"/>
              <w:spacing w:after="0"/>
              <w:rPr>
                <w:sz w:val="20"/>
                <w:szCs w:val="20"/>
                <w:color w:val="auto"/>
              </w:rPr>
            </w:pPr>
            <w:r>
              <w:rPr>
                <w:rFonts w:ascii="Arial" w:cs="Arial" w:eastAsia="Arial" w:hAnsi="Arial"/>
                <w:sz w:val="13"/>
                <w:szCs w:val="13"/>
                <w:b w:val="1"/>
                <w:bCs w:val="1"/>
                <w:color w:val="auto"/>
                <w:w w:val="99"/>
              </w:rPr>
              <w:t>Weight of PSU Award:</w:t>
            </w:r>
          </w:p>
        </w:tc>
      </w:tr>
      <w:tr>
        <w:trPr>
          <w:trHeight w:val="165"/>
        </w:trPr>
        <w:tc>
          <w:tcPr>
            <w:tcW w:w="4440" w:type="dxa"/>
            <w:vAlign w:val="bottom"/>
            <w:tcBorders>
              <w:left w:val="single" w:sz="8" w:color="53C072"/>
              <w:right w:val="single" w:sz="8" w:color="53C072"/>
            </w:tcBorders>
          </w:tcPr>
          <w:p>
            <w:pPr>
              <w:ind w:left="160"/>
              <w:spacing w:after="0" w:line="165" w:lineRule="exact"/>
              <w:rPr>
                <w:sz w:val="20"/>
                <w:szCs w:val="20"/>
                <w:color w:val="auto"/>
              </w:rPr>
            </w:pPr>
            <w:r>
              <w:rPr>
                <w:rFonts w:ascii="Arial" w:cs="Arial" w:eastAsia="Arial" w:hAnsi="Arial"/>
                <w:sz w:val="16"/>
                <w:szCs w:val="16"/>
                <w:b w:val="1"/>
                <w:bCs w:val="1"/>
                <w:color w:val="auto"/>
              </w:rPr>
              <w:t xml:space="preserve">Relative EP: </w:t>
            </w:r>
            <w:r>
              <w:rPr>
                <w:rFonts w:ascii="Arial" w:cs="Arial" w:eastAsia="Arial" w:hAnsi="Arial"/>
                <w:sz w:val="16"/>
                <w:szCs w:val="16"/>
                <w:color w:val="auto"/>
              </w:rPr>
              <w:t>Annual Relative Economic Profit over</w:t>
            </w:r>
          </w:p>
        </w:tc>
        <w:tc>
          <w:tcPr>
            <w:tcW w:w="4800" w:type="dxa"/>
            <w:vAlign w:val="bottom"/>
            <w:tcBorders>
              <w:right w:val="single" w:sz="8" w:color="53C072"/>
            </w:tcBorders>
          </w:tcPr>
          <w:p>
            <w:pPr>
              <w:jc w:val="center"/>
              <w:ind w:right="84"/>
              <w:spacing w:after="0" w:line="165" w:lineRule="exact"/>
              <w:rPr>
                <w:sz w:val="20"/>
                <w:szCs w:val="20"/>
                <w:color w:val="auto"/>
              </w:rPr>
            </w:pPr>
            <w:r>
              <w:rPr>
                <w:rFonts w:ascii="Arial" w:cs="Arial" w:eastAsia="Arial" w:hAnsi="Arial"/>
                <w:sz w:val="16"/>
                <w:szCs w:val="16"/>
                <w:color w:val="auto"/>
                <w:w w:val="99"/>
              </w:rPr>
              <w:t>50%</w:t>
            </w:r>
          </w:p>
        </w:tc>
      </w:tr>
      <w:tr>
        <w:trPr>
          <w:trHeight w:val="199"/>
        </w:trPr>
        <w:tc>
          <w:tcPr>
            <w:tcW w:w="4440" w:type="dxa"/>
            <w:vAlign w:val="bottom"/>
            <w:tcBorders>
              <w:left w:val="single" w:sz="8" w:color="53C072"/>
              <w:bottom w:val="single" w:sz="8" w:color="53C072"/>
              <w:right w:val="single" w:sz="8" w:color="53C072"/>
            </w:tcBorders>
          </w:tcPr>
          <w:p>
            <w:pPr>
              <w:ind w:left="160"/>
              <w:spacing w:after="0"/>
              <w:rPr>
                <w:sz w:val="20"/>
                <w:szCs w:val="20"/>
                <w:color w:val="auto"/>
              </w:rPr>
            </w:pPr>
            <w:r>
              <w:rPr>
                <w:rFonts w:ascii="Arial" w:cs="Arial" w:eastAsia="Arial" w:hAnsi="Arial"/>
                <w:sz w:val="16"/>
                <w:szCs w:val="16"/>
                <w:color w:val="auto"/>
              </w:rPr>
              <w:t>3 years against peer group</w:t>
            </w:r>
          </w:p>
        </w:tc>
        <w:tc>
          <w:tcPr>
            <w:tcW w:w="4800" w:type="dxa"/>
            <w:vAlign w:val="bottom"/>
            <w:tcBorders>
              <w:bottom w:val="single" w:sz="8" w:color="53C072"/>
              <w:right w:val="single" w:sz="8" w:color="53C072"/>
            </w:tcBorders>
          </w:tcPr>
          <w:p>
            <w:pPr>
              <w:spacing w:after="0"/>
              <w:rPr>
                <w:sz w:val="17"/>
                <w:szCs w:val="17"/>
                <w:color w:val="auto"/>
              </w:rPr>
            </w:pPr>
          </w:p>
        </w:tc>
      </w:tr>
      <w:tr>
        <w:trPr>
          <w:trHeight w:val="157"/>
        </w:trPr>
        <w:tc>
          <w:tcPr>
            <w:tcW w:w="4440" w:type="dxa"/>
            <w:vAlign w:val="bottom"/>
            <w:tcBorders>
              <w:left w:val="single" w:sz="8" w:color="53C072"/>
              <w:right w:val="single" w:sz="8" w:color="53C072"/>
            </w:tcBorders>
          </w:tcPr>
          <w:p>
            <w:pPr>
              <w:ind w:left="160"/>
              <w:spacing w:after="0" w:line="157" w:lineRule="exact"/>
              <w:rPr>
                <w:sz w:val="20"/>
                <w:szCs w:val="20"/>
                <w:color w:val="auto"/>
              </w:rPr>
            </w:pPr>
            <w:r>
              <w:rPr>
                <w:rFonts w:ascii="Arial" w:cs="Arial" w:eastAsia="Arial" w:hAnsi="Arial"/>
                <w:sz w:val="16"/>
                <w:szCs w:val="16"/>
                <w:b w:val="1"/>
                <w:bCs w:val="1"/>
                <w:color w:val="auto"/>
              </w:rPr>
              <w:t xml:space="preserve">Average ROCE: </w:t>
            </w:r>
            <w:r>
              <w:rPr>
                <w:rFonts w:ascii="Arial" w:cs="Arial" w:eastAsia="Arial" w:hAnsi="Arial"/>
                <w:sz w:val="16"/>
                <w:szCs w:val="16"/>
                <w:color w:val="auto"/>
              </w:rPr>
              <w:t>Absolute 3-year ROCE against Avnet</w:t>
            </w:r>
          </w:p>
        </w:tc>
        <w:tc>
          <w:tcPr>
            <w:tcW w:w="4800" w:type="dxa"/>
            <w:vAlign w:val="bottom"/>
            <w:tcBorders>
              <w:right w:val="single" w:sz="8" w:color="53C072"/>
            </w:tcBorders>
          </w:tcPr>
          <w:p>
            <w:pPr>
              <w:jc w:val="center"/>
              <w:ind w:right="84"/>
              <w:spacing w:after="0" w:line="157" w:lineRule="exact"/>
              <w:rPr>
                <w:sz w:val="20"/>
                <w:szCs w:val="20"/>
                <w:color w:val="auto"/>
              </w:rPr>
            </w:pPr>
            <w:r>
              <w:rPr>
                <w:rFonts w:ascii="Arial" w:cs="Arial" w:eastAsia="Arial" w:hAnsi="Arial"/>
                <w:sz w:val="16"/>
                <w:szCs w:val="16"/>
                <w:color w:val="auto"/>
                <w:w w:val="99"/>
              </w:rPr>
              <w:t>50%</w:t>
            </w:r>
          </w:p>
        </w:tc>
      </w:tr>
      <w:tr>
        <w:trPr>
          <w:trHeight w:val="199"/>
        </w:trPr>
        <w:tc>
          <w:tcPr>
            <w:tcW w:w="4440" w:type="dxa"/>
            <w:vAlign w:val="bottom"/>
            <w:tcBorders>
              <w:left w:val="single" w:sz="8" w:color="53C072"/>
              <w:bottom w:val="single" w:sz="8" w:color="53C072"/>
              <w:right w:val="single" w:sz="8" w:color="53C072"/>
            </w:tcBorders>
          </w:tcPr>
          <w:p>
            <w:pPr>
              <w:ind w:left="160"/>
              <w:spacing w:after="0"/>
              <w:rPr>
                <w:sz w:val="20"/>
                <w:szCs w:val="20"/>
                <w:color w:val="auto"/>
              </w:rPr>
            </w:pPr>
            <w:r>
              <w:rPr>
                <w:rFonts w:ascii="Arial" w:cs="Arial" w:eastAsia="Arial" w:hAnsi="Arial"/>
                <w:sz w:val="16"/>
                <w:szCs w:val="16"/>
                <w:color w:val="auto"/>
              </w:rPr>
              <w:t>Plan</w:t>
            </w:r>
          </w:p>
        </w:tc>
        <w:tc>
          <w:tcPr>
            <w:tcW w:w="4800" w:type="dxa"/>
            <w:vAlign w:val="bottom"/>
            <w:tcBorders>
              <w:bottom w:val="single" w:sz="8" w:color="53C072"/>
              <w:right w:val="single" w:sz="8" w:color="53C072"/>
            </w:tcBorders>
          </w:tcPr>
          <w:p>
            <w:pPr>
              <w:spacing w:after="0"/>
              <w:rPr>
                <w:sz w:val="17"/>
                <w:szCs w:val="17"/>
                <w:color w:val="auto"/>
              </w:rPr>
            </w:pPr>
          </w:p>
        </w:tc>
      </w:tr>
      <w:tr>
        <w:trPr>
          <w:trHeight w:val="157"/>
        </w:trPr>
        <w:tc>
          <w:tcPr>
            <w:tcW w:w="4440" w:type="dxa"/>
            <w:vAlign w:val="bottom"/>
            <w:tcBorders>
              <w:left w:val="single" w:sz="8" w:color="53C072"/>
              <w:right w:val="single" w:sz="8" w:color="53C072"/>
            </w:tcBorders>
          </w:tcPr>
          <w:p>
            <w:pPr>
              <w:ind w:left="160"/>
              <w:spacing w:after="0" w:line="157" w:lineRule="exact"/>
              <w:rPr>
                <w:sz w:val="20"/>
                <w:szCs w:val="20"/>
                <w:color w:val="auto"/>
              </w:rPr>
            </w:pPr>
            <w:r>
              <w:rPr>
                <w:rFonts w:ascii="Arial" w:cs="Arial" w:eastAsia="Arial" w:hAnsi="Arial"/>
                <w:sz w:val="16"/>
                <w:szCs w:val="16"/>
                <w:b w:val="1"/>
                <w:bCs w:val="1"/>
                <w:color w:val="auto"/>
              </w:rPr>
              <w:t xml:space="preserve">Relative TSR Modifier: </w:t>
            </w:r>
            <w:r>
              <w:rPr>
                <w:rFonts w:ascii="Arial" w:cs="Arial" w:eastAsia="Arial" w:hAnsi="Arial"/>
                <w:sz w:val="16"/>
                <w:szCs w:val="16"/>
                <w:color w:val="auto"/>
              </w:rPr>
              <w:t>Cumulative relative 3-year TSR</w:t>
            </w:r>
          </w:p>
        </w:tc>
        <w:tc>
          <w:tcPr>
            <w:tcW w:w="4800" w:type="dxa"/>
            <w:vAlign w:val="bottom"/>
            <w:tcBorders>
              <w:right w:val="single" w:sz="8" w:color="53C072"/>
            </w:tcBorders>
          </w:tcPr>
          <w:p>
            <w:pPr>
              <w:jc w:val="center"/>
              <w:ind w:right="84"/>
              <w:spacing w:after="0" w:line="157" w:lineRule="exact"/>
              <w:rPr>
                <w:sz w:val="20"/>
                <w:szCs w:val="20"/>
                <w:color w:val="auto"/>
              </w:rPr>
            </w:pPr>
            <w:r>
              <w:rPr>
                <w:rFonts w:ascii="Arial" w:cs="Arial" w:eastAsia="Arial" w:hAnsi="Arial"/>
                <w:sz w:val="16"/>
                <w:szCs w:val="16"/>
                <w:color w:val="auto"/>
                <w:w w:val="98"/>
              </w:rPr>
              <w:t>+/– 20% modifier based on TSR performance applied to EP</w:t>
            </w:r>
          </w:p>
        </w:tc>
      </w:tr>
      <w:tr>
        <w:trPr>
          <w:trHeight w:val="211"/>
        </w:trPr>
        <w:tc>
          <w:tcPr>
            <w:tcW w:w="4440" w:type="dxa"/>
            <w:vAlign w:val="bottom"/>
            <w:tcBorders>
              <w:left w:val="single" w:sz="8" w:color="53C072"/>
              <w:right w:val="single" w:sz="8" w:color="53C072"/>
            </w:tcBorders>
          </w:tcPr>
          <w:p>
            <w:pPr>
              <w:ind w:left="160"/>
              <w:spacing w:after="0"/>
              <w:rPr>
                <w:sz w:val="20"/>
                <w:szCs w:val="20"/>
                <w:color w:val="auto"/>
              </w:rPr>
            </w:pPr>
            <w:r>
              <w:rPr>
                <w:rFonts w:ascii="Arial" w:cs="Arial" w:eastAsia="Arial" w:hAnsi="Arial"/>
                <w:sz w:val="16"/>
                <w:szCs w:val="16"/>
                <w:color w:val="auto"/>
              </w:rPr>
              <w:t>against peer group</w:t>
            </w:r>
          </w:p>
        </w:tc>
        <w:tc>
          <w:tcPr>
            <w:tcW w:w="4800" w:type="dxa"/>
            <w:vAlign w:val="bottom"/>
            <w:tcBorders>
              <w:right w:val="single" w:sz="8" w:color="53C072"/>
            </w:tcBorders>
          </w:tcPr>
          <w:p>
            <w:pPr>
              <w:jc w:val="center"/>
              <w:ind w:right="84"/>
              <w:spacing w:after="0"/>
              <w:rPr>
                <w:sz w:val="20"/>
                <w:szCs w:val="20"/>
                <w:color w:val="auto"/>
              </w:rPr>
            </w:pPr>
            <w:r>
              <w:rPr>
                <w:rFonts w:ascii="Arial" w:cs="Arial" w:eastAsia="Arial" w:hAnsi="Arial"/>
                <w:sz w:val="16"/>
                <w:szCs w:val="16"/>
                <w:color w:val="auto"/>
                <w:w w:val="98"/>
              </w:rPr>
              <w:t>and ROCE payout factors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-1283970</wp:posOffset>
            </wp:positionH>
            <wp:positionV relativeFrom="paragraph">
              <wp:posOffset>-238125</wp:posOffset>
            </wp:positionV>
            <wp:extent cx="7146290" cy="2387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6290" cy="2387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03" w:space="520"/>
            <w:col w:w="9240"/>
          </w:cols>
          <w:pgMar w:left="317" w:top="122" w:right="319" w:bottom="1440" w:gutter="0" w:footer="0" w:header="0"/>
          <w:type w:val="continuous"/>
        </w:sectPr>
      </w:pPr>
    </w:p>
    <w:p>
      <w:pPr>
        <w:spacing w:after="0" w:line="351" w:lineRule="exact"/>
        <w:rPr>
          <w:sz w:val="20"/>
          <w:szCs w:val="20"/>
          <w:color w:val="auto"/>
        </w:rPr>
      </w:pPr>
    </w:p>
    <w:tbl>
      <w:tblPr>
        <w:tblLayout w:type="fixed"/>
        <w:tblInd w:w="1133" w:type="dxa"/>
        <w:tblCellMar>
          <w:top w:w="0" w:type="dxa"/>
          <w:left w:w="0" w:type="dxa"/>
          <w:bottom w:w="0" w:type="dxa"/>
          <w:right w:w="0" w:type="dxa"/>
        </w:tblCellMar>
      </w:tblPr>
      <w:tr>
        <w:trPr>
          <w:trHeight w:val="201"/>
        </w:trPr>
        <w:tc>
          <w:tcPr>
            <w:tcW w:w="3100" w:type="dxa"/>
            <w:vAlign w:val="bottom"/>
            <w:tcBorders>
              <w:top w:val="single" w:sz="8" w:color="53C072"/>
              <w:left w:val="single" w:sz="8" w:color="53C072"/>
            </w:tcBorders>
            <w:shd w:val="clear" w:color="auto" w:fill="E8F5EA"/>
          </w:tcPr>
          <w:p>
            <w:pPr>
              <w:ind w:left="300"/>
              <w:spacing w:after="0"/>
              <w:rPr>
                <w:sz w:val="20"/>
                <w:szCs w:val="20"/>
                <w:color w:val="auto"/>
              </w:rPr>
            </w:pPr>
            <w:r>
              <w:rPr>
                <w:rFonts w:ascii="Arial" w:cs="Arial" w:eastAsia="Arial" w:hAnsi="Arial"/>
                <w:sz w:val="16"/>
                <w:szCs w:val="16"/>
                <w:b w:val="1"/>
                <w:bCs w:val="1"/>
                <w:color w:val="auto"/>
              </w:rPr>
              <w:t>Relative EP</w:t>
            </w:r>
          </w:p>
        </w:tc>
        <w:tc>
          <w:tcPr>
            <w:tcW w:w="1840" w:type="dxa"/>
            <w:vAlign w:val="bottom"/>
            <w:tcBorders>
              <w:top w:val="single" w:sz="8" w:color="53C072"/>
            </w:tcBorders>
            <w:shd w:val="clear" w:color="auto" w:fill="E8F5EA"/>
          </w:tcPr>
          <w:p>
            <w:pPr>
              <w:spacing w:after="0"/>
              <w:rPr>
                <w:sz w:val="17"/>
                <w:szCs w:val="17"/>
                <w:color w:val="auto"/>
              </w:rPr>
            </w:pPr>
          </w:p>
        </w:tc>
        <w:tc>
          <w:tcPr>
            <w:tcW w:w="800" w:type="dxa"/>
            <w:vAlign w:val="bottom"/>
            <w:tcBorders>
              <w:top w:val="single" w:sz="8" w:color="53C072"/>
            </w:tcBorders>
            <w:shd w:val="clear" w:color="auto" w:fill="E8F5EA"/>
          </w:tcPr>
          <w:p>
            <w:pPr>
              <w:spacing w:after="0"/>
              <w:rPr>
                <w:sz w:val="17"/>
                <w:szCs w:val="17"/>
                <w:color w:val="auto"/>
              </w:rPr>
            </w:pPr>
          </w:p>
        </w:tc>
        <w:tc>
          <w:tcPr>
            <w:tcW w:w="1340" w:type="dxa"/>
            <w:vAlign w:val="bottom"/>
            <w:tcBorders>
              <w:top w:val="single" w:sz="8" w:color="53C072"/>
            </w:tcBorders>
            <w:shd w:val="clear" w:color="auto" w:fill="E8F5EA"/>
          </w:tcPr>
          <w:p>
            <w:pPr>
              <w:spacing w:after="0"/>
              <w:rPr>
                <w:sz w:val="17"/>
                <w:szCs w:val="17"/>
                <w:color w:val="auto"/>
              </w:rPr>
            </w:pPr>
          </w:p>
        </w:tc>
        <w:tc>
          <w:tcPr>
            <w:tcW w:w="860" w:type="dxa"/>
            <w:vAlign w:val="bottom"/>
            <w:tcBorders>
              <w:top w:val="single" w:sz="8" w:color="53C072"/>
            </w:tcBorders>
            <w:shd w:val="clear" w:color="auto" w:fill="E8F5EA"/>
          </w:tcPr>
          <w:p>
            <w:pPr>
              <w:spacing w:after="0"/>
              <w:rPr>
                <w:sz w:val="17"/>
                <w:szCs w:val="17"/>
                <w:color w:val="auto"/>
              </w:rPr>
            </w:pPr>
          </w:p>
        </w:tc>
        <w:tc>
          <w:tcPr>
            <w:tcW w:w="1040" w:type="dxa"/>
            <w:vAlign w:val="bottom"/>
            <w:tcBorders>
              <w:top w:val="single" w:sz="8" w:color="53C072"/>
              <w:right w:val="single" w:sz="8" w:color="53C072"/>
            </w:tcBorders>
            <w:shd w:val="clear" w:color="auto" w:fill="E8F5EA"/>
          </w:tcPr>
          <w:p>
            <w:pPr>
              <w:spacing w:after="0"/>
              <w:rPr>
                <w:sz w:val="17"/>
                <w:szCs w:val="17"/>
                <w:color w:val="auto"/>
              </w:rPr>
            </w:pPr>
          </w:p>
        </w:tc>
      </w:tr>
      <w:tr>
        <w:trPr>
          <w:trHeight w:val="199"/>
        </w:trPr>
        <w:tc>
          <w:tcPr>
            <w:tcW w:w="3100" w:type="dxa"/>
            <w:vAlign w:val="bottom"/>
            <w:tcBorders>
              <w:left w:val="single" w:sz="8" w:color="53C072"/>
            </w:tcBorders>
            <w:shd w:val="clear" w:color="auto" w:fill="E8F5EA"/>
          </w:tcPr>
          <w:p>
            <w:pPr>
              <w:ind w:left="300"/>
              <w:spacing w:after="0"/>
              <w:rPr>
                <w:sz w:val="20"/>
                <w:szCs w:val="20"/>
                <w:color w:val="auto"/>
              </w:rPr>
            </w:pPr>
            <w:r>
              <w:rPr>
                <w:rFonts w:ascii="Arial" w:cs="Arial" w:eastAsia="Arial" w:hAnsi="Arial"/>
                <w:sz w:val="16"/>
                <w:szCs w:val="16"/>
                <w:color w:val="auto"/>
              </w:rPr>
              <w:t>Relative EP to Index</w:t>
            </w:r>
          </w:p>
        </w:tc>
        <w:tc>
          <w:tcPr>
            <w:tcW w:w="1840" w:type="dxa"/>
            <w:vAlign w:val="bottom"/>
            <w:shd w:val="clear" w:color="auto" w:fill="E8F5EA"/>
          </w:tcPr>
          <w:p>
            <w:pPr>
              <w:jc w:val="right"/>
              <w:ind w:right="141"/>
              <w:spacing w:after="0"/>
              <w:rPr>
                <w:sz w:val="20"/>
                <w:szCs w:val="20"/>
                <w:color w:val="auto"/>
              </w:rPr>
            </w:pPr>
            <w:r>
              <w:rPr>
                <w:rFonts w:ascii="Arial" w:cs="Arial" w:eastAsia="Arial" w:hAnsi="Arial"/>
                <w:sz w:val="16"/>
                <w:szCs w:val="16"/>
                <w:color w:val="auto"/>
              </w:rPr>
              <w:t>–10%</w:t>
            </w:r>
          </w:p>
        </w:tc>
        <w:tc>
          <w:tcPr>
            <w:tcW w:w="800" w:type="dxa"/>
            <w:vAlign w:val="bottom"/>
            <w:shd w:val="clear" w:color="auto" w:fill="E8F5EA"/>
          </w:tcPr>
          <w:p>
            <w:pPr>
              <w:jc w:val="right"/>
              <w:ind w:right="41"/>
              <w:spacing w:after="0"/>
              <w:rPr>
                <w:sz w:val="20"/>
                <w:szCs w:val="20"/>
                <w:color w:val="auto"/>
              </w:rPr>
            </w:pPr>
            <w:r>
              <w:rPr>
                <w:rFonts w:ascii="Arial" w:cs="Arial" w:eastAsia="Arial" w:hAnsi="Arial"/>
                <w:sz w:val="16"/>
                <w:szCs w:val="16"/>
                <w:color w:val="auto"/>
              </w:rPr>
              <w:t>–5%</w:t>
            </w:r>
          </w:p>
        </w:tc>
        <w:tc>
          <w:tcPr>
            <w:tcW w:w="1340" w:type="dxa"/>
            <w:vAlign w:val="bottom"/>
            <w:shd w:val="clear" w:color="auto" w:fill="E8F5EA"/>
          </w:tcPr>
          <w:p>
            <w:pPr>
              <w:jc w:val="right"/>
              <w:ind w:right="81"/>
              <w:spacing w:after="0"/>
              <w:rPr>
                <w:sz w:val="20"/>
                <w:szCs w:val="20"/>
                <w:color w:val="auto"/>
              </w:rPr>
            </w:pPr>
            <w:r>
              <w:rPr>
                <w:rFonts w:ascii="Arial" w:cs="Arial" w:eastAsia="Arial" w:hAnsi="Arial"/>
                <w:sz w:val="16"/>
                <w:szCs w:val="16"/>
                <w:color w:val="auto"/>
              </w:rPr>
              <w:t>0%</w:t>
            </w:r>
          </w:p>
        </w:tc>
        <w:tc>
          <w:tcPr>
            <w:tcW w:w="860" w:type="dxa"/>
            <w:vAlign w:val="bottom"/>
            <w:shd w:val="clear" w:color="auto" w:fill="E8F5EA"/>
          </w:tcPr>
          <w:p>
            <w:pPr>
              <w:jc w:val="right"/>
              <w:ind w:right="61"/>
              <w:spacing w:after="0"/>
              <w:rPr>
                <w:sz w:val="20"/>
                <w:szCs w:val="20"/>
                <w:color w:val="auto"/>
              </w:rPr>
            </w:pPr>
            <w:r>
              <w:rPr>
                <w:rFonts w:ascii="Arial" w:cs="Arial" w:eastAsia="Arial" w:hAnsi="Arial"/>
                <w:sz w:val="16"/>
                <w:szCs w:val="16"/>
                <w:color w:val="auto"/>
              </w:rPr>
              <w:t>+5%</w:t>
            </w:r>
          </w:p>
        </w:tc>
        <w:tc>
          <w:tcPr>
            <w:tcW w:w="1040" w:type="dxa"/>
            <w:vAlign w:val="bottom"/>
            <w:tcBorders>
              <w:right w:val="single" w:sz="8" w:color="53C072"/>
            </w:tcBorders>
            <w:shd w:val="clear" w:color="auto" w:fill="E8F5EA"/>
          </w:tcPr>
          <w:p>
            <w:pPr>
              <w:jc w:val="right"/>
              <w:ind w:right="221"/>
              <w:spacing w:after="0"/>
              <w:rPr>
                <w:sz w:val="20"/>
                <w:szCs w:val="20"/>
                <w:color w:val="auto"/>
              </w:rPr>
            </w:pPr>
            <w:r>
              <w:rPr>
                <w:rFonts w:ascii="Arial" w:cs="Arial" w:eastAsia="Arial" w:hAnsi="Arial"/>
                <w:sz w:val="16"/>
                <w:szCs w:val="16"/>
                <w:color w:val="auto"/>
              </w:rPr>
              <w:t>+10%</w:t>
            </w:r>
          </w:p>
        </w:tc>
      </w:tr>
      <w:tr>
        <w:trPr>
          <w:trHeight w:val="182"/>
        </w:trPr>
        <w:tc>
          <w:tcPr>
            <w:tcW w:w="3100" w:type="dxa"/>
            <w:vAlign w:val="bottom"/>
            <w:tcBorders>
              <w:left w:val="single" w:sz="8" w:color="53C072"/>
              <w:bottom w:val="single" w:sz="8" w:color="53C072"/>
            </w:tcBorders>
          </w:tcPr>
          <w:p>
            <w:pPr>
              <w:ind w:left="300"/>
              <w:spacing w:after="0" w:line="182" w:lineRule="exact"/>
              <w:rPr>
                <w:sz w:val="20"/>
                <w:szCs w:val="20"/>
                <w:color w:val="auto"/>
              </w:rPr>
            </w:pPr>
            <w:r>
              <w:rPr>
                <w:rFonts w:ascii="Arial" w:cs="Arial" w:eastAsia="Arial" w:hAnsi="Arial"/>
                <w:sz w:val="16"/>
                <w:szCs w:val="16"/>
                <w:color w:val="auto"/>
              </w:rPr>
              <w:t>Payout Percent of Target</w:t>
            </w:r>
          </w:p>
        </w:tc>
        <w:tc>
          <w:tcPr>
            <w:tcW w:w="1840" w:type="dxa"/>
            <w:vAlign w:val="bottom"/>
            <w:tcBorders>
              <w:bottom w:val="single" w:sz="8" w:color="53C072"/>
            </w:tcBorders>
          </w:tcPr>
          <w:p>
            <w:pPr>
              <w:jc w:val="right"/>
              <w:ind w:right="141"/>
              <w:spacing w:after="0" w:line="182" w:lineRule="exact"/>
              <w:rPr>
                <w:sz w:val="20"/>
                <w:szCs w:val="20"/>
                <w:color w:val="auto"/>
              </w:rPr>
            </w:pPr>
            <w:r>
              <w:rPr>
                <w:rFonts w:ascii="Arial" w:cs="Arial" w:eastAsia="Arial" w:hAnsi="Arial"/>
                <w:sz w:val="16"/>
                <w:szCs w:val="16"/>
                <w:color w:val="auto"/>
              </w:rPr>
              <w:t>0%</w:t>
            </w:r>
          </w:p>
        </w:tc>
        <w:tc>
          <w:tcPr>
            <w:tcW w:w="800" w:type="dxa"/>
            <w:vAlign w:val="bottom"/>
            <w:tcBorders>
              <w:bottom w:val="single" w:sz="8" w:color="53C072"/>
            </w:tcBorders>
          </w:tcPr>
          <w:p>
            <w:pPr>
              <w:jc w:val="right"/>
              <w:ind w:right="41"/>
              <w:spacing w:after="0" w:line="182" w:lineRule="exact"/>
              <w:rPr>
                <w:sz w:val="20"/>
                <w:szCs w:val="20"/>
                <w:color w:val="auto"/>
              </w:rPr>
            </w:pPr>
            <w:r>
              <w:rPr>
                <w:rFonts w:ascii="Arial" w:cs="Arial" w:eastAsia="Arial" w:hAnsi="Arial"/>
                <w:sz w:val="16"/>
                <w:szCs w:val="16"/>
                <w:color w:val="auto"/>
              </w:rPr>
              <w:t>50%</w:t>
            </w:r>
          </w:p>
        </w:tc>
        <w:tc>
          <w:tcPr>
            <w:tcW w:w="1340" w:type="dxa"/>
            <w:vAlign w:val="bottom"/>
            <w:tcBorders>
              <w:bottom w:val="single" w:sz="8" w:color="53C072"/>
            </w:tcBorders>
          </w:tcPr>
          <w:p>
            <w:pPr>
              <w:jc w:val="right"/>
              <w:ind w:right="81"/>
              <w:spacing w:after="0" w:line="182" w:lineRule="exact"/>
              <w:rPr>
                <w:sz w:val="20"/>
                <w:szCs w:val="20"/>
                <w:color w:val="auto"/>
              </w:rPr>
            </w:pPr>
            <w:r>
              <w:rPr>
                <w:rFonts w:ascii="Arial" w:cs="Arial" w:eastAsia="Arial" w:hAnsi="Arial"/>
                <w:sz w:val="16"/>
                <w:szCs w:val="16"/>
                <w:color w:val="auto"/>
              </w:rPr>
              <w:t>100%</w:t>
            </w:r>
          </w:p>
        </w:tc>
        <w:tc>
          <w:tcPr>
            <w:tcW w:w="860" w:type="dxa"/>
            <w:vAlign w:val="bottom"/>
            <w:tcBorders>
              <w:bottom w:val="single" w:sz="8" w:color="53C072"/>
            </w:tcBorders>
          </w:tcPr>
          <w:p>
            <w:pPr>
              <w:jc w:val="right"/>
              <w:ind w:right="61"/>
              <w:spacing w:after="0" w:line="182" w:lineRule="exact"/>
              <w:rPr>
                <w:sz w:val="20"/>
                <w:szCs w:val="20"/>
                <w:color w:val="auto"/>
              </w:rPr>
            </w:pPr>
            <w:r>
              <w:rPr>
                <w:rFonts w:ascii="Arial" w:cs="Arial" w:eastAsia="Arial" w:hAnsi="Arial"/>
                <w:sz w:val="16"/>
                <w:szCs w:val="16"/>
                <w:color w:val="auto"/>
              </w:rPr>
              <w:t>150%</w:t>
            </w:r>
          </w:p>
        </w:tc>
        <w:tc>
          <w:tcPr>
            <w:tcW w:w="1040" w:type="dxa"/>
            <w:vAlign w:val="bottom"/>
            <w:tcBorders>
              <w:bottom w:val="single" w:sz="8" w:color="53C072"/>
              <w:right w:val="single" w:sz="8" w:color="53C072"/>
            </w:tcBorders>
          </w:tcPr>
          <w:p>
            <w:pPr>
              <w:jc w:val="right"/>
              <w:ind w:right="221"/>
              <w:spacing w:after="0" w:line="182" w:lineRule="exact"/>
              <w:rPr>
                <w:sz w:val="20"/>
                <w:szCs w:val="20"/>
                <w:color w:val="auto"/>
              </w:rPr>
            </w:pPr>
            <w:r>
              <w:rPr>
                <w:rFonts w:ascii="Arial" w:cs="Arial" w:eastAsia="Arial" w:hAnsi="Arial"/>
                <w:sz w:val="16"/>
                <w:szCs w:val="16"/>
                <w:color w:val="auto"/>
              </w:rPr>
              <w:t>200%</w:t>
            </w:r>
          </w:p>
        </w:tc>
      </w:tr>
      <w:tr>
        <w:trPr>
          <w:trHeight w:val="157"/>
        </w:trPr>
        <w:tc>
          <w:tcPr>
            <w:tcW w:w="3100" w:type="dxa"/>
            <w:vAlign w:val="bottom"/>
            <w:tcBorders>
              <w:left w:val="single" w:sz="8" w:color="53C072"/>
            </w:tcBorders>
            <w:shd w:val="clear" w:color="auto" w:fill="E8F5EA"/>
          </w:tcPr>
          <w:p>
            <w:pPr>
              <w:ind w:left="300"/>
              <w:spacing w:after="0" w:line="157" w:lineRule="exact"/>
              <w:rPr>
                <w:sz w:val="20"/>
                <w:szCs w:val="20"/>
                <w:color w:val="auto"/>
              </w:rPr>
            </w:pPr>
            <w:r>
              <w:rPr>
                <w:rFonts w:ascii="Arial" w:cs="Arial" w:eastAsia="Arial" w:hAnsi="Arial"/>
                <w:sz w:val="16"/>
                <w:szCs w:val="16"/>
                <w:b w:val="1"/>
                <w:bCs w:val="1"/>
                <w:color w:val="auto"/>
              </w:rPr>
              <w:t>Average ROCE</w:t>
            </w:r>
          </w:p>
        </w:tc>
        <w:tc>
          <w:tcPr>
            <w:tcW w:w="1840" w:type="dxa"/>
            <w:vAlign w:val="bottom"/>
            <w:shd w:val="clear" w:color="auto" w:fill="E8F5EA"/>
          </w:tcPr>
          <w:p>
            <w:pPr>
              <w:spacing w:after="0"/>
              <w:rPr>
                <w:sz w:val="13"/>
                <w:szCs w:val="13"/>
                <w:color w:val="auto"/>
              </w:rPr>
            </w:pPr>
          </w:p>
        </w:tc>
        <w:tc>
          <w:tcPr>
            <w:tcW w:w="800" w:type="dxa"/>
            <w:vAlign w:val="bottom"/>
            <w:shd w:val="clear" w:color="auto" w:fill="E8F5EA"/>
          </w:tcPr>
          <w:p>
            <w:pPr>
              <w:spacing w:after="0"/>
              <w:rPr>
                <w:sz w:val="13"/>
                <w:szCs w:val="13"/>
                <w:color w:val="auto"/>
              </w:rPr>
            </w:pPr>
          </w:p>
        </w:tc>
        <w:tc>
          <w:tcPr>
            <w:tcW w:w="1340" w:type="dxa"/>
            <w:vAlign w:val="bottom"/>
            <w:shd w:val="clear" w:color="auto" w:fill="E8F5EA"/>
          </w:tcPr>
          <w:p>
            <w:pPr>
              <w:spacing w:after="0"/>
              <w:rPr>
                <w:sz w:val="13"/>
                <w:szCs w:val="13"/>
                <w:color w:val="auto"/>
              </w:rPr>
            </w:pPr>
          </w:p>
        </w:tc>
        <w:tc>
          <w:tcPr>
            <w:tcW w:w="860" w:type="dxa"/>
            <w:vAlign w:val="bottom"/>
            <w:shd w:val="clear" w:color="auto" w:fill="E8F5EA"/>
          </w:tcPr>
          <w:p>
            <w:pPr>
              <w:spacing w:after="0"/>
              <w:rPr>
                <w:sz w:val="13"/>
                <w:szCs w:val="13"/>
                <w:color w:val="auto"/>
              </w:rPr>
            </w:pPr>
          </w:p>
        </w:tc>
        <w:tc>
          <w:tcPr>
            <w:tcW w:w="1040" w:type="dxa"/>
            <w:vAlign w:val="bottom"/>
            <w:tcBorders>
              <w:right w:val="single" w:sz="8" w:color="53C072"/>
            </w:tcBorders>
            <w:shd w:val="clear" w:color="auto" w:fill="E8F5EA"/>
          </w:tcPr>
          <w:p>
            <w:pPr>
              <w:spacing w:after="0"/>
              <w:rPr>
                <w:sz w:val="13"/>
                <w:szCs w:val="13"/>
                <w:color w:val="auto"/>
              </w:rPr>
            </w:pPr>
          </w:p>
        </w:tc>
      </w:tr>
      <w:tr>
        <w:trPr>
          <w:trHeight w:val="199"/>
        </w:trPr>
        <w:tc>
          <w:tcPr>
            <w:tcW w:w="3100" w:type="dxa"/>
            <w:vAlign w:val="bottom"/>
            <w:tcBorders>
              <w:left w:val="single" w:sz="8" w:color="53C072"/>
            </w:tcBorders>
            <w:shd w:val="clear" w:color="auto" w:fill="E8F5EA"/>
          </w:tcPr>
          <w:p>
            <w:pPr>
              <w:ind w:left="300"/>
              <w:spacing w:after="0"/>
              <w:rPr>
                <w:sz w:val="20"/>
                <w:szCs w:val="20"/>
                <w:color w:val="auto"/>
              </w:rPr>
            </w:pPr>
            <w:r>
              <w:rPr>
                <w:rFonts w:ascii="Arial" w:cs="Arial" w:eastAsia="Arial" w:hAnsi="Arial"/>
                <w:sz w:val="16"/>
                <w:szCs w:val="16"/>
                <w:color w:val="auto"/>
              </w:rPr>
              <w:t>ROCE 3 yr average goal</w:t>
            </w:r>
          </w:p>
        </w:tc>
        <w:tc>
          <w:tcPr>
            <w:tcW w:w="1840" w:type="dxa"/>
            <w:vAlign w:val="bottom"/>
            <w:shd w:val="clear" w:color="auto" w:fill="E8F5EA"/>
          </w:tcPr>
          <w:p>
            <w:pPr>
              <w:jc w:val="right"/>
              <w:ind w:right="141"/>
              <w:spacing w:after="0"/>
              <w:rPr>
                <w:sz w:val="20"/>
                <w:szCs w:val="20"/>
                <w:color w:val="auto"/>
              </w:rPr>
            </w:pPr>
            <w:r>
              <w:rPr>
                <w:rFonts w:ascii="Arial" w:cs="Arial" w:eastAsia="Arial" w:hAnsi="Arial"/>
                <w:sz w:val="16"/>
                <w:szCs w:val="16"/>
                <w:color w:val="auto"/>
              </w:rPr>
              <w:t>&lt;9.70%</w:t>
            </w:r>
          </w:p>
        </w:tc>
        <w:tc>
          <w:tcPr>
            <w:tcW w:w="800" w:type="dxa"/>
            <w:vAlign w:val="bottom"/>
            <w:shd w:val="clear" w:color="auto" w:fill="E8F5EA"/>
          </w:tcPr>
          <w:p>
            <w:pPr>
              <w:jc w:val="right"/>
              <w:ind w:right="41"/>
              <w:spacing w:after="0"/>
              <w:rPr>
                <w:sz w:val="20"/>
                <w:szCs w:val="20"/>
                <w:color w:val="auto"/>
              </w:rPr>
            </w:pPr>
            <w:r>
              <w:rPr>
                <w:rFonts w:ascii="Arial" w:cs="Arial" w:eastAsia="Arial" w:hAnsi="Arial"/>
                <w:sz w:val="16"/>
                <w:szCs w:val="16"/>
                <w:color w:val="auto"/>
              </w:rPr>
              <w:t>9.70%</w:t>
            </w:r>
          </w:p>
        </w:tc>
        <w:tc>
          <w:tcPr>
            <w:tcW w:w="1340" w:type="dxa"/>
            <w:vAlign w:val="bottom"/>
            <w:shd w:val="clear" w:color="auto" w:fill="E8F5EA"/>
          </w:tcPr>
          <w:p>
            <w:pPr>
              <w:jc w:val="right"/>
              <w:ind w:right="81"/>
              <w:spacing w:after="0"/>
              <w:rPr>
                <w:sz w:val="20"/>
                <w:szCs w:val="20"/>
                <w:color w:val="auto"/>
              </w:rPr>
            </w:pPr>
            <w:r>
              <w:rPr>
                <w:rFonts w:ascii="Arial" w:cs="Arial" w:eastAsia="Arial" w:hAnsi="Arial"/>
                <w:sz w:val="16"/>
                <w:szCs w:val="16"/>
                <w:color w:val="auto"/>
              </w:rPr>
              <w:t>10.40%</w:t>
            </w:r>
          </w:p>
        </w:tc>
        <w:tc>
          <w:tcPr>
            <w:tcW w:w="860" w:type="dxa"/>
            <w:vAlign w:val="bottom"/>
            <w:shd w:val="clear" w:color="auto" w:fill="E8F5EA"/>
          </w:tcPr>
          <w:p>
            <w:pPr>
              <w:jc w:val="right"/>
              <w:ind w:right="61"/>
              <w:spacing w:after="0"/>
              <w:rPr>
                <w:sz w:val="20"/>
                <w:szCs w:val="20"/>
                <w:color w:val="auto"/>
              </w:rPr>
            </w:pPr>
            <w:r>
              <w:rPr>
                <w:rFonts w:ascii="Arial" w:cs="Arial" w:eastAsia="Arial" w:hAnsi="Arial"/>
                <w:sz w:val="16"/>
                <w:szCs w:val="16"/>
                <w:color w:val="auto"/>
              </w:rPr>
              <w:t>10.75%</w:t>
            </w:r>
          </w:p>
        </w:tc>
        <w:tc>
          <w:tcPr>
            <w:tcW w:w="1040" w:type="dxa"/>
            <w:vAlign w:val="bottom"/>
            <w:tcBorders>
              <w:right w:val="single" w:sz="8" w:color="53C072"/>
            </w:tcBorders>
            <w:shd w:val="clear" w:color="auto" w:fill="E8F5EA"/>
          </w:tcPr>
          <w:p>
            <w:pPr>
              <w:jc w:val="right"/>
              <w:ind w:right="221"/>
              <w:spacing w:after="0"/>
              <w:rPr>
                <w:sz w:val="20"/>
                <w:szCs w:val="20"/>
                <w:color w:val="auto"/>
              </w:rPr>
            </w:pPr>
            <w:r>
              <w:rPr>
                <w:rFonts w:ascii="Arial" w:cs="Arial" w:eastAsia="Arial" w:hAnsi="Arial"/>
                <w:sz w:val="16"/>
                <w:szCs w:val="16"/>
                <w:color w:val="auto"/>
              </w:rPr>
              <w:t>&gt;11.10%</w:t>
            </w:r>
          </w:p>
        </w:tc>
      </w:tr>
      <w:tr>
        <w:trPr>
          <w:trHeight w:val="182"/>
        </w:trPr>
        <w:tc>
          <w:tcPr>
            <w:tcW w:w="3100" w:type="dxa"/>
            <w:vAlign w:val="bottom"/>
            <w:tcBorders>
              <w:left w:val="single" w:sz="8" w:color="53C072"/>
              <w:bottom w:val="single" w:sz="8" w:color="53C072"/>
            </w:tcBorders>
          </w:tcPr>
          <w:p>
            <w:pPr>
              <w:ind w:left="300"/>
              <w:spacing w:after="0" w:line="182" w:lineRule="exact"/>
              <w:rPr>
                <w:sz w:val="20"/>
                <w:szCs w:val="20"/>
                <w:color w:val="auto"/>
              </w:rPr>
            </w:pPr>
            <w:r>
              <w:rPr>
                <w:rFonts w:ascii="Arial" w:cs="Arial" w:eastAsia="Arial" w:hAnsi="Arial"/>
                <w:sz w:val="16"/>
                <w:szCs w:val="16"/>
                <w:color w:val="auto"/>
              </w:rPr>
              <w:t>Payout Percent of Target</w:t>
            </w:r>
          </w:p>
        </w:tc>
        <w:tc>
          <w:tcPr>
            <w:tcW w:w="1840" w:type="dxa"/>
            <w:vAlign w:val="bottom"/>
            <w:tcBorders>
              <w:bottom w:val="single" w:sz="8" w:color="53C072"/>
            </w:tcBorders>
          </w:tcPr>
          <w:p>
            <w:pPr>
              <w:jc w:val="right"/>
              <w:ind w:right="141"/>
              <w:spacing w:after="0" w:line="182" w:lineRule="exact"/>
              <w:rPr>
                <w:sz w:val="20"/>
                <w:szCs w:val="20"/>
                <w:color w:val="auto"/>
              </w:rPr>
            </w:pPr>
            <w:r>
              <w:rPr>
                <w:rFonts w:ascii="Arial" w:cs="Arial" w:eastAsia="Arial" w:hAnsi="Arial"/>
                <w:sz w:val="16"/>
                <w:szCs w:val="16"/>
                <w:color w:val="auto"/>
              </w:rPr>
              <w:t>0%</w:t>
            </w:r>
          </w:p>
        </w:tc>
        <w:tc>
          <w:tcPr>
            <w:tcW w:w="800" w:type="dxa"/>
            <w:vAlign w:val="bottom"/>
            <w:tcBorders>
              <w:bottom w:val="single" w:sz="8" w:color="53C072"/>
            </w:tcBorders>
          </w:tcPr>
          <w:p>
            <w:pPr>
              <w:jc w:val="right"/>
              <w:ind w:right="41"/>
              <w:spacing w:after="0" w:line="182" w:lineRule="exact"/>
              <w:rPr>
                <w:sz w:val="20"/>
                <w:szCs w:val="20"/>
                <w:color w:val="auto"/>
              </w:rPr>
            </w:pPr>
            <w:r>
              <w:rPr>
                <w:rFonts w:ascii="Arial" w:cs="Arial" w:eastAsia="Arial" w:hAnsi="Arial"/>
                <w:sz w:val="16"/>
                <w:szCs w:val="16"/>
                <w:color w:val="auto"/>
              </w:rPr>
              <w:t>40%</w:t>
            </w:r>
          </w:p>
        </w:tc>
        <w:tc>
          <w:tcPr>
            <w:tcW w:w="1340" w:type="dxa"/>
            <w:vAlign w:val="bottom"/>
            <w:tcBorders>
              <w:bottom w:val="single" w:sz="8" w:color="53C072"/>
            </w:tcBorders>
          </w:tcPr>
          <w:p>
            <w:pPr>
              <w:jc w:val="right"/>
              <w:ind w:right="81"/>
              <w:spacing w:after="0" w:line="182" w:lineRule="exact"/>
              <w:rPr>
                <w:sz w:val="20"/>
                <w:szCs w:val="20"/>
                <w:color w:val="auto"/>
              </w:rPr>
            </w:pPr>
            <w:r>
              <w:rPr>
                <w:rFonts w:ascii="Arial" w:cs="Arial" w:eastAsia="Arial" w:hAnsi="Arial"/>
                <w:sz w:val="16"/>
                <w:szCs w:val="16"/>
                <w:color w:val="auto"/>
              </w:rPr>
              <w:t>100%</w:t>
            </w:r>
          </w:p>
        </w:tc>
        <w:tc>
          <w:tcPr>
            <w:tcW w:w="860" w:type="dxa"/>
            <w:vAlign w:val="bottom"/>
            <w:tcBorders>
              <w:bottom w:val="single" w:sz="8" w:color="53C072"/>
            </w:tcBorders>
          </w:tcPr>
          <w:p>
            <w:pPr>
              <w:jc w:val="right"/>
              <w:ind w:right="61"/>
              <w:spacing w:after="0" w:line="182" w:lineRule="exact"/>
              <w:rPr>
                <w:sz w:val="20"/>
                <w:szCs w:val="20"/>
                <w:color w:val="auto"/>
              </w:rPr>
            </w:pPr>
            <w:r>
              <w:rPr>
                <w:rFonts w:ascii="Arial" w:cs="Arial" w:eastAsia="Arial" w:hAnsi="Arial"/>
                <w:sz w:val="16"/>
                <w:szCs w:val="16"/>
                <w:color w:val="auto"/>
              </w:rPr>
              <w:t>150%</w:t>
            </w:r>
          </w:p>
        </w:tc>
        <w:tc>
          <w:tcPr>
            <w:tcW w:w="1040" w:type="dxa"/>
            <w:vAlign w:val="bottom"/>
            <w:tcBorders>
              <w:bottom w:val="single" w:sz="8" w:color="53C072"/>
              <w:right w:val="single" w:sz="8" w:color="53C072"/>
            </w:tcBorders>
          </w:tcPr>
          <w:p>
            <w:pPr>
              <w:jc w:val="right"/>
              <w:ind w:right="221"/>
              <w:spacing w:after="0" w:line="182" w:lineRule="exact"/>
              <w:rPr>
                <w:sz w:val="20"/>
                <w:szCs w:val="20"/>
                <w:color w:val="auto"/>
              </w:rPr>
            </w:pPr>
            <w:r>
              <w:rPr>
                <w:rFonts w:ascii="Arial" w:cs="Arial" w:eastAsia="Arial" w:hAnsi="Arial"/>
                <w:sz w:val="16"/>
                <w:szCs w:val="16"/>
                <w:color w:val="auto"/>
              </w:rPr>
              <w:t>200%</w:t>
            </w:r>
          </w:p>
        </w:tc>
      </w:tr>
      <w:tr>
        <w:trPr>
          <w:trHeight w:val="174"/>
        </w:trPr>
        <w:tc>
          <w:tcPr>
            <w:tcW w:w="3100" w:type="dxa"/>
            <w:vAlign w:val="bottom"/>
            <w:tcBorders>
              <w:left w:val="single" w:sz="8" w:color="53C072"/>
            </w:tcBorders>
            <w:shd w:val="clear" w:color="auto" w:fill="E8F5EA"/>
          </w:tcPr>
          <w:p>
            <w:pPr>
              <w:ind w:left="300"/>
              <w:spacing w:after="0" w:line="175" w:lineRule="exact"/>
              <w:rPr>
                <w:sz w:val="20"/>
                <w:szCs w:val="20"/>
                <w:color w:val="auto"/>
              </w:rPr>
            </w:pPr>
            <w:r>
              <w:rPr>
                <w:rFonts w:ascii="Arial" w:cs="Arial" w:eastAsia="Arial" w:hAnsi="Arial"/>
                <w:sz w:val="16"/>
                <w:szCs w:val="16"/>
                <w:b w:val="1"/>
                <w:bCs w:val="1"/>
                <w:color w:val="auto"/>
              </w:rPr>
              <w:t>Relative TSR</w:t>
            </w:r>
          </w:p>
        </w:tc>
        <w:tc>
          <w:tcPr>
            <w:tcW w:w="1840" w:type="dxa"/>
            <w:vAlign w:val="bottom"/>
            <w:shd w:val="clear" w:color="auto" w:fill="E8F5EA"/>
          </w:tcPr>
          <w:p>
            <w:pPr>
              <w:spacing w:after="0"/>
              <w:rPr>
                <w:sz w:val="15"/>
                <w:szCs w:val="15"/>
                <w:color w:val="auto"/>
              </w:rPr>
            </w:pPr>
          </w:p>
        </w:tc>
        <w:tc>
          <w:tcPr>
            <w:tcW w:w="800" w:type="dxa"/>
            <w:vAlign w:val="bottom"/>
            <w:shd w:val="clear" w:color="auto" w:fill="E8F5EA"/>
          </w:tcPr>
          <w:p>
            <w:pPr>
              <w:spacing w:after="0"/>
              <w:rPr>
                <w:sz w:val="15"/>
                <w:szCs w:val="15"/>
                <w:color w:val="auto"/>
              </w:rPr>
            </w:pPr>
          </w:p>
        </w:tc>
        <w:tc>
          <w:tcPr>
            <w:tcW w:w="1340" w:type="dxa"/>
            <w:vAlign w:val="bottom"/>
            <w:shd w:val="clear" w:color="auto" w:fill="E8F5EA"/>
          </w:tcPr>
          <w:p>
            <w:pPr>
              <w:spacing w:after="0"/>
              <w:rPr>
                <w:sz w:val="15"/>
                <w:szCs w:val="15"/>
                <w:color w:val="auto"/>
              </w:rPr>
            </w:pPr>
          </w:p>
        </w:tc>
        <w:tc>
          <w:tcPr>
            <w:tcW w:w="860" w:type="dxa"/>
            <w:vAlign w:val="bottom"/>
            <w:shd w:val="clear" w:color="auto" w:fill="E8F5EA"/>
          </w:tcPr>
          <w:p>
            <w:pPr>
              <w:spacing w:after="0"/>
              <w:rPr>
                <w:sz w:val="15"/>
                <w:szCs w:val="15"/>
                <w:color w:val="auto"/>
              </w:rPr>
            </w:pPr>
          </w:p>
        </w:tc>
        <w:tc>
          <w:tcPr>
            <w:tcW w:w="1040" w:type="dxa"/>
            <w:vAlign w:val="bottom"/>
            <w:tcBorders>
              <w:right w:val="single" w:sz="8" w:color="53C072"/>
            </w:tcBorders>
            <w:shd w:val="clear" w:color="auto" w:fill="E8F5EA"/>
          </w:tcPr>
          <w:p>
            <w:pPr>
              <w:spacing w:after="0"/>
              <w:rPr>
                <w:sz w:val="15"/>
                <w:szCs w:val="15"/>
                <w:color w:val="auto"/>
              </w:rPr>
            </w:pPr>
          </w:p>
        </w:tc>
      </w:tr>
      <w:tr>
        <w:trPr>
          <w:trHeight w:val="182"/>
        </w:trPr>
        <w:tc>
          <w:tcPr>
            <w:tcW w:w="3100" w:type="dxa"/>
            <w:vAlign w:val="bottom"/>
            <w:tcBorders>
              <w:left w:val="single" w:sz="8" w:color="53C072"/>
            </w:tcBorders>
          </w:tcPr>
          <w:p>
            <w:pPr>
              <w:ind w:left="300"/>
              <w:spacing w:after="0" w:line="182" w:lineRule="exact"/>
              <w:rPr>
                <w:sz w:val="20"/>
                <w:szCs w:val="20"/>
                <w:color w:val="auto"/>
              </w:rPr>
            </w:pPr>
            <w:r>
              <w:rPr>
                <w:rFonts w:ascii="Arial" w:cs="Arial" w:eastAsia="Arial" w:hAnsi="Arial"/>
                <w:sz w:val="16"/>
                <w:szCs w:val="16"/>
                <w:color w:val="auto"/>
              </w:rPr>
              <w:t>Percentile Rank</w:t>
            </w:r>
          </w:p>
        </w:tc>
        <w:tc>
          <w:tcPr>
            <w:tcW w:w="1840" w:type="dxa"/>
            <w:vAlign w:val="bottom"/>
          </w:tcPr>
          <w:p>
            <w:pPr>
              <w:jc w:val="right"/>
              <w:ind w:right="141"/>
              <w:spacing w:after="0" w:line="182" w:lineRule="exact"/>
              <w:rPr>
                <w:sz w:val="20"/>
                <w:szCs w:val="20"/>
                <w:color w:val="auto"/>
              </w:rPr>
            </w:pPr>
            <w:r>
              <w:rPr>
                <w:rFonts w:ascii="Arial" w:cs="Arial" w:eastAsia="Arial" w:hAnsi="Arial"/>
                <w:sz w:val="16"/>
                <w:szCs w:val="16"/>
                <w:color w:val="auto"/>
              </w:rPr>
              <w:t>&lt;30%ile</w:t>
            </w:r>
          </w:p>
        </w:tc>
        <w:tc>
          <w:tcPr>
            <w:tcW w:w="800" w:type="dxa"/>
            <w:vAlign w:val="bottom"/>
          </w:tcPr>
          <w:p>
            <w:pPr>
              <w:spacing w:after="0"/>
              <w:rPr>
                <w:sz w:val="15"/>
                <w:szCs w:val="15"/>
                <w:color w:val="auto"/>
              </w:rPr>
            </w:pPr>
          </w:p>
        </w:tc>
        <w:tc>
          <w:tcPr>
            <w:tcW w:w="1340" w:type="dxa"/>
            <w:vAlign w:val="bottom"/>
          </w:tcPr>
          <w:p>
            <w:pPr>
              <w:jc w:val="right"/>
              <w:ind w:right="81"/>
              <w:spacing w:after="0" w:line="182" w:lineRule="exact"/>
              <w:rPr>
                <w:sz w:val="20"/>
                <w:szCs w:val="20"/>
                <w:color w:val="auto"/>
              </w:rPr>
            </w:pPr>
            <w:r>
              <w:rPr>
                <w:rFonts w:ascii="Arial" w:cs="Arial" w:eastAsia="Arial" w:hAnsi="Arial"/>
                <w:sz w:val="16"/>
                <w:szCs w:val="16"/>
                <w:color w:val="auto"/>
              </w:rPr>
              <w:t>50%ile</w:t>
            </w:r>
          </w:p>
        </w:tc>
        <w:tc>
          <w:tcPr>
            <w:tcW w:w="860" w:type="dxa"/>
            <w:vAlign w:val="bottom"/>
          </w:tcPr>
          <w:p>
            <w:pPr>
              <w:jc w:val="right"/>
              <w:ind w:right="61"/>
              <w:spacing w:after="0" w:line="182" w:lineRule="exact"/>
              <w:rPr>
                <w:sz w:val="20"/>
                <w:szCs w:val="20"/>
                <w:color w:val="auto"/>
              </w:rPr>
            </w:pPr>
            <w:r>
              <w:rPr>
                <w:rFonts w:ascii="Arial" w:cs="Arial" w:eastAsia="Arial" w:hAnsi="Arial"/>
                <w:sz w:val="16"/>
                <w:szCs w:val="16"/>
                <w:color w:val="auto"/>
              </w:rPr>
              <w:t>&gt;75%ile</w:t>
            </w:r>
          </w:p>
        </w:tc>
        <w:tc>
          <w:tcPr>
            <w:tcW w:w="1040" w:type="dxa"/>
            <w:vAlign w:val="bottom"/>
            <w:tcBorders>
              <w:right w:val="single" w:sz="8" w:color="53C072"/>
            </w:tcBorders>
          </w:tcPr>
          <w:p>
            <w:pPr>
              <w:spacing w:after="0"/>
              <w:rPr>
                <w:sz w:val="15"/>
                <w:szCs w:val="15"/>
                <w:color w:val="auto"/>
              </w:rPr>
            </w:pPr>
          </w:p>
        </w:tc>
      </w:tr>
      <w:tr>
        <w:trPr>
          <w:trHeight w:val="199"/>
        </w:trPr>
        <w:tc>
          <w:tcPr>
            <w:tcW w:w="3100" w:type="dxa"/>
            <w:vAlign w:val="bottom"/>
            <w:tcBorders>
              <w:left w:val="single" w:sz="8" w:color="53C072"/>
              <w:bottom w:val="single" w:sz="8" w:color="53C072"/>
            </w:tcBorders>
            <w:shd w:val="clear" w:color="auto" w:fill="E8F5EA"/>
          </w:tcPr>
          <w:p>
            <w:pPr>
              <w:ind w:left="300"/>
              <w:spacing w:after="0" w:line="182" w:lineRule="exact"/>
              <w:rPr>
                <w:sz w:val="20"/>
                <w:szCs w:val="20"/>
                <w:color w:val="auto"/>
              </w:rPr>
            </w:pPr>
            <w:r>
              <w:rPr>
                <w:rFonts w:ascii="Arial" w:cs="Arial" w:eastAsia="Arial" w:hAnsi="Arial"/>
                <w:sz w:val="16"/>
                <w:szCs w:val="16"/>
                <w:color w:val="auto"/>
              </w:rPr>
              <w:t>Payout Percent of Target</w:t>
            </w:r>
          </w:p>
        </w:tc>
        <w:tc>
          <w:tcPr>
            <w:tcW w:w="1840" w:type="dxa"/>
            <w:vAlign w:val="bottom"/>
            <w:tcBorders>
              <w:bottom w:val="single" w:sz="8" w:color="53C072"/>
            </w:tcBorders>
            <w:shd w:val="clear" w:color="auto" w:fill="E8F5EA"/>
          </w:tcPr>
          <w:p>
            <w:pPr>
              <w:jc w:val="right"/>
              <w:ind w:right="141"/>
              <w:spacing w:after="0" w:line="182" w:lineRule="exact"/>
              <w:rPr>
                <w:sz w:val="20"/>
                <w:szCs w:val="20"/>
                <w:color w:val="auto"/>
              </w:rPr>
            </w:pPr>
            <w:r>
              <w:rPr>
                <w:rFonts w:ascii="Arial" w:cs="Arial" w:eastAsia="Arial" w:hAnsi="Arial"/>
                <w:sz w:val="16"/>
                <w:szCs w:val="16"/>
                <w:color w:val="auto"/>
              </w:rPr>
              <w:t>–20%</w:t>
            </w:r>
          </w:p>
        </w:tc>
        <w:tc>
          <w:tcPr>
            <w:tcW w:w="800" w:type="dxa"/>
            <w:vAlign w:val="bottom"/>
            <w:tcBorders>
              <w:bottom w:val="single" w:sz="8" w:color="53C072"/>
            </w:tcBorders>
            <w:shd w:val="clear" w:color="auto" w:fill="E8F5EA"/>
          </w:tcPr>
          <w:p>
            <w:pPr>
              <w:spacing w:after="0"/>
              <w:rPr>
                <w:sz w:val="17"/>
                <w:szCs w:val="17"/>
                <w:color w:val="auto"/>
              </w:rPr>
            </w:pPr>
          </w:p>
        </w:tc>
        <w:tc>
          <w:tcPr>
            <w:tcW w:w="1340" w:type="dxa"/>
            <w:vAlign w:val="bottom"/>
            <w:tcBorders>
              <w:bottom w:val="single" w:sz="8" w:color="53C072"/>
            </w:tcBorders>
            <w:shd w:val="clear" w:color="auto" w:fill="E8F5EA"/>
          </w:tcPr>
          <w:p>
            <w:pPr>
              <w:jc w:val="right"/>
              <w:ind w:right="81"/>
              <w:spacing w:after="0" w:line="182" w:lineRule="exact"/>
              <w:rPr>
                <w:sz w:val="20"/>
                <w:szCs w:val="20"/>
                <w:color w:val="auto"/>
              </w:rPr>
            </w:pPr>
            <w:r>
              <w:rPr>
                <w:rFonts w:ascii="Arial" w:cs="Arial" w:eastAsia="Arial" w:hAnsi="Arial"/>
                <w:sz w:val="16"/>
                <w:szCs w:val="16"/>
                <w:color w:val="auto"/>
              </w:rPr>
              <w:t>No Adjustment</w:t>
            </w:r>
          </w:p>
        </w:tc>
        <w:tc>
          <w:tcPr>
            <w:tcW w:w="860" w:type="dxa"/>
            <w:vAlign w:val="bottom"/>
            <w:tcBorders>
              <w:bottom w:val="single" w:sz="8" w:color="53C072"/>
            </w:tcBorders>
            <w:shd w:val="clear" w:color="auto" w:fill="E8F5EA"/>
          </w:tcPr>
          <w:p>
            <w:pPr>
              <w:jc w:val="right"/>
              <w:ind w:right="61"/>
              <w:spacing w:after="0" w:line="182" w:lineRule="exact"/>
              <w:rPr>
                <w:sz w:val="20"/>
                <w:szCs w:val="20"/>
                <w:color w:val="auto"/>
              </w:rPr>
            </w:pPr>
            <w:r>
              <w:rPr>
                <w:rFonts w:ascii="Arial" w:cs="Arial" w:eastAsia="Arial" w:hAnsi="Arial"/>
                <w:sz w:val="16"/>
                <w:szCs w:val="16"/>
                <w:color w:val="auto"/>
              </w:rPr>
              <w:t>+20%</w:t>
            </w:r>
          </w:p>
        </w:tc>
        <w:tc>
          <w:tcPr>
            <w:tcW w:w="1040" w:type="dxa"/>
            <w:vAlign w:val="bottom"/>
            <w:tcBorders>
              <w:bottom w:val="single" w:sz="8" w:color="53C072"/>
              <w:right w:val="single" w:sz="8" w:color="53C072"/>
            </w:tcBorders>
            <w:shd w:val="clear" w:color="auto" w:fill="E8F5EA"/>
          </w:tcPr>
          <w:p>
            <w:pPr>
              <w:spacing w:after="0"/>
              <w:rPr>
                <w:sz w:val="17"/>
                <w:szCs w:val="17"/>
                <w:color w:val="auto"/>
              </w:rPr>
            </w:pPr>
          </w:p>
        </w:tc>
      </w:tr>
    </w:tbl>
    <w:p>
      <w:pPr>
        <w:spacing w:after="0" w:line="177" w:lineRule="exact"/>
        <w:rPr>
          <w:sz w:val="20"/>
          <w:szCs w:val="20"/>
          <w:color w:val="auto"/>
        </w:rPr>
      </w:pPr>
    </w:p>
    <w:p>
      <w:pPr>
        <w:ind w:left="3" w:right="500"/>
        <w:spacing w:after="0" w:line="275" w:lineRule="auto"/>
        <w:rPr>
          <w:sz w:val="20"/>
          <w:szCs w:val="20"/>
          <w:color w:val="auto"/>
        </w:rPr>
      </w:pPr>
      <w:r>
        <w:rPr>
          <w:rFonts w:ascii="Arial" w:cs="Arial" w:eastAsia="Arial" w:hAnsi="Arial"/>
          <w:sz w:val="16"/>
          <w:szCs w:val="16"/>
          <w:color w:val="auto"/>
        </w:rPr>
        <w:t>Achievement of such financial performance goals and the percentages of fiscal 2018 PSUs earned with respect to the financial performance goals were as follows*:</w:t>
      </w:r>
    </w:p>
    <w:p>
      <w:pPr>
        <w:spacing w:after="0" w:line="136" w:lineRule="exact"/>
        <w:rPr>
          <w:sz w:val="20"/>
          <w:szCs w:val="20"/>
          <w:color w:val="auto"/>
        </w:rPr>
      </w:pPr>
    </w:p>
    <w:tbl>
      <w:tblPr>
        <w:tblLayout w:type="fixed"/>
        <w:tblInd w:w="1683" w:type="dxa"/>
        <w:tblCellMar>
          <w:top w:w="0" w:type="dxa"/>
          <w:left w:w="0" w:type="dxa"/>
          <w:bottom w:w="0" w:type="dxa"/>
          <w:right w:w="0" w:type="dxa"/>
        </w:tblCellMar>
      </w:tblPr>
      <w:tr>
        <w:trPr>
          <w:trHeight w:val="149"/>
        </w:trPr>
        <w:tc>
          <w:tcPr>
            <w:tcW w:w="2320" w:type="dxa"/>
            <w:vAlign w:val="bottom"/>
            <w:vMerge w:val="restart"/>
            <w:shd w:val="clear" w:color="auto" w:fill="53C072"/>
          </w:tcPr>
          <w:p>
            <w:pPr>
              <w:ind w:left="20"/>
              <w:spacing w:after="0"/>
              <w:rPr>
                <w:sz w:val="20"/>
                <w:szCs w:val="20"/>
                <w:color w:val="auto"/>
              </w:rPr>
            </w:pPr>
            <w:r>
              <w:rPr>
                <w:rFonts w:ascii="Arial" w:cs="Arial" w:eastAsia="Arial" w:hAnsi="Arial"/>
                <w:sz w:val="13"/>
                <w:szCs w:val="13"/>
                <w:b w:val="1"/>
                <w:bCs w:val="1"/>
                <w:color w:val="FFFFFE"/>
              </w:rPr>
              <w:t>Goal</w:t>
            </w:r>
          </w:p>
        </w:tc>
        <w:tc>
          <w:tcPr>
            <w:tcW w:w="1680" w:type="dxa"/>
            <w:vAlign w:val="bottom"/>
            <w:vMerge w:val="restart"/>
            <w:shd w:val="clear" w:color="auto" w:fill="53C072"/>
          </w:tcPr>
          <w:p>
            <w:pPr>
              <w:jc w:val="right"/>
              <w:ind w:right="45"/>
              <w:spacing w:after="0"/>
              <w:rPr>
                <w:sz w:val="20"/>
                <w:szCs w:val="20"/>
                <w:color w:val="auto"/>
              </w:rPr>
            </w:pPr>
            <w:r>
              <w:rPr>
                <w:rFonts w:ascii="Arial" w:cs="Arial" w:eastAsia="Arial" w:hAnsi="Arial"/>
                <w:sz w:val="13"/>
                <w:szCs w:val="13"/>
                <w:b w:val="1"/>
                <w:bCs w:val="1"/>
                <w:color w:val="FFFFFE"/>
              </w:rPr>
              <w:t>Target</w:t>
            </w:r>
          </w:p>
        </w:tc>
        <w:tc>
          <w:tcPr>
            <w:tcW w:w="880" w:type="dxa"/>
            <w:vAlign w:val="bottom"/>
            <w:vMerge w:val="restart"/>
            <w:shd w:val="clear" w:color="auto" w:fill="53C072"/>
          </w:tcPr>
          <w:p>
            <w:pPr>
              <w:jc w:val="right"/>
              <w:ind w:right="65"/>
              <w:spacing w:after="0"/>
              <w:rPr>
                <w:sz w:val="20"/>
                <w:szCs w:val="20"/>
                <w:color w:val="auto"/>
              </w:rPr>
            </w:pPr>
            <w:r>
              <w:rPr>
                <w:rFonts w:ascii="Arial" w:cs="Arial" w:eastAsia="Arial" w:hAnsi="Arial"/>
                <w:sz w:val="13"/>
                <w:szCs w:val="13"/>
                <w:b w:val="1"/>
                <w:bCs w:val="1"/>
                <w:color w:val="FFFFFE"/>
              </w:rPr>
              <w:t>Actual</w:t>
            </w:r>
          </w:p>
        </w:tc>
        <w:tc>
          <w:tcPr>
            <w:tcW w:w="1560" w:type="dxa"/>
            <w:vAlign w:val="bottom"/>
            <w:vMerge w:val="restart"/>
            <w:shd w:val="clear" w:color="auto" w:fill="53C072"/>
          </w:tcPr>
          <w:p>
            <w:pPr>
              <w:jc w:val="right"/>
              <w:ind w:right="45"/>
              <w:spacing w:after="0"/>
              <w:rPr>
                <w:sz w:val="20"/>
                <w:szCs w:val="20"/>
                <w:color w:val="auto"/>
              </w:rPr>
            </w:pPr>
            <w:r>
              <w:rPr>
                <w:rFonts w:ascii="Arial" w:cs="Arial" w:eastAsia="Arial" w:hAnsi="Arial"/>
                <w:sz w:val="13"/>
                <w:szCs w:val="13"/>
                <w:b w:val="1"/>
                <w:bCs w:val="1"/>
                <w:color w:val="FFFFFE"/>
              </w:rPr>
              <w:t>% of Target Achieved</w:t>
            </w:r>
          </w:p>
        </w:tc>
        <w:tc>
          <w:tcPr>
            <w:tcW w:w="128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Payout % of Target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320" w:type="dxa"/>
            <w:vAlign w:val="bottom"/>
            <w:vMerge w:val="continue"/>
            <w:shd w:val="clear" w:color="auto" w:fill="53C072"/>
          </w:tcPr>
          <w:p>
            <w:pPr>
              <w:spacing w:after="0"/>
              <w:rPr>
                <w:sz w:val="13"/>
                <w:szCs w:val="13"/>
                <w:color w:val="auto"/>
              </w:rPr>
            </w:pPr>
          </w:p>
        </w:tc>
        <w:tc>
          <w:tcPr>
            <w:tcW w:w="1680" w:type="dxa"/>
            <w:vAlign w:val="bottom"/>
            <w:vMerge w:val="continue"/>
            <w:shd w:val="clear" w:color="auto" w:fill="53C072"/>
          </w:tcPr>
          <w:p>
            <w:pPr>
              <w:spacing w:after="0"/>
              <w:rPr>
                <w:sz w:val="13"/>
                <w:szCs w:val="13"/>
                <w:color w:val="auto"/>
              </w:rPr>
            </w:pPr>
          </w:p>
        </w:tc>
        <w:tc>
          <w:tcPr>
            <w:tcW w:w="880" w:type="dxa"/>
            <w:vAlign w:val="bottom"/>
            <w:vMerge w:val="continue"/>
            <w:shd w:val="clear" w:color="auto" w:fill="53C072"/>
          </w:tcPr>
          <w:p>
            <w:pPr>
              <w:spacing w:after="0"/>
              <w:rPr>
                <w:sz w:val="13"/>
                <w:szCs w:val="13"/>
                <w:color w:val="auto"/>
              </w:rPr>
            </w:pPr>
          </w:p>
        </w:tc>
        <w:tc>
          <w:tcPr>
            <w:tcW w:w="1560" w:type="dxa"/>
            <w:vAlign w:val="bottom"/>
            <w:vMerge w:val="continue"/>
            <w:shd w:val="clear" w:color="auto" w:fill="53C072"/>
          </w:tcPr>
          <w:p>
            <w:pPr>
              <w:spacing w:after="0"/>
              <w:rPr>
                <w:sz w:val="13"/>
                <w:szCs w:val="13"/>
                <w:color w:val="auto"/>
              </w:rPr>
            </w:pPr>
          </w:p>
        </w:tc>
        <w:tc>
          <w:tcPr>
            <w:tcW w:w="128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(Weighted)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320" w:type="dxa"/>
            <w:vAlign w:val="bottom"/>
          </w:tcPr>
          <w:p>
            <w:pPr>
              <w:ind w:left="20"/>
              <w:spacing w:after="0" w:line="182" w:lineRule="exact"/>
              <w:rPr>
                <w:sz w:val="20"/>
                <w:szCs w:val="20"/>
                <w:color w:val="auto"/>
              </w:rPr>
            </w:pPr>
            <w:r>
              <w:rPr>
                <w:rFonts w:ascii="Arial" w:cs="Arial" w:eastAsia="Arial" w:hAnsi="Arial"/>
                <w:sz w:val="16"/>
                <w:szCs w:val="16"/>
                <w:color w:val="auto"/>
              </w:rPr>
              <w:t>Relative EP</w:t>
            </w:r>
          </w:p>
        </w:tc>
        <w:tc>
          <w:tcPr>
            <w:tcW w:w="1680" w:type="dxa"/>
            <w:vAlign w:val="bottom"/>
          </w:tcPr>
          <w:p>
            <w:pPr>
              <w:jc w:val="right"/>
              <w:ind w:right="45"/>
              <w:spacing w:after="0" w:line="182" w:lineRule="exact"/>
              <w:rPr>
                <w:sz w:val="20"/>
                <w:szCs w:val="20"/>
                <w:color w:val="auto"/>
              </w:rPr>
            </w:pPr>
            <w:r>
              <w:rPr>
                <w:rFonts w:ascii="Arial" w:cs="Arial" w:eastAsia="Arial" w:hAnsi="Arial"/>
                <w:sz w:val="16"/>
                <w:szCs w:val="16"/>
                <w:color w:val="auto"/>
              </w:rPr>
              <w:t>0%</w:t>
            </w:r>
          </w:p>
        </w:tc>
        <w:tc>
          <w:tcPr>
            <w:tcW w:w="880" w:type="dxa"/>
            <w:vAlign w:val="bottom"/>
          </w:tcPr>
          <w:p>
            <w:pPr>
              <w:jc w:val="right"/>
              <w:ind w:right="65"/>
              <w:spacing w:after="0" w:line="182" w:lineRule="exact"/>
              <w:rPr>
                <w:sz w:val="20"/>
                <w:szCs w:val="20"/>
                <w:color w:val="auto"/>
              </w:rPr>
            </w:pPr>
            <w:r>
              <w:rPr>
                <w:rFonts w:ascii="Arial" w:cs="Arial" w:eastAsia="Arial" w:hAnsi="Arial"/>
                <w:sz w:val="16"/>
                <w:szCs w:val="16"/>
                <w:color w:val="auto"/>
              </w:rPr>
              <w:t>–4.0%</w:t>
            </w:r>
          </w:p>
        </w:tc>
        <w:tc>
          <w:tcPr>
            <w:tcW w:w="1560" w:type="dxa"/>
            <w:vAlign w:val="bottom"/>
          </w:tcPr>
          <w:p>
            <w:pPr>
              <w:jc w:val="right"/>
              <w:ind w:right="45"/>
              <w:spacing w:after="0" w:line="182" w:lineRule="exact"/>
              <w:rPr>
                <w:sz w:val="20"/>
                <w:szCs w:val="20"/>
                <w:color w:val="auto"/>
              </w:rPr>
            </w:pPr>
            <w:r>
              <w:rPr>
                <w:rFonts w:ascii="Arial" w:cs="Arial" w:eastAsia="Arial" w:hAnsi="Arial"/>
                <w:sz w:val="16"/>
                <w:szCs w:val="16"/>
                <w:color w:val="auto"/>
              </w:rPr>
              <w:t>60.3%</w:t>
            </w:r>
          </w:p>
        </w:tc>
        <w:tc>
          <w:tcPr>
            <w:tcW w:w="1280" w:type="dxa"/>
            <w:vAlign w:val="bottom"/>
          </w:tcPr>
          <w:p>
            <w:pPr>
              <w:jc w:val="right"/>
              <w:spacing w:after="0" w:line="182" w:lineRule="exact"/>
              <w:rPr>
                <w:sz w:val="20"/>
                <w:szCs w:val="20"/>
                <w:color w:val="auto"/>
              </w:rPr>
            </w:pPr>
            <w:r>
              <w:rPr>
                <w:rFonts w:ascii="Arial" w:cs="Arial" w:eastAsia="Arial" w:hAnsi="Arial"/>
                <w:sz w:val="16"/>
                <w:szCs w:val="16"/>
                <w:color w:val="auto"/>
              </w:rPr>
              <w:t>30.2%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320" w:type="dxa"/>
            <w:vAlign w:val="bottom"/>
            <w:shd w:val="clear" w:color="auto" w:fill="E8F5EA"/>
          </w:tcPr>
          <w:p>
            <w:pPr>
              <w:ind w:left="20"/>
              <w:spacing w:after="0" w:line="218" w:lineRule="exact"/>
              <w:rPr>
                <w:sz w:val="20"/>
                <w:szCs w:val="20"/>
                <w:color w:val="auto"/>
              </w:rPr>
            </w:pPr>
            <w:r>
              <w:rPr>
                <w:rFonts w:ascii="Arial" w:cs="Arial" w:eastAsia="Arial" w:hAnsi="Arial"/>
                <w:sz w:val="15"/>
                <w:szCs w:val="15"/>
                <w:color w:val="auto"/>
              </w:rPr>
              <w:t>Average ROCE</w:t>
            </w:r>
            <w:r>
              <w:rPr>
                <w:rFonts w:ascii="Arial" w:cs="Arial" w:eastAsia="Arial" w:hAnsi="Arial"/>
                <w:sz w:val="25"/>
                <w:szCs w:val="25"/>
                <w:color w:val="auto"/>
                <w:vertAlign w:val="superscript"/>
              </w:rPr>
              <w:t>(1)</w:t>
            </w:r>
          </w:p>
        </w:tc>
        <w:tc>
          <w:tcPr>
            <w:tcW w:w="1680" w:type="dxa"/>
            <w:vAlign w:val="bottom"/>
            <w:shd w:val="clear" w:color="auto" w:fill="E8F5EA"/>
          </w:tcPr>
          <w:p>
            <w:pPr>
              <w:jc w:val="right"/>
              <w:ind w:right="45"/>
              <w:spacing w:after="0"/>
              <w:rPr>
                <w:sz w:val="20"/>
                <w:szCs w:val="20"/>
                <w:color w:val="auto"/>
              </w:rPr>
            </w:pPr>
            <w:r>
              <w:rPr>
                <w:rFonts w:ascii="Arial" w:cs="Arial" w:eastAsia="Arial" w:hAnsi="Arial"/>
                <w:sz w:val="16"/>
                <w:szCs w:val="16"/>
                <w:color w:val="auto"/>
              </w:rPr>
              <w:t>10.4%</w:t>
            </w:r>
          </w:p>
        </w:tc>
        <w:tc>
          <w:tcPr>
            <w:tcW w:w="880" w:type="dxa"/>
            <w:vAlign w:val="bottom"/>
            <w:shd w:val="clear" w:color="auto" w:fill="E8F5EA"/>
          </w:tcPr>
          <w:p>
            <w:pPr>
              <w:jc w:val="right"/>
              <w:ind w:right="65"/>
              <w:spacing w:after="0"/>
              <w:rPr>
                <w:sz w:val="20"/>
                <w:szCs w:val="20"/>
                <w:color w:val="auto"/>
              </w:rPr>
            </w:pPr>
            <w:r>
              <w:rPr>
                <w:rFonts w:ascii="Arial" w:cs="Arial" w:eastAsia="Arial" w:hAnsi="Arial"/>
                <w:sz w:val="16"/>
                <w:szCs w:val="16"/>
                <w:color w:val="auto"/>
              </w:rPr>
              <w:t>7.7%</w:t>
            </w:r>
          </w:p>
        </w:tc>
        <w:tc>
          <w:tcPr>
            <w:tcW w:w="1560" w:type="dxa"/>
            <w:vAlign w:val="bottom"/>
            <w:shd w:val="clear" w:color="auto" w:fill="E8F5EA"/>
          </w:tcPr>
          <w:p>
            <w:pPr>
              <w:jc w:val="right"/>
              <w:ind w:right="45"/>
              <w:spacing w:after="0"/>
              <w:rPr>
                <w:sz w:val="20"/>
                <w:szCs w:val="20"/>
                <w:color w:val="auto"/>
              </w:rPr>
            </w:pPr>
            <w:r>
              <w:rPr>
                <w:rFonts w:ascii="Arial" w:cs="Arial" w:eastAsia="Arial" w:hAnsi="Arial"/>
                <w:sz w:val="16"/>
                <w:szCs w:val="16"/>
                <w:color w:val="auto"/>
              </w:rPr>
              <w:t>0%</w:t>
            </w:r>
          </w:p>
        </w:tc>
        <w:tc>
          <w:tcPr>
            <w:tcW w:w="1280" w:type="dxa"/>
            <w:vAlign w:val="bottom"/>
            <w:shd w:val="clear" w:color="auto" w:fill="E8F5EA"/>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320" w:type="dxa"/>
            <w:vAlign w:val="bottom"/>
            <w:tcBorders>
              <w:bottom w:val="single" w:sz="8" w:color="53C072"/>
            </w:tcBorders>
          </w:tcPr>
          <w:p>
            <w:pPr>
              <w:ind w:left="20"/>
              <w:spacing w:after="0" w:line="182" w:lineRule="exact"/>
              <w:rPr>
                <w:sz w:val="20"/>
                <w:szCs w:val="20"/>
                <w:color w:val="auto"/>
              </w:rPr>
            </w:pPr>
            <w:r>
              <w:rPr>
                <w:rFonts w:ascii="Arial" w:cs="Arial" w:eastAsia="Arial" w:hAnsi="Arial"/>
                <w:sz w:val="16"/>
                <w:szCs w:val="16"/>
                <w:color w:val="auto"/>
              </w:rPr>
              <w:t>TSR Modifier</w:t>
            </w:r>
          </w:p>
        </w:tc>
        <w:tc>
          <w:tcPr>
            <w:tcW w:w="1680" w:type="dxa"/>
            <w:vAlign w:val="bottom"/>
            <w:tcBorders>
              <w:bottom w:val="single" w:sz="8" w:color="53C072"/>
            </w:tcBorders>
          </w:tcPr>
          <w:p>
            <w:pPr>
              <w:jc w:val="right"/>
              <w:ind w:right="45"/>
              <w:spacing w:after="0" w:line="182" w:lineRule="exact"/>
              <w:rPr>
                <w:sz w:val="20"/>
                <w:szCs w:val="20"/>
                <w:color w:val="auto"/>
              </w:rPr>
            </w:pPr>
            <w:r>
              <w:rPr>
                <w:rFonts w:ascii="Arial" w:cs="Arial" w:eastAsia="Arial" w:hAnsi="Arial"/>
                <w:sz w:val="16"/>
                <w:szCs w:val="16"/>
                <w:color w:val="auto"/>
              </w:rPr>
              <w:t>50%ile</w:t>
            </w:r>
          </w:p>
        </w:tc>
        <w:tc>
          <w:tcPr>
            <w:tcW w:w="880" w:type="dxa"/>
            <w:vAlign w:val="bottom"/>
            <w:tcBorders>
              <w:bottom w:val="single" w:sz="8" w:color="53C072"/>
            </w:tcBorders>
          </w:tcPr>
          <w:p>
            <w:pPr>
              <w:jc w:val="right"/>
              <w:ind w:right="65"/>
              <w:spacing w:after="0" w:line="182" w:lineRule="exact"/>
              <w:rPr>
                <w:sz w:val="20"/>
                <w:szCs w:val="20"/>
                <w:color w:val="auto"/>
              </w:rPr>
            </w:pPr>
            <w:r>
              <w:rPr>
                <w:rFonts w:ascii="Arial" w:cs="Arial" w:eastAsia="Arial" w:hAnsi="Arial"/>
                <w:sz w:val="16"/>
                <w:szCs w:val="16"/>
                <w:color w:val="auto"/>
              </w:rPr>
              <w:t>27.7%ile</w:t>
            </w:r>
          </w:p>
        </w:tc>
        <w:tc>
          <w:tcPr>
            <w:tcW w:w="1560" w:type="dxa"/>
            <w:vAlign w:val="bottom"/>
            <w:tcBorders>
              <w:bottom w:val="single" w:sz="8" w:color="53C072"/>
            </w:tcBorders>
          </w:tcPr>
          <w:p>
            <w:pPr>
              <w:jc w:val="right"/>
              <w:ind w:right="45"/>
              <w:spacing w:after="0" w:line="182" w:lineRule="exact"/>
              <w:rPr>
                <w:sz w:val="20"/>
                <w:szCs w:val="20"/>
                <w:color w:val="auto"/>
              </w:rPr>
            </w:pPr>
            <w:r>
              <w:rPr>
                <w:rFonts w:ascii="Arial" w:cs="Arial" w:eastAsia="Arial" w:hAnsi="Arial"/>
                <w:sz w:val="16"/>
                <w:szCs w:val="16"/>
                <w:color w:val="auto"/>
              </w:rPr>
              <w:t>.8x</w:t>
            </w:r>
          </w:p>
        </w:tc>
        <w:tc>
          <w:tcPr>
            <w:tcW w:w="1280" w:type="dxa"/>
            <w:vAlign w:val="bottom"/>
            <w:tcBorders>
              <w:bottom w:val="single" w:sz="8" w:color="53C072"/>
            </w:tcBorders>
          </w:tcPr>
          <w:p>
            <w:pPr>
              <w:jc w:val="right"/>
              <w:spacing w:after="0" w:line="182" w:lineRule="exact"/>
              <w:rPr>
                <w:sz w:val="20"/>
                <w:szCs w:val="20"/>
                <w:color w:val="auto"/>
              </w:rPr>
            </w:pPr>
            <w:r>
              <w:rPr>
                <w:rFonts w:ascii="Arial" w:cs="Arial" w:eastAsia="Arial" w:hAnsi="Arial"/>
                <w:sz w:val="16"/>
                <w:szCs w:val="16"/>
                <w:color w:val="auto"/>
              </w:rPr>
              <w:t>80%</w:t>
            </w:r>
          </w:p>
        </w:tc>
        <w:tc>
          <w:tcPr>
            <w:tcW w:w="20" w:type="dxa"/>
            <w:vAlign w:val="bottom"/>
            <w:tcBorders>
              <w:bottom w:val="single" w:sz="8" w:color="53C072"/>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483" w:right="440" w:hanging="483"/>
        <w:spacing w:after="0" w:line="256" w:lineRule="auto"/>
        <w:tabs>
          <w:tab w:leader="none" w:pos="483"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to this Proxy Statement for a reconciliation of non-GAAP measures to the most directly comparable GAAP measures. For additional information regarding the fiscal 2020 performance of the Company, please refer to the Company's Annual Report on Form 10-K for the year ended June 27, 2020.</w:t>
      </w:r>
    </w:p>
    <w:p>
      <w:pPr>
        <w:spacing w:after="0" w:line="152" w:lineRule="exact"/>
        <w:rPr>
          <w:sz w:val="20"/>
          <w:szCs w:val="20"/>
          <w:color w:val="auto"/>
        </w:rPr>
      </w:pPr>
    </w:p>
    <w:p>
      <w:pPr>
        <w:ind w:left="3" w:right="4700" w:hanging="3"/>
        <w:spacing w:after="0" w:line="535" w:lineRule="auto"/>
        <w:tabs>
          <w:tab w:leader="none" w:pos="488" w:val="left"/>
        </w:tabs>
        <w:numPr>
          <w:ilvl w:val="0"/>
          <w:numId w:val="55"/>
        </w:numPr>
        <w:rPr>
          <w:rFonts w:ascii="Arial" w:cs="Arial" w:eastAsia="Arial" w:hAnsi="Arial"/>
          <w:sz w:val="15"/>
          <w:szCs w:val="15"/>
          <w:color w:val="auto"/>
        </w:rPr>
      </w:pPr>
      <w:r>
        <w:rPr>
          <w:rFonts w:ascii="Arial" w:cs="Arial" w:eastAsia="Arial" w:hAnsi="Arial"/>
          <w:sz w:val="15"/>
          <w:szCs w:val="15"/>
          <w:color w:val="auto"/>
        </w:rPr>
        <w:t>As the Average ROCE was less than 9.7%, the threshold for payment was not met. For fiscal 2020, the number of fiscal 2018 PSUs earned for each of the NEOs were as follows:</w:t>
      </w:r>
    </w:p>
    <w:tbl>
      <w:tblPr>
        <w:tblLayout w:type="fixed"/>
        <w:tblInd w:w="2243" w:type="dxa"/>
        <w:tblCellMar>
          <w:top w:w="0" w:type="dxa"/>
          <w:left w:w="0" w:type="dxa"/>
          <w:bottom w:w="0" w:type="dxa"/>
          <w:right w:w="0" w:type="dxa"/>
        </w:tblCellMar>
      </w:tblPr>
      <w:tr>
        <w:trPr>
          <w:trHeight w:val="147"/>
        </w:trPr>
        <w:tc>
          <w:tcPr>
            <w:tcW w:w="3140" w:type="dxa"/>
            <w:vAlign w:val="bottom"/>
            <w:shd w:val="clear" w:color="auto" w:fill="53C072"/>
          </w:tcPr>
          <w:p>
            <w:pPr>
              <w:spacing w:after="0" w:line="147" w:lineRule="exact"/>
              <w:rPr>
                <w:sz w:val="20"/>
                <w:szCs w:val="20"/>
                <w:color w:val="auto"/>
              </w:rPr>
            </w:pPr>
            <w:r>
              <w:rPr>
                <w:rFonts w:ascii="Arial" w:cs="Arial" w:eastAsia="Arial" w:hAnsi="Arial"/>
                <w:sz w:val="13"/>
                <w:szCs w:val="13"/>
                <w:b w:val="1"/>
                <w:bCs w:val="1"/>
                <w:color w:val="FFFFFE"/>
              </w:rPr>
              <w:t>NEO</w:t>
            </w:r>
          </w:p>
        </w:tc>
        <w:tc>
          <w:tcPr>
            <w:tcW w:w="3460" w:type="dxa"/>
            <w:vAlign w:val="bottom"/>
            <w:shd w:val="clear" w:color="auto" w:fill="53C072"/>
          </w:tcPr>
          <w:p>
            <w:pPr>
              <w:jc w:val="right"/>
              <w:spacing w:after="0" w:line="147" w:lineRule="exact"/>
              <w:rPr>
                <w:sz w:val="20"/>
                <w:szCs w:val="20"/>
                <w:color w:val="auto"/>
              </w:rPr>
            </w:pPr>
            <w:r>
              <w:rPr>
                <w:rFonts w:ascii="Arial" w:cs="Arial" w:eastAsia="Arial" w:hAnsi="Arial"/>
                <w:sz w:val="13"/>
                <w:szCs w:val="13"/>
                <w:b w:val="1"/>
                <w:bCs w:val="1"/>
                <w:color w:val="FFFFFE"/>
              </w:rPr>
              <w:t>PSUs (#) Earned</w:t>
            </w:r>
          </w:p>
        </w:tc>
        <w:tc>
          <w:tcPr>
            <w:tcW w:w="20" w:type="dxa"/>
            <w:vAlign w:val="bottom"/>
          </w:tcPr>
          <w:p>
            <w:pPr>
              <w:spacing w:after="0"/>
              <w:rPr>
                <w:sz w:val="12"/>
                <w:szCs w:val="12"/>
                <w:color w:val="auto"/>
              </w:rPr>
            </w:pPr>
          </w:p>
        </w:tc>
      </w:tr>
      <w:tr>
        <w:trPr>
          <w:trHeight w:val="182"/>
        </w:trPr>
        <w:tc>
          <w:tcPr>
            <w:tcW w:w="3140" w:type="dxa"/>
            <w:vAlign w:val="bottom"/>
          </w:tcPr>
          <w:p>
            <w:pPr>
              <w:spacing w:after="0" w:line="182" w:lineRule="exact"/>
              <w:rPr>
                <w:sz w:val="20"/>
                <w:szCs w:val="20"/>
                <w:color w:val="auto"/>
              </w:rPr>
            </w:pPr>
            <w:r>
              <w:rPr>
                <w:rFonts w:ascii="Arial" w:cs="Arial" w:eastAsia="Arial" w:hAnsi="Arial"/>
                <w:sz w:val="16"/>
                <w:szCs w:val="16"/>
                <w:color w:val="auto"/>
              </w:rPr>
              <w:t>Amelio</w:t>
            </w:r>
          </w:p>
        </w:tc>
        <w:tc>
          <w:tcPr>
            <w:tcW w:w="3460" w:type="dxa"/>
            <w:vAlign w:val="bottom"/>
          </w:tcPr>
          <w:p>
            <w:pPr>
              <w:jc w:val="right"/>
              <w:spacing w:after="0" w:line="182" w:lineRule="exact"/>
              <w:rPr>
                <w:sz w:val="20"/>
                <w:szCs w:val="20"/>
                <w:color w:val="auto"/>
              </w:rPr>
            </w:pPr>
            <w:r>
              <w:rPr>
                <w:rFonts w:ascii="Arial" w:cs="Arial" w:eastAsia="Arial" w:hAnsi="Arial"/>
                <w:sz w:val="16"/>
                <w:szCs w:val="16"/>
                <w:color w:val="auto"/>
              </w:rPr>
              <w:t>16,377</w:t>
            </w:r>
          </w:p>
        </w:tc>
        <w:tc>
          <w:tcPr>
            <w:tcW w:w="20" w:type="dxa"/>
            <w:vAlign w:val="bottom"/>
          </w:tcPr>
          <w:p>
            <w:pPr>
              <w:spacing w:after="0"/>
              <w:rPr>
                <w:sz w:val="15"/>
                <w:szCs w:val="15"/>
                <w:color w:val="auto"/>
              </w:rPr>
            </w:pPr>
          </w:p>
        </w:tc>
      </w:tr>
      <w:tr>
        <w:trPr>
          <w:trHeight w:val="182"/>
        </w:trPr>
        <w:tc>
          <w:tcPr>
            <w:tcW w:w="3140" w:type="dxa"/>
            <w:vAlign w:val="bottom"/>
            <w:shd w:val="clear" w:color="auto" w:fill="E8F5EA"/>
          </w:tcPr>
          <w:p>
            <w:pPr>
              <w:spacing w:after="0" w:line="182" w:lineRule="exact"/>
              <w:rPr>
                <w:sz w:val="20"/>
                <w:szCs w:val="20"/>
                <w:color w:val="auto"/>
              </w:rPr>
            </w:pPr>
            <w:r>
              <w:rPr>
                <w:rFonts w:ascii="Arial" w:cs="Arial" w:eastAsia="Arial" w:hAnsi="Arial"/>
                <w:sz w:val="16"/>
                <w:szCs w:val="16"/>
                <w:color w:val="auto"/>
              </w:rPr>
              <w:t>Liguori</w:t>
            </w:r>
          </w:p>
        </w:tc>
        <w:tc>
          <w:tcPr>
            <w:tcW w:w="346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1,386</w:t>
            </w:r>
          </w:p>
        </w:tc>
        <w:tc>
          <w:tcPr>
            <w:tcW w:w="20" w:type="dxa"/>
            <w:vAlign w:val="bottom"/>
          </w:tcPr>
          <w:p>
            <w:pPr>
              <w:spacing w:after="0"/>
              <w:rPr>
                <w:sz w:val="15"/>
                <w:szCs w:val="15"/>
                <w:color w:val="auto"/>
              </w:rPr>
            </w:pPr>
          </w:p>
        </w:tc>
      </w:tr>
      <w:tr>
        <w:trPr>
          <w:trHeight w:val="182"/>
        </w:trPr>
        <w:tc>
          <w:tcPr>
            <w:tcW w:w="3140" w:type="dxa"/>
            <w:vAlign w:val="bottom"/>
          </w:tcPr>
          <w:p>
            <w:pPr>
              <w:spacing w:after="0" w:line="182" w:lineRule="exact"/>
              <w:rPr>
                <w:sz w:val="20"/>
                <w:szCs w:val="20"/>
                <w:color w:val="auto"/>
              </w:rPr>
            </w:pPr>
            <w:r>
              <w:rPr>
                <w:rFonts w:ascii="Arial" w:cs="Arial" w:eastAsia="Arial" w:hAnsi="Arial"/>
                <w:sz w:val="16"/>
                <w:szCs w:val="16"/>
                <w:color w:val="auto"/>
              </w:rPr>
              <w:t>Bartolotta</w:t>
            </w:r>
          </w:p>
        </w:tc>
        <w:tc>
          <w:tcPr>
            <w:tcW w:w="3460" w:type="dxa"/>
            <w:vAlign w:val="bottom"/>
          </w:tcPr>
          <w:p>
            <w:pPr>
              <w:jc w:val="right"/>
              <w:spacing w:after="0" w:line="182" w:lineRule="exact"/>
              <w:rPr>
                <w:sz w:val="20"/>
                <w:szCs w:val="20"/>
                <w:color w:val="auto"/>
              </w:rPr>
            </w:pPr>
            <w:r>
              <w:rPr>
                <w:rFonts w:ascii="Arial" w:cs="Arial" w:eastAsia="Arial" w:hAnsi="Arial"/>
                <w:sz w:val="16"/>
                <w:szCs w:val="16"/>
                <w:color w:val="auto"/>
              </w:rPr>
              <w:t>3,602</w:t>
            </w:r>
          </w:p>
        </w:tc>
        <w:tc>
          <w:tcPr>
            <w:tcW w:w="20" w:type="dxa"/>
            <w:vAlign w:val="bottom"/>
          </w:tcPr>
          <w:p>
            <w:pPr>
              <w:spacing w:after="0"/>
              <w:rPr>
                <w:sz w:val="15"/>
                <w:szCs w:val="15"/>
                <w:color w:val="auto"/>
              </w:rPr>
            </w:pPr>
          </w:p>
        </w:tc>
      </w:tr>
      <w:tr>
        <w:trPr>
          <w:trHeight w:val="182"/>
        </w:trPr>
        <w:tc>
          <w:tcPr>
            <w:tcW w:w="3140" w:type="dxa"/>
            <w:vAlign w:val="bottom"/>
            <w:shd w:val="clear" w:color="auto" w:fill="E8F5EA"/>
          </w:tcPr>
          <w:p>
            <w:pPr>
              <w:spacing w:after="0" w:line="182" w:lineRule="exact"/>
              <w:rPr>
                <w:sz w:val="20"/>
                <w:szCs w:val="20"/>
                <w:color w:val="auto"/>
              </w:rPr>
            </w:pPr>
            <w:r>
              <w:rPr>
                <w:rFonts w:ascii="Arial" w:cs="Arial" w:eastAsia="Arial" w:hAnsi="Arial"/>
                <w:sz w:val="16"/>
                <w:szCs w:val="16"/>
                <w:color w:val="auto"/>
              </w:rPr>
              <w:t>Gallagher</w:t>
            </w:r>
          </w:p>
        </w:tc>
        <w:tc>
          <w:tcPr>
            <w:tcW w:w="346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3,602</w:t>
            </w:r>
          </w:p>
        </w:tc>
        <w:tc>
          <w:tcPr>
            <w:tcW w:w="20" w:type="dxa"/>
            <w:vAlign w:val="bottom"/>
          </w:tcPr>
          <w:p>
            <w:pPr>
              <w:spacing w:after="0"/>
              <w:rPr>
                <w:sz w:val="15"/>
                <w:szCs w:val="15"/>
                <w:color w:val="auto"/>
              </w:rPr>
            </w:pPr>
          </w:p>
        </w:tc>
      </w:tr>
      <w:tr>
        <w:trPr>
          <w:trHeight w:val="182"/>
        </w:trPr>
        <w:tc>
          <w:tcPr>
            <w:tcW w:w="3140" w:type="dxa"/>
            <w:vAlign w:val="bottom"/>
          </w:tcPr>
          <w:p>
            <w:pPr>
              <w:spacing w:after="0" w:line="182" w:lineRule="exact"/>
              <w:rPr>
                <w:sz w:val="20"/>
                <w:szCs w:val="20"/>
                <w:color w:val="auto"/>
              </w:rPr>
            </w:pPr>
            <w:r>
              <w:rPr>
                <w:rFonts w:ascii="Arial" w:cs="Arial" w:eastAsia="Arial" w:hAnsi="Arial"/>
                <w:sz w:val="16"/>
                <w:szCs w:val="16"/>
                <w:color w:val="auto"/>
              </w:rPr>
              <w:t>Miller</w:t>
            </w:r>
          </w:p>
        </w:tc>
        <w:tc>
          <w:tcPr>
            <w:tcW w:w="3460" w:type="dxa"/>
            <w:vAlign w:val="bottom"/>
          </w:tcPr>
          <w:p>
            <w:pPr>
              <w:jc w:val="right"/>
              <w:spacing w:after="0" w:line="182" w:lineRule="exact"/>
              <w:rPr>
                <w:sz w:val="20"/>
                <w:szCs w:val="20"/>
                <w:color w:val="auto"/>
              </w:rPr>
            </w:pPr>
            <w:r>
              <w:rPr>
                <w:rFonts w:ascii="Arial" w:cs="Arial" w:eastAsia="Arial" w:hAnsi="Arial"/>
                <w:sz w:val="16"/>
                <w:szCs w:val="16"/>
                <w:color w:val="auto"/>
              </w:rPr>
              <w:t>3,438</w:t>
            </w:r>
          </w:p>
        </w:tc>
        <w:tc>
          <w:tcPr>
            <w:tcW w:w="20" w:type="dxa"/>
            <w:vAlign w:val="bottom"/>
          </w:tcPr>
          <w:p>
            <w:pPr>
              <w:spacing w:after="0"/>
              <w:rPr>
                <w:sz w:val="15"/>
                <w:szCs w:val="15"/>
                <w:color w:val="auto"/>
              </w:rPr>
            </w:pPr>
          </w:p>
        </w:tc>
      </w:tr>
      <w:tr>
        <w:trPr>
          <w:trHeight w:val="199"/>
        </w:trPr>
        <w:tc>
          <w:tcPr>
            <w:tcW w:w="3140" w:type="dxa"/>
            <w:vAlign w:val="bottom"/>
            <w:tcBorders>
              <w:bottom w:val="single" w:sz="8" w:color="53C072"/>
            </w:tcBorders>
            <w:shd w:val="clear" w:color="auto" w:fill="E8F5EA"/>
          </w:tcPr>
          <w:p>
            <w:pPr>
              <w:spacing w:after="0" w:line="182" w:lineRule="exact"/>
              <w:rPr>
                <w:sz w:val="20"/>
                <w:szCs w:val="20"/>
                <w:color w:val="auto"/>
              </w:rPr>
            </w:pPr>
            <w:r>
              <w:rPr>
                <w:rFonts w:ascii="Arial" w:cs="Arial" w:eastAsia="Arial" w:hAnsi="Arial"/>
                <w:sz w:val="16"/>
                <w:szCs w:val="16"/>
                <w:color w:val="auto"/>
              </w:rPr>
              <w:t>O'Neill</w:t>
            </w:r>
          </w:p>
        </w:tc>
        <w:tc>
          <w:tcPr>
            <w:tcW w:w="3460" w:type="dxa"/>
            <w:vAlign w:val="bottom"/>
            <w:tcBorders>
              <w:bottom w:val="single" w:sz="8" w:color="53C072"/>
            </w:tcBorders>
            <w:shd w:val="clear" w:color="auto" w:fill="E8F5EA"/>
          </w:tcPr>
          <w:p>
            <w:pPr>
              <w:jc w:val="right"/>
              <w:spacing w:after="0" w:line="182" w:lineRule="exact"/>
              <w:rPr>
                <w:sz w:val="20"/>
                <w:szCs w:val="20"/>
                <w:color w:val="auto"/>
              </w:rPr>
            </w:pPr>
            <w:r>
              <w:rPr>
                <w:rFonts w:ascii="Arial" w:cs="Arial" w:eastAsia="Arial" w:hAnsi="Arial"/>
                <w:sz w:val="16"/>
                <w:szCs w:val="16"/>
                <w:color w:val="auto"/>
              </w:rPr>
              <w:t>3,112</w:t>
            </w:r>
          </w:p>
        </w:tc>
        <w:tc>
          <w:tcPr>
            <w:tcW w:w="20" w:type="dxa"/>
            <w:vAlign w:val="bottom"/>
          </w:tcPr>
          <w:p>
            <w:pPr>
              <w:spacing w:after="0"/>
              <w:rPr>
                <w:sz w:val="17"/>
                <w:szCs w:val="17"/>
                <w:color w:val="auto"/>
              </w:rPr>
            </w:pPr>
          </w:p>
        </w:tc>
      </w:tr>
    </w:tbl>
    <w:p>
      <w:pPr>
        <w:spacing w:after="0" w:line="136" w:lineRule="exact"/>
        <w:rPr>
          <w:sz w:val="20"/>
          <w:szCs w:val="20"/>
          <w:color w:val="auto"/>
        </w:rPr>
      </w:pPr>
    </w:p>
    <w:p>
      <w:pPr>
        <w:jc w:val="both"/>
        <w:ind w:left="10723"/>
        <w:spacing w:after="0"/>
        <w:tabs>
          <w:tab w:leader="none" w:pos="11062" w:val="left"/>
        </w:tabs>
        <w:rPr>
          <w:sz w:val="20"/>
          <w:szCs w:val="20"/>
          <w:color w:val="auto"/>
        </w:rPr>
      </w:pPr>
      <w:r>
        <w:rPr>
          <w:rFonts w:ascii="Arial" w:cs="Arial" w:eastAsia="Arial" w:hAnsi="Arial"/>
          <w:sz w:val="23"/>
          <w:szCs w:val="23"/>
          <w:b w:val="1"/>
          <w:bCs w:val="1"/>
          <w:color w:val="53C072"/>
        </w:rPr>
        <w:t>|</w:t>
      </w:r>
      <w:r>
        <w:rPr>
          <w:sz w:val="20"/>
          <w:szCs w:val="20"/>
          <w:color w:val="auto"/>
        </w:rPr>
        <w:tab/>
      </w: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159385</wp:posOffset>
            </wp:positionV>
            <wp:extent cx="7151370" cy="203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-122555</wp:posOffset>
            </wp:positionV>
            <wp:extent cx="1664970" cy="1231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3"/>
          </w:cols>
          <w:pgMar w:left="317" w:top="122" w:right="31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13"/>
        </w:trPr>
        <w:tc>
          <w:tcPr>
            <w:tcW w:w="8040" w:type="dxa"/>
            <w:vAlign w:val="bottom"/>
            <w:gridSpan w:val="2"/>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8040" w:type="dxa"/>
            <w:vAlign w:val="bottom"/>
            <w:gridSpan w:val="2"/>
          </w:tcPr>
          <w:p>
            <w:pPr>
              <w:spacing w:after="0"/>
              <w:rPr>
                <w:sz w:val="20"/>
                <w:szCs w:val="20"/>
                <w:color w:val="auto"/>
              </w:rPr>
            </w:pPr>
            <w:r>
              <w:rPr>
                <w:rFonts w:ascii="Arial" w:cs="Arial" w:eastAsia="Arial" w:hAnsi="Arial"/>
                <w:sz w:val="13"/>
                <w:szCs w:val="13"/>
                <w:b w:val="1"/>
                <w:bCs w:val="1"/>
                <w:color w:val="53C072"/>
              </w:rPr>
              <w:t>2020 ANNUAL</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vMerge w:val="restart"/>
          </w:tcPr>
          <w:p>
            <w:pPr>
              <w:ind w:left="140"/>
              <w:spacing w:after="0"/>
              <w:rPr>
                <w:sz w:val="20"/>
                <w:szCs w:val="20"/>
                <w:color w:val="auto"/>
              </w:rPr>
            </w:pPr>
            <w:r>
              <w:rPr>
                <w:rFonts w:ascii="Arial" w:cs="Arial" w:eastAsia="Arial" w:hAnsi="Arial"/>
                <w:sz w:val="13"/>
                <w:szCs w:val="13"/>
                <w:color w:val="auto"/>
                <w:w w:val="98"/>
              </w:rPr>
              <w:t>Compensation Discussion and Analysis</w:t>
            </w:r>
          </w:p>
        </w:tc>
        <w:tc>
          <w:tcPr>
            <w:tcW w:w="0" w:type="dxa"/>
            <w:vAlign w:val="bottom"/>
          </w:tcPr>
          <w:p>
            <w:pPr>
              <w:spacing w:after="0"/>
              <w:rPr>
                <w:sz w:val="1"/>
                <w:szCs w:val="1"/>
                <w:color w:val="auto"/>
              </w:rPr>
            </w:pPr>
          </w:p>
        </w:tc>
      </w:tr>
      <w:tr>
        <w:trPr>
          <w:trHeight w:val="102"/>
        </w:trPr>
        <w:tc>
          <w:tcPr>
            <w:tcW w:w="80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804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6"/>
        </w:trPr>
        <w:tc>
          <w:tcPr>
            <w:tcW w:w="8040" w:type="dxa"/>
            <w:vAlign w:val="bottom"/>
            <w:gridSpan w:val="2"/>
          </w:tcPr>
          <w:p>
            <w:pPr>
              <w:spacing w:after="0"/>
              <w:rPr>
                <w:sz w:val="20"/>
                <w:szCs w:val="20"/>
                <w:color w:val="auto"/>
              </w:rPr>
            </w:pPr>
            <w:r>
              <w:rPr>
                <w:rFonts w:ascii="Arial" w:cs="Arial" w:eastAsia="Arial" w:hAnsi="Arial"/>
                <w:sz w:val="16"/>
                <w:szCs w:val="16"/>
                <w:color w:val="auto"/>
              </w:rPr>
              <w:t>The payout percentages for the PSU awards granted for the past five years are set forth in the following table:</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24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24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240" w:type="dxa"/>
            <w:vAlign w:val="bottom"/>
          </w:tcPr>
          <w:p>
            <w:pPr>
              <w:spacing w:after="0"/>
              <w:rPr>
                <w:sz w:val="12"/>
                <w:szCs w:val="12"/>
                <w:color w:val="auto"/>
              </w:rPr>
            </w:pPr>
          </w:p>
        </w:tc>
        <w:tc>
          <w:tcPr>
            <w:tcW w:w="5800" w:type="dxa"/>
            <w:vAlign w:val="bottom"/>
            <w:shd w:val="clear" w:color="auto" w:fill="53C072"/>
          </w:tcPr>
          <w:p>
            <w:pPr>
              <w:spacing w:after="0" w:line="146" w:lineRule="exact"/>
              <w:rPr>
                <w:sz w:val="20"/>
                <w:szCs w:val="20"/>
                <w:color w:val="auto"/>
              </w:rPr>
            </w:pPr>
            <w:r>
              <w:rPr>
                <w:rFonts w:ascii="Arial" w:cs="Arial" w:eastAsia="Arial" w:hAnsi="Arial"/>
                <w:sz w:val="13"/>
                <w:szCs w:val="13"/>
                <w:b w:val="1"/>
                <w:bCs w:val="1"/>
                <w:color w:val="FFFFFE"/>
              </w:rPr>
              <w:t>Performance Period</w:t>
            </w:r>
          </w:p>
        </w:tc>
        <w:tc>
          <w:tcPr>
            <w:tcW w:w="80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Payout</w:t>
            </w:r>
          </w:p>
        </w:tc>
        <w:tc>
          <w:tcPr>
            <w:tcW w:w="20" w:type="dxa"/>
            <w:vAlign w:val="bottom"/>
            <w:vMerge w:val="continue"/>
          </w:tcPr>
          <w:p>
            <w:pPr>
              <w:spacing w:after="0"/>
              <w:rPr>
                <w:sz w:val="12"/>
                <w:szCs w:val="12"/>
                <w:color w:val="auto"/>
              </w:rPr>
            </w:pPr>
          </w:p>
        </w:tc>
        <w:tc>
          <w:tcPr>
            <w:tcW w:w="2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40" w:type="dxa"/>
            <w:vAlign w:val="bottom"/>
          </w:tcPr>
          <w:p>
            <w:pPr>
              <w:spacing w:after="0"/>
              <w:rPr>
                <w:sz w:val="15"/>
                <w:szCs w:val="15"/>
                <w:color w:val="auto"/>
              </w:rPr>
            </w:pPr>
          </w:p>
        </w:tc>
        <w:tc>
          <w:tcPr>
            <w:tcW w:w="5800" w:type="dxa"/>
            <w:vAlign w:val="bottom"/>
          </w:tcPr>
          <w:p>
            <w:pPr>
              <w:spacing w:after="0" w:line="182" w:lineRule="exact"/>
              <w:rPr>
                <w:sz w:val="20"/>
                <w:szCs w:val="20"/>
                <w:color w:val="auto"/>
              </w:rPr>
            </w:pPr>
            <w:r>
              <w:rPr>
                <w:rFonts w:ascii="Arial" w:cs="Arial" w:eastAsia="Arial" w:hAnsi="Arial"/>
                <w:sz w:val="16"/>
                <w:szCs w:val="16"/>
                <w:color w:val="auto"/>
              </w:rPr>
              <w:t>Fiscal Years 2018 - 2020</w:t>
            </w:r>
          </w:p>
        </w:tc>
        <w:tc>
          <w:tcPr>
            <w:tcW w:w="800" w:type="dxa"/>
            <w:vAlign w:val="bottom"/>
          </w:tcPr>
          <w:p>
            <w:pPr>
              <w:jc w:val="right"/>
              <w:spacing w:after="0" w:line="182" w:lineRule="exact"/>
              <w:rPr>
                <w:sz w:val="20"/>
                <w:szCs w:val="20"/>
                <w:color w:val="auto"/>
              </w:rPr>
            </w:pPr>
            <w:r>
              <w:rPr>
                <w:rFonts w:ascii="Arial" w:cs="Arial" w:eastAsia="Arial" w:hAnsi="Arial"/>
                <w:sz w:val="16"/>
                <w:szCs w:val="16"/>
                <w:color w:val="auto"/>
              </w:rPr>
              <w:t>24%</w:t>
            </w:r>
          </w:p>
        </w:tc>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40" w:type="dxa"/>
            <w:vAlign w:val="bottom"/>
          </w:tcPr>
          <w:p>
            <w:pPr>
              <w:spacing w:after="0"/>
              <w:rPr>
                <w:sz w:val="15"/>
                <w:szCs w:val="15"/>
                <w:color w:val="auto"/>
              </w:rPr>
            </w:pPr>
          </w:p>
        </w:tc>
        <w:tc>
          <w:tcPr>
            <w:tcW w:w="5800" w:type="dxa"/>
            <w:vAlign w:val="bottom"/>
            <w:shd w:val="clear" w:color="auto" w:fill="E8F5EA"/>
          </w:tcPr>
          <w:p>
            <w:pPr>
              <w:spacing w:after="0" w:line="182" w:lineRule="exact"/>
              <w:rPr>
                <w:sz w:val="20"/>
                <w:szCs w:val="20"/>
                <w:color w:val="auto"/>
              </w:rPr>
            </w:pPr>
            <w:r>
              <w:rPr>
                <w:rFonts w:ascii="Arial" w:cs="Arial" w:eastAsia="Arial" w:hAnsi="Arial"/>
                <w:sz w:val="16"/>
                <w:szCs w:val="16"/>
                <w:color w:val="auto"/>
              </w:rPr>
              <w:t>Fiscal Years 2017 - 2019</w:t>
            </w:r>
          </w:p>
        </w:tc>
        <w:tc>
          <w:tcPr>
            <w:tcW w:w="80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29%</w:t>
            </w:r>
          </w:p>
        </w:tc>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40" w:type="dxa"/>
            <w:vAlign w:val="bottom"/>
          </w:tcPr>
          <w:p>
            <w:pPr>
              <w:spacing w:after="0"/>
              <w:rPr>
                <w:sz w:val="15"/>
                <w:szCs w:val="15"/>
                <w:color w:val="auto"/>
              </w:rPr>
            </w:pPr>
          </w:p>
        </w:tc>
        <w:tc>
          <w:tcPr>
            <w:tcW w:w="5800" w:type="dxa"/>
            <w:vAlign w:val="bottom"/>
          </w:tcPr>
          <w:p>
            <w:pPr>
              <w:spacing w:after="0" w:line="182" w:lineRule="exact"/>
              <w:rPr>
                <w:sz w:val="20"/>
                <w:szCs w:val="20"/>
                <w:color w:val="auto"/>
              </w:rPr>
            </w:pPr>
            <w:r>
              <w:rPr>
                <w:rFonts w:ascii="Arial" w:cs="Arial" w:eastAsia="Arial" w:hAnsi="Arial"/>
                <w:sz w:val="16"/>
                <w:szCs w:val="16"/>
                <w:color w:val="auto"/>
              </w:rPr>
              <w:t>Fiscal Years 2016 - 2018</w:t>
            </w:r>
          </w:p>
        </w:tc>
        <w:tc>
          <w:tcPr>
            <w:tcW w:w="800" w:type="dxa"/>
            <w:vAlign w:val="bottom"/>
          </w:tcPr>
          <w:p>
            <w:pPr>
              <w:jc w:val="right"/>
              <w:spacing w:after="0" w:line="182" w:lineRule="exact"/>
              <w:rPr>
                <w:sz w:val="20"/>
                <w:szCs w:val="20"/>
                <w:color w:val="auto"/>
              </w:rPr>
            </w:pPr>
            <w:r>
              <w:rPr>
                <w:rFonts w:ascii="Arial" w:cs="Arial" w:eastAsia="Arial" w:hAnsi="Arial"/>
                <w:sz w:val="16"/>
                <w:szCs w:val="16"/>
                <w:color w:val="auto"/>
              </w:rPr>
              <w:t>38%</w:t>
            </w:r>
          </w:p>
        </w:tc>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40" w:type="dxa"/>
            <w:vAlign w:val="bottom"/>
          </w:tcPr>
          <w:p>
            <w:pPr>
              <w:spacing w:after="0"/>
              <w:rPr>
                <w:sz w:val="15"/>
                <w:szCs w:val="15"/>
                <w:color w:val="auto"/>
              </w:rPr>
            </w:pPr>
          </w:p>
        </w:tc>
        <w:tc>
          <w:tcPr>
            <w:tcW w:w="5800" w:type="dxa"/>
            <w:vAlign w:val="bottom"/>
            <w:shd w:val="clear" w:color="auto" w:fill="E8F5EA"/>
          </w:tcPr>
          <w:p>
            <w:pPr>
              <w:spacing w:after="0" w:line="182" w:lineRule="exact"/>
              <w:rPr>
                <w:sz w:val="20"/>
                <w:szCs w:val="20"/>
                <w:color w:val="auto"/>
              </w:rPr>
            </w:pPr>
            <w:r>
              <w:rPr>
                <w:rFonts w:ascii="Arial" w:cs="Arial" w:eastAsia="Arial" w:hAnsi="Arial"/>
                <w:sz w:val="16"/>
                <w:szCs w:val="16"/>
                <w:color w:val="auto"/>
              </w:rPr>
              <w:t>Fiscal Years 2015 - 2017</w:t>
            </w:r>
          </w:p>
        </w:tc>
        <w:tc>
          <w:tcPr>
            <w:tcW w:w="80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45%</w:t>
            </w:r>
          </w:p>
        </w:tc>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240" w:type="dxa"/>
            <w:vAlign w:val="bottom"/>
          </w:tcPr>
          <w:p>
            <w:pPr>
              <w:spacing w:after="0"/>
              <w:rPr>
                <w:sz w:val="17"/>
                <w:szCs w:val="17"/>
                <w:color w:val="auto"/>
              </w:rPr>
            </w:pPr>
          </w:p>
        </w:tc>
        <w:tc>
          <w:tcPr>
            <w:tcW w:w="5800" w:type="dxa"/>
            <w:vAlign w:val="bottom"/>
            <w:tcBorders>
              <w:bottom w:val="single" w:sz="8" w:color="53C072"/>
            </w:tcBorders>
          </w:tcPr>
          <w:p>
            <w:pPr>
              <w:spacing w:after="0" w:line="182" w:lineRule="exact"/>
              <w:rPr>
                <w:sz w:val="20"/>
                <w:szCs w:val="20"/>
                <w:color w:val="auto"/>
              </w:rPr>
            </w:pPr>
            <w:r>
              <w:rPr>
                <w:rFonts w:ascii="Arial" w:cs="Arial" w:eastAsia="Arial" w:hAnsi="Arial"/>
                <w:sz w:val="16"/>
                <w:szCs w:val="16"/>
                <w:color w:val="auto"/>
              </w:rPr>
              <w:t>Fiscal Years 2014 - 2016</w:t>
            </w:r>
          </w:p>
        </w:tc>
        <w:tc>
          <w:tcPr>
            <w:tcW w:w="800" w:type="dxa"/>
            <w:vAlign w:val="bottom"/>
            <w:tcBorders>
              <w:bottom w:val="single" w:sz="8" w:color="53C072"/>
            </w:tcBorders>
          </w:tcPr>
          <w:p>
            <w:pPr>
              <w:jc w:val="right"/>
              <w:spacing w:after="0" w:line="182" w:lineRule="exact"/>
              <w:rPr>
                <w:sz w:val="20"/>
                <w:szCs w:val="20"/>
                <w:color w:val="auto"/>
              </w:rPr>
            </w:pPr>
            <w:r>
              <w:rPr>
                <w:rFonts w:ascii="Arial" w:cs="Arial" w:eastAsia="Arial" w:hAnsi="Arial"/>
                <w:sz w:val="16"/>
                <w:szCs w:val="16"/>
                <w:color w:val="auto"/>
              </w:rPr>
              <w:t>89%</w:t>
            </w:r>
          </w:p>
        </w:tc>
        <w:tc>
          <w:tcPr>
            <w:tcW w:w="20" w:type="dxa"/>
            <w:vAlign w:val="bottom"/>
            <w:tcBorders>
              <w:bottom w:val="single" w:sz="8" w:color="53C072"/>
            </w:tcBorders>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Additional Compensation Elements</w:t>
      </w:r>
    </w:p>
    <w:p>
      <w:pPr>
        <w:spacing w:after="0" w:line="192" w:lineRule="exact"/>
        <w:rPr>
          <w:sz w:val="20"/>
          <w:szCs w:val="20"/>
          <w:color w:val="auto"/>
        </w:rPr>
      </w:pPr>
    </w:p>
    <w:p>
      <w:pPr>
        <w:ind w:right="140"/>
        <w:spacing w:after="0" w:line="247" w:lineRule="auto"/>
        <w:rPr>
          <w:sz w:val="20"/>
          <w:szCs w:val="20"/>
          <w:color w:val="auto"/>
        </w:rPr>
      </w:pPr>
      <w:r>
        <w:rPr>
          <w:rFonts w:ascii="Arial" w:cs="Arial" w:eastAsia="Arial" w:hAnsi="Arial"/>
          <w:sz w:val="16"/>
          <w:szCs w:val="16"/>
          <w:b w:val="1"/>
          <w:bCs w:val="1"/>
          <w:color w:val="53C072"/>
        </w:rPr>
        <w:t xml:space="preserve">Qualified Pension Plan. </w:t>
      </w:r>
      <w:r>
        <w:rPr>
          <w:rFonts w:ascii="Arial" w:cs="Arial" w:eastAsia="Arial" w:hAnsi="Arial"/>
          <w:sz w:val="16"/>
          <w:szCs w:val="16"/>
          <w:color w:val="000000"/>
        </w:rPr>
        <w:t>The Company provides a retirement benefit to certain employees under a tax-qualified retirement plan (the "Pension Plan"). It is a</w:t>
      </w:r>
      <w:r>
        <w:rPr>
          <w:rFonts w:ascii="Arial" w:cs="Arial" w:eastAsia="Arial" w:hAnsi="Arial"/>
          <w:sz w:val="16"/>
          <w:szCs w:val="16"/>
          <w:b w:val="1"/>
          <w:bCs w:val="1"/>
          <w:color w:val="53C072"/>
        </w:rPr>
        <w:t xml:space="preserve"> </w:t>
      </w:r>
      <w:r>
        <w:rPr>
          <w:rFonts w:ascii="Arial" w:cs="Arial" w:eastAsia="Arial" w:hAnsi="Arial"/>
          <w:sz w:val="16"/>
          <w:szCs w:val="16"/>
          <w:color w:val="000000"/>
        </w:rPr>
        <w:t>type of tax-qualified defined benefit plan commonly referred to as a cash balance plan. Cash balance plans are similar in nature to a defined contribution plan in that a participant's benefit is defined in terms of a stated account balance. As a cash balance plan, the Pension Plan provides the Company with the benefit of applying any earnings on the Plan's investments beyond the fixed return provided to participants toward the Company's future cash funding obligations. The Pension Plan, including NEO participation, is more fully described in the "Pension Benefits" section.</w:t>
      </w:r>
    </w:p>
    <w:p>
      <w:pPr>
        <w:spacing w:after="0" w:line="158"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b w:val="1"/>
          <w:bCs w:val="1"/>
          <w:color w:val="53C072"/>
        </w:rPr>
        <w:t xml:space="preserve">401(k) Plan. </w:t>
      </w:r>
      <w:r>
        <w:rPr>
          <w:rFonts w:ascii="Arial" w:cs="Arial" w:eastAsia="Arial" w:hAnsi="Arial"/>
          <w:sz w:val="16"/>
          <w:szCs w:val="16"/>
          <w:color w:val="000000"/>
        </w:rPr>
        <w:t>The Company provides a tax-qualified defined contribution 401(k) Plan for employees after a 30-day waiting period. The plan allows eligible</w:t>
      </w:r>
      <w:r>
        <w:rPr>
          <w:rFonts w:ascii="Arial" w:cs="Arial" w:eastAsia="Arial" w:hAnsi="Arial"/>
          <w:sz w:val="16"/>
          <w:szCs w:val="16"/>
          <w:b w:val="1"/>
          <w:bCs w:val="1"/>
          <w:color w:val="53C072"/>
        </w:rPr>
        <w:t xml:space="preserve"> </w:t>
      </w:r>
      <w:r>
        <w:rPr>
          <w:rFonts w:ascii="Arial" w:cs="Arial" w:eastAsia="Arial" w:hAnsi="Arial"/>
          <w:sz w:val="16"/>
          <w:szCs w:val="16"/>
          <w:color w:val="000000"/>
        </w:rPr>
        <w:t>employees to make contributions on a pre and post-tax basis through payroll deductions up to IRS limits and invest their contributions in one or more of the 401(k) Plan investment options. New employees are automatically enrolled for a 3% pre-tax contribution, but have the ability to opt out before the effective date. The plan does not provide a Company match. Instead, the Company provides retirement contributions to eligible employees through the Pension Plan.</w:t>
      </w:r>
    </w:p>
    <w:p>
      <w:pPr>
        <w:spacing w:after="0" w:line="156"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b w:val="1"/>
          <w:bCs w:val="1"/>
          <w:color w:val="53C072"/>
        </w:rPr>
        <w:t xml:space="preserve">Nonqualified Retirement Plans. </w:t>
      </w:r>
      <w:r>
        <w:rPr>
          <w:rFonts w:ascii="Arial" w:cs="Arial" w:eastAsia="Arial" w:hAnsi="Arial"/>
          <w:sz w:val="16"/>
          <w:szCs w:val="16"/>
          <w:color w:val="000000"/>
        </w:rPr>
        <w:t>The Company provides a retirement benefit to certain employees under the following nonqualified retirement plans: (1) the</w:t>
      </w:r>
      <w:r>
        <w:rPr>
          <w:rFonts w:ascii="Arial" w:cs="Arial" w:eastAsia="Arial" w:hAnsi="Arial"/>
          <w:sz w:val="16"/>
          <w:szCs w:val="16"/>
          <w:b w:val="1"/>
          <w:bCs w:val="1"/>
          <w:color w:val="53C072"/>
        </w:rPr>
        <w:t xml:space="preserve"> </w:t>
      </w:r>
      <w:r>
        <w:rPr>
          <w:rFonts w:ascii="Arial" w:cs="Arial" w:eastAsia="Arial" w:hAnsi="Arial"/>
          <w:sz w:val="16"/>
          <w:szCs w:val="16"/>
          <w:color w:val="000000"/>
        </w:rPr>
        <w:t>restoration pension plan (the "Restoration Plan") and (2) the supplemental executive officers' retirement plan (the "SERP"). The SERP was closed to new participants effective December 31, 2011, and the Restoration Plan was adopted effective January 1, 2012. Pursuant to the terms of the Restoration Plan and the SERP, any benefit payable under the Restoration Plan reduces the benefit payable under the SERP. A retirement plan is an important retention tool in the Company's compensation program because the receipt of benefits is contingent upon the satisfaction of certain age and service requirements. Additionally, as the benefits provided under the nonqualified retirement plans are based in part on a participant's yearly cash compensation, including a participant's annual cash incentive compensation, the plans include a performance-based element. The Company balances the effectiveness of these plans as a compensation and retention tool with the cost of these plans. The SERP and Restoration Plan, including NEO participation, are more fully described in the "Pension Benefits" section.</w:t>
      </w:r>
    </w:p>
    <w:p>
      <w:pPr>
        <w:spacing w:after="0" w:line="163"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b w:val="1"/>
          <w:bCs w:val="1"/>
          <w:color w:val="53C072"/>
        </w:rPr>
        <w:t xml:space="preserve">Nonqualified Deferred Compensation Plan. </w:t>
      </w:r>
      <w:r>
        <w:rPr>
          <w:rFonts w:ascii="Arial" w:cs="Arial" w:eastAsia="Arial" w:hAnsi="Arial"/>
          <w:sz w:val="16"/>
          <w:szCs w:val="16"/>
          <w:color w:val="000000"/>
        </w:rPr>
        <w:t>The Company maintains a nonqualified deferred compensation plan for highly compensated U.S. employees,</w:t>
      </w:r>
      <w:r>
        <w:rPr>
          <w:rFonts w:ascii="Arial" w:cs="Arial" w:eastAsia="Arial" w:hAnsi="Arial"/>
          <w:sz w:val="16"/>
          <w:szCs w:val="16"/>
          <w:b w:val="1"/>
          <w:bCs w:val="1"/>
          <w:color w:val="53C072"/>
        </w:rPr>
        <w:t xml:space="preserve"> </w:t>
      </w:r>
      <w:r>
        <w:rPr>
          <w:rFonts w:ascii="Arial" w:cs="Arial" w:eastAsia="Arial" w:hAnsi="Arial"/>
          <w:sz w:val="16"/>
          <w:szCs w:val="16"/>
          <w:color w:val="000000"/>
        </w:rPr>
        <w:t>which includes each NEO ("Elective Deferral Plan"). Under the Elective Deferral Plan, a covered employee may elect to contribute a portion of their compensation to the Plan on a pre-tax basis, in addition to the amounts allowed under the Company's 401(k) Plan. Employee contributions and any deemed investment earnings on these contributions are held under the Avnet Deferred Compensation Rabbi Trust, but are subject to the claims of general creditors of the Company. The Company does not offer preferential or above market returns on the compensation deferred under the Plan. On February 6, 2020, the Elective Deferral Plan was amended to freeze future participation in the plan by not permitting new participants to enter the plan and not permitting existing participants to make new contributions to the plan effective for plan years beginning on or after March 1,</w:t>
      </w:r>
    </w:p>
    <w:p>
      <w:pPr>
        <w:spacing w:after="0" w:line="185"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23"/>
          <w:szCs w:val="23"/>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118745</wp:posOffset>
            </wp:positionV>
            <wp:extent cx="7151370" cy="203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-163195</wp:posOffset>
            </wp:positionV>
            <wp:extent cx="1664970" cy="1231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13"/>
        </w:trPr>
        <w:tc>
          <w:tcPr>
            <w:tcW w:w="512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6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12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6140" w:type="dxa"/>
            <w:vAlign w:val="bottom"/>
            <w:vMerge w:val="restart"/>
          </w:tcPr>
          <w:p>
            <w:pPr>
              <w:ind w:left="3880"/>
              <w:spacing w:after="0"/>
              <w:rPr>
                <w:sz w:val="20"/>
                <w:szCs w:val="20"/>
                <w:color w:val="auto"/>
              </w:rPr>
            </w:pPr>
            <w:r>
              <w:rPr>
                <w:rFonts w:ascii="Arial" w:cs="Arial" w:eastAsia="Arial" w:hAnsi="Arial"/>
                <w:sz w:val="13"/>
                <w:szCs w:val="13"/>
                <w:color w:val="auto"/>
                <w:w w:val="98"/>
              </w:rPr>
              <w:t>Compensation Discussion and Analysis</w:t>
            </w:r>
          </w:p>
        </w:tc>
        <w:tc>
          <w:tcPr>
            <w:tcW w:w="0" w:type="dxa"/>
            <w:vAlign w:val="bottom"/>
          </w:tcPr>
          <w:p>
            <w:pPr>
              <w:spacing w:after="0"/>
              <w:rPr>
                <w:sz w:val="1"/>
                <w:szCs w:val="1"/>
                <w:color w:val="auto"/>
              </w:rPr>
            </w:pPr>
          </w:p>
        </w:tc>
      </w:tr>
      <w:tr>
        <w:trPr>
          <w:trHeight w:val="102"/>
        </w:trPr>
        <w:tc>
          <w:tcPr>
            <w:tcW w:w="512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6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120" w:type="dxa"/>
            <w:vAlign w:val="bottom"/>
            <w:vMerge w:val="continue"/>
          </w:tcPr>
          <w:p>
            <w:pPr>
              <w:spacing w:after="0"/>
              <w:rPr>
                <w:sz w:val="7"/>
                <w:szCs w:val="7"/>
                <w:color w:val="auto"/>
              </w:rPr>
            </w:pPr>
          </w:p>
        </w:tc>
        <w:tc>
          <w:tcPr>
            <w:tcW w:w="6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2020. The Elective Deferral Plan, including NEO participation, is more fully described in the "Nonqualified Deferred Compensation" section.</w:t>
      </w:r>
    </w:p>
    <w:p>
      <w:pPr>
        <w:spacing w:after="0" w:line="190"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b w:val="1"/>
          <w:bCs w:val="1"/>
          <w:color w:val="53C072"/>
        </w:rPr>
        <w:t xml:space="preserve">Executive Benefits. </w:t>
      </w:r>
      <w:r>
        <w:rPr>
          <w:rFonts w:ascii="Arial" w:cs="Arial" w:eastAsia="Arial" w:hAnsi="Arial"/>
          <w:sz w:val="16"/>
          <w:szCs w:val="16"/>
          <w:color w:val="000000"/>
        </w:rPr>
        <w:t>The Company provides NEOs with a limited number of perquisites that the Company and the Compensation Committee believe are</w:t>
      </w:r>
      <w:r>
        <w:rPr>
          <w:rFonts w:ascii="Arial" w:cs="Arial" w:eastAsia="Arial" w:hAnsi="Arial"/>
          <w:sz w:val="16"/>
          <w:szCs w:val="16"/>
          <w:b w:val="1"/>
          <w:bCs w:val="1"/>
          <w:color w:val="53C072"/>
        </w:rPr>
        <w:t xml:space="preserve"> </w:t>
      </w:r>
      <w:r>
        <w:rPr>
          <w:rFonts w:ascii="Arial" w:cs="Arial" w:eastAsia="Arial" w:hAnsi="Arial"/>
          <w:sz w:val="16"/>
          <w:szCs w:val="16"/>
          <w:color w:val="000000"/>
        </w:rPr>
        <w:t>reasonable and consistent with the Company's overall compensation program and necessary to remain competitive. Perquisites include Company-paid travel for executives residing outside of Arizona, automobile program, and cost of annual physical exams. Costs associated with the perquisites provided by the Company are included in the "All Other Compensation" column in the Summary Compensation Table.</w:t>
      </w:r>
    </w:p>
    <w:p>
      <w:pPr>
        <w:spacing w:after="0" w:line="156" w:lineRule="exact"/>
        <w:rPr>
          <w:sz w:val="20"/>
          <w:szCs w:val="20"/>
          <w:color w:val="auto"/>
        </w:rPr>
      </w:pPr>
    </w:p>
    <w:p>
      <w:pPr>
        <w:ind w:right="100"/>
        <w:spacing w:after="0" w:line="245" w:lineRule="auto"/>
        <w:rPr>
          <w:sz w:val="20"/>
          <w:szCs w:val="20"/>
          <w:color w:val="auto"/>
        </w:rPr>
      </w:pPr>
      <w:r>
        <w:rPr>
          <w:rFonts w:ascii="Arial" w:cs="Arial" w:eastAsia="Arial" w:hAnsi="Arial"/>
          <w:sz w:val="16"/>
          <w:szCs w:val="16"/>
          <w:b w:val="1"/>
          <w:bCs w:val="1"/>
          <w:color w:val="53C072"/>
        </w:rPr>
        <w:t xml:space="preserve">Change of Control Agreements. </w:t>
      </w:r>
      <w:r>
        <w:rPr>
          <w:rFonts w:ascii="Arial" w:cs="Arial" w:eastAsia="Arial" w:hAnsi="Arial"/>
          <w:sz w:val="16"/>
          <w:szCs w:val="16"/>
          <w:color w:val="000000"/>
        </w:rPr>
        <w:t>The Company has entered into a change of control agreement with each of the NEOs. The change of control agreements</w:t>
      </w:r>
      <w:r>
        <w:rPr>
          <w:rFonts w:ascii="Arial" w:cs="Arial" w:eastAsia="Arial" w:hAnsi="Arial"/>
          <w:sz w:val="16"/>
          <w:szCs w:val="16"/>
          <w:b w:val="1"/>
          <w:bCs w:val="1"/>
          <w:color w:val="53C072"/>
        </w:rPr>
        <w:t xml:space="preserve"> </w:t>
      </w:r>
      <w:r>
        <w:rPr>
          <w:rFonts w:ascii="Arial" w:cs="Arial" w:eastAsia="Arial" w:hAnsi="Arial"/>
          <w:sz w:val="16"/>
          <w:szCs w:val="16"/>
          <w:color w:val="000000"/>
        </w:rPr>
        <w:t>are intended to encourage retention in the face of the disruptive impact of an actual or attempted change of control of the Company. The agreements are also intended to align NEOs' interests with those of the shareholders by enabling the NEOs to consider corporate transactions that are in the best interests of the shareholders and other constituents of the Company without undue concern over whether the transactions may jeopardize the NEOs' own employment. The change of control agreements do not provide for excise tax reimbursements to any of the NEOs. For more information, see "Potential Payouts Upon Termination and Change of Control" section.</w:t>
      </w:r>
    </w:p>
    <w:p>
      <w:pPr>
        <w:spacing w:after="0" w:line="160"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b w:val="1"/>
          <w:bCs w:val="1"/>
          <w:color w:val="53C072"/>
        </w:rPr>
        <w:t xml:space="preserve">Executive Severance Plan. </w:t>
      </w:r>
      <w:r>
        <w:rPr>
          <w:rFonts w:ascii="Arial" w:cs="Arial" w:eastAsia="Arial" w:hAnsi="Arial"/>
          <w:sz w:val="16"/>
          <w:szCs w:val="16"/>
          <w:color w:val="000000"/>
        </w:rPr>
        <w:t>The Company approved an Executive Severance Plan on August 10, 2017 ("Executive Severance Plan"), whereby executive</w:t>
      </w:r>
      <w:r>
        <w:rPr>
          <w:rFonts w:ascii="Arial" w:cs="Arial" w:eastAsia="Arial" w:hAnsi="Arial"/>
          <w:sz w:val="16"/>
          <w:szCs w:val="16"/>
          <w:b w:val="1"/>
          <w:bCs w:val="1"/>
          <w:color w:val="53C072"/>
        </w:rPr>
        <w:t xml:space="preserve"> </w:t>
      </w:r>
      <w:r>
        <w:rPr>
          <w:rFonts w:ascii="Arial" w:cs="Arial" w:eastAsia="Arial" w:hAnsi="Arial"/>
          <w:sz w:val="16"/>
          <w:szCs w:val="16"/>
          <w:color w:val="000000"/>
        </w:rPr>
        <w:t>officers may be eligible to receive severance benefits if they are not entitled to severance payments under any other employment agreement. Under the Executive Severance Plan, if the Company terminates an executive's employment without cause, the executive will receive: (1) one times their annual base salary, or in the case of the CEO two times their annual base salary; (2) health care benefit continuation for the duration of the severance period; and (3) the incentive payment based on the relevant performance factors in the year of termination. For purposes of the above, "cause" generally includes gross misconduct, breach of any material term of the agreement, willful breach, habitual neglect or wanton disregard of the executive's duties, or conviction of certain criminal acts. Currently, Mr. Liguori is covered by the Executive Severance Plan, while Messrs. Amelio, Bartolotta, Gallagher and O'Neill, and Ms. Miller are each covered by their employment agreements.</w:t>
      </w:r>
    </w:p>
    <w:p>
      <w:pPr>
        <w:spacing w:after="0" w:line="163"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employment agreements for Messrs. Amelio, Bartolotta, Gallagher and O'Neill provide that if the Company terminates their employment without cause, they will receive a lump sum equal to: (1) base annual salary and (2) target bonus for the year in which the termination occurs. For purposes of the above, "cause" generally includes gross misconduct, breach of any material term of the agreement, willful breach, habitual neglect or wanton disregard of the executive's duties, or conviction of any criminal act.</w:t>
      </w:r>
    </w:p>
    <w:p>
      <w:pPr>
        <w:spacing w:after="0" w:line="156"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The employment agreement for Ms. Miller is terminable by either the individual or the Company upon one-year advance written notice to the other. Per the terms of the Executive Severance plan, Ms. Miller is not eligible to participate in the Executive Severance Plan.</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see "Potential Payouts Upon Termination and Change of Control" section.</w:t>
      </w:r>
    </w:p>
    <w:p>
      <w:pPr>
        <w:spacing w:after="0" w:line="190"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b w:val="1"/>
          <w:bCs w:val="1"/>
          <w:color w:val="53C072"/>
        </w:rPr>
        <w:t xml:space="preserve">Employee Stock Purchase Plan (ESPP). </w:t>
      </w:r>
      <w:r>
        <w:rPr>
          <w:rFonts w:ascii="Arial" w:cs="Arial" w:eastAsia="Arial" w:hAnsi="Arial"/>
          <w:sz w:val="16"/>
          <w:szCs w:val="16"/>
          <w:color w:val="000000"/>
        </w:rPr>
        <w:t>The Company maintains the ESPP, which is a tax-qualified plan available to all employees of the Company and</w:t>
      </w:r>
      <w:r>
        <w:rPr>
          <w:rFonts w:ascii="Arial" w:cs="Arial" w:eastAsia="Arial" w:hAnsi="Arial"/>
          <w:sz w:val="16"/>
          <w:szCs w:val="16"/>
          <w:b w:val="1"/>
          <w:bCs w:val="1"/>
          <w:color w:val="53C072"/>
        </w:rPr>
        <w:t xml:space="preserve"> </w:t>
      </w:r>
      <w:r>
        <w:rPr>
          <w:rFonts w:ascii="Arial" w:cs="Arial" w:eastAsia="Arial" w:hAnsi="Arial"/>
          <w:sz w:val="16"/>
          <w:szCs w:val="16"/>
          <w:color w:val="000000"/>
        </w:rPr>
        <w:t>designated U.S. and Canadian subsidiaries who have been employed for at least three continuous months on the basis of at least 20 hours per week. The ESPP provides an opportunity to acquire an ownership interest in the Company through the purchase of the Company's Common Stock at a 5% discount through payroll deductions.</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ADDITIONAL PRACTICES, POLICIES AND GUIDELINES</w:t>
      </w:r>
    </w:p>
    <w:p>
      <w:pPr>
        <w:spacing w:after="0" w:line="207"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Stock Ownership Guidelines</w:t>
      </w:r>
    </w:p>
    <w:p>
      <w:pPr>
        <w:spacing w:after="0" w:line="194"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With a significant portion of each NEO's total compensation delivered in the form of equity-based incentives, NEOs have a substantial interest and incentive to ensure profitable growth of the Company and</w:t>
      </w:r>
    </w:p>
    <w:p>
      <w:pPr>
        <w:spacing w:after="0" w:line="108" w:lineRule="exact"/>
        <w:rPr>
          <w:sz w:val="20"/>
          <w:szCs w:val="20"/>
          <w:color w:val="auto"/>
        </w:rPr>
      </w:pPr>
    </w:p>
    <w:p>
      <w:pPr>
        <w:jc w:val="both"/>
        <w:ind w:left="10720"/>
        <w:spacing w:after="0"/>
        <w:tabs>
          <w:tab w:leader="none" w:pos="11060" w:val="left"/>
        </w:tabs>
        <w:rPr>
          <w:sz w:val="20"/>
          <w:szCs w:val="20"/>
          <w:color w:val="auto"/>
        </w:rPr>
      </w:pPr>
      <w:r>
        <w:rPr>
          <w:rFonts w:ascii="Arial" w:cs="Arial" w:eastAsia="Arial" w:hAnsi="Arial"/>
          <w:sz w:val="23"/>
          <w:szCs w:val="23"/>
          <w:b w:val="1"/>
          <w:bCs w:val="1"/>
          <w:color w:val="53C072"/>
        </w:rPr>
        <w:t>|</w:t>
      </w:r>
      <w:r>
        <w:rPr>
          <w:sz w:val="20"/>
          <w:szCs w:val="20"/>
          <w:color w:val="auto"/>
        </w:rPr>
        <w:tab/>
      </w: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7151370" cy="203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-130175</wp:posOffset>
            </wp:positionV>
            <wp:extent cx="1664970" cy="1231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13"/>
        </w:trPr>
        <w:tc>
          <w:tcPr>
            <w:tcW w:w="512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6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12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6140" w:type="dxa"/>
            <w:vAlign w:val="bottom"/>
            <w:vMerge w:val="restart"/>
          </w:tcPr>
          <w:p>
            <w:pPr>
              <w:ind w:left="3880"/>
              <w:spacing w:after="0"/>
              <w:rPr>
                <w:sz w:val="20"/>
                <w:szCs w:val="20"/>
                <w:color w:val="auto"/>
              </w:rPr>
            </w:pPr>
            <w:r>
              <w:rPr>
                <w:rFonts w:ascii="Arial" w:cs="Arial" w:eastAsia="Arial" w:hAnsi="Arial"/>
                <w:sz w:val="13"/>
                <w:szCs w:val="13"/>
                <w:color w:val="auto"/>
                <w:w w:val="98"/>
              </w:rPr>
              <w:t>Compensation Discussion and Analysis</w:t>
            </w:r>
          </w:p>
        </w:tc>
        <w:tc>
          <w:tcPr>
            <w:tcW w:w="0" w:type="dxa"/>
            <w:vAlign w:val="bottom"/>
          </w:tcPr>
          <w:p>
            <w:pPr>
              <w:spacing w:after="0"/>
              <w:rPr>
                <w:sz w:val="1"/>
                <w:szCs w:val="1"/>
                <w:color w:val="auto"/>
              </w:rPr>
            </w:pPr>
          </w:p>
        </w:tc>
      </w:tr>
      <w:tr>
        <w:trPr>
          <w:trHeight w:val="102"/>
        </w:trPr>
        <w:tc>
          <w:tcPr>
            <w:tcW w:w="512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6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120" w:type="dxa"/>
            <w:vAlign w:val="bottom"/>
            <w:vMerge w:val="continue"/>
          </w:tcPr>
          <w:p>
            <w:pPr>
              <w:spacing w:after="0"/>
              <w:rPr>
                <w:sz w:val="7"/>
                <w:szCs w:val="7"/>
                <w:color w:val="auto"/>
              </w:rPr>
            </w:pPr>
          </w:p>
        </w:tc>
        <w:tc>
          <w:tcPr>
            <w:tcW w:w="6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to drive long-term shareholder value. To further reinforce this focus, the Compensation Committee has established stock ownership guidelines for all NEOs. The guidelines provide that the NEOs are required to hold shares of the Company's Common Stock with a market value equal to a multiple of each NEO's base salary, as set forth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980" w:type="dxa"/>
            <w:vAlign w:val="bottom"/>
            <w:tcBorders>
              <w:top w:val="single" w:sz="8" w:color="53C072"/>
            </w:tcBorders>
            <w:shd w:val="clear" w:color="auto" w:fill="E8F5EA"/>
          </w:tcPr>
          <w:p>
            <w:pPr>
              <w:spacing w:after="0"/>
              <w:rPr>
                <w:sz w:val="20"/>
                <w:szCs w:val="20"/>
                <w:color w:val="auto"/>
              </w:rPr>
            </w:pPr>
            <w:r>
              <w:rPr>
                <w:rFonts w:ascii="Arial" w:cs="Arial" w:eastAsia="Arial" w:hAnsi="Arial"/>
                <w:sz w:val="16"/>
                <w:szCs w:val="16"/>
                <w:color w:val="auto"/>
              </w:rPr>
              <w:t>Chief Executive Officer</w:t>
            </w:r>
          </w:p>
        </w:tc>
        <w:tc>
          <w:tcPr>
            <w:tcW w:w="3280" w:type="dxa"/>
            <w:vAlign w:val="bottom"/>
            <w:tcBorders>
              <w:top w:val="single" w:sz="8" w:color="53C072"/>
            </w:tcBorders>
            <w:shd w:val="clear" w:color="auto" w:fill="E8F5EA"/>
          </w:tcPr>
          <w:p>
            <w:pPr>
              <w:ind w:left="680"/>
              <w:spacing w:after="0"/>
              <w:rPr>
                <w:sz w:val="20"/>
                <w:szCs w:val="20"/>
                <w:color w:val="auto"/>
              </w:rPr>
            </w:pPr>
            <w:r>
              <w:rPr>
                <w:rFonts w:ascii="Arial" w:cs="Arial" w:eastAsia="Arial" w:hAnsi="Arial"/>
                <w:sz w:val="16"/>
                <w:szCs w:val="16"/>
                <w:color w:val="auto"/>
              </w:rPr>
              <w:t>5x base salary</w:t>
            </w:r>
          </w:p>
        </w:tc>
      </w:tr>
      <w:tr>
        <w:trPr>
          <w:trHeight w:val="182"/>
        </w:trPr>
        <w:tc>
          <w:tcPr>
            <w:tcW w:w="7980" w:type="dxa"/>
            <w:vAlign w:val="bottom"/>
          </w:tcPr>
          <w:p>
            <w:pPr>
              <w:spacing w:after="0" w:line="182" w:lineRule="exact"/>
              <w:rPr>
                <w:sz w:val="20"/>
                <w:szCs w:val="20"/>
                <w:color w:val="auto"/>
              </w:rPr>
            </w:pPr>
            <w:r>
              <w:rPr>
                <w:rFonts w:ascii="Arial" w:cs="Arial" w:eastAsia="Arial" w:hAnsi="Arial"/>
                <w:sz w:val="16"/>
                <w:szCs w:val="16"/>
                <w:color w:val="auto"/>
              </w:rPr>
              <w:t>CFO, COO, Group Presidents &amp; General Counsel</w:t>
            </w:r>
          </w:p>
        </w:tc>
        <w:tc>
          <w:tcPr>
            <w:tcW w:w="3280" w:type="dxa"/>
            <w:vAlign w:val="bottom"/>
          </w:tcPr>
          <w:p>
            <w:pPr>
              <w:ind w:left="680"/>
              <w:spacing w:after="0" w:line="182" w:lineRule="exact"/>
              <w:rPr>
                <w:sz w:val="20"/>
                <w:szCs w:val="20"/>
                <w:color w:val="auto"/>
              </w:rPr>
            </w:pPr>
            <w:r>
              <w:rPr>
                <w:rFonts w:ascii="Arial" w:cs="Arial" w:eastAsia="Arial" w:hAnsi="Arial"/>
                <w:sz w:val="16"/>
                <w:szCs w:val="16"/>
                <w:color w:val="auto"/>
              </w:rPr>
              <w:t>3x base salary</w:t>
            </w:r>
          </w:p>
        </w:tc>
      </w:tr>
      <w:tr>
        <w:trPr>
          <w:trHeight w:val="199"/>
        </w:trPr>
        <w:tc>
          <w:tcPr>
            <w:tcW w:w="7980" w:type="dxa"/>
            <w:vAlign w:val="bottom"/>
            <w:tcBorders>
              <w:bottom w:val="single" w:sz="8" w:color="53C072"/>
            </w:tcBorders>
            <w:shd w:val="clear" w:color="auto" w:fill="E8F5EA"/>
          </w:tcPr>
          <w:p>
            <w:pPr>
              <w:spacing w:after="0" w:line="182" w:lineRule="exact"/>
              <w:rPr>
                <w:sz w:val="20"/>
                <w:szCs w:val="20"/>
                <w:color w:val="auto"/>
              </w:rPr>
            </w:pPr>
            <w:r>
              <w:rPr>
                <w:rFonts w:ascii="Arial" w:cs="Arial" w:eastAsia="Arial" w:hAnsi="Arial"/>
                <w:sz w:val="16"/>
                <w:szCs w:val="16"/>
                <w:color w:val="auto"/>
              </w:rPr>
              <w:t>Other Officers</w:t>
            </w:r>
          </w:p>
        </w:tc>
        <w:tc>
          <w:tcPr>
            <w:tcW w:w="3280" w:type="dxa"/>
            <w:vAlign w:val="bottom"/>
            <w:tcBorders>
              <w:bottom w:val="single" w:sz="8" w:color="53C072"/>
            </w:tcBorders>
            <w:shd w:val="clear" w:color="auto" w:fill="E8F5EA"/>
          </w:tcPr>
          <w:p>
            <w:pPr>
              <w:ind w:left="680"/>
              <w:spacing w:after="0" w:line="182" w:lineRule="exact"/>
              <w:rPr>
                <w:sz w:val="20"/>
                <w:szCs w:val="20"/>
                <w:color w:val="auto"/>
              </w:rPr>
            </w:pPr>
            <w:r>
              <w:rPr>
                <w:rFonts w:ascii="Arial" w:cs="Arial" w:eastAsia="Arial" w:hAnsi="Arial"/>
                <w:sz w:val="16"/>
                <w:szCs w:val="16"/>
                <w:color w:val="auto"/>
              </w:rPr>
              <w:t>1x base salary</w:t>
            </w:r>
          </w:p>
        </w:tc>
      </w:tr>
    </w:tbl>
    <w:p>
      <w:pPr>
        <w:spacing w:after="0" w:line="177"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Shares that count towards the guidelines include shares actually owned, RSUs regardless if vested, shares issued to settle vested PSUs and shares acquired from the exercise of stock options.</w:t>
      </w:r>
    </w:p>
    <w:p>
      <w:pPr>
        <w:spacing w:after="0" w:line="137"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The guidelines do not provide a time frame by which ownership must be achieved. However, until the ownership level under the guidelines is met, the NEO must hold at least 50% of any net shares he or she receives upon the exercise of options or upon the delivery of any RSU or PSU awards. As of July 1, 2020, all NEOs who are subject to these guidelines satisfy these requirements.</w:t>
      </w:r>
    </w:p>
    <w:p>
      <w:pPr>
        <w:spacing w:after="0" w:line="150"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Hedging/Pledging Policy</w:t>
      </w:r>
    </w:p>
    <w:p>
      <w:pPr>
        <w:spacing w:after="0" w:line="194"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The Trading Procedures for Insiders, which is part of the Company's Insider Trading Policy, expressly prohibits executive officers, including their spouses, other persons living in their household and minor children and entities over which they exercise control, from entering into hedging or monetization transactions to hedge the economic risk associated with owning the Company's securities and from holding the Company's securities in a margin account or pledging the Company's securities as collateral for loans without advance approval from the Compliance Officer.</w:t>
      </w:r>
    </w:p>
    <w:p>
      <w:pPr>
        <w:spacing w:after="0" w:line="154"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Recoupment Policy</w:t>
      </w:r>
    </w:p>
    <w:p>
      <w:pPr>
        <w:spacing w:after="0" w:line="194" w:lineRule="exact"/>
        <w:rPr>
          <w:sz w:val="20"/>
          <w:szCs w:val="20"/>
          <w:color w:val="auto"/>
        </w:rPr>
      </w:pPr>
    </w:p>
    <w:p>
      <w:pPr>
        <w:ind w:right="80"/>
        <w:spacing w:after="0" w:line="242" w:lineRule="auto"/>
        <w:rPr>
          <w:sz w:val="20"/>
          <w:szCs w:val="20"/>
          <w:color w:val="auto"/>
        </w:rPr>
      </w:pPr>
      <w:r>
        <w:rPr>
          <w:rFonts w:ascii="Arial" w:cs="Arial" w:eastAsia="Arial" w:hAnsi="Arial"/>
          <w:sz w:val="16"/>
          <w:szCs w:val="16"/>
          <w:color w:val="auto"/>
        </w:rPr>
        <w:t>Pursuant to the Company's amended Incentive Compensation Recoupment Policy, otherwise known as a clawback policy, in the event of a mandatory restatement of the Company's financial results, or in the event of misconduct by an executive officer (or if an executive officer knew or should have known about the misconduct and failed to report it to the Company) or if required by law, the Independent Directors are authorized to take action to recoup all or part of any incentive compensation received by an executive officer. For purposes of this policy, incentive compensation includes any cash or stock-based award under the Company's annual cash incentive plan or LTIP, the amount of which is determined in whole or in part upon the application of objective performance criteria or the achievement of specific financial performance targets. The policy defines misconduct as the willful commission of an illegal act, fraud, intentional misconduct or gross recklessness in the performance of an employee's duties and responsibilities. In determining whether to take action to recoup any incentive compensation received by an executive officer, the Independent Directors will take into consideration whether the executive officer engaged in the misconduct or was in a position, including in a supervisory role, to have been able to have reasonably prevented the misconduct that caused the restatement.</w:t>
      </w:r>
    </w:p>
    <w:p>
      <w:pPr>
        <w:spacing w:after="0" w:line="161"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Equity Grant Practices</w:t>
      </w:r>
    </w:p>
    <w:p>
      <w:pPr>
        <w:spacing w:after="0" w:line="194" w:lineRule="exact"/>
        <w:rPr>
          <w:sz w:val="20"/>
          <w:szCs w:val="20"/>
          <w:color w:val="auto"/>
        </w:rPr>
      </w:pPr>
    </w:p>
    <w:p>
      <w:pPr>
        <w:jc w:val="both"/>
        <w:ind w:right="160"/>
        <w:spacing w:after="0" w:line="246" w:lineRule="auto"/>
        <w:rPr>
          <w:sz w:val="20"/>
          <w:szCs w:val="20"/>
          <w:color w:val="auto"/>
        </w:rPr>
      </w:pPr>
      <w:r>
        <w:rPr>
          <w:rFonts w:ascii="Arial" w:cs="Arial" w:eastAsia="Arial" w:hAnsi="Arial"/>
          <w:sz w:val="16"/>
          <w:szCs w:val="16"/>
          <w:color w:val="auto"/>
        </w:rPr>
        <w:t>Equity award decisions are generally made at the Board or Compensation Committee's regularly scheduled meetings in August, which are generally scheduled at least one year in advance. Pursuant to the Company's equity incentive plans, the exercise price of each stock option awarded to the executive officers is the closing price of the Company's Common Stock on the date of grant. Options and other equity-based awards may be granted in connection with a new hire or a promotion, in which case awards may be granted at the Compensation Committee meeting at or about the time of hiring or promotion. Grants are made without regard to anticipated earnings or major announcements by the Company.</w:t>
      </w:r>
    </w:p>
    <w:p>
      <w:pPr>
        <w:spacing w:after="0" w:line="185"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54</w:t>
      </w:r>
      <w:r>
        <w:rPr>
          <w:sz w:val="20"/>
          <w:szCs w:val="20"/>
          <w:color w:val="auto"/>
        </w:rPr>
        <w:tab/>
      </w:r>
      <w:r>
        <w:rPr>
          <w:rFonts w:ascii="Arial" w:cs="Arial" w:eastAsia="Arial" w:hAnsi="Arial"/>
          <w:sz w:val="23"/>
          <w:szCs w:val="23"/>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118745</wp:posOffset>
            </wp:positionV>
            <wp:extent cx="7151370" cy="203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-163195</wp:posOffset>
            </wp:positionV>
            <wp:extent cx="1664970" cy="1231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13"/>
        </w:trPr>
        <w:tc>
          <w:tcPr>
            <w:tcW w:w="512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6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12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6140" w:type="dxa"/>
            <w:vAlign w:val="bottom"/>
            <w:vMerge w:val="restart"/>
          </w:tcPr>
          <w:p>
            <w:pPr>
              <w:ind w:left="3880"/>
              <w:spacing w:after="0"/>
              <w:rPr>
                <w:sz w:val="20"/>
                <w:szCs w:val="20"/>
                <w:color w:val="auto"/>
              </w:rPr>
            </w:pPr>
            <w:r>
              <w:rPr>
                <w:rFonts w:ascii="Arial" w:cs="Arial" w:eastAsia="Arial" w:hAnsi="Arial"/>
                <w:sz w:val="13"/>
                <w:szCs w:val="13"/>
                <w:color w:val="auto"/>
                <w:w w:val="98"/>
              </w:rPr>
              <w:t>Compensation Discussion and Analysis</w:t>
            </w:r>
          </w:p>
        </w:tc>
        <w:tc>
          <w:tcPr>
            <w:tcW w:w="0" w:type="dxa"/>
            <w:vAlign w:val="bottom"/>
          </w:tcPr>
          <w:p>
            <w:pPr>
              <w:spacing w:after="0"/>
              <w:rPr>
                <w:sz w:val="1"/>
                <w:szCs w:val="1"/>
                <w:color w:val="auto"/>
              </w:rPr>
            </w:pPr>
          </w:p>
        </w:tc>
      </w:tr>
      <w:tr>
        <w:trPr>
          <w:trHeight w:val="102"/>
        </w:trPr>
        <w:tc>
          <w:tcPr>
            <w:tcW w:w="512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6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120" w:type="dxa"/>
            <w:vAlign w:val="bottom"/>
            <w:vMerge w:val="continue"/>
          </w:tcPr>
          <w:p>
            <w:pPr>
              <w:spacing w:after="0"/>
              <w:rPr>
                <w:sz w:val="7"/>
                <w:szCs w:val="7"/>
                <w:color w:val="auto"/>
              </w:rPr>
            </w:pPr>
          </w:p>
        </w:tc>
        <w:tc>
          <w:tcPr>
            <w:tcW w:w="6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Deductibility of Executive Compensation</w:t>
      </w:r>
    </w:p>
    <w:p>
      <w:pPr>
        <w:spacing w:after="0" w:line="19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 Compensation Committee considers the accounting and tax impacts on the Company's financial statements when establishing the amount and design of the Company's compensation programs. Historically, the Committee has considered Section 162(m) of the Internal Revenue Code of 1986, as amended (the "Code"), which limits the tax deductibility of compensation paid by a public company to its CEO and certain other highly compensated executive officers to $1 million.</w:t>
      </w:r>
    </w:p>
    <w:p>
      <w:pPr>
        <w:spacing w:after="0" w:line="156" w:lineRule="exact"/>
        <w:rPr>
          <w:sz w:val="20"/>
          <w:szCs w:val="20"/>
          <w:color w:val="auto"/>
        </w:rPr>
      </w:pPr>
    </w:p>
    <w:p>
      <w:pPr>
        <w:ind w:right="120"/>
        <w:spacing w:after="0" w:line="243" w:lineRule="auto"/>
        <w:rPr>
          <w:sz w:val="20"/>
          <w:szCs w:val="20"/>
          <w:color w:val="auto"/>
        </w:rPr>
      </w:pPr>
      <w:r>
        <w:rPr>
          <w:rFonts w:ascii="Arial" w:cs="Arial" w:eastAsia="Arial" w:hAnsi="Arial"/>
          <w:sz w:val="16"/>
          <w:szCs w:val="16"/>
          <w:color w:val="auto"/>
        </w:rPr>
        <w:t>As in effect prior to December 22, 2017, Section 162(m) provided an exception to the limit on deductibility for performance-based compensation that met certain requirements. The Tax Cuts and Jobs Act of 2017, enacted on December 22, 2017, eliminated this exception for awards issued after November 2, 2017 or awards materially modified after the same date, and expanded the number of executives to which the Section 162(m) limit may apply. As a result, compensation paid to the Company's CEO and other NEOs in fiscal 2019 and thereafter is presumed to be subject to the Section 162(m) deductibility limits. However, awards that were granted prior to November 2, 2017, which were not modified in any material respect on or after such date, and which qualify as "performance-based compensation" under Section 162(m), continue to be an exception to the $1 million deduction limitation under Section 162(m), thus allowing the Company the federal tax deduction otherwise permitted for such compensation.</w:t>
      </w:r>
    </w:p>
    <w:p>
      <w:pPr>
        <w:spacing w:after="0" w:line="165" w:lineRule="exact"/>
        <w:rPr>
          <w:sz w:val="20"/>
          <w:szCs w:val="20"/>
          <w:color w:val="auto"/>
        </w:rPr>
      </w:pPr>
    </w:p>
    <w:p>
      <w:pPr>
        <w:jc w:val="both"/>
        <w:ind w:right="340"/>
        <w:spacing w:after="0" w:line="256" w:lineRule="auto"/>
        <w:rPr>
          <w:sz w:val="20"/>
          <w:szCs w:val="20"/>
          <w:color w:val="auto"/>
        </w:rPr>
      </w:pPr>
      <w:r>
        <w:rPr>
          <w:rFonts w:ascii="Arial" w:cs="Arial" w:eastAsia="Arial" w:hAnsi="Arial"/>
          <w:sz w:val="16"/>
          <w:szCs w:val="16"/>
          <w:color w:val="auto"/>
        </w:rPr>
        <w:t>The Board and Compensation Committee reserve the right to award compensation to executive officers that is consistent with the Company's compensation philosophy and objectives even if it does not qualify for a tax deduction, including when necessary to comply with contractual commitments or to maintain the flexibility needed to attract talent, promote retention or recognize and reward desired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107315</wp:posOffset>
            </wp:positionV>
            <wp:extent cx="7146290" cy="2546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6290" cy="25463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FFFE"/>
        </w:rPr>
        <w:t>COMPENSATION COMMITTEE REPORT</w:t>
      </w:r>
    </w:p>
    <w:p>
      <w:pPr>
        <w:spacing w:after="0" w:line="220"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The Compensation Committee has reviewed the Compensation Discussion and Analysis ("CD&amp;A") and discussed it with management. Based on its review and discussion with management, the Committee recommended to the Board of Directors that the CD&amp;A be included in the Company's 2020 Proxy Statement and incorporated by reference into the Company's annual report on Form 10-K. This Report is provided by the following Independent Directors, who comprise the Committee: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James A. Lawrence, Chair</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Rodney C. Adkins</w:t>
      </w:r>
    </w:p>
    <w:p>
      <w:pPr>
        <w:spacing w:after="0" w:line="237" w:lineRule="auto"/>
        <w:rPr>
          <w:sz w:val="20"/>
          <w:szCs w:val="20"/>
          <w:color w:val="auto"/>
        </w:rPr>
      </w:pPr>
      <w:r>
        <w:rPr>
          <w:rFonts w:ascii="Arial" w:cs="Arial" w:eastAsia="Arial" w:hAnsi="Arial"/>
          <w:sz w:val="16"/>
          <w:szCs w:val="16"/>
          <w:color w:val="auto"/>
        </w:rPr>
        <w:t>Jo Ann Jenkins</w:t>
      </w:r>
    </w:p>
    <w:p>
      <w:pPr>
        <w:spacing w:after="0"/>
        <w:rPr>
          <w:sz w:val="20"/>
          <w:szCs w:val="20"/>
          <w:color w:val="auto"/>
        </w:rPr>
      </w:pPr>
      <w:r>
        <w:rPr>
          <w:rFonts w:ascii="Arial" w:cs="Arial" w:eastAsia="Arial" w:hAnsi="Arial"/>
          <w:sz w:val="16"/>
          <w:szCs w:val="16"/>
          <w:color w:val="auto"/>
        </w:rPr>
        <w:t>Avid Modjtabai</w:t>
      </w:r>
    </w:p>
    <w:p>
      <w:pPr>
        <w:spacing w:after="0" w:line="144" w:lineRule="exact"/>
        <w:rPr>
          <w:sz w:val="20"/>
          <w:szCs w:val="20"/>
          <w:color w:val="auto"/>
        </w:rPr>
      </w:pPr>
    </w:p>
    <w:p>
      <w:pPr>
        <w:jc w:val="both"/>
        <w:ind w:left="10720"/>
        <w:spacing w:after="0"/>
        <w:tabs>
          <w:tab w:leader="none" w:pos="11060" w:val="left"/>
        </w:tabs>
        <w:rPr>
          <w:sz w:val="20"/>
          <w:szCs w:val="20"/>
          <w:color w:val="auto"/>
        </w:rPr>
      </w:pPr>
      <w:r>
        <w:rPr>
          <w:rFonts w:ascii="Arial" w:cs="Arial" w:eastAsia="Arial" w:hAnsi="Arial"/>
          <w:sz w:val="23"/>
          <w:szCs w:val="23"/>
          <w:b w:val="1"/>
          <w:bCs w:val="1"/>
          <w:color w:val="53C072"/>
        </w:rPr>
        <w:t>|</w:t>
      </w:r>
      <w:r>
        <w:rPr>
          <w:sz w:val="20"/>
          <w:szCs w:val="20"/>
          <w:color w:val="auto"/>
        </w:rPr>
        <w:tab/>
      </w: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7151370" cy="203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-130810</wp:posOffset>
            </wp:positionV>
            <wp:extent cx="1664970" cy="1231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b w:val="1"/>
          <w:bCs w:val="1"/>
          <w:color w:val="53C072"/>
        </w:rPr>
        <w:t>2020 ANNUAL</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118110</wp:posOffset>
            </wp:positionV>
            <wp:extent cx="7146290" cy="2546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6290" cy="254635"/>
                    </a:xfrm>
                    <a:prstGeom prst="rect">
                      <a:avLst/>
                    </a:prstGeom>
                    <a:noFill/>
                  </pic:spPr>
                </pic:pic>
              </a:graphicData>
            </a:graphic>
          </wp:anchor>
        </w:drawing>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FFFFFE"/>
        </w:rPr>
        <w:t>COMPENSATION OF EXECUTIVE OFFICERS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concerning the compensation provided by the Company for the years indicated to the NEOs.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SUMMARY COMPENSATION TABLE</w:t>
      </w:r>
    </w:p>
    <w:p>
      <w:pPr>
        <w:spacing w:after="0" w:line="209" w:lineRule="exact"/>
        <w:rPr>
          <w:sz w:val="20"/>
          <w:szCs w:val="20"/>
          <w:color w:val="auto"/>
        </w:rPr>
      </w:pPr>
    </w:p>
    <w:tbl>
      <w:tblPr>
        <w:tblLayout w:type="fixed"/>
        <w:tblInd w:w="1340" w:type="dxa"/>
        <w:tblCellMar>
          <w:top w:w="0" w:type="dxa"/>
          <w:left w:w="0" w:type="dxa"/>
          <w:bottom w:w="0" w:type="dxa"/>
          <w:right w:w="0" w:type="dxa"/>
        </w:tblCellMar>
      </w:tblPr>
      <w:tr>
        <w:trPr>
          <w:trHeight w:val="149"/>
        </w:trPr>
        <w:tc>
          <w:tcPr>
            <w:tcW w:w="880" w:type="dxa"/>
            <w:vAlign w:val="bottom"/>
            <w:shd w:val="clear" w:color="auto" w:fill="53C072"/>
          </w:tcPr>
          <w:p>
            <w:pPr>
              <w:spacing w:after="0"/>
              <w:rPr>
                <w:sz w:val="13"/>
                <w:szCs w:val="13"/>
                <w:color w:val="auto"/>
              </w:rPr>
            </w:pPr>
          </w:p>
        </w:tc>
        <w:tc>
          <w:tcPr>
            <w:tcW w:w="100" w:type="dxa"/>
            <w:vAlign w:val="bottom"/>
            <w:shd w:val="clear" w:color="auto" w:fill="53C072"/>
          </w:tcPr>
          <w:p>
            <w:pPr>
              <w:spacing w:after="0"/>
              <w:rPr>
                <w:sz w:val="13"/>
                <w:szCs w:val="13"/>
                <w:color w:val="auto"/>
              </w:rPr>
            </w:pPr>
          </w:p>
        </w:tc>
        <w:tc>
          <w:tcPr>
            <w:tcW w:w="420" w:type="dxa"/>
            <w:vAlign w:val="bottom"/>
            <w:shd w:val="clear" w:color="auto" w:fill="53C072"/>
          </w:tcPr>
          <w:p>
            <w:pPr>
              <w:spacing w:after="0"/>
              <w:rPr>
                <w:sz w:val="13"/>
                <w:szCs w:val="13"/>
                <w:color w:val="auto"/>
              </w:rPr>
            </w:pPr>
          </w:p>
        </w:tc>
        <w:tc>
          <w:tcPr>
            <w:tcW w:w="740" w:type="dxa"/>
            <w:vAlign w:val="bottom"/>
            <w:shd w:val="clear" w:color="auto" w:fill="53C072"/>
          </w:tcPr>
          <w:p>
            <w:pPr>
              <w:spacing w:after="0"/>
              <w:rPr>
                <w:sz w:val="13"/>
                <w:szCs w:val="13"/>
                <w:color w:val="auto"/>
              </w:rPr>
            </w:pPr>
          </w:p>
        </w:tc>
        <w:tc>
          <w:tcPr>
            <w:tcW w:w="800" w:type="dxa"/>
            <w:vAlign w:val="bottom"/>
            <w:shd w:val="clear" w:color="auto" w:fill="53C072"/>
          </w:tcPr>
          <w:p>
            <w:pPr>
              <w:spacing w:after="0"/>
              <w:rPr>
                <w:sz w:val="13"/>
                <w:szCs w:val="13"/>
                <w:color w:val="auto"/>
              </w:rPr>
            </w:pPr>
          </w:p>
        </w:tc>
        <w:tc>
          <w:tcPr>
            <w:tcW w:w="740" w:type="dxa"/>
            <w:vAlign w:val="bottom"/>
            <w:shd w:val="clear" w:color="auto" w:fill="53C072"/>
          </w:tcPr>
          <w:p>
            <w:pPr>
              <w:spacing w:after="0"/>
              <w:rPr>
                <w:sz w:val="13"/>
                <w:szCs w:val="13"/>
                <w:color w:val="auto"/>
              </w:rPr>
            </w:pPr>
          </w:p>
        </w:tc>
        <w:tc>
          <w:tcPr>
            <w:tcW w:w="740" w:type="dxa"/>
            <w:vAlign w:val="bottom"/>
            <w:shd w:val="clear" w:color="auto" w:fill="53C072"/>
          </w:tcPr>
          <w:p>
            <w:pPr>
              <w:spacing w:after="0"/>
              <w:rPr>
                <w:sz w:val="13"/>
                <w:szCs w:val="13"/>
                <w:color w:val="auto"/>
              </w:rPr>
            </w:pPr>
          </w:p>
        </w:tc>
        <w:tc>
          <w:tcPr>
            <w:tcW w:w="1080" w:type="dxa"/>
            <w:vAlign w:val="bottom"/>
            <w:shd w:val="clear" w:color="auto" w:fill="53C072"/>
          </w:tcPr>
          <w:p>
            <w:pPr>
              <w:spacing w:after="0"/>
              <w:rPr>
                <w:sz w:val="13"/>
                <w:szCs w:val="13"/>
                <w:color w:val="auto"/>
              </w:rPr>
            </w:pPr>
          </w:p>
        </w:tc>
        <w:tc>
          <w:tcPr>
            <w:tcW w:w="1080" w:type="dxa"/>
            <w:vAlign w:val="bottom"/>
            <w:shd w:val="clear" w:color="auto" w:fill="53C072"/>
          </w:tcPr>
          <w:p>
            <w:pPr>
              <w:jc w:val="right"/>
              <w:ind w:right="15"/>
              <w:spacing w:after="0"/>
              <w:rPr>
                <w:sz w:val="20"/>
                <w:szCs w:val="20"/>
                <w:color w:val="auto"/>
              </w:rPr>
            </w:pPr>
            <w:r>
              <w:rPr>
                <w:rFonts w:ascii="Arial" w:cs="Arial" w:eastAsia="Arial" w:hAnsi="Arial"/>
                <w:sz w:val="13"/>
                <w:szCs w:val="13"/>
                <w:b w:val="1"/>
                <w:bCs w:val="1"/>
                <w:color w:val="FFFFFE"/>
              </w:rPr>
              <w:t>Change in</w:t>
            </w:r>
          </w:p>
        </w:tc>
        <w:tc>
          <w:tcPr>
            <w:tcW w:w="1080" w:type="dxa"/>
            <w:vAlign w:val="bottom"/>
            <w:shd w:val="clear" w:color="auto" w:fill="53C072"/>
          </w:tcPr>
          <w:p>
            <w:pPr>
              <w:spacing w:after="0"/>
              <w:rPr>
                <w:sz w:val="13"/>
                <w:szCs w:val="13"/>
                <w:color w:val="auto"/>
              </w:rPr>
            </w:pPr>
          </w:p>
        </w:tc>
        <w:tc>
          <w:tcPr>
            <w:tcW w:w="660" w:type="dxa"/>
            <w:vAlign w:val="bottom"/>
            <w:shd w:val="clear" w:color="auto" w:fill="53C072"/>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880" w:type="dxa"/>
            <w:vAlign w:val="bottom"/>
            <w:shd w:val="clear" w:color="auto" w:fill="53C072"/>
          </w:tcPr>
          <w:p>
            <w:pPr>
              <w:spacing w:after="0"/>
              <w:rPr>
                <w:sz w:val="12"/>
                <w:szCs w:val="12"/>
                <w:color w:val="auto"/>
              </w:rPr>
            </w:pPr>
          </w:p>
        </w:tc>
        <w:tc>
          <w:tcPr>
            <w:tcW w:w="100" w:type="dxa"/>
            <w:vAlign w:val="bottom"/>
            <w:shd w:val="clear" w:color="auto" w:fill="53C072"/>
          </w:tcPr>
          <w:p>
            <w:pPr>
              <w:spacing w:after="0"/>
              <w:rPr>
                <w:sz w:val="12"/>
                <w:szCs w:val="12"/>
                <w:color w:val="auto"/>
              </w:rPr>
            </w:pPr>
          </w:p>
        </w:tc>
        <w:tc>
          <w:tcPr>
            <w:tcW w:w="420" w:type="dxa"/>
            <w:vAlign w:val="bottom"/>
            <w:shd w:val="clear" w:color="auto" w:fill="53C072"/>
          </w:tcPr>
          <w:p>
            <w:pPr>
              <w:spacing w:after="0"/>
              <w:rPr>
                <w:sz w:val="12"/>
                <w:szCs w:val="12"/>
                <w:color w:val="auto"/>
              </w:rPr>
            </w:pPr>
          </w:p>
        </w:tc>
        <w:tc>
          <w:tcPr>
            <w:tcW w:w="740" w:type="dxa"/>
            <w:vAlign w:val="bottom"/>
            <w:shd w:val="clear" w:color="auto" w:fill="53C072"/>
          </w:tcPr>
          <w:p>
            <w:pPr>
              <w:spacing w:after="0"/>
              <w:rPr>
                <w:sz w:val="12"/>
                <w:szCs w:val="12"/>
                <w:color w:val="auto"/>
              </w:rPr>
            </w:pPr>
          </w:p>
        </w:tc>
        <w:tc>
          <w:tcPr>
            <w:tcW w:w="800" w:type="dxa"/>
            <w:vAlign w:val="bottom"/>
            <w:shd w:val="clear" w:color="auto" w:fill="53C072"/>
          </w:tcPr>
          <w:p>
            <w:pPr>
              <w:spacing w:after="0"/>
              <w:rPr>
                <w:sz w:val="12"/>
                <w:szCs w:val="12"/>
                <w:color w:val="auto"/>
              </w:rPr>
            </w:pPr>
          </w:p>
        </w:tc>
        <w:tc>
          <w:tcPr>
            <w:tcW w:w="740" w:type="dxa"/>
            <w:vAlign w:val="bottom"/>
            <w:shd w:val="clear" w:color="auto" w:fill="53C072"/>
          </w:tcPr>
          <w:p>
            <w:pPr>
              <w:spacing w:after="0"/>
              <w:rPr>
                <w:sz w:val="12"/>
                <w:szCs w:val="12"/>
                <w:color w:val="auto"/>
              </w:rPr>
            </w:pPr>
          </w:p>
        </w:tc>
        <w:tc>
          <w:tcPr>
            <w:tcW w:w="740" w:type="dxa"/>
            <w:vAlign w:val="bottom"/>
            <w:shd w:val="clear" w:color="auto" w:fill="53C072"/>
          </w:tcPr>
          <w:p>
            <w:pPr>
              <w:spacing w:after="0"/>
              <w:rPr>
                <w:sz w:val="12"/>
                <w:szCs w:val="12"/>
                <w:color w:val="auto"/>
              </w:rPr>
            </w:pPr>
          </w:p>
        </w:tc>
        <w:tc>
          <w:tcPr>
            <w:tcW w:w="1080" w:type="dxa"/>
            <w:vAlign w:val="bottom"/>
            <w:shd w:val="clear" w:color="auto" w:fill="53C072"/>
          </w:tcPr>
          <w:p>
            <w:pPr>
              <w:spacing w:after="0"/>
              <w:rPr>
                <w:sz w:val="12"/>
                <w:szCs w:val="12"/>
                <w:color w:val="auto"/>
              </w:rPr>
            </w:pPr>
          </w:p>
        </w:tc>
        <w:tc>
          <w:tcPr>
            <w:tcW w:w="1080" w:type="dxa"/>
            <w:vAlign w:val="bottom"/>
            <w:shd w:val="clear" w:color="auto" w:fill="53C072"/>
          </w:tcPr>
          <w:p>
            <w:pPr>
              <w:jc w:val="right"/>
              <w:ind w:right="15"/>
              <w:spacing w:after="0" w:line="146" w:lineRule="exact"/>
              <w:rPr>
                <w:sz w:val="20"/>
                <w:szCs w:val="20"/>
                <w:color w:val="auto"/>
              </w:rPr>
            </w:pPr>
            <w:r>
              <w:rPr>
                <w:rFonts w:ascii="Arial" w:cs="Arial" w:eastAsia="Arial" w:hAnsi="Arial"/>
                <w:sz w:val="13"/>
                <w:szCs w:val="13"/>
                <w:b w:val="1"/>
                <w:bCs w:val="1"/>
                <w:color w:val="FFFFFE"/>
              </w:rPr>
              <w:t>Pension</w:t>
            </w:r>
          </w:p>
        </w:tc>
        <w:tc>
          <w:tcPr>
            <w:tcW w:w="1080" w:type="dxa"/>
            <w:vAlign w:val="bottom"/>
            <w:shd w:val="clear" w:color="auto" w:fill="53C072"/>
          </w:tcPr>
          <w:p>
            <w:pPr>
              <w:spacing w:after="0"/>
              <w:rPr>
                <w:sz w:val="12"/>
                <w:szCs w:val="12"/>
                <w:color w:val="auto"/>
              </w:rPr>
            </w:pPr>
          </w:p>
        </w:tc>
        <w:tc>
          <w:tcPr>
            <w:tcW w:w="660" w:type="dxa"/>
            <w:vAlign w:val="bottom"/>
            <w:shd w:val="clear" w:color="auto" w:fill="53C072"/>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80" w:type="dxa"/>
            <w:vAlign w:val="bottom"/>
            <w:shd w:val="clear" w:color="auto" w:fill="53C072"/>
          </w:tcPr>
          <w:p>
            <w:pPr>
              <w:spacing w:after="0"/>
              <w:rPr>
                <w:sz w:val="12"/>
                <w:szCs w:val="12"/>
                <w:color w:val="auto"/>
              </w:rPr>
            </w:pPr>
          </w:p>
        </w:tc>
        <w:tc>
          <w:tcPr>
            <w:tcW w:w="100" w:type="dxa"/>
            <w:vAlign w:val="bottom"/>
            <w:shd w:val="clear" w:color="auto" w:fill="53C072"/>
          </w:tcPr>
          <w:p>
            <w:pPr>
              <w:spacing w:after="0"/>
              <w:rPr>
                <w:sz w:val="12"/>
                <w:szCs w:val="12"/>
                <w:color w:val="auto"/>
              </w:rPr>
            </w:pPr>
          </w:p>
        </w:tc>
        <w:tc>
          <w:tcPr>
            <w:tcW w:w="420" w:type="dxa"/>
            <w:vAlign w:val="bottom"/>
            <w:shd w:val="clear" w:color="auto" w:fill="53C072"/>
          </w:tcPr>
          <w:p>
            <w:pPr>
              <w:spacing w:after="0"/>
              <w:rPr>
                <w:sz w:val="12"/>
                <w:szCs w:val="12"/>
                <w:color w:val="auto"/>
              </w:rPr>
            </w:pPr>
          </w:p>
        </w:tc>
        <w:tc>
          <w:tcPr>
            <w:tcW w:w="740" w:type="dxa"/>
            <w:vAlign w:val="bottom"/>
            <w:shd w:val="clear" w:color="auto" w:fill="53C072"/>
          </w:tcPr>
          <w:p>
            <w:pPr>
              <w:spacing w:after="0"/>
              <w:rPr>
                <w:sz w:val="12"/>
                <w:szCs w:val="12"/>
                <w:color w:val="auto"/>
              </w:rPr>
            </w:pPr>
          </w:p>
        </w:tc>
        <w:tc>
          <w:tcPr>
            <w:tcW w:w="800" w:type="dxa"/>
            <w:vAlign w:val="bottom"/>
            <w:shd w:val="clear" w:color="auto" w:fill="53C072"/>
          </w:tcPr>
          <w:p>
            <w:pPr>
              <w:spacing w:after="0"/>
              <w:rPr>
                <w:sz w:val="12"/>
                <w:szCs w:val="12"/>
                <w:color w:val="auto"/>
              </w:rPr>
            </w:pPr>
          </w:p>
        </w:tc>
        <w:tc>
          <w:tcPr>
            <w:tcW w:w="740" w:type="dxa"/>
            <w:vAlign w:val="bottom"/>
            <w:shd w:val="clear" w:color="auto" w:fill="53C072"/>
          </w:tcPr>
          <w:p>
            <w:pPr>
              <w:spacing w:after="0"/>
              <w:rPr>
                <w:sz w:val="12"/>
                <w:szCs w:val="12"/>
                <w:color w:val="auto"/>
              </w:rPr>
            </w:pPr>
          </w:p>
        </w:tc>
        <w:tc>
          <w:tcPr>
            <w:tcW w:w="740" w:type="dxa"/>
            <w:vAlign w:val="bottom"/>
            <w:shd w:val="clear" w:color="auto" w:fill="53C072"/>
          </w:tcPr>
          <w:p>
            <w:pPr>
              <w:spacing w:after="0"/>
              <w:rPr>
                <w:sz w:val="12"/>
                <w:szCs w:val="12"/>
                <w:color w:val="auto"/>
              </w:rPr>
            </w:pPr>
          </w:p>
        </w:tc>
        <w:tc>
          <w:tcPr>
            <w:tcW w:w="1080" w:type="dxa"/>
            <w:vAlign w:val="bottom"/>
            <w:shd w:val="clear" w:color="auto" w:fill="53C072"/>
          </w:tcPr>
          <w:p>
            <w:pPr>
              <w:spacing w:after="0"/>
              <w:rPr>
                <w:sz w:val="12"/>
                <w:szCs w:val="12"/>
                <w:color w:val="auto"/>
              </w:rPr>
            </w:pPr>
          </w:p>
        </w:tc>
        <w:tc>
          <w:tcPr>
            <w:tcW w:w="1080" w:type="dxa"/>
            <w:vAlign w:val="bottom"/>
            <w:shd w:val="clear" w:color="auto" w:fill="53C072"/>
          </w:tcPr>
          <w:p>
            <w:pPr>
              <w:jc w:val="right"/>
              <w:ind w:right="15"/>
              <w:spacing w:after="0" w:line="146" w:lineRule="exact"/>
              <w:rPr>
                <w:sz w:val="20"/>
                <w:szCs w:val="20"/>
                <w:color w:val="auto"/>
              </w:rPr>
            </w:pPr>
            <w:r>
              <w:rPr>
                <w:rFonts w:ascii="Arial" w:cs="Arial" w:eastAsia="Arial" w:hAnsi="Arial"/>
                <w:sz w:val="13"/>
                <w:szCs w:val="13"/>
                <w:b w:val="1"/>
                <w:bCs w:val="1"/>
                <w:color w:val="FFFFFE"/>
              </w:rPr>
              <w:t>Value and</w:t>
            </w:r>
          </w:p>
        </w:tc>
        <w:tc>
          <w:tcPr>
            <w:tcW w:w="1080" w:type="dxa"/>
            <w:vAlign w:val="bottom"/>
            <w:shd w:val="clear" w:color="auto" w:fill="53C072"/>
          </w:tcPr>
          <w:p>
            <w:pPr>
              <w:spacing w:after="0"/>
              <w:rPr>
                <w:sz w:val="12"/>
                <w:szCs w:val="12"/>
                <w:color w:val="auto"/>
              </w:rPr>
            </w:pPr>
          </w:p>
        </w:tc>
        <w:tc>
          <w:tcPr>
            <w:tcW w:w="660" w:type="dxa"/>
            <w:vAlign w:val="bottom"/>
            <w:shd w:val="clear" w:color="auto" w:fill="53C072"/>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80" w:type="dxa"/>
            <w:vAlign w:val="bottom"/>
            <w:shd w:val="clear" w:color="auto" w:fill="53C072"/>
          </w:tcPr>
          <w:p>
            <w:pPr>
              <w:spacing w:after="0"/>
              <w:rPr>
                <w:sz w:val="12"/>
                <w:szCs w:val="12"/>
                <w:color w:val="auto"/>
              </w:rPr>
            </w:pPr>
          </w:p>
        </w:tc>
        <w:tc>
          <w:tcPr>
            <w:tcW w:w="100" w:type="dxa"/>
            <w:vAlign w:val="bottom"/>
            <w:shd w:val="clear" w:color="auto" w:fill="53C072"/>
          </w:tcPr>
          <w:p>
            <w:pPr>
              <w:spacing w:after="0"/>
              <w:rPr>
                <w:sz w:val="12"/>
                <w:szCs w:val="12"/>
                <w:color w:val="auto"/>
              </w:rPr>
            </w:pPr>
          </w:p>
        </w:tc>
        <w:tc>
          <w:tcPr>
            <w:tcW w:w="420" w:type="dxa"/>
            <w:vAlign w:val="bottom"/>
            <w:shd w:val="clear" w:color="auto" w:fill="53C072"/>
          </w:tcPr>
          <w:p>
            <w:pPr>
              <w:spacing w:after="0"/>
              <w:rPr>
                <w:sz w:val="12"/>
                <w:szCs w:val="12"/>
                <w:color w:val="auto"/>
              </w:rPr>
            </w:pPr>
          </w:p>
        </w:tc>
        <w:tc>
          <w:tcPr>
            <w:tcW w:w="740" w:type="dxa"/>
            <w:vAlign w:val="bottom"/>
            <w:shd w:val="clear" w:color="auto" w:fill="53C072"/>
          </w:tcPr>
          <w:p>
            <w:pPr>
              <w:spacing w:after="0"/>
              <w:rPr>
                <w:sz w:val="12"/>
                <w:szCs w:val="12"/>
                <w:color w:val="auto"/>
              </w:rPr>
            </w:pPr>
          </w:p>
        </w:tc>
        <w:tc>
          <w:tcPr>
            <w:tcW w:w="800" w:type="dxa"/>
            <w:vAlign w:val="bottom"/>
            <w:shd w:val="clear" w:color="auto" w:fill="53C072"/>
          </w:tcPr>
          <w:p>
            <w:pPr>
              <w:spacing w:after="0"/>
              <w:rPr>
                <w:sz w:val="12"/>
                <w:szCs w:val="12"/>
                <w:color w:val="auto"/>
              </w:rPr>
            </w:pPr>
          </w:p>
        </w:tc>
        <w:tc>
          <w:tcPr>
            <w:tcW w:w="740" w:type="dxa"/>
            <w:vAlign w:val="bottom"/>
            <w:shd w:val="clear" w:color="auto" w:fill="53C072"/>
          </w:tcPr>
          <w:p>
            <w:pPr>
              <w:spacing w:after="0"/>
              <w:rPr>
                <w:sz w:val="12"/>
                <w:szCs w:val="12"/>
                <w:color w:val="auto"/>
              </w:rPr>
            </w:pPr>
          </w:p>
        </w:tc>
        <w:tc>
          <w:tcPr>
            <w:tcW w:w="740" w:type="dxa"/>
            <w:vAlign w:val="bottom"/>
            <w:shd w:val="clear" w:color="auto" w:fill="53C072"/>
          </w:tcPr>
          <w:p>
            <w:pPr>
              <w:spacing w:after="0"/>
              <w:rPr>
                <w:sz w:val="12"/>
                <w:szCs w:val="12"/>
                <w:color w:val="auto"/>
              </w:rPr>
            </w:pPr>
          </w:p>
        </w:tc>
        <w:tc>
          <w:tcPr>
            <w:tcW w:w="1080" w:type="dxa"/>
            <w:vAlign w:val="bottom"/>
            <w:vMerge w:val="restart"/>
            <w:shd w:val="clear" w:color="auto" w:fill="53C072"/>
          </w:tcPr>
          <w:p>
            <w:pPr>
              <w:jc w:val="right"/>
              <w:ind w:right="15"/>
              <w:spacing w:after="0"/>
              <w:rPr>
                <w:sz w:val="20"/>
                <w:szCs w:val="20"/>
                <w:color w:val="auto"/>
              </w:rPr>
            </w:pPr>
            <w:r>
              <w:rPr>
                <w:rFonts w:ascii="Arial" w:cs="Arial" w:eastAsia="Arial" w:hAnsi="Arial"/>
                <w:sz w:val="13"/>
                <w:szCs w:val="13"/>
                <w:b w:val="1"/>
                <w:bCs w:val="1"/>
                <w:color w:val="FFFFFE"/>
              </w:rPr>
              <w:t>Non-Equity</w:t>
            </w:r>
          </w:p>
        </w:tc>
        <w:tc>
          <w:tcPr>
            <w:tcW w:w="1080" w:type="dxa"/>
            <w:vAlign w:val="bottom"/>
            <w:shd w:val="clear" w:color="auto" w:fill="53C072"/>
          </w:tcPr>
          <w:p>
            <w:pPr>
              <w:jc w:val="right"/>
              <w:ind w:right="15"/>
              <w:spacing w:after="0" w:line="146" w:lineRule="exact"/>
              <w:rPr>
                <w:sz w:val="20"/>
                <w:szCs w:val="20"/>
                <w:color w:val="auto"/>
              </w:rPr>
            </w:pPr>
            <w:r>
              <w:rPr>
                <w:rFonts w:ascii="Arial" w:cs="Arial" w:eastAsia="Arial" w:hAnsi="Arial"/>
                <w:sz w:val="13"/>
                <w:szCs w:val="13"/>
                <w:b w:val="1"/>
                <w:bCs w:val="1"/>
                <w:color w:val="FFFFFE"/>
              </w:rPr>
              <w:t>Nonqualified</w:t>
            </w:r>
          </w:p>
        </w:tc>
        <w:tc>
          <w:tcPr>
            <w:tcW w:w="1080" w:type="dxa"/>
            <w:vAlign w:val="bottom"/>
            <w:shd w:val="clear" w:color="auto" w:fill="53C072"/>
          </w:tcPr>
          <w:p>
            <w:pPr>
              <w:spacing w:after="0"/>
              <w:rPr>
                <w:sz w:val="12"/>
                <w:szCs w:val="12"/>
                <w:color w:val="auto"/>
              </w:rPr>
            </w:pPr>
          </w:p>
        </w:tc>
        <w:tc>
          <w:tcPr>
            <w:tcW w:w="660" w:type="dxa"/>
            <w:vAlign w:val="bottom"/>
            <w:shd w:val="clear" w:color="auto" w:fill="53C072"/>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80" w:type="dxa"/>
            <w:vAlign w:val="bottom"/>
            <w:vMerge w:val="restart"/>
            <w:shd w:val="clear" w:color="auto" w:fill="53C072"/>
          </w:tcPr>
          <w:p>
            <w:pPr>
              <w:spacing w:after="0"/>
              <w:rPr>
                <w:sz w:val="20"/>
                <w:szCs w:val="20"/>
                <w:color w:val="auto"/>
              </w:rPr>
            </w:pPr>
            <w:r>
              <w:rPr>
                <w:rFonts w:ascii="Arial" w:cs="Arial" w:eastAsia="Arial" w:hAnsi="Arial"/>
                <w:sz w:val="13"/>
                <w:szCs w:val="13"/>
                <w:b w:val="1"/>
                <w:bCs w:val="1"/>
                <w:color w:val="FFFFFE"/>
              </w:rPr>
              <w:t>Name and</w:t>
            </w:r>
          </w:p>
        </w:tc>
        <w:tc>
          <w:tcPr>
            <w:tcW w:w="100" w:type="dxa"/>
            <w:vAlign w:val="bottom"/>
            <w:shd w:val="clear" w:color="auto" w:fill="53C072"/>
          </w:tcPr>
          <w:p>
            <w:pPr>
              <w:spacing w:after="0"/>
              <w:rPr>
                <w:sz w:val="12"/>
                <w:szCs w:val="12"/>
                <w:color w:val="auto"/>
              </w:rPr>
            </w:pPr>
          </w:p>
        </w:tc>
        <w:tc>
          <w:tcPr>
            <w:tcW w:w="420" w:type="dxa"/>
            <w:vAlign w:val="bottom"/>
            <w:shd w:val="clear" w:color="auto" w:fill="53C072"/>
          </w:tcPr>
          <w:p>
            <w:pPr>
              <w:spacing w:after="0"/>
              <w:rPr>
                <w:sz w:val="12"/>
                <w:szCs w:val="12"/>
                <w:color w:val="auto"/>
              </w:rPr>
            </w:pPr>
          </w:p>
        </w:tc>
        <w:tc>
          <w:tcPr>
            <w:tcW w:w="740" w:type="dxa"/>
            <w:vAlign w:val="bottom"/>
            <w:shd w:val="clear" w:color="auto" w:fill="53C072"/>
          </w:tcPr>
          <w:p>
            <w:pPr>
              <w:spacing w:after="0"/>
              <w:rPr>
                <w:sz w:val="12"/>
                <w:szCs w:val="12"/>
                <w:color w:val="auto"/>
              </w:rPr>
            </w:pPr>
          </w:p>
        </w:tc>
        <w:tc>
          <w:tcPr>
            <w:tcW w:w="800" w:type="dxa"/>
            <w:vAlign w:val="bottom"/>
            <w:shd w:val="clear" w:color="auto" w:fill="53C072"/>
          </w:tcPr>
          <w:p>
            <w:pPr>
              <w:spacing w:after="0"/>
              <w:rPr>
                <w:sz w:val="12"/>
                <w:szCs w:val="12"/>
                <w:color w:val="auto"/>
              </w:rPr>
            </w:pPr>
          </w:p>
        </w:tc>
        <w:tc>
          <w:tcPr>
            <w:tcW w:w="740" w:type="dxa"/>
            <w:vAlign w:val="bottom"/>
            <w:vMerge w:val="restart"/>
            <w:shd w:val="clear" w:color="auto" w:fill="53C072"/>
          </w:tcPr>
          <w:p>
            <w:pPr>
              <w:jc w:val="right"/>
              <w:ind w:right="15"/>
              <w:spacing w:after="0"/>
              <w:rPr>
                <w:sz w:val="20"/>
                <w:szCs w:val="20"/>
                <w:color w:val="auto"/>
              </w:rPr>
            </w:pPr>
            <w:r>
              <w:rPr>
                <w:rFonts w:ascii="Arial" w:cs="Arial" w:eastAsia="Arial" w:hAnsi="Arial"/>
                <w:sz w:val="13"/>
                <w:szCs w:val="13"/>
                <w:b w:val="1"/>
                <w:bCs w:val="1"/>
                <w:color w:val="FFFFFE"/>
              </w:rPr>
              <w:t>Stock</w:t>
            </w:r>
          </w:p>
        </w:tc>
        <w:tc>
          <w:tcPr>
            <w:tcW w:w="740" w:type="dxa"/>
            <w:vAlign w:val="bottom"/>
            <w:vMerge w:val="restart"/>
            <w:shd w:val="clear" w:color="auto" w:fill="53C072"/>
          </w:tcPr>
          <w:p>
            <w:pPr>
              <w:jc w:val="right"/>
              <w:ind w:right="15"/>
              <w:spacing w:after="0"/>
              <w:rPr>
                <w:sz w:val="20"/>
                <w:szCs w:val="20"/>
                <w:color w:val="auto"/>
              </w:rPr>
            </w:pPr>
            <w:r>
              <w:rPr>
                <w:rFonts w:ascii="Arial" w:cs="Arial" w:eastAsia="Arial" w:hAnsi="Arial"/>
                <w:sz w:val="13"/>
                <w:szCs w:val="13"/>
                <w:b w:val="1"/>
                <w:bCs w:val="1"/>
                <w:color w:val="FFFFFE"/>
              </w:rPr>
              <w:t>Option</w:t>
            </w:r>
          </w:p>
        </w:tc>
        <w:tc>
          <w:tcPr>
            <w:tcW w:w="1080" w:type="dxa"/>
            <w:vAlign w:val="bottom"/>
            <w:vMerge w:val="continue"/>
            <w:shd w:val="clear" w:color="auto" w:fill="53C072"/>
          </w:tcPr>
          <w:p>
            <w:pPr>
              <w:spacing w:after="0"/>
              <w:rPr>
                <w:sz w:val="12"/>
                <w:szCs w:val="12"/>
                <w:color w:val="auto"/>
              </w:rPr>
            </w:pPr>
          </w:p>
        </w:tc>
        <w:tc>
          <w:tcPr>
            <w:tcW w:w="1080" w:type="dxa"/>
            <w:vAlign w:val="bottom"/>
            <w:shd w:val="clear" w:color="auto" w:fill="53C072"/>
          </w:tcPr>
          <w:p>
            <w:pPr>
              <w:jc w:val="right"/>
              <w:ind w:right="15"/>
              <w:spacing w:after="0" w:line="146" w:lineRule="exact"/>
              <w:rPr>
                <w:sz w:val="20"/>
                <w:szCs w:val="20"/>
                <w:color w:val="auto"/>
              </w:rPr>
            </w:pPr>
            <w:r>
              <w:rPr>
                <w:rFonts w:ascii="Arial" w:cs="Arial" w:eastAsia="Arial" w:hAnsi="Arial"/>
                <w:sz w:val="13"/>
                <w:szCs w:val="13"/>
                <w:b w:val="1"/>
                <w:bCs w:val="1"/>
                <w:color w:val="FFFFFE"/>
              </w:rPr>
              <w:t>Deferred</w:t>
            </w:r>
          </w:p>
        </w:tc>
        <w:tc>
          <w:tcPr>
            <w:tcW w:w="1080" w:type="dxa"/>
            <w:vAlign w:val="bottom"/>
            <w:vMerge w:val="restart"/>
            <w:shd w:val="clear" w:color="auto" w:fill="53C072"/>
          </w:tcPr>
          <w:p>
            <w:pPr>
              <w:jc w:val="right"/>
              <w:ind w:right="15"/>
              <w:spacing w:after="0"/>
              <w:rPr>
                <w:sz w:val="20"/>
                <w:szCs w:val="20"/>
                <w:color w:val="auto"/>
              </w:rPr>
            </w:pPr>
            <w:r>
              <w:rPr>
                <w:rFonts w:ascii="Arial" w:cs="Arial" w:eastAsia="Arial" w:hAnsi="Arial"/>
                <w:sz w:val="13"/>
                <w:szCs w:val="13"/>
                <w:b w:val="1"/>
                <w:bCs w:val="1"/>
                <w:color w:val="FFFFFE"/>
              </w:rPr>
              <w:t>All Other</w:t>
            </w:r>
          </w:p>
        </w:tc>
        <w:tc>
          <w:tcPr>
            <w:tcW w:w="660" w:type="dxa"/>
            <w:vAlign w:val="bottom"/>
            <w:shd w:val="clear" w:color="auto" w:fill="53C072"/>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80" w:type="dxa"/>
            <w:vAlign w:val="bottom"/>
            <w:vMerge w:val="continue"/>
            <w:shd w:val="clear" w:color="auto" w:fill="53C072"/>
          </w:tcPr>
          <w:p>
            <w:pPr>
              <w:spacing w:after="0"/>
              <w:rPr>
                <w:sz w:val="12"/>
                <w:szCs w:val="12"/>
                <w:color w:val="auto"/>
              </w:rPr>
            </w:pPr>
          </w:p>
        </w:tc>
        <w:tc>
          <w:tcPr>
            <w:tcW w:w="100" w:type="dxa"/>
            <w:vAlign w:val="bottom"/>
            <w:shd w:val="clear" w:color="auto" w:fill="53C072"/>
          </w:tcPr>
          <w:p>
            <w:pPr>
              <w:spacing w:after="0"/>
              <w:rPr>
                <w:sz w:val="12"/>
                <w:szCs w:val="12"/>
                <w:color w:val="auto"/>
              </w:rPr>
            </w:pPr>
          </w:p>
        </w:tc>
        <w:tc>
          <w:tcPr>
            <w:tcW w:w="420" w:type="dxa"/>
            <w:vAlign w:val="bottom"/>
            <w:shd w:val="clear" w:color="auto" w:fill="53C072"/>
          </w:tcPr>
          <w:p>
            <w:pPr>
              <w:spacing w:after="0"/>
              <w:rPr>
                <w:sz w:val="12"/>
                <w:szCs w:val="12"/>
                <w:color w:val="auto"/>
              </w:rPr>
            </w:pPr>
          </w:p>
        </w:tc>
        <w:tc>
          <w:tcPr>
            <w:tcW w:w="740" w:type="dxa"/>
            <w:vAlign w:val="bottom"/>
            <w:vMerge w:val="restart"/>
            <w:shd w:val="clear" w:color="auto" w:fill="53C072"/>
          </w:tcPr>
          <w:p>
            <w:pPr>
              <w:jc w:val="right"/>
              <w:ind w:right="15"/>
              <w:spacing w:after="0"/>
              <w:rPr>
                <w:sz w:val="20"/>
                <w:szCs w:val="20"/>
                <w:color w:val="auto"/>
              </w:rPr>
            </w:pPr>
            <w:r>
              <w:rPr>
                <w:rFonts w:ascii="Arial" w:cs="Arial" w:eastAsia="Arial" w:hAnsi="Arial"/>
                <w:sz w:val="13"/>
                <w:szCs w:val="13"/>
                <w:b w:val="1"/>
                <w:bCs w:val="1"/>
                <w:color w:val="FFFFFE"/>
              </w:rPr>
              <w:t>Salary</w:t>
            </w:r>
          </w:p>
        </w:tc>
        <w:tc>
          <w:tcPr>
            <w:tcW w:w="800" w:type="dxa"/>
            <w:vAlign w:val="bottom"/>
            <w:vMerge w:val="restart"/>
            <w:shd w:val="clear" w:color="auto" w:fill="53C072"/>
          </w:tcPr>
          <w:p>
            <w:pPr>
              <w:jc w:val="right"/>
              <w:ind w:right="35"/>
              <w:spacing w:after="0"/>
              <w:rPr>
                <w:sz w:val="20"/>
                <w:szCs w:val="20"/>
                <w:color w:val="auto"/>
              </w:rPr>
            </w:pPr>
            <w:r>
              <w:rPr>
                <w:rFonts w:ascii="Arial" w:cs="Arial" w:eastAsia="Arial" w:hAnsi="Arial"/>
                <w:sz w:val="13"/>
                <w:szCs w:val="13"/>
                <w:b w:val="1"/>
                <w:bCs w:val="1"/>
                <w:color w:val="FFFFFE"/>
              </w:rPr>
              <w:t>Bonus</w:t>
            </w:r>
          </w:p>
        </w:tc>
        <w:tc>
          <w:tcPr>
            <w:tcW w:w="740" w:type="dxa"/>
            <w:vAlign w:val="bottom"/>
            <w:vMerge w:val="continue"/>
            <w:shd w:val="clear" w:color="auto" w:fill="53C072"/>
          </w:tcPr>
          <w:p>
            <w:pPr>
              <w:spacing w:after="0"/>
              <w:rPr>
                <w:sz w:val="12"/>
                <w:szCs w:val="12"/>
                <w:color w:val="auto"/>
              </w:rPr>
            </w:pPr>
          </w:p>
        </w:tc>
        <w:tc>
          <w:tcPr>
            <w:tcW w:w="740" w:type="dxa"/>
            <w:vAlign w:val="bottom"/>
            <w:vMerge w:val="continue"/>
            <w:shd w:val="clear" w:color="auto" w:fill="53C072"/>
          </w:tcPr>
          <w:p>
            <w:pPr>
              <w:spacing w:after="0"/>
              <w:rPr>
                <w:sz w:val="12"/>
                <w:szCs w:val="12"/>
                <w:color w:val="auto"/>
              </w:rPr>
            </w:pPr>
          </w:p>
        </w:tc>
        <w:tc>
          <w:tcPr>
            <w:tcW w:w="1080" w:type="dxa"/>
            <w:vAlign w:val="bottom"/>
            <w:shd w:val="clear" w:color="auto" w:fill="53C072"/>
          </w:tcPr>
          <w:p>
            <w:pPr>
              <w:jc w:val="right"/>
              <w:ind w:right="15"/>
              <w:spacing w:after="0" w:line="146" w:lineRule="exact"/>
              <w:rPr>
                <w:sz w:val="20"/>
                <w:szCs w:val="20"/>
                <w:color w:val="auto"/>
              </w:rPr>
            </w:pPr>
            <w:r>
              <w:rPr>
                <w:rFonts w:ascii="Arial" w:cs="Arial" w:eastAsia="Arial" w:hAnsi="Arial"/>
                <w:sz w:val="13"/>
                <w:szCs w:val="13"/>
                <w:b w:val="1"/>
                <w:bCs w:val="1"/>
                <w:color w:val="FFFFFE"/>
              </w:rPr>
              <w:t>Incentive Plan</w:t>
            </w:r>
          </w:p>
        </w:tc>
        <w:tc>
          <w:tcPr>
            <w:tcW w:w="1080" w:type="dxa"/>
            <w:vAlign w:val="bottom"/>
            <w:shd w:val="clear" w:color="auto" w:fill="53C072"/>
          </w:tcPr>
          <w:p>
            <w:pPr>
              <w:jc w:val="right"/>
              <w:ind w:right="15"/>
              <w:spacing w:after="0" w:line="146" w:lineRule="exact"/>
              <w:rPr>
                <w:sz w:val="20"/>
                <w:szCs w:val="20"/>
                <w:color w:val="auto"/>
              </w:rPr>
            </w:pPr>
            <w:r>
              <w:rPr>
                <w:rFonts w:ascii="Arial" w:cs="Arial" w:eastAsia="Arial" w:hAnsi="Arial"/>
                <w:sz w:val="13"/>
                <w:szCs w:val="13"/>
                <w:b w:val="1"/>
                <w:bCs w:val="1"/>
                <w:color w:val="FFFFFE"/>
              </w:rPr>
              <w:t>Compensation</w:t>
            </w:r>
          </w:p>
        </w:tc>
        <w:tc>
          <w:tcPr>
            <w:tcW w:w="1080" w:type="dxa"/>
            <w:vAlign w:val="bottom"/>
            <w:vMerge w:val="continue"/>
            <w:shd w:val="clear" w:color="auto" w:fill="53C072"/>
          </w:tcPr>
          <w:p>
            <w:pPr>
              <w:spacing w:after="0"/>
              <w:rPr>
                <w:sz w:val="12"/>
                <w:szCs w:val="12"/>
                <w:color w:val="auto"/>
              </w:rPr>
            </w:pPr>
          </w:p>
        </w:tc>
        <w:tc>
          <w:tcPr>
            <w:tcW w:w="660" w:type="dxa"/>
            <w:vAlign w:val="bottom"/>
            <w:vMerge w:val="restart"/>
            <w:shd w:val="clear" w:color="auto" w:fill="53C072"/>
          </w:tcPr>
          <w:p>
            <w:pPr>
              <w:jc w:val="right"/>
              <w:spacing w:after="0"/>
              <w:rPr>
                <w:sz w:val="20"/>
                <w:szCs w:val="20"/>
                <w:color w:val="auto"/>
              </w:rPr>
            </w:pPr>
            <w:r>
              <w:rPr>
                <w:rFonts w:ascii="Arial" w:cs="Arial" w:eastAsia="Arial" w:hAnsi="Arial"/>
                <w:sz w:val="13"/>
                <w:szCs w:val="13"/>
                <w:b w:val="1"/>
                <w:bCs w:val="1"/>
                <w:color w:val="FFFFFE"/>
              </w:rPr>
              <w:t>Total</w:t>
            </w:r>
          </w:p>
        </w:tc>
        <w:tc>
          <w:tcPr>
            <w:tcW w:w="0" w:type="dxa"/>
            <w:vAlign w:val="bottom"/>
          </w:tcPr>
          <w:p>
            <w:pPr>
              <w:spacing w:after="0"/>
              <w:rPr>
                <w:sz w:val="1"/>
                <w:szCs w:val="1"/>
                <w:color w:val="auto"/>
              </w:rPr>
            </w:pPr>
          </w:p>
        </w:tc>
      </w:tr>
      <w:tr>
        <w:trPr>
          <w:trHeight w:val="146"/>
        </w:trPr>
        <w:tc>
          <w:tcPr>
            <w:tcW w:w="880" w:type="dxa"/>
            <w:vAlign w:val="bottom"/>
            <w:shd w:val="clear" w:color="auto" w:fill="53C072"/>
          </w:tcPr>
          <w:p>
            <w:pPr>
              <w:spacing w:after="0" w:line="146" w:lineRule="exact"/>
              <w:rPr>
                <w:sz w:val="20"/>
                <w:szCs w:val="20"/>
                <w:color w:val="auto"/>
              </w:rPr>
            </w:pPr>
            <w:r>
              <w:rPr>
                <w:rFonts w:ascii="Arial" w:cs="Arial" w:eastAsia="Arial" w:hAnsi="Arial"/>
                <w:sz w:val="13"/>
                <w:szCs w:val="13"/>
                <w:b w:val="1"/>
                <w:bCs w:val="1"/>
                <w:color w:val="FFFFFE"/>
              </w:rPr>
              <w:t>Principal</w:t>
            </w:r>
          </w:p>
        </w:tc>
        <w:tc>
          <w:tcPr>
            <w:tcW w:w="100" w:type="dxa"/>
            <w:vAlign w:val="bottom"/>
            <w:shd w:val="clear" w:color="auto" w:fill="53C072"/>
          </w:tcPr>
          <w:p>
            <w:pPr>
              <w:spacing w:after="0"/>
              <w:rPr>
                <w:sz w:val="12"/>
                <w:szCs w:val="12"/>
                <w:color w:val="auto"/>
              </w:rPr>
            </w:pPr>
          </w:p>
        </w:tc>
        <w:tc>
          <w:tcPr>
            <w:tcW w:w="420" w:type="dxa"/>
            <w:vAlign w:val="bottom"/>
            <w:vMerge w:val="restart"/>
            <w:shd w:val="clear" w:color="auto" w:fill="53C072"/>
          </w:tcPr>
          <w:p>
            <w:pPr>
              <w:jc w:val="right"/>
              <w:ind w:right="15"/>
              <w:spacing w:after="0"/>
              <w:rPr>
                <w:sz w:val="20"/>
                <w:szCs w:val="20"/>
                <w:color w:val="auto"/>
              </w:rPr>
            </w:pPr>
            <w:r>
              <w:rPr>
                <w:rFonts w:ascii="Arial" w:cs="Arial" w:eastAsia="Arial" w:hAnsi="Arial"/>
                <w:sz w:val="13"/>
                <w:szCs w:val="13"/>
                <w:b w:val="1"/>
                <w:bCs w:val="1"/>
                <w:color w:val="FFFFFE"/>
              </w:rPr>
              <w:t>Year</w:t>
            </w:r>
          </w:p>
        </w:tc>
        <w:tc>
          <w:tcPr>
            <w:tcW w:w="740" w:type="dxa"/>
            <w:vAlign w:val="bottom"/>
            <w:vMerge w:val="continue"/>
            <w:shd w:val="clear" w:color="auto" w:fill="53C072"/>
          </w:tcPr>
          <w:p>
            <w:pPr>
              <w:spacing w:after="0"/>
              <w:rPr>
                <w:sz w:val="12"/>
                <w:szCs w:val="12"/>
                <w:color w:val="auto"/>
              </w:rPr>
            </w:pPr>
          </w:p>
        </w:tc>
        <w:tc>
          <w:tcPr>
            <w:tcW w:w="800" w:type="dxa"/>
            <w:vAlign w:val="bottom"/>
            <w:vMerge w:val="continue"/>
            <w:shd w:val="clear" w:color="auto" w:fill="53C072"/>
          </w:tcPr>
          <w:p>
            <w:pPr>
              <w:spacing w:after="0"/>
              <w:rPr>
                <w:sz w:val="12"/>
                <w:szCs w:val="12"/>
                <w:color w:val="auto"/>
              </w:rPr>
            </w:pPr>
          </w:p>
        </w:tc>
        <w:tc>
          <w:tcPr>
            <w:tcW w:w="740" w:type="dxa"/>
            <w:vAlign w:val="bottom"/>
            <w:shd w:val="clear" w:color="auto" w:fill="53C072"/>
          </w:tcPr>
          <w:p>
            <w:pPr>
              <w:jc w:val="right"/>
              <w:ind w:right="15"/>
              <w:spacing w:after="0" w:line="146" w:lineRule="exact"/>
              <w:rPr>
                <w:sz w:val="20"/>
                <w:szCs w:val="20"/>
                <w:color w:val="auto"/>
              </w:rPr>
            </w:pPr>
            <w:r>
              <w:rPr>
                <w:rFonts w:ascii="Arial" w:cs="Arial" w:eastAsia="Arial" w:hAnsi="Arial"/>
                <w:sz w:val="13"/>
                <w:szCs w:val="13"/>
                <w:b w:val="1"/>
                <w:bCs w:val="1"/>
                <w:color w:val="FFFFFE"/>
              </w:rPr>
              <w:t>Awards</w:t>
            </w:r>
          </w:p>
        </w:tc>
        <w:tc>
          <w:tcPr>
            <w:tcW w:w="740" w:type="dxa"/>
            <w:vAlign w:val="bottom"/>
            <w:shd w:val="clear" w:color="auto" w:fill="53C072"/>
          </w:tcPr>
          <w:p>
            <w:pPr>
              <w:jc w:val="right"/>
              <w:ind w:right="15"/>
              <w:spacing w:after="0" w:line="146" w:lineRule="exact"/>
              <w:rPr>
                <w:sz w:val="20"/>
                <w:szCs w:val="20"/>
                <w:color w:val="auto"/>
              </w:rPr>
            </w:pPr>
            <w:r>
              <w:rPr>
                <w:rFonts w:ascii="Arial" w:cs="Arial" w:eastAsia="Arial" w:hAnsi="Arial"/>
                <w:sz w:val="13"/>
                <w:szCs w:val="13"/>
                <w:b w:val="1"/>
                <w:bCs w:val="1"/>
                <w:color w:val="FFFFFE"/>
              </w:rPr>
              <w:t>Awards</w:t>
            </w:r>
          </w:p>
        </w:tc>
        <w:tc>
          <w:tcPr>
            <w:tcW w:w="1080" w:type="dxa"/>
            <w:vAlign w:val="bottom"/>
            <w:shd w:val="clear" w:color="auto" w:fill="53C072"/>
          </w:tcPr>
          <w:p>
            <w:pPr>
              <w:jc w:val="right"/>
              <w:ind w:right="15"/>
              <w:spacing w:after="0" w:line="146" w:lineRule="exact"/>
              <w:rPr>
                <w:sz w:val="20"/>
                <w:szCs w:val="20"/>
                <w:color w:val="auto"/>
              </w:rPr>
            </w:pPr>
            <w:r>
              <w:rPr>
                <w:rFonts w:ascii="Arial" w:cs="Arial" w:eastAsia="Arial" w:hAnsi="Arial"/>
                <w:sz w:val="13"/>
                <w:szCs w:val="13"/>
                <w:b w:val="1"/>
                <w:bCs w:val="1"/>
                <w:color w:val="FFFFFE"/>
              </w:rPr>
              <w:t>Compensation</w:t>
            </w:r>
          </w:p>
        </w:tc>
        <w:tc>
          <w:tcPr>
            <w:tcW w:w="1080" w:type="dxa"/>
            <w:vAlign w:val="bottom"/>
            <w:shd w:val="clear" w:color="auto" w:fill="53C072"/>
          </w:tcPr>
          <w:p>
            <w:pPr>
              <w:jc w:val="right"/>
              <w:ind w:right="15"/>
              <w:spacing w:after="0" w:line="146" w:lineRule="exact"/>
              <w:rPr>
                <w:sz w:val="20"/>
                <w:szCs w:val="20"/>
                <w:color w:val="auto"/>
              </w:rPr>
            </w:pPr>
            <w:r>
              <w:rPr>
                <w:rFonts w:ascii="Arial" w:cs="Arial" w:eastAsia="Arial" w:hAnsi="Arial"/>
                <w:sz w:val="13"/>
                <w:szCs w:val="13"/>
                <w:b w:val="1"/>
                <w:bCs w:val="1"/>
                <w:color w:val="FFFFFE"/>
              </w:rPr>
              <w:t>Earnings</w:t>
            </w:r>
          </w:p>
        </w:tc>
        <w:tc>
          <w:tcPr>
            <w:tcW w:w="1080" w:type="dxa"/>
            <w:vAlign w:val="bottom"/>
            <w:shd w:val="clear" w:color="auto" w:fill="53C072"/>
          </w:tcPr>
          <w:p>
            <w:pPr>
              <w:jc w:val="right"/>
              <w:ind w:right="15"/>
              <w:spacing w:after="0" w:line="146" w:lineRule="exact"/>
              <w:rPr>
                <w:sz w:val="20"/>
                <w:szCs w:val="20"/>
                <w:color w:val="auto"/>
              </w:rPr>
            </w:pPr>
            <w:r>
              <w:rPr>
                <w:rFonts w:ascii="Arial" w:cs="Arial" w:eastAsia="Arial" w:hAnsi="Arial"/>
                <w:sz w:val="13"/>
                <w:szCs w:val="13"/>
                <w:b w:val="1"/>
                <w:bCs w:val="1"/>
                <w:color w:val="FFFFFE"/>
              </w:rPr>
              <w:t>Compensation</w:t>
            </w:r>
          </w:p>
        </w:tc>
        <w:tc>
          <w:tcPr>
            <w:tcW w:w="660" w:type="dxa"/>
            <w:vAlign w:val="bottom"/>
            <w:vMerge w:val="continue"/>
            <w:shd w:val="clear" w:color="auto" w:fill="53C072"/>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80" w:type="dxa"/>
            <w:vAlign w:val="bottom"/>
            <w:shd w:val="clear" w:color="auto" w:fill="53C072"/>
          </w:tcPr>
          <w:p>
            <w:pPr>
              <w:spacing w:after="0" w:line="146" w:lineRule="exact"/>
              <w:rPr>
                <w:sz w:val="20"/>
                <w:szCs w:val="20"/>
                <w:color w:val="auto"/>
              </w:rPr>
            </w:pPr>
            <w:r>
              <w:rPr>
                <w:rFonts w:ascii="Arial" w:cs="Arial" w:eastAsia="Arial" w:hAnsi="Arial"/>
                <w:sz w:val="13"/>
                <w:szCs w:val="13"/>
                <w:b w:val="1"/>
                <w:bCs w:val="1"/>
                <w:color w:val="FFFFFE"/>
              </w:rPr>
              <w:t>Position</w:t>
            </w:r>
          </w:p>
        </w:tc>
        <w:tc>
          <w:tcPr>
            <w:tcW w:w="100" w:type="dxa"/>
            <w:vAlign w:val="bottom"/>
            <w:shd w:val="clear" w:color="auto" w:fill="53C072"/>
          </w:tcPr>
          <w:p>
            <w:pPr>
              <w:spacing w:after="0"/>
              <w:rPr>
                <w:sz w:val="12"/>
                <w:szCs w:val="12"/>
                <w:color w:val="auto"/>
              </w:rPr>
            </w:pPr>
          </w:p>
        </w:tc>
        <w:tc>
          <w:tcPr>
            <w:tcW w:w="420" w:type="dxa"/>
            <w:vAlign w:val="bottom"/>
            <w:vMerge w:val="continue"/>
            <w:shd w:val="clear" w:color="auto" w:fill="53C072"/>
          </w:tcPr>
          <w:p>
            <w:pPr>
              <w:spacing w:after="0"/>
              <w:rPr>
                <w:sz w:val="12"/>
                <w:szCs w:val="12"/>
                <w:color w:val="auto"/>
              </w:rPr>
            </w:pPr>
          </w:p>
        </w:tc>
        <w:tc>
          <w:tcPr>
            <w:tcW w:w="740" w:type="dxa"/>
            <w:vAlign w:val="bottom"/>
            <w:shd w:val="clear" w:color="auto" w:fill="53C072"/>
          </w:tcPr>
          <w:p>
            <w:pPr>
              <w:jc w:val="right"/>
              <w:ind w:right="15"/>
              <w:spacing w:after="0" w:line="146" w:lineRule="exact"/>
              <w:rPr>
                <w:sz w:val="20"/>
                <w:szCs w:val="20"/>
                <w:color w:val="auto"/>
              </w:rPr>
            </w:pPr>
            <w:r>
              <w:rPr>
                <w:rFonts w:ascii="Arial" w:cs="Arial" w:eastAsia="Arial" w:hAnsi="Arial"/>
                <w:sz w:val="13"/>
                <w:szCs w:val="13"/>
                <w:b w:val="1"/>
                <w:bCs w:val="1"/>
                <w:color w:val="FFFFFE"/>
              </w:rPr>
              <w:t>($)</w:t>
            </w:r>
          </w:p>
        </w:tc>
        <w:tc>
          <w:tcPr>
            <w:tcW w:w="800" w:type="dxa"/>
            <w:vAlign w:val="bottom"/>
            <w:shd w:val="clear" w:color="auto" w:fill="53C072"/>
          </w:tcPr>
          <w:p>
            <w:pPr>
              <w:jc w:val="right"/>
              <w:ind w:right="35"/>
              <w:spacing w:after="0" w:line="146" w:lineRule="exact"/>
              <w:rPr>
                <w:sz w:val="20"/>
                <w:szCs w:val="20"/>
                <w:color w:val="auto"/>
              </w:rPr>
            </w:pPr>
            <w:r>
              <w:rPr>
                <w:rFonts w:ascii="Arial" w:cs="Arial" w:eastAsia="Arial" w:hAnsi="Arial"/>
                <w:sz w:val="13"/>
                <w:szCs w:val="13"/>
                <w:b w:val="1"/>
                <w:bCs w:val="1"/>
                <w:color w:val="FFFFFE"/>
              </w:rPr>
              <w:t>($)</w:t>
            </w:r>
          </w:p>
        </w:tc>
        <w:tc>
          <w:tcPr>
            <w:tcW w:w="740" w:type="dxa"/>
            <w:vAlign w:val="bottom"/>
            <w:shd w:val="clear" w:color="auto" w:fill="53C072"/>
          </w:tcPr>
          <w:p>
            <w:pPr>
              <w:jc w:val="right"/>
              <w:ind w:right="15"/>
              <w:spacing w:after="0" w:line="146" w:lineRule="exact"/>
              <w:rPr>
                <w:sz w:val="20"/>
                <w:szCs w:val="20"/>
                <w:color w:val="auto"/>
              </w:rPr>
            </w:pPr>
            <w:r>
              <w:rPr>
                <w:rFonts w:ascii="Arial" w:cs="Arial" w:eastAsia="Arial" w:hAnsi="Arial"/>
                <w:sz w:val="13"/>
                <w:szCs w:val="13"/>
                <w:b w:val="1"/>
                <w:bCs w:val="1"/>
                <w:color w:val="FFFFFE"/>
              </w:rPr>
              <w:t>($)(1)</w:t>
            </w:r>
          </w:p>
        </w:tc>
        <w:tc>
          <w:tcPr>
            <w:tcW w:w="740" w:type="dxa"/>
            <w:vAlign w:val="bottom"/>
            <w:shd w:val="clear" w:color="auto" w:fill="53C072"/>
          </w:tcPr>
          <w:p>
            <w:pPr>
              <w:jc w:val="right"/>
              <w:ind w:right="15"/>
              <w:spacing w:after="0" w:line="146" w:lineRule="exact"/>
              <w:rPr>
                <w:sz w:val="20"/>
                <w:szCs w:val="20"/>
                <w:color w:val="auto"/>
              </w:rPr>
            </w:pPr>
            <w:r>
              <w:rPr>
                <w:rFonts w:ascii="Arial" w:cs="Arial" w:eastAsia="Arial" w:hAnsi="Arial"/>
                <w:sz w:val="13"/>
                <w:szCs w:val="13"/>
                <w:b w:val="1"/>
                <w:bCs w:val="1"/>
                <w:color w:val="FFFFFE"/>
              </w:rPr>
              <w:t>($)(2)</w:t>
            </w:r>
          </w:p>
        </w:tc>
        <w:tc>
          <w:tcPr>
            <w:tcW w:w="1080" w:type="dxa"/>
            <w:vAlign w:val="bottom"/>
            <w:shd w:val="clear" w:color="auto" w:fill="53C072"/>
          </w:tcPr>
          <w:p>
            <w:pPr>
              <w:jc w:val="right"/>
              <w:ind w:right="15"/>
              <w:spacing w:after="0" w:line="146" w:lineRule="exact"/>
              <w:rPr>
                <w:sz w:val="20"/>
                <w:szCs w:val="20"/>
                <w:color w:val="auto"/>
              </w:rPr>
            </w:pPr>
            <w:r>
              <w:rPr>
                <w:rFonts w:ascii="Arial" w:cs="Arial" w:eastAsia="Arial" w:hAnsi="Arial"/>
                <w:sz w:val="13"/>
                <w:szCs w:val="13"/>
                <w:b w:val="1"/>
                <w:bCs w:val="1"/>
                <w:color w:val="FFFFFE"/>
              </w:rPr>
              <w:t>($)</w:t>
            </w:r>
          </w:p>
        </w:tc>
        <w:tc>
          <w:tcPr>
            <w:tcW w:w="1080" w:type="dxa"/>
            <w:vAlign w:val="bottom"/>
            <w:shd w:val="clear" w:color="auto" w:fill="53C072"/>
          </w:tcPr>
          <w:p>
            <w:pPr>
              <w:jc w:val="right"/>
              <w:ind w:right="15"/>
              <w:spacing w:after="0" w:line="146" w:lineRule="exact"/>
              <w:rPr>
                <w:sz w:val="20"/>
                <w:szCs w:val="20"/>
                <w:color w:val="auto"/>
              </w:rPr>
            </w:pPr>
            <w:r>
              <w:rPr>
                <w:rFonts w:ascii="Arial" w:cs="Arial" w:eastAsia="Arial" w:hAnsi="Arial"/>
                <w:sz w:val="13"/>
                <w:szCs w:val="13"/>
                <w:b w:val="1"/>
                <w:bCs w:val="1"/>
                <w:color w:val="FFFFFE"/>
              </w:rPr>
              <w:t>($)(3)</w:t>
            </w:r>
          </w:p>
        </w:tc>
        <w:tc>
          <w:tcPr>
            <w:tcW w:w="1080" w:type="dxa"/>
            <w:vAlign w:val="bottom"/>
            <w:shd w:val="clear" w:color="auto" w:fill="53C072"/>
          </w:tcPr>
          <w:p>
            <w:pPr>
              <w:jc w:val="right"/>
              <w:ind w:right="15"/>
              <w:spacing w:after="0" w:line="146" w:lineRule="exact"/>
              <w:rPr>
                <w:sz w:val="20"/>
                <w:szCs w:val="20"/>
                <w:color w:val="auto"/>
              </w:rPr>
            </w:pPr>
            <w:r>
              <w:rPr>
                <w:rFonts w:ascii="Arial" w:cs="Arial" w:eastAsia="Arial" w:hAnsi="Arial"/>
                <w:sz w:val="13"/>
                <w:szCs w:val="13"/>
                <w:b w:val="1"/>
                <w:bCs w:val="1"/>
                <w:color w:val="FFFFFE"/>
              </w:rPr>
              <w:t>($)(4)</w:t>
            </w:r>
          </w:p>
        </w:tc>
        <w:tc>
          <w:tcPr>
            <w:tcW w:w="66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w:t>
            </w:r>
          </w:p>
        </w:tc>
        <w:tc>
          <w:tcPr>
            <w:tcW w:w="0" w:type="dxa"/>
            <w:vAlign w:val="bottom"/>
          </w:tcPr>
          <w:p>
            <w:pPr>
              <w:spacing w:after="0"/>
              <w:rPr>
                <w:sz w:val="1"/>
                <w:szCs w:val="1"/>
                <w:color w:val="auto"/>
              </w:rPr>
            </w:pPr>
          </w:p>
        </w:tc>
      </w:tr>
      <w:tr>
        <w:trPr>
          <w:trHeight w:val="159"/>
        </w:trPr>
        <w:tc>
          <w:tcPr>
            <w:tcW w:w="880" w:type="dxa"/>
            <w:vAlign w:val="bottom"/>
            <w:shd w:val="clear" w:color="auto" w:fill="53C072"/>
          </w:tcPr>
          <w:p>
            <w:pPr>
              <w:spacing w:after="0"/>
              <w:rPr>
                <w:sz w:val="20"/>
                <w:szCs w:val="20"/>
                <w:color w:val="auto"/>
              </w:rPr>
            </w:pPr>
            <w:r>
              <w:rPr>
                <w:rFonts w:ascii="Arial" w:cs="Arial" w:eastAsia="Arial" w:hAnsi="Arial"/>
                <w:sz w:val="13"/>
                <w:szCs w:val="13"/>
                <w:b w:val="1"/>
                <w:bCs w:val="1"/>
                <w:color w:val="FFFFFE"/>
              </w:rPr>
              <w:t>(a)</w:t>
            </w:r>
          </w:p>
        </w:tc>
        <w:tc>
          <w:tcPr>
            <w:tcW w:w="100" w:type="dxa"/>
            <w:vAlign w:val="bottom"/>
            <w:shd w:val="clear" w:color="auto" w:fill="53C072"/>
          </w:tcPr>
          <w:p>
            <w:pPr>
              <w:spacing w:after="0"/>
              <w:rPr>
                <w:sz w:val="13"/>
                <w:szCs w:val="13"/>
                <w:color w:val="auto"/>
              </w:rPr>
            </w:pPr>
          </w:p>
        </w:tc>
        <w:tc>
          <w:tcPr>
            <w:tcW w:w="420" w:type="dxa"/>
            <w:vAlign w:val="bottom"/>
            <w:shd w:val="clear" w:color="auto" w:fill="53C072"/>
          </w:tcPr>
          <w:p>
            <w:pPr>
              <w:jc w:val="right"/>
              <w:ind w:right="15"/>
              <w:spacing w:after="0"/>
              <w:rPr>
                <w:sz w:val="20"/>
                <w:szCs w:val="20"/>
                <w:color w:val="auto"/>
              </w:rPr>
            </w:pPr>
            <w:r>
              <w:rPr>
                <w:rFonts w:ascii="Arial" w:cs="Arial" w:eastAsia="Arial" w:hAnsi="Arial"/>
                <w:sz w:val="13"/>
                <w:szCs w:val="13"/>
                <w:b w:val="1"/>
                <w:bCs w:val="1"/>
                <w:color w:val="FFFFFE"/>
              </w:rPr>
              <w:t>(b)</w:t>
            </w:r>
          </w:p>
        </w:tc>
        <w:tc>
          <w:tcPr>
            <w:tcW w:w="740" w:type="dxa"/>
            <w:vAlign w:val="bottom"/>
            <w:shd w:val="clear" w:color="auto" w:fill="53C072"/>
          </w:tcPr>
          <w:p>
            <w:pPr>
              <w:jc w:val="right"/>
              <w:ind w:right="15"/>
              <w:spacing w:after="0"/>
              <w:rPr>
                <w:sz w:val="20"/>
                <w:szCs w:val="20"/>
                <w:color w:val="auto"/>
              </w:rPr>
            </w:pPr>
            <w:r>
              <w:rPr>
                <w:rFonts w:ascii="Arial" w:cs="Arial" w:eastAsia="Arial" w:hAnsi="Arial"/>
                <w:sz w:val="13"/>
                <w:szCs w:val="13"/>
                <w:b w:val="1"/>
                <w:bCs w:val="1"/>
                <w:color w:val="FFFFFE"/>
              </w:rPr>
              <w:t>(c)</w:t>
            </w:r>
          </w:p>
        </w:tc>
        <w:tc>
          <w:tcPr>
            <w:tcW w:w="800" w:type="dxa"/>
            <w:vAlign w:val="bottom"/>
            <w:shd w:val="clear" w:color="auto" w:fill="53C072"/>
          </w:tcPr>
          <w:p>
            <w:pPr>
              <w:jc w:val="right"/>
              <w:ind w:right="15"/>
              <w:spacing w:after="0"/>
              <w:rPr>
                <w:sz w:val="20"/>
                <w:szCs w:val="20"/>
                <w:color w:val="auto"/>
              </w:rPr>
            </w:pPr>
            <w:r>
              <w:rPr>
                <w:rFonts w:ascii="Arial" w:cs="Arial" w:eastAsia="Arial" w:hAnsi="Arial"/>
                <w:sz w:val="13"/>
                <w:szCs w:val="13"/>
                <w:b w:val="1"/>
                <w:bCs w:val="1"/>
                <w:color w:val="FFFFFE"/>
              </w:rPr>
              <w:t>(d)</w:t>
            </w:r>
          </w:p>
        </w:tc>
        <w:tc>
          <w:tcPr>
            <w:tcW w:w="740" w:type="dxa"/>
            <w:vAlign w:val="bottom"/>
            <w:shd w:val="clear" w:color="auto" w:fill="53C072"/>
          </w:tcPr>
          <w:p>
            <w:pPr>
              <w:jc w:val="right"/>
              <w:ind w:right="15"/>
              <w:spacing w:after="0"/>
              <w:rPr>
                <w:sz w:val="20"/>
                <w:szCs w:val="20"/>
                <w:color w:val="auto"/>
              </w:rPr>
            </w:pPr>
            <w:r>
              <w:rPr>
                <w:rFonts w:ascii="Arial" w:cs="Arial" w:eastAsia="Arial" w:hAnsi="Arial"/>
                <w:sz w:val="13"/>
                <w:szCs w:val="13"/>
                <w:b w:val="1"/>
                <w:bCs w:val="1"/>
                <w:color w:val="FFFFFE"/>
              </w:rPr>
              <w:t>(e)</w:t>
            </w:r>
          </w:p>
        </w:tc>
        <w:tc>
          <w:tcPr>
            <w:tcW w:w="740" w:type="dxa"/>
            <w:vAlign w:val="bottom"/>
            <w:shd w:val="clear" w:color="auto" w:fill="53C072"/>
          </w:tcPr>
          <w:p>
            <w:pPr>
              <w:jc w:val="right"/>
              <w:ind w:right="15"/>
              <w:spacing w:after="0"/>
              <w:rPr>
                <w:sz w:val="20"/>
                <w:szCs w:val="20"/>
                <w:color w:val="auto"/>
              </w:rPr>
            </w:pPr>
            <w:r>
              <w:rPr>
                <w:rFonts w:ascii="Arial" w:cs="Arial" w:eastAsia="Arial" w:hAnsi="Arial"/>
                <w:sz w:val="13"/>
                <w:szCs w:val="13"/>
                <w:b w:val="1"/>
                <w:bCs w:val="1"/>
                <w:color w:val="FFFFFE"/>
              </w:rPr>
              <w:t>(f)</w:t>
            </w:r>
          </w:p>
        </w:tc>
        <w:tc>
          <w:tcPr>
            <w:tcW w:w="1080" w:type="dxa"/>
            <w:vAlign w:val="bottom"/>
            <w:shd w:val="clear" w:color="auto" w:fill="53C072"/>
          </w:tcPr>
          <w:p>
            <w:pPr>
              <w:jc w:val="right"/>
              <w:ind w:right="15"/>
              <w:spacing w:after="0"/>
              <w:rPr>
                <w:sz w:val="20"/>
                <w:szCs w:val="20"/>
                <w:color w:val="auto"/>
              </w:rPr>
            </w:pPr>
            <w:r>
              <w:rPr>
                <w:rFonts w:ascii="Arial" w:cs="Arial" w:eastAsia="Arial" w:hAnsi="Arial"/>
                <w:sz w:val="13"/>
                <w:szCs w:val="13"/>
                <w:b w:val="1"/>
                <w:bCs w:val="1"/>
                <w:color w:val="FFFFFE"/>
              </w:rPr>
              <w:t>(g)</w:t>
            </w:r>
          </w:p>
        </w:tc>
        <w:tc>
          <w:tcPr>
            <w:tcW w:w="1080" w:type="dxa"/>
            <w:vAlign w:val="bottom"/>
            <w:shd w:val="clear" w:color="auto" w:fill="53C072"/>
          </w:tcPr>
          <w:p>
            <w:pPr>
              <w:jc w:val="right"/>
              <w:ind w:right="15"/>
              <w:spacing w:after="0"/>
              <w:rPr>
                <w:sz w:val="20"/>
                <w:szCs w:val="20"/>
                <w:color w:val="auto"/>
              </w:rPr>
            </w:pPr>
            <w:r>
              <w:rPr>
                <w:rFonts w:ascii="Arial" w:cs="Arial" w:eastAsia="Arial" w:hAnsi="Arial"/>
                <w:sz w:val="13"/>
                <w:szCs w:val="13"/>
                <w:b w:val="1"/>
                <w:bCs w:val="1"/>
                <w:color w:val="FFFFFE"/>
              </w:rPr>
              <w:t>(h)</w:t>
            </w:r>
          </w:p>
        </w:tc>
        <w:tc>
          <w:tcPr>
            <w:tcW w:w="1080" w:type="dxa"/>
            <w:vAlign w:val="bottom"/>
            <w:shd w:val="clear" w:color="auto" w:fill="53C072"/>
          </w:tcPr>
          <w:p>
            <w:pPr>
              <w:jc w:val="right"/>
              <w:ind w:right="15"/>
              <w:spacing w:after="0"/>
              <w:rPr>
                <w:sz w:val="20"/>
                <w:szCs w:val="20"/>
                <w:color w:val="auto"/>
              </w:rPr>
            </w:pPr>
            <w:r>
              <w:rPr>
                <w:rFonts w:ascii="Arial" w:cs="Arial" w:eastAsia="Arial" w:hAnsi="Arial"/>
                <w:sz w:val="13"/>
                <w:szCs w:val="13"/>
                <w:b w:val="1"/>
                <w:bCs w:val="1"/>
                <w:color w:val="FFFFFE"/>
              </w:rPr>
              <w:t>(i)</w:t>
            </w:r>
          </w:p>
        </w:tc>
        <w:tc>
          <w:tcPr>
            <w:tcW w:w="66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(j)</w:t>
            </w:r>
          </w:p>
        </w:tc>
        <w:tc>
          <w:tcPr>
            <w:tcW w:w="0" w:type="dxa"/>
            <w:vAlign w:val="bottom"/>
          </w:tcPr>
          <w:p>
            <w:pPr>
              <w:spacing w:after="0"/>
              <w:rPr>
                <w:sz w:val="1"/>
                <w:szCs w:val="1"/>
                <w:color w:val="auto"/>
              </w:rPr>
            </w:pPr>
          </w:p>
        </w:tc>
      </w:tr>
      <w:tr>
        <w:trPr>
          <w:trHeight w:val="134"/>
        </w:trPr>
        <w:tc>
          <w:tcPr>
            <w:tcW w:w="880" w:type="dxa"/>
            <w:vAlign w:val="bottom"/>
          </w:tcPr>
          <w:p>
            <w:pPr>
              <w:spacing w:after="0" w:line="134" w:lineRule="exact"/>
              <w:rPr>
                <w:sz w:val="20"/>
                <w:szCs w:val="20"/>
                <w:color w:val="auto"/>
              </w:rPr>
            </w:pPr>
            <w:r>
              <w:rPr>
                <w:rFonts w:ascii="Arial" w:cs="Arial" w:eastAsia="Arial" w:hAnsi="Arial"/>
                <w:sz w:val="13"/>
                <w:szCs w:val="13"/>
                <w:color w:val="auto"/>
              </w:rPr>
              <w:t>William J.</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880" w:type="dxa"/>
            <w:vAlign w:val="bottom"/>
          </w:tcPr>
          <w:p>
            <w:pPr>
              <w:spacing w:after="0" w:line="146" w:lineRule="exact"/>
              <w:rPr>
                <w:sz w:val="20"/>
                <w:szCs w:val="20"/>
                <w:color w:val="auto"/>
              </w:rPr>
            </w:pPr>
            <w:r>
              <w:rPr>
                <w:rFonts w:ascii="Arial" w:cs="Arial" w:eastAsia="Arial" w:hAnsi="Arial"/>
                <w:sz w:val="13"/>
                <w:szCs w:val="13"/>
                <w:color w:val="auto"/>
              </w:rPr>
              <w:t>Amelio</w:t>
            </w:r>
          </w:p>
        </w:tc>
        <w:tc>
          <w:tcPr>
            <w:tcW w:w="520" w:type="dxa"/>
            <w:vAlign w:val="bottom"/>
            <w:gridSpan w:val="2"/>
          </w:tcPr>
          <w:p>
            <w:pPr>
              <w:jc w:val="right"/>
              <w:ind w:right="15"/>
              <w:spacing w:after="0" w:line="146" w:lineRule="exact"/>
              <w:rPr>
                <w:sz w:val="20"/>
                <w:szCs w:val="20"/>
                <w:color w:val="auto"/>
              </w:rPr>
            </w:pPr>
            <w:r>
              <w:rPr>
                <w:rFonts w:ascii="Arial" w:cs="Arial" w:eastAsia="Arial" w:hAnsi="Arial"/>
                <w:sz w:val="13"/>
                <w:szCs w:val="13"/>
                <w:color w:val="auto"/>
              </w:rPr>
              <w:t>2020</w:t>
            </w:r>
          </w:p>
        </w:tc>
        <w:tc>
          <w:tcPr>
            <w:tcW w:w="740" w:type="dxa"/>
            <w:vAlign w:val="bottom"/>
          </w:tcPr>
          <w:p>
            <w:pPr>
              <w:jc w:val="right"/>
              <w:ind w:right="15"/>
              <w:spacing w:after="0" w:line="146" w:lineRule="exact"/>
              <w:rPr>
                <w:sz w:val="20"/>
                <w:szCs w:val="20"/>
                <w:color w:val="auto"/>
              </w:rPr>
            </w:pPr>
            <w:r>
              <w:rPr>
                <w:rFonts w:ascii="Arial" w:cs="Arial" w:eastAsia="Arial" w:hAnsi="Arial"/>
                <w:sz w:val="13"/>
                <w:szCs w:val="13"/>
                <w:color w:val="auto"/>
              </w:rPr>
              <w:t>1,000,000</w:t>
            </w:r>
          </w:p>
        </w:tc>
        <w:tc>
          <w:tcPr>
            <w:tcW w:w="800" w:type="dxa"/>
            <w:vAlign w:val="bottom"/>
          </w:tcPr>
          <w:p>
            <w:pPr>
              <w:spacing w:after="0"/>
              <w:rPr>
                <w:sz w:val="12"/>
                <w:szCs w:val="12"/>
                <w:color w:val="auto"/>
              </w:rPr>
            </w:pPr>
          </w:p>
        </w:tc>
        <w:tc>
          <w:tcPr>
            <w:tcW w:w="740" w:type="dxa"/>
            <w:vAlign w:val="bottom"/>
          </w:tcPr>
          <w:p>
            <w:pPr>
              <w:jc w:val="right"/>
              <w:ind w:right="15"/>
              <w:spacing w:after="0" w:line="146" w:lineRule="exact"/>
              <w:rPr>
                <w:sz w:val="20"/>
                <w:szCs w:val="20"/>
                <w:color w:val="auto"/>
              </w:rPr>
            </w:pPr>
            <w:r>
              <w:rPr>
                <w:rFonts w:ascii="Arial" w:cs="Arial" w:eastAsia="Arial" w:hAnsi="Arial"/>
                <w:sz w:val="13"/>
                <w:szCs w:val="13"/>
                <w:color w:val="auto"/>
              </w:rPr>
              <w:t>4,591,967</w:t>
            </w:r>
          </w:p>
        </w:tc>
        <w:tc>
          <w:tcPr>
            <w:tcW w:w="740" w:type="dxa"/>
            <w:vAlign w:val="bottom"/>
          </w:tcPr>
          <w:p>
            <w:pPr>
              <w:jc w:val="right"/>
              <w:ind w:right="15"/>
              <w:spacing w:after="0" w:line="146" w:lineRule="exact"/>
              <w:rPr>
                <w:sz w:val="20"/>
                <w:szCs w:val="20"/>
                <w:color w:val="auto"/>
              </w:rPr>
            </w:pPr>
            <w:r>
              <w:rPr>
                <w:rFonts w:ascii="Arial" w:cs="Arial" w:eastAsia="Arial" w:hAnsi="Arial"/>
                <w:sz w:val="13"/>
                <w:szCs w:val="13"/>
                <w:color w:val="auto"/>
              </w:rPr>
              <w:t>1,138,117</w:t>
            </w:r>
          </w:p>
        </w:tc>
        <w:tc>
          <w:tcPr>
            <w:tcW w:w="1080" w:type="dxa"/>
            <w:vAlign w:val="bottom"/>
          </w:tcPr>
          <w:p>
            <w:pPr>
              <w:jc w:val="right"/>
              <w:ind w:right="15"/>
              <w:spacing w:after="0" w:line="146" w:lineRule="exact"/>
              <w:rPr>
                <w:sz w:val="20"/>
                <w:szCs w:val="20"/>
                <w:color w:val="auto"/>
              </w:rPr>
            </w:pPr>
            <w:r>
              <w:rPr>
                <w:rFonts w:ascii="Arial" w:cs="Arial" w:eastAsia="Arial" w:hAnsi="Arial"/>
                <w:sz w:val="13"/>
                <w:szCs w:val="13"/>
                <w:color w:val="auto"/>
              </w:rPr>
              <w:t>748,350</w:t>
            </w:r>
          </w:p>
        </w:tc>
        <w:tc>
          <w:tcPr>
            <w:tcW w:w="1080" w:type="dxa"/>
            <w:vAlign w:val="bottom"/>
          </w:tcPr>
          <w:p>
            <w:pPr>
              <w:jc w:val="right"/>
              <w:ind w:right="15"/>
              <w:spacing w:after="0" w:line="146" w:lineRule="exact"/>
              <w:rPr>
                <w:sz w:val="20"/>
                <w:szCs w:val="20"/>
                <w:color w:val="auto"/>
              </w:rPr>
            </w:pPr>
            <w:r>
              <w:rPr>
                <w:rFonts w:ascii="Arial" w:cs="Arial" w:eastAsia="Arial" w:hAnsi="Arial"/>
                <w:sz w:val="13"/>
                <w:szCs w:val="13"/>
                <w:color w:val="auto"/>
              </w:rPr>
              <w:t>191,979</w:t>
            </w:r>
          </w:p>
        </w:tc>
        <w:tc>
          <w:tcPr>
            <w:tcW w:w="1080" w:type="dxa"/>
            <w:vAlign w:val="bottom"/>
          </w:tcPr>
          <w:p>
            <w:pPr>
              <w:jc w:val="right"/>
              <w:ind w:right="15"/>
              <w:spacing w:after="0" w:line="146" w:lineRule="exact"/>
              <w:rPr>
                <w:sz w:val="20"/>
                <w:szCs w:val="20"/>
                <w:color w:val="auto"/>
              </w:rPr>
            </w:pPr>
            <w:r>
              <w:rPr>
                <w:rFonts w:ascii="Arial" w:cs="Arial" w:eastAsia="Arial" w:hAnsi="Arial"/>
                <w:sz w:val="13"/>
                <w:szCs w:val="13"/>
                <w:color w:val="auto"/>
              </w:rPr>
              <w:t>44,380</w:t>
            </w: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7,714,793</w:t>
            </w:r>
          </w:p>
        </w:tc>
        <w:tc>
          <w:tcPr>
            <w:tcW w:w="0" w:type="dxa"/>
            <w:vAlign w:val="bottom"/>
          </w:tcPr>
          <w:p>
            <w:pPr>
              <w:spacing w:after="0"/>
              <w:rPr>
                <w:sz w:val="1"/>
                <w:szCs w:val="1"/>
                <w:color w:val="auto"/>
              </w:rPr>
            </w:pPr>
          </w:p>
        </w:tc>
      </w:tr>
      <w:tr>
        <w:trPr>
          <w:trHeight w:val="146"/>
        </w:trPr>
        <w:tc>
          <w:tcPr>
            <w:tcW w:w="880" w:type="dxa"/>
            <w:vAlign w:val="bottom"/>
          </w:tcPr>
          <w:p>
            <w:pPr>
              <w:spacing w:after="0" w:line="146" w:lineRule="exact"/>
              <w:rPr>
                <w:sz w:val="20"/>
                <w:szCs w:val="20"/>
                <w:color w:val="auto"/>
              </w:rPr>
            </w:pPr>
            <w:r>
              <w:rPr>
                <w:rFonts w:ascii="Arial" w:cs="Arial" w:eastAsia="Arial" w:hAnsi="Arial"/>
                <w:sz w:val="13"/>
                <w:szCs w:val="13"/>
                <w:color w:val="auto"/>
              </w:rPr>
              <w:t>Former Chief</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80" w:type="dxa"/>
            <w:vAlign w:val="bottom"/>
          </w:tcPr>
          <w:p>
            <w:pPr>
              <w:spacing w:after="0" w:line="146" w:lineRule="exact"/>
              <w:rPr>
                <w:sz w:val="20"/>
                <w:szCs w:val="20"/>
                <w:color w:val="auto"/>
              </w:rPr>
            </w:pPr>
            <w:r>
              <w:rPr>
                <w:rFonts w:ascii="Arial" w:cs="Arial" w:eastAsia="Arial" w:hAnsi="Arial"/>
                <w:sz w:val="13"/>
                <w:szCs w:val="13"/>
                <w:color w:val="auto"/>
              </w:rPr>
              <w:t>Executive</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80" w:type="dxa"/>
            <w:vAlign w:val="bottom"/>
          </w:tcPr>
          <w:p>
            <w:pPr>
              <w:spacing w:after="0" w:line="146" w:lineRule="exact"/>
              <w:rPr>
                <w:sz w:val="20"/>
                <w:szCs w:val="20"/>
                <w:color w:val="auto"/>
              </w:rPr>
            </w:pPr>
            <w:r>
              <w:rPr>
                <w:rFonts w:ascii="Arial" w:cs="Arial" w:eastAsia="Arial" w:hAnsi="Arial"/>
                <w:sz w:val="13"/>
                <w:szCs w:val="13"/>
                <w:color w:val="auto"/>
              </w:rPr>
              <w:t>Officer(5)</w:t>
            </w:r>
          </w:p>
        </w:tc>
        <w:tc>
          <w:tcPr>
            <w:tcW w:w="520" w:type="dxa"/>
            <w:vAlign w:val="bottom"/>
            <w:gridSpan w:val="2"/>
          </w:tcPr>
          <w:p>
            <w:pPr>
              <w:jc w:val="right"/>
              <w:ind w:right="15"/>
              <w:spacing w:after="0" w:line="146" w:lineRule="exact"/>
              <w:rPr>
                <w:sz w:val="20"/>
                <w:szCs w:val="20"/>
                <w:color w:val="auto"/>
              </w:rPr>
            </w:pPr>
            <w:r>
              <w:rPr>
                <w:rFonts w:ascii="Arial" w:cs="Arial" w:eastAsia="Arial" w:hAnsi="Arial"/>
                <w:sz w:val="13"/>
                <w:szCs w:val="13"/>
                <w:color w:val="auto"/>
              </w:rPr>
              <w:t>2019</w:t>
            </w:r>
          </w:p>
        </w:tc>
        <w:tc>
          <w:tcPr>
            <w:tcW w:w="740" w:type="dxa"/>
            <w:vAlign w:val="bottom"/>
          </w:tcPr>
          <w:p>
            <w:pPr>
              <w:jc w:val="right"/>
              <w:ind w:right="15"/>
              <w:spacing w:after="0" w:line="146" w:lineRule="exact"/>
              <w:rPr>
                <w:sz w:val="20"/>
                <w:szCs w:val="20"/>
                <w:color w:val="auto"/>
              </w:rPr>
            </w:pPr>
            <w:r>
              <w:rPr>
                <w:rFonts w:ascii="Arial" w:cs="Arial" w:eastAsia="Arial" w:hAnsi="Arial"/>
                <w:sz w:val="13"/>
                <w:szCs w:val="13"/>
                <w:color w:val="auto"/>
              </w:rPr>
              <w:t>1,000,000</w:t>
            </w:r>
          </w:p>
        </w:tc>
        <w:tc>
          <w:tcPr>
            <w:tcW w:w="800" w:type="dxa"/>
            <w:vAlign w:val="bottom"/>
          </w:tcPr>
          <w:p>
            <w:pPr>
              <w:spacing w:after="0"/>
              <w:rPr>
                <w:sz w:val="12"/>
                <w:szCs w:val="12"/>
                <w:color w:val="auto"/>
              </w:rPr>
            </w:pPr>
          </w:p>
        </w:tc>
        <w:tc>
          <w:tcPr>
            <w:tcW w:w="740" w:type="dxa"/>
            <w:vAlign w:val="bottom"/>
          </w:tcPr>
          <w:p>
            <w:pPr>
              <w:jc w:val="right"/>
              <w:ind w:right="15"/>
              <w:spacing w:after="0" w:line="146" w:lineRule="exact"/>
              <w:rPr>
                <w:sz w:val="20"/>
                <w:szCs w:val="20"/>
                <w:color w:val="auto"/>
              </w:rPr>
            </w:pPr>
            <w:r>
              <w:rPr>
                <w:rFonts w:ascii="Arial" w:cs="Arial" w:eastAsia="Arial" w:hAnsi="Arial"/>
                <w:sz w:val="13"/>
                <w:szCs w:val="13"/>
                <w:color w:val="auto"/>
              </w:rPr>
              <w:t>4,654,431</w:t>
            </w:r>
          </w:p>
        </w:tc>
        <w:tc>
          <w:tcPr>
            <w:tcW w:w="740" w:type="dxa"/>
            <w:vAlign w:val="bottom"/>
          </w:tcPr>
          <w:p>
            <w:pPr>
              <w:jc w:val="right"/>
              <w:ind w:right="15"/>
              <w:spacing w:after="0" w:line="146" w:lineRule="exact"/>
              <w:rPr>
                <w:sz w:val="20"/>
                <w:szCs w:val="20"/>
                <w:color w:val="auto"/>
              </w:rPr>
            </w:pPr>
            <w:r>
              <w:rPr>
                <w:rFonts w:ascii="Arial" w:cs="Arial" w:eastAsia="Arial" w:hAnsi="Arial"/>
                <w:sz w:val="13"/>
                <w:szCs w:val="13"/>
                <w:color w:val="auto"/>
              </w:rPr>
              <w:t>1,241,511</w:t>
            </w:r>
          </w:p>
        </w:tc>
        <w:tc>
          <w:tcPr>
            <w:tcW w:w="1080" w:type="dxa"/>
            <w:vAlign w:val="bottom"/>
          </w:tcPr>
          <w:p>
            <w:pPr>
              <w:jc w:val="right"/>
              <w:ind w:right="15"/>
              <w:spacing w:after="0" w:line="146" w:lineRule="exact"/>
              <w:rPr>
                <w:sz w:val="20"/>
                <w:szCs w:val="20"/>
                <w:color w:val="auto"/>
              </w:rPr>
            </w:pPr>
            <w:r>
              <w:rPr>
                <w:rFonts w:ascii="Arial" w:cs="Arial" w:eastAsia="Arial" w:hAnsi="Arial"/>
                <w:sz w:val="13"/>
                <w:szCs w:val="13"/>
                <w:color w:val="auto"/>
              </w:rPr>
              <w:t>1,299,432</w:t>
            </w:r>
          </w:p>
        </w:tc>
        <w:tc>
          <w:tcPr>
            <w:tcW w:w="1080" w:type="dxa"/>
            <w:vAlign w:val="bottom"/>
          </w:tcPr>
          <w:p>
            <w:pPr>
              <w:jc w:val="right"/>
              <w:ind w:right="15"/>
              <w:spacing w:after="0" w:line="146" w:lineRule="exact"/>
              <w:rPr>
                <w:sz w:val="20"/>
                <w:szCs w:val="20"/>
                <w:color w:val="auto"/>
              </w:rPr>
            </w:pPr>
            <w:r>
              <w:rPr>
                <w:rFonts w:ascii="Arial" w:cs="Arial" w:eastAsia="Arial" w:hAnsi="Arial"/>
                <w:sz w:val="13"/>
                <w:szCs w:val="13"/>
                <w:color w:val="auto"/>
              </w:rPr>
              <w:t>190,004</w:t>
            </w:r>
          </w:p>
        </w:tc>
        <w:tc>
          <w:tcPr>
            <w:tcW w:w="1080" w:type="dxa"/>
            <w:vAlign w:val="bottom"/>
          </w:tcPr>
          <w:p>
            <w:pPr>
              <w:jc w:val="right"/>
              <w:ind w:right="15"/>
              <w:spacing w:after="0" w:line="146" w:lineRule="exact"/>
              <w:rPr>
                <w:sz w:val="20"/>
                <w:szCs w:val="20"/>
                <w:color w:val="auto"/>
              </w:rPr>
            </w:pPr>
            <w:r>
              <w:rPr>
                <w:rFonts w:ascii="Arial" w:cs="Arial" w:eastAsia="Arial" w:hAnsi="Arial"/>
                <w:sz w:val="13"/>
                <w:szCs w:val="13"/>
                <w:color w:val="auto"/>
              </w:rPr>
              <w:t>52,700</w:t>
            </w: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8,438,078</w:t>
            </w:r>
          </w:p>
        </w:tc>
        <w:tc>
          <w:tcPr>
            <w:tcW w:w="0" w:type="dxa"/>
            <w:vAlign w:val="bottom"/>
          </w:tcPr>
          <w:p>
            <w:pPr>
              <w:spacing w:after="0"/>
              <w:rPr>
                <w:sz w:val="1"/>
                <w:szCs w:val="1"/>
                <w:color w:val="auto"/>
              </w:rPr>
            </w:pPr>
          </w:p>
        </w:tc>
      </w:tr>
      <w:tr>
        <w:trPr>
          <w:trHeight w:val="157"/>
        </w:trPr>
        <w:tc>
          <w:tcPr>
            <w:tcW w:w="880" w:type="dxa"/>
            <w:vAlign w:val="bottom"/>
          </w:tcPr>
          <w:p>
            <w:pPr>
              <w:spacing w:after="0"/>
              <w:rPr>
                <w:sz w:val="13"/>
                <w:szCs w:val="13"/>
                <w:color w:val="auto"/>
              </w:rPr>
            </w:pPr>
          </w:p>
        </w:tc>
        <w:tc>
          <w:tcPr>
            <w:tcW w:w="520" w:type="dxa"/>
            <w:vAlign w:val="bottom"/>
            <w:gridSpan w:val="2"/>
          </w:tcPr>
          <w:p>
            <w:pPr>
              <w:jc w:val="right"/>
              <w:ind w:right="15"/>
              <w:spacing w:after="0"/>
              <w:rPr>
                <w:sz w:val="20"/>
                <w:szCs w:val="20"/>
                <w:color w:val="auto"/>
              </w:rPr>
            </w:pPr>
            <w:r>
              <w:rPr>
                <w:rFonts w:ascii="Arial" w:cs="Arial" w:eastAsia="Arial" w:hAnsi="Arial"/>
                <w:sz w:val="13"/>
                <w:szCs w:val="13"/>
                <w:color w:val="auto"/>
              </w:rPr>
              <w:t>2018</w:t>
            </w:r>
          </w:p>
        </w:tc>
        <w:tc>
          <w:tcPr>
            <w:tcW w:w="740" w:type="dxa"/>
            <w:vAlign w:val="bottom"/>
          </w:tcPr>
          <w:p>
            <w:pPr>
              <w:jc w:val="right"/>
              <w:ind w:right="15"/>
              <w:spacing w:after="0"/>
              <w:rPr>
                <w:sz w:val="20"/>
                <w:szCs w:val="20"/>
                <w:color w:val="auto"/>
              </w:rPr>
            </w:pPr>
            <w:r>
              <w:rPr>
                <w:rFonts w:ascii="Arial" w:cs="Arial" w:eastAsia="Arial" w:hAnsi="Arial"/>
                <w:sz w:val="13"/>
                <w:szCs w:val="13"/>
                <w:color w:val="auto"/>
              </w:rPr>
              <w:t>1,000,000</w:t>
            </w:r>
          </w:p>
        </w:tc>
        <w:tc>
          <w:tcPr>
            <w:tcW w:w="800" w:type="dxa"/>
            <w:vAlign w:val="bottom"/>
          </w:tcPr>
          <w:p>
            <w:pPr>
              <w:spacing w:after="0"/>
              <w:rPr>
                <w:sz w:val="13"/>
                <w:szCs w:val="13"/>
                <w:color w:val="auto"/>
              </w:rPr>
            </w:pPr>
          </w:p>
        </w:tc>
        <w:tc>
          <w:tcPr>
            <w:tcW w:w="740" w:type="dxa"/>
            <w:vAlign w:val="bottom"/>
          </w:tcPr>
          <w:p>
            <w:pPr>
              <w:jc w:val="right"/>
              <w:ind w:right="15"/>
              <w:spacing w:after="0"/>
              <w:rPr>
                <w:sz w:val="20"/>
                <w:szCs w:val="20"/>
                <w:color w:val="auto"/>
              </w:rPr>
            </w:pPr>
            <w:r>
              <w:rPr>
                <w:rFonts w:ascii="Arial" w:cs="Arial" w:eastAsia="Arial" w:hAnsi="Arial"/>
                <w:sz w:val="13"/>
                <w:szCs w:val="13"/>
                <w:color w:val="auto"/>
              </w:rPr>
              <w:t>3,557,429</w:t>
            </w:r>
          </w:p>
        </w:tc>
        <w:tc>
          <w:tcPr>
            <w:tcW w:w="740" w:type="dxa"/>
            <w:vAlign w:val="bottom"/>
          </w:tcPr>
          <w:p>
            <w:pPr>
              <w:jc w:val="right"/>
              <w:ind w:right="15"/>
              <w:spacing w:after="0"/>
              <w:rPr>
                <w:sz w:val="20"/>
                <w:szCs w:val="20"/>
                <w:color w:val="auto"/>
              </w:rPr>
            </w:pPr>
            <w:r>
              <w:rPr>
                <w:rFonts w:ascii="Arial" w:cs="Arial" w:eastAsia="Arial" w:hAnsi="Arial"/>
                <w:sz w:val="13"/>
                <w:szCs w:val="13"/>
                <w:color w:val="auto"/>
              </w:rPr>
              <w:t>944,629</w:t>
            </w:r>
          </w:p>
        </w:tc>
        <w:tc>
          <w:tcPr>
            <w:tcW w:w="1080" w:type="dxa"/>
            <w:vAlign w:val="bottom"/>
          </w:tcPr>
          <w:p>
            <w:pPr>
              <w:jc w:val="right"/>
              <w:ind w:right="15"/>
              <w:spacing w:after="0"/>
              <w:rPr>
                <w:sz w:val="20"/>
                <w:szCs w:val="20"/>
                <w:color w:val="auto"/>
              </w:rPr>
            </w:pPr>
            <w:r>
              <w:rPr>
                <w:rFonts w:ascii="Arial" w:cs="Arial" w:eastAsia="Arial" w:hAnsi="Arial"/>
                <w:sz w:val="13"/>
                <w:szCs w:val="13"/>
                <w:color w:val="auto"/>
              </w:rPr>
              <w:t>1,575,072</w:t>
            </w:r>
          </w:p>
        </w:tc>
        <w:tc>
          <w:tcPr>
            <w:tcW w:w="1080" w:type="dxa"/>
            <w:vAlign w:val="bottom"/>
          </w:tcPr>
          <w:p>
            <w:pPr>
              <w:jc w:val="right"/>
              <w:ind w:right="15"/>
              <w:spacing w:after="0"/>
              <w:rPr>
                <w:sz w:val="20"/>
                <w:szCs w:val="20"/>
                <w:color w:val="auto"/>
              </w:rPr>
            </w:pPr>
            <w:r>
              <w:rPr>
                <w:rFonts w:ascii="Arial" w:cs="Arial" w:eastAsia="Arial" w:hAnsi="Arial"/>
                <w:sz w:val="13"/>
                <w:szCs w:val="13"/>
                <w:color w:val="auto"/>
              </w:rPr>
              <w:t>34,734</w:t>
            </w:r>
          </w:p>
        </w:tc>
        <w:tc>
          <w:tcPr>
            <w:tcW w:w="1080" w:type="dxa"/>
            <w:vAlign w:val="bottom"/>
          </w:tcPr>
          <w:p>
            <w:pPr>
              <w:jc w:val="right"/>
              <w:ind w:right="15"/>
              <w:spacing w:after="0"/>
              <w:rPr>
                <w:sz w:val="20"/>
                <w:szCs w:val="20"/>
                <w:color w:val="auto"/>
              </w:rPr>
            </w:pPr>
            <w:r>
              <w:rPr>
                <w:rFonts w:ascii="Arial" w:cs="Arial" w:eastAsia="Arial" w:hAnsi="Arial"/>
                <w:sz w:val="13"/>
                <w:szCs w:val="13"/>
                <w:color w:val="auto"/>
              </w:rPr>
              <w:t>52,627</w:t>
            </w:r>
          </w:p>
        </w:tc>
        <w:tc>
          <w:tcPr>
            <w:tcW w:w="660" w:type="dxa"/>
            <w:vAlign w:val="bottom"/>
          </w:tcPr>
          <w:p>
            <w:pPr>
              <w:jc w:val="right"/>
              <w:spacing w:after="0"/>
              <w:rPr>
                <w:sz w:val="20"/>
                <w:szCs w:val="20"/>
                <w:color w:val="auto"/>
              </w:rPr>
            </w:pPr>
            <w:r>
              <w:rPr>
                <w:rFonts w:ascii="Arial" w:cs="Arial" w:eastAsia="Arial" w:hAnsi="Arial"/>
                <w:sz w:val="13"/>
                <w:szCs w:val="13"/>
                <w:color w:val="auto"/>
              </w:rPr>
              <w:t>7,164,491</w:t>
            </w:r>
          </w:p>
        </w:tc>
        <w:tc>
          <w:tcPr>
            <w:tcW w:w="0" w:type="dxa"/>
            <w:vAlign w:val="bottom"/>
          </w:tcPr>
          <w:p>
            <w:pPr>
              <w:spacing w:after="0"/>
              <w:rPr>
                <w:sz w:val="1"/>
                <w:szCs w:val="1"/>
                <w:color w:val="auto"/>
              </w:rPr>
            </w:pPr>
          </w:p>
        </w:tc>
      </w:tr>
      <w:tr>
        <w:trPr>
          <w:trHeight w:val="134"/>
        </w:trPr>
        <w:tc>
          <w:tcPr>
            <w:tcW w:w="880" w:type="dxa"/>
            <w:vAlign w:val="bottom"/>
            <w:shd w:val="clear" w:color="auto" w:fill="E8F5EA"/>
          </w:tcPr>
          <w:p>
            <w:pPr>
              <w:spacing w:after="0" w:line="134" w:lineRule="exact"/>
              <w:rPr>
                <w:sz w:val="20"/>
                <w:szCs w:val="20"/>
                <w:color w:val="auto"/>
              </w:rPr>
            </w:pPr>
            <w:r>
              <w:rPr>
                <w:rFonts w:ascii="Arial" w:cs="Arial" w:eastAsia="Arial" w:hAnsi="Arial"/>
                <w:sz w:val="13"/>
                <w:szCs w:val="13"/>
                <w:color w:val="auto"/>
              </w:rPr>
              <w:t>Thomas</w:t>
            </w:r>
          </w:p>
        </w:tc>
        <w:tc>
          <w:tcPr>
            <w:tcW w:w="100" w:type="dxa"/>
            <w:vAlign w:val="bottom"/>
            <w:shd w:val="clear" w:color="auto" w:fill="E8F5EA"/>
          </w:tcPr>
          <w:p>
            <w:pPr>
              <w:spacing w:after="0"/>
              <w:rPr>
                <w:sz w:val="11"/>
                <w:szCs w:val="11"/>
                <w:color w:val="auto"/>
              </w:rPr>
            </w:pPr>
          </w:p>
        </w:tc>
        <w:tc>
          <w:tcPr>
            <w:tcW w:w="420" w:type="dxa"/>
            <w:vAlign w:val="bottom"/>
            <w:shd w:val="clear" w:color="auto" w:fill="E8F5EA"/>
          </w:tcPr>
          <w:p>
            <w:pPr>
              <w:spacing w:after="0"/>
              <w:rPr>
                <w:sz w:val="11"/>
                <w:szCs w:val="11"/>
                <w:color w:val="auto"/>
              </w:rPr>
            </w:pPr>
          </w:p>
        </w:tc>
        <w:tc>
          <w:tcPr>
            <w:tcW w:w="740" w:type="dxa"/>
            <w:vAlign w:val="bottom"/>
            <w:shd w:val="clear" w:color="auto" w:fill="E8F5EA"/>
          </w:tcPr>
          <w:p>
            <w:pPr>
              <w:spacing w:after="0"/>
              <w:rPr>
                <w:sz w:val="11"/>
                <w:szCs w:val="11"/>
                <w:color w:val="auto"/>
              </w:rPr>
            </w:pPr>
          </w:p>
        </w:tc>
        <w:tc>
          <w:tcPr>
            <w:tcW w:w="800" w:type="dxa"/>
            <w:vAlign w:val="bottom"/>
            <w:shd w:val="clear" w:color="auto" w:fill="E8F5EA"/>
          </w:tcPr>
          <w:p>
            <w:pPr>
              <w:spacing w:after="0"/>
              <w:rPr>
                <w:sz w:val="11"/>
                <w:szCs w:val="11"/>
                <w:color w:val="auto"/>
              </w:rPr>
            </w:pPr>
          </w:p>
        </w:tc>
        <w:tc>
          <w:tcPr>
            <w:tcW w:w="740" w:type="dxa"/>
            <w:vAlign w:val="bottom"/>
            <w:shd w:val="clear" w:color="auto" w:fill="E8F5EA"/>
          </w:tcPr>
          <w:p>
            <w:pPr>
              <w:spacing w:after="0"/>
              <w:rPr>
                <w:sz w:val="11"/>
                <w:szCs w:val="11"/>
                <w:color w:val="auto"/>
              </w:rPr>
            </w:pPr>
          </w:p>
        </w:tc>
        <w:tc>
          <w:tcPr>
            <w:tcW w:w="740" w:type="dxa"/>
            <w:vAlign w:val="bottom"/>
            <w:shd w:val="clear" w:color="auto" w:fill="E8F5EA"/>
          </w:tcPr>
          <w:p>
            <w:pPr>
              <w:spacing w:after="0"/>
              <w:rPr>
                <w:sz w:val="11"/>
                <w:szCs w:val="11"/>
                <w:color w:val="auto"/>
              </w:rPr>
            </w:pPr>
          </w:p>
        </w:tc>
        <w:tc>
          <w:tcPr>
            <w:tcW w:w="1080" w:type="dxa"/>
            <w:vAlign w:val="bottom"/>
            <w:shd w:val="clear" w:color="auto" w:fill="E8F5EA"/>
          </w:tcPr>
          <w:p>
            <w:pPr>
              <w:spacing w:after="0"/>
              <w:rPr>
                <w:sz w:val="11"/>
                <w:szCs w:val="11"/>
                <w:color w:val="auto"/>
              </w:rPr>
            </w:pPr>
          </w:p>
        </w:tc>
        <w:tc>
          <w:tcPr>
            <w:tcW w:w="1080" w:type="dxa"/>
            <w:vAlign w:val="bottom"/>
            <w:shd w:val="clear" w:color="auto" w:fill="E8F5EA"/>
          </w:tcPr>
          <w:p>
            <w:pPr>
              <w:spacing w:after="0"/>
              <w:rPr>
                <w:sz w:val="11"/>
                <w:szCs w:val="11"/>
                <w:color w:val="auto"/>
              </w:rPr>
            </w:pPr>
          </w:p>
        </w:tc>
        <w:tc>
          <w:tcPr>
            <w:tcW w:w="1080" w:type="dxa"/>
            <w:vAlign w:val="bottom"/>
            <w:shd w:val="clear" w:color="auto" w:fill="E8F5EA"/>
          </w:tcPr>
          <w:p>
            <w:pPr>
              <w:spacing w:after="0"/>
              <w:rPr>
                <w:sz w:val="11"/>
                <w:szCs w:val="11"/>
                <w:color w:val="auto"/>
              </w:rPr>
            </w:pPr>
          </w:p>
        </w:tc>
        <w:tc>
          <w:tcPr>
            <w:tcW w:w="660" w:type="dxa"/>
            <w:vAlign w:val="bottom"/>
            <w:shd w:val="clear" w:color="auto" w:fill="E8F5EA"/>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880" w:type="dxa"/>
            <w:vAlign w:val="bottom"/>
            <w:shd w:val="clear" w:color="auto" w:fill="E8F5EA"/>
          </w:tcPr>
          <w:p>
            <w:pPr>
              <w:spacing w:after="0"/>
              <w:rPr>
                <w:sz w:val="20"/>
                <w:szCs w:val="20"/>
                <w:color w:val="auto"/>
              </w:rPr>
            </w:pPr>
            <w:r>
              <w:rPr>
                <w:rFonts w:ascii="Arial" w:cs="Arial" w:eastAsia="Arial" w:hAnsi="Arial"/>
                <w:sz w:val="13"/>
                <w:szCs w:val="13"/>
                <w:color w:val="auto"/>
              </w:rPr>
              <w:t>Liguori</w:t>
            </w:r>
          </w:p>
        </w:tc>
        <w:tc>
          <w:tcPr>
            <w:tcW w:w="520" w:type="dxa"/>
            <w:vAlign w:val="bottom"/>
            <w:gridSpan w:val="2"/>
            <w:shd w:val="clear" w:color="auto" w:fill="E8F5EA"/>
          </w:tcPr>
          <w:p>
            <w:pPr>
              <w:jc w:val="right"/>
              <w:ind w:right="15"/>
              <w:spacing w:after="0"/>
              <w:rPr>
                <w:sz w:val="20"/>
                <w:szCs w:val="20"/>
                <w:color w:val="auto"/>
              </w:rPr>
            </w:pPr>
            <w:r>
              <w:rPr>
                <w:rFonts w:ascii="Arial" w:cs="Arial" w:eastAsia="Arial" w:hAnsi="Arial"/>
                <w:sz w:val="13"/>
                <w:szCs w:val="13"/>
                <w:color w:val="auto"/>
              </w:rPr>
              <w:t>2020</w:t>
            </w:r>
          </w:p>
        </w:tc>
        <w:tc>
          <w:tcPr>
            <w:tcW w:w="740" w:type="dxa"/>
            <w:vAlign w:val="bottom"/>
            <w:shd w:val="clear" w:color="auto" w:fill="E8F5EA"/>
          </w:tcPr>
          <w:p>
            <w:pPr>
              <w:jc w:val="right"/>
              <w:ind w:right="15"/>
              <w:spacing w:after="0"/>
              <w:rPr>
                <w:sz w:val="20"/>
                <w:szCs w:val="20"/>
                <w:color w:val="auto"/>
              </w:rPr>
            </w:pPr>
            <w:r>
              <w:rPr>
                <w:rFonts w:ascii="Arial" w:cs="Arial" w:eastAsia="Arial" w:hAnsi="Arial"/>
                <w:sz w:val="13"/>
                <w:szCs w:val="13"/>
                <w:color w:val="auto"/>
              </w:rPr>
              <w:t>530,000</w:t>
            </w:r>
          </w:p>
        </w:tc>
        <w:tc>
          <w:tcPr>
            <w:tcW w:w="800" w:type="dxa"/>
            <w:vAlign w:val="bottom"/>
            <w:shd w:val="clear" w:color="auto" w:fill="E8F5EA"/>
          </w:tcPr>
          <w:p>
            <w:pPr>
              <w:spacing w:after="0"/>
              <w:rPr>
                <w:sz w:val="13"/>
                <w:szCs w:val="13"/>
                <w:color w:val="auto"/>
              </w:rPr>
            </w:pPr>
          </w:p>
        </w:tc>
        <w:tc>
          <w:tcPr>
            <w:tcW w:w="740" w:type="dxa"/>
            <w:vAlign w:val="bottom"/>
            <w:shd w:val="clear" w:color="auto" w:fill="E8F5EA"/>
          </w:tcPr>
          <w:p>
            <w:pPr>
              <w:jc w:val="right"/>
              <w:ind w:right="15"/>
              <w:spacing w:after="0"/>
              <w:rPr>
                <w:sz w:val="20"/>
                <w:szCs w:val="20"/>
                <w:color w:val="auto"/>
              </w:rPr>
            </w:pPr>
            <w:r>
              <w:rPr>
                <w:rFonts w:ascii="Arial" w:cs="Arial" w:eastAsia="Arial" w:hAnsi="Arial"/>
                <w:sz w:val="13"/>
                <w:szCs w:val="13"/>
                <w:color w:val="auto"/>
              </w:rPr>
              <w:t>1,059,638</w:t>
            </w:r>
          </w:p>
        </w:tc>
        <w:tc>
          <w:tcPr>
            <w:tcW w:w="740" w:type="dxa"/>
            <w:vAlign w:val="bottom"/>
            <w:shd w:val="clear" w:color="auto" w:fill="E8F5EA"/>
          </w:tcPr>
          <w:p>
            <w:pPr>
              <w:jc w:val="right"/>
              <w:ind w:right="15"/>
              <w:spacing w:after="0"/>
              <w:rPr>
                <w:sz w:val="20"/>
                <w:szCs w:val="20"/>
                <w:color w:val="auto"/>
              </w:rPr>
            </w:pPr>
            <w:r>
              <w:rPr>
                <w:rFonts w:ascii="Arial" w:cs="Arial" w:eastAsia="Arial" w:hAnsi="Arial"/>
                <w:sz w:val="13"/>
                <w:szCs w:val="13"/>
                <w:color w:val="auto"/>
              </w:rPr>
              <w:t>262,640</w:t>
            </w:r>
          </w:p>
        </w:tc>
        <w:tc>
          <w:tcPr>
            <w:tcW w:w="1080" w:type="dxa"/>
            <w:vAlign w:val="bottom"/>
            <w:shd w:val="clear" w:color="auto" w:fill="E8F5EA"/>
          </w:tcPr>
          <w:p>
            <w:pPr>
              <w:jc w:val="right"/>
              <w:ind w:right="15"/>
              <w:spacing w:after="0"/>
              <w:rPr>
                <w:sz w:val="20"/>
                <w:szCs w:val="20"/>
                <w:color w:val="auto"/>
              </w:rPr>
            </w:pPr>
            <w:r>
              <w:rPr>
                <w:rFonts w:ascii="Arial" w:cs="Arial" w:eastAsia="Arial" w:hAnsi="Arial"/>
                <w:sz w:val="13"/>
                <w:szCs w:val="13"/>
                <w:color w:val="auto"/>
              </w:rPr>
              <w:t>317,417</w:t>
            </w:r>
          </w:p>
        </w:tc>
        <w:tc>
          <w:tcPr>
            <w:tcW w:w="1080" w:type="dxa"/>
            <w:vAlign w:val="bottom"/>
            <w:shd w:val="clear" w:color="auto" w:fill="E8F5EA"/>
          </w:tcPr>
          <w:p>
            <w:pPr>
              <w:jc w:val="right"/>
              <w:ind w:right="15"/>
              <w:spacing w:after="0"/>
              <w:rPr>
                <w:sz w:val="20"/>
                <w:szCs w:val="20"/>
                <w:color w:val="auto"/>
              </w:rPr>
            </w:pPr>
            <w:r>
              <w:rPr>
                <w:rFonts w:ascii="Arial" w:cs="Arial" w:eastAsia="Arial" w:hAnsi="Arial"/>
                <w:sz w:val="13"/>
                <w:szCs w:val="13"/>
                <w:color w:val="auto"/>
              </w:rPr>
              <w:t>74,018</w:t>
            </w:r>
          </w:p>
        </w:tc>
        <w:tc>
          <w:tcPr>
            <w:tcW w:w="1080" w:type="dxa"/>
            <w:vAlign w:val="bottom"/>
            <w:shd w:val="clear" w:color="auto" w:fill="E8F5EA"/>
          </w:tcPr>
          <w:p>
            <w:pPr>
              <w:jc w:val="right"/>
              <w:ind w:right="15"/>
              <w:spacing w:after="0"/>
              <w:rPr>
                <w:sz w:val="20"/>
                <w:szCs w:val="20"/>
                <w:color w:val="auto"/>
              </w:rPr>
            </w:pPr>
            <w:r>
              <w:rPr>
                <w:rFonts w:ascii="Arial" w:cs="Arial" w:eastAsia="Arial" w:hAnsi="Arial"/>
                <w:sz w:val="13"/>
                <w:szCs w:val="13"/>
                <w:color w:val="auto"/>
              </w:rPr>
              <w:t>19,122</w:t>
            </w:r>
          </w:p>
        </w:tc>
        <w:tc>
          <w:tcPr>
            <w:tcW w:w="660" w:type="dxa"/>
            <w:vAlign w:val="bottom"/>
            <w:shd w:val="clear" w:color="auto" w:fill="E8F5EA"/>
          </w:tcPr>
          <w:p>
            <w:pPr>
              <w:jc w:val="right"/>
              <w:spacing w:after="0"/>
              <w:rPr>
                <w:sz w:val="20"/>
                <w:szCs w:val="20"/>
                <w:color w:val="auto"/>
              </w:rPr>
            </w:pPr>
            <w:r>
              <w:rPr>
                <w:rFonts w:ascii="Arial" w:cs="Arial" w:eastAsia="Arial" w:hAnsi="Arial"/>
                <w:sz w:val="13"/>
                <w:szCs w:val="13"/>
                <w:color w:val="auto"/>
              </w:rPr>
              <w:t>2,262,835</w:t>
            </w:r>
          </w:p>
        </w:tc>
        <w:tc>
          <w:tcPr>
            <w:tcW w:w="0" w:type="dxa"/>
            <w:vAlign w:val="bottom"/>
          </w:tcPr>
          <w:p>
            <w:pPr>
              <w:spacing w:after="0"/>
              <w:rPr>
                <w:sz w:val="1"/>
                <w:szCs w:val="1"/>
                <w:color w:val="auto"/>
              </w:rPr>
            </w:pPr>
          </w:p>
        </w:tc>
      </w:tr>
      <w:tr>
        <w:trPr>
          <w:trHeight w:val="134"/>
        </w:trPr>
        <w:tc>
          <w:tcPr>
            <w:tcW w:w="880" w:type="dxa"/>
            <w:vAlign w:val="bottom"/>
            <w:shd w:val="clear" w:color="auto" w:fill="E8F5EA"/>
          </w:tcPr>
          <w:p>
            <w:pPr>
              <w:spacing w:after="0" w:line="134" w:lineRule="exact"/>
              <w:rPr>
                <w:sz w:val="20"/>
                <w:szCs w:val="20"/>
                <w:color w:val="auto"/>
              </w:rPr>
            </w:pPr>
            <w:r>
              <w:rPr>
                <w:rFonts w:ascii="Arial" w:cs="Arial" w:eastAsia="Arial" w:hAnsi="Arial"/>
                <w:sz w:val="13"/>
                <w:szCs w:val="13"/>
                <w:color w:val="auto"/>
                <w:w w:val="99"/>
              </w:rPr>
              <w:t>Chief Financial</w:t>
            </w:r>
          </w:p>
        </w:tc>
        <w:tc>
          <w:tcPr>
            <w:tcW w:w="100" w:type="dxa"/>
            <w:vAlign w:val="bottom"/>
            <w:shd w:val="clear" w:color="auto" w:fill="E8F5EA"/>
          </w:tcPr>
          <w:p>
            <w:pPr>
              <w:spacing w:after="0"/>
              <w:rPr>
                <w:sz w:val="11"/>
                <w:szCs w:val="11"/>
                <w:color w:val="auto"/>
              </w:rPr>
            </w:pPr>
          </w:p>
        </w:tc>
        <w:tc>
          <w:tcPr>
            <w:tcW w:w="420" w:type="dxa"/>
            <w:vAlign w:val="bottom"/>
            <w:shd w:val="clear" w:color="auto" w:fill="E8F5EA"/>
          </w:tcPr>
          <w:p>
            <w:pPr>
              <w:spacing w:after="0"/>
              <w:rPr>
                <w:sz w:val="11"/>
                <w:szCs w:val="11"/>
                <w:color w:val="auto"/>
              </w:rPr>
            </w:pPr>
          </w:p>
        </w:tc>
        <w:tc>
          <w:tcPr>
            <w:tcW w:w="740" w:type="dxa"/>
            <w:vAlign w:val="bottom"/>
            <w:shd w:val="clear" w:color="auto" w:fill="E8F5EA"/>
          </w:tcPr>
          <w:p>
            <w:pPr>
              <w:spacing w:after="0"/>
              <w:rPr>
                <w:sz w:val="11"/>
                <w:szCs w:val="11"/>
                <w:color w:val="auto"/>
              </w:rPr>
            </w:pPr>
          </w:p>
        </w:tc>
        <w:tc>
          <w:tcPr>
            <w:tcW w:w="800" w:type="dxa"/>
            <w:vAlign w:val="bottom"/>
            <w:shd w:val="clear" w:color="auto" w:fill="E8F5EA"/>
          </w:tcPr>
          <w:p>
            <w:pPr>
              <w:spacing w:after="0"/>
              <w:rPr>
                <w:sz w:val="11"/>
                <w:szCs w:val="11"/>
                <w:color w:val="auto"/>
              </w:rPr>
            </w:pPr>
          </w:p>
        </w:tc>
        <w:tc>
          <w:tcPr>
            <w:tcW w:w="740" w:type="dxa"/>
            <w:vAlign w:val="bottom"/>
            <w:shd w:val="clear" w:color="auto" w:fill="E8F5EA"/>
          </w:tcPr>
          <w:p>
            <w:pPr>
              <w:spacing w:after="0"/>
              <w:rPr>
                <w:sz w:val="11"/>
                <w:szCs w:val="11"/>
                <w:color w:val="auto"/>
              </w:rPr>
            </w:pPr>
          </w:p>
        </w:tc>
        <w:tc>
          <w:tcPr>
            <w:tcW w:w="740" w:type="dxa"/>
            <w:vAlign w:val="bottom"/>
            <w:shd w:val="clear" w:color="auto" w:fill="E8F5EA"/>
          </w:tcPr>
          <w:p>
            <w:pPr>
              <w:spacing w:after="0"/>
              <w:rPr>
                <w:sz w:val="11"/>
                <w:szCs w:val="11"/>
                <w:color w:val="auto"/>
              </w:rPr>
            </w:pPr>
          </w:p>
        </w:tc>
        <w:tc>
          <w:tcPr>
            <w:tcW w:w="1080" w:type="dxa"/>
            <w:vAlign w:val="bottom"/>
            <w:shd w:val="clear" w:color="auto" w:fill="E8F5EA"/>
          </w:tcPr>
          <w:p>
            <w:pPr>
              <w:spacing w:after="0"/>
              <w:rPr>
                <w:sz w:val="11"/>
                <w:szCs w:val="11"/>
                <w:color w:val="auto"/>
              </w:rPr>
            </w:pPr>
          </w:p>
        </w:tc>
        <w:tc>
          <w:tcPr>
            <w:tcW w:w="1080" w:type="dxa"/>
            <w:vAlign w:val="bottom"/>
            <w:shd w:val="clear" w:color="auto" w:fill="E8F5EA"/>
          </w:tcPr>
          <w:p>
            <w:pPr>
              <w:spacing w:after="0"/>
              <w:rPr>
                <w:sz w:val="11"/>
                <w:szCs w:val="11"/>
                <w:color w:val="auto"/>
              </w:rPr>
            </w:pPr>
          </w:p>
        </w:tc>
        <w:tc>
          <w:tcPr>
            <w:tcW w:w="1080" w:type="dxa"/>
            <w:vAlign w:val="bottom"/>
            <w:shd w:val="clear" w:color="auto" w:fill="E8F5EA"/>
          </w:tcPr>
          <w:p>
            <w:pPr>
              <w:spacing w:after="0"/>
              <w:rPr>
                <w:sz w:val="11"/>
                <w:szCs w:val="11"/>
                <w:color w:val="auto"/>
              </w:rPr>
            </w:pPr>
          </w:p>
        </w:tc>
        <w:tc>
          <w:tcPr>
            <w:tcW w:w="660" w:type="dxa"/>
            <w:vAlign w:val="bottom"/>
            <w:shd w:val="clear" w:color="auto" w:fill="E8F5EA"/>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880" w:type="dxa"/>
            <w:vAlign w:val="bottom"/>
            <w:shd w:val="clear" w:color="auto" w:fill="E8F5EA"/>
          </w:tcPr>
          <w:p>
            <w:pPr>
              <w:spacing w:after="0"/>
              <w:rPr>
                <w:sz w:val="20"/>
                <w:szCs w:val="20"/>
                <w:color w:val="auto"/>
              </w:rPr>
            </w:pPr>
            <w:r>
              <w:rPr>
                <w:rFonts w:ascii="Arial" w:cs="Arial" w:eastAsia="Arial" w:hAnsi="Arial"/>
                <w:sz w:val="13"/>
                <w:szCs w:val="13"/>
                <w:color w:val="auto"/>
              </w:rPr>
              <w:t>Officer</w:t>
            </w:r>
          </w:p>
        </w:tc>
        <w:tc>
          <w:tcPr>
            <w:tcW w:w="100" w:type="dxa"/>
            <w:vAlign w:val="bottom"/>
            <w:shd w:val="clear" w:color="auto" w:fill="E8F5EA"/>
          </w:tcPr>
          <w:p>
            <w:pPr>
              <w:spacing w:after="0"/>
              <w:rPr>
                <w:sz w:val="13"/>
                <w:szCs w:val="13"/>
                <w:color w:val="auto"/>
              </w:rPr>
            </w:pPr>
          </w:p>
        </w:tc>
        <w:tc>
          <w:tcPr>
            <w:tcW w:w="420" w:type="dxa"/>
            <w:vAlign w:val="bottom"/>
            <w:shd w:val="clear" w:color="auto" w:fill="E8F5EA"/>
          </w:tcPr>
          <w:p>
            <w:pPr>
              <w:jc w:val="right"/>
              <w:ind w:right="15"/>
              <w:spacing w:after="0"/>
              <w:rPr>
                <w:sz w:val="20"/>
                <w:szCs w:val="20"/>
                <w:color w:val="auto"/>
              </w:rPr>
            </w:pPr>
            <w:r>
              <w:rPr>
                <w:rFonts w:ascii="Arial" w:cs="Arial" w:eastAsia="Arial" w:hAnsi="Arial"/>
                <w:sz w:val="13"/>
                <w:szCs w:val="13"/>
                <w:color w:val="auto"/>
              </w:rPr>
              <w:t>2019</w:t>
            </w:r>
          </w:p>
        </w:tc>
        <w:tc>
          <w:tcPr>
            <w:tcW w:w="740" w:type="dxa"/>
            <w:vAlign w:val="bottom"/>
            <w:shd w:val="clear" w:color="auto" w:fill="E8F5EA"/>
          </w:tcPr>
          <w:p>
            <w:pPr>
              <w:jc w:val="right"/>
              <w:ind w:right="15"/>
              <w:spacing w:after="0"/>
              <w:rPr>
                <w:sz w:val="20"/>
                <w:szCs w:val="20"/>
                <w:color w:val="auto"/>
              </w:rPr>
            </w:pPr>
            <w:r>
              <w:rPr>
                <w:rFonts w:ascii="Arial" w:cs="Arial" w:eastAsia="Arial" w:hAnsi="Arial"/>
                <w:sz w:val="13"/>
                <w:szCs w:val="13"/>
                <w:color w:val="auto"/>
              </w:rPr>
              <w:t>530,000</w:t>
            </w:r>
          </w:p>
        </w:tc>
        <w:tc>
          <w:tcPr>
            <w:tcW w:w="800" w:type="dxa"/>
            <w:vAlign w:val="bottom"/>
            <w:shd w:val="clear" w:color="auto" w:fill="E8F5EA"/>
          </w:tcPr>
          <w:p>
            <w:pPr>
              <w:spacing w:after="0"/>
              <w:rPr>
                <w:sz w:val="13"/>
                <w:szCs w:val="13"/>
                <w:color w:val="auto"/>
              </w:rPr>
            </w:pPr>
          </w:p>
        </w:tc>
        <w:tc>
          <w:tcPr>
            <w:tcW w:w="740" w:type="dxa"/>
            <w:vAlign w:val="bottom"/>
            <w:shd w:val="clear" w:color="auto" w:fill="E8F5EA"/>
          </w:tcPr>
          <w:p>
            <w:pPr>
              <w:jc w:val="right"/>
              <w:ind w:right="15"/>
              <w:spacing w:after="0"/>
              <w:rPr>
                <w:sz w:val="20"/>
                <w:szCs w:val="20"/>
                <w:color w:val="auto"/>
              </w:rPr>
            </w:pPr>
            <w:r>
              <w:rPr>
                <w:rFonts w:ascii="Arial" w:cs="Arial" w:eastAsia="Arial" w:hAnsi="Arial"/>
                <w:sz w:val="13"/>
                <w:szCs w:val="13"/>
                <w:color w:val="auto"/>
              </w:rPr>
              <w:t>895,097</w:t>
            </w:r>
          </w:p>
        </w:tc>
        <w:tc>
          <w:tcPr>
            <w:tcW w:w="740" w:type="dxa"/>
            <w:vAlign w:val="bottom"/>
            <w:shd w:val="clear" w:color="auto" w:fill="E8F5EA"/>
          </w:tcPr>
          <w:p>
            <w:pPr>
              <w:jc w:val="right"/>
              <w:ind w:right="15"/>
              <w:spacing w:after="0"/>
              <w:rPr>
                <w:sz w:val="20"/>
                <w:szCs w:val="20"/>
                <w:color w:val="auto"/>
              </w:rPr>
            </w:pPr>
            <w:r>
              <w:rPr>
                <w:rFonts w:ascii="Arial" w:cs="Arial" w:eastAsia="Arial" w:hAnsi="Arial"/>
                <w:sz w:val="13"/>
                <w:szCs w:val="13"/>
                <w:color w:val="auto"/>
              </w:rPr>
              <w:t>238,755</w:t>
            </w:r>
          </w:p>
        </w:tc>
        <w:tc>
          <w:tcPr>
            <w:tcW w:w="1080" w:type="dxa"/>
            <w:vAlign w:val="bottom"/>
            <w:shd w:val="clear" w:color="auto" w:fill="E8F5EA"/>
          </w:tcPr>
          <w:p>
            <w:pPr>
              <w:jc w:val="right"/>
              <w:ind w:right="15"/>
              <w:spacing w:after="0"/>
              <w:rPr>
                <w:sz w:val="20"/>
                <w:szCs w:val="20"/>
                <w:color w:val="auto"/>
              </w:rPr>
            </w:pPr>
            <w:r>
              <w:rPr>
                <w:rFonts w:ascii="Arial" w:cs="Arial" w:eastAsia="Arial" w:hAnsi="Arial"/>
                <w:sz w:val="13"/>
                <w:szCs w:val="13"/>
                <w:color w:val="auto"/>
              </w:rPr>
              <w:t>459,133</w:t>
            </w:r>
          </w:p>
        </w:tc>
        <w:tc>
          <w:tcPr>
            <w:tcW w:w="1080" w:type="dxa"/>
            <w:vAlign w:val="bottom"/>
            <w:shd w:val="clear" w:color="auto" w:fill="E8F5EA"/>
          </w:tcPr>
          <w:p>
            <w:pPr>
              <w:jc w:val="right"/>
              <w:ind w:right="15"/>
              <w:spacing w:after="0"/>
              <w:rPr>
                <w:sz w:val="20"/>
                <w:szCs w:val="20"/>
                <w:color w:val="auto"/>
              </w:rPr>
            </w:pPr>
            <w:r>
              <w:rPr>
                <w:rFonts w:ascii="Arial" w:cs="Arial" w:eastAsia="Arial" w:hAnsi="Arial"/>
                <w:sz w:val="13"/>
                <w:szCs w:val="13"/>
                <w:color w:val="auto"/>
              </w:rPr>
              <w:t>—</w:t>
            </w:r>
          </w:p>
        </w:tc>
        <w:tc>
          <w:tcPr>
            <w:tcW w:w="1080" w:type="dxa"/>
            <w:vAlign w:val="bottom"/>
            <w:shd w:val="clear" w:color="auto" w:fill="E8F5EA"/>
          </w:tcPr>
          <w:p>
            <w:pPr>
              <w:jc w:val="right"/>
              <w:ind w:right="15"/>
              <w:spacing w:after="0"/>
              <w:rPr>
                <w:sz w:val="20"/>
                <w:szCs w:val="20"/>
                <w:color w:val="auto"/>
              </w:rPr>
            </w:pPr>
            <w:r>
              <w:rPr>
                <w:rFonts w:ascii="Arial" w:cs="Arial" w:eastAsia="Arial" w:hAnsi="Arial"/>
                <w:sz w:val="13"/>
                <w:szCs w:val="13"/>
                <w:color w:val="auto"/>
              </w:rPr>
              <w:t>19,122</w:t>
            </w:r>
          </w:p>
        </w:tc>
        <w:tc>
          <w:tcPr>
            <w:tcW w:w="660" w:type="dxa"/>
            <w:vAlign w:val="bottom"/>
            <w:shd w:val="clear" w:color="auto" w:fill="E8F5EA"/>
          </w:tcPr>
          <w:p>
            <w:pPr>
              <w:jc w:val="right"/>
              <w:spacing w:after="0"/>
              <w:rPr>
                <w:sz w:val="20"/>
                <w:szCs w:val="20"/>
                <w:color w:val="auto"/>
              </w:rPr>
            </w:pPr>
            <w:r>
              <w:rPr>
                <w:rFonts w:ascii="Arial" w:cs="Arial" w:eastAsia="Arial" w:hAnsi="Arial"/>
                <w:sz w:val="13"/>
                <w:szCs w:val="13"/>
                <w:color w:val="auto"/>
              </w:rPr>
              <w:t>2,142,107</w:t>
            </w:r>
          </w:p>
        </w:tc>
        <w:tc>
          <w:tcPr>
            <w:tcW w:w="0" w:type="dxa"/>
            <w:vAlign w:val="bottom"/>
          </w:tcPr>
          <w:p>
            <w:pPr>
              <w:spacing w:after="0"/>
              <w:rPr>
                <w:sz w:val="1"/>
                <w:szCs w:val="1"/>
                <w:color w:val="auto"/>
              </w:rPr>
            </w:pPr>
          </w:p>
        </w:tc>
      </w:tr>
      <w:tr>
        <w:trPr>
          <w:trHeight w:val="146"/>
        </w:trPr>
        <w:tc>
          <w:tcPr>
            <w:tcW w:w="880" w:type="dxa"/>
            <w:vAlign w:val="bottom"/>
            <w:shd w:val="clear" w:color="auto" w:fill="E8F5EA"/>
          </w:tcPr>
          <w:p>
            <w:pPr>
              <w:spacing w:after="0"/>
              <w:rPr>
                <w:sz w:val="12"/>
                <w:szCs w:val="12"/>
                <w:color w:val="auto"/>
              </w:rPr>
            </w:pPr>
          </w:p>
        </w:tc>
        <w:tc>
          <w:tcPr>
            <w:tcW w:w="100" w:type="dxa"/>
            <w:vAlign w:val="bottom"/>
            <w:shd w:val="clear" w:color="auto" w:fill="E8F5EA"/>
          </w:tcPr>
          <w:p>
            <w:pPr>
              <w:spacing w:after="0"/>
              <w:rPr>
                <w:sz w:val="12"/>
                <w:szCs w:val="12"/>
                <w:color w:val="auto"/>
              </w:rPr>
            </w:pPr>
          </w:p>
        </w:tc>
        <w:tc>
          <w:tcPr>
            <w:tcW w:w="420" w:type="dxa"/>
            <w:vAlign w:val="bottom"/>
            <w:shd w:val="clear" w:color="auto" w:fill="E8F5EA"/>
          </w:tcPr>
          <w:p>
            <w:pPr>
              <w:jc w:val="right"/>
              <w:ind w:right="15"/>
              <w:spacing w:after="0" w:line="146" w:lineRule="exact"/>
              <w:rPr>
                <w:sz w:val="20"/>
                <w:szCs w:val="20"/>
                <w:color w:val="auto"/>
              </w:rPr>
            </w:pPr>
            <w:r>
              <w:rPr>
                <w:rFonts w:ascii="Arial" w:cs="Arial" w:eastAsia="Arial" w:hAnsi="Arial"/>
                <w:sz w:val="13"/>
                <w:szCs w:val="13"/>
                <w:color w:val="auto"/>
              </w:rPr>
              <w:t>2018</w:t>
            </w:r>
          </w:p>
        </w:tc>
        <w:tc>
          <w:tcPr>
            <w:tcW w:w="740" w:type="dxa"/>
            <w:vAlign w:val="bottom"/>
            <w:shd w:val="clear" w:color="auto" w:fill="E8F5EA"/>
          </w:tcPr>
          <w:p>
            <w:pPr>
              <w:jc w:val="right"/>
              <w:ind w:right="15"/>
              <w:spacing w:after="0" w:line="146" w:lineRule="exact"/>
              <w:rPr>
                <w:sz w:val="20"/>
                <w:szCs w:val="20"/>
                <w:color w:val="auto"/>
              </w:rPr>
            </w:pPr>
            <w:r>
              <w:rPr>
                <w:rFonts w:ascii="Arial" w:cs="Arial" w:eastAsia="Arial" w:hAnsi="Arial"/>
                <w:sz w:val="13"/>
                <w:szCs w:val="13"/>
                <w:color w:val="auto"/>
              </w:rPr>
              <w:t>211,538</w:t>
            </w:r>
          </w:p>
        </w:tc>
        <w:tc>
          <w:tcPr>
            <w:tcW w:w="800" w:type="dxa"/>
            <w:vAlign w:val="bottom"/>
            <w:shd w:val="clear" w:color="auto" w:fill="E8F5EA"/>
          </w:tcPr>
          <w:p>
            <w:pPr>
              <w:jc w:val="right"/>
              <w:ind w:right="15"/>
              <w:spacing w:after="0" w:line="146" w:lineRule="exact"/>
              <w:rPr>
                <w:sz w:val="20"/>
                <w:szCs w:val="20"/>
                <w:color w:val="auto"/>
              </w:rPr>
            </w:pPr>
            <w:r>
              <w:rPr>
                <w:rFonts w:ascii="Arial" w:cs="Arial" w:eastAsia="Arial" w:hAnsi="Arial"/>
                <w:sz w:val="13"/>
                <w:szCs w:val="13"/>
                <w:color w:val="auto"/>
              </w:rPr>
              <w:t>350,000(6)</w:t>
            </w:r>
          </w:p>
        </w:tc>
        <w:tc>
          <w:tcPr>
            <w:tcW w:w="740" w:type="dxa"/>
            <w:vAlign w:val="bottom"/>
            <w:shd w:val="clear" w:color="auto" w:fill="E8F5EA"/>
          </w:tcPr>
          <w:p>
            <w:pPr>
              <w:jc w:val="right"/>
              <w:ind w:right="15"/>
              <w:spacing w:after="0" w:line="146" w:lineRule="exact"/>
              <w:rPr>
                <w:sz w:val="20"/>
                <w:szCs w:val="20"/>
                <w:color w:val="auto"/>
              </w:rPr>
            </w:pPr>
            <w:r>
              <w:rPr>
                <w:rFonts w:ascii="Arial" w:cs="Arial" w:eastAsia="Arial" w:hAnsi="Arial"/>
                <w:sz w:val="13"/>
                <w:szCs w:val="13"/>
                <w:color w:val="auto"/>
              </w:rPr>
              <w:t>3,133,946</w:t>
            </w:r>
          </w:p>
        </w:tc>
        <w:tc>
          <w:tcPr>
            <w:tcW w:w="740" w:type="dxa"/>
            <w:vAlign w:val="bottom"/>
            <w:shd w:val="clear" w:color="auto" w:fill="E8F5EA"/>
          </w:tcPr>
          <w:p>
            <w:pPr>
              <w:jc w:val="right"/>
              <w:ind w:right="15"/>
              <w:spacing w:after="0" w:line="146" w:lineRule="exact"/>
              <w:rPr>
                <w:sz w:val="20"/>
                <w:szCs w:val="20"/>
                <w:color w:val="auto"/>
              </w:rPr>
            </w:pPr>
            <w:r>
              <w:rPr>
                <w:rFonts w:ascii="Arial" w:cs="Arial" w:eastAsia="Arial" w:hAnsi="Arial"/>
                <w:sz w:val="13"/>
                <w:szCs w:val="13"/>
                <w:color w:val="auto"/>
              </w:rPr>
              <w:t>95,806</w:t>
            </w:r>
          </w:p>
        </w:tc>
        <w:tc>
          <w:tcPr>
            <w:tcW w:w="1080" w:type="dxa"/>
            <w:vAlign w:val="bottom"/>
            <w:shd w:val="clear" w:color="auto" w:fill="E8F5EA"/>
          </w:tcPr>
          <w:p>
            <w:pPr>
              <w:jc w:val="right"/>
              <w:ind w:right="15"/>
              <w:spacing w:after="0" w:line="146" w:lineRule="exact"/>
              <w:rPr>
                <w:sz w:val="20"/>
                <w:szCs w:val="20"/>
                <w:color w:val="auto"/>
              </w:rPr>
            </w:pPr>
            <w:r>
              <w:rPr>
                <w:rFonts w:ascii="Arial" w:cs="Arial" w:eastAsia="Arial" w:hAnsi="Arial"/>
                <w:sz w:val="13"/>
                <w:szCs w:val="13"/>
                <w:color w:val="auto"/>
              </w:rPr>
              <w:t>203,618</w:t>
            </w:r>
          </w:p>
        </w:tc>
        <w:tc>
          <w:tcPr>
            <w:tcW w:w="1080" w:type="dxa"/>
            <w:vAlign w:val="bottom"/>
            <w:shd w:val="clear" w:color="auto" w:fill="E8F5EA"/>
          </w:tcPr>
          <w:p>
            <w:pPr>
              <w:jc w:val="right"/>
              <w:ind w:right="15"/>
              <w:spacing w:after="0" w:line="146" w:lineRule="exact"/>
              <w:rPr>
                <w:sz w:val="20"/>
                <w:szCs w:val="20"/>
                <w:color w:val="auto"/>
              </w:rPr>
            </w:pPr>
            <w:r>
              <w:rPr>
                <w:rFonts w:ascii="Arial" w:cs="Arial" w:eastAsia="Arial" w:hAnsi="Arial"/>
                <w:sz w:val="13"/>
                <w:szCs w:val="13"/>
                <w:color w:val="auto"/>
              </w:rPr>
              <w:t>—</w:t>
            </w:r>
          </w:p>
        </w:tc>
        <w:tc>
          <w:tcPr>
            <w:tcW w:w="1080" w:type="dxa"/>
            <w:vAlign w:val="bottom"/>
            <w:shd w:val="clear" w:color="auto" w:fill="E8F5EA"/>
          </w:tcPr>
          <w:p>
            <w:pPr>
              <w:jc w:val="right"/>
              <w:ind w:right="15"/>
              <w:spacing w:after="0" w:line="146" w:lineRule="exact"/>
              <w:rPr>
                <w:sz w:val="20"/>
                <w:szCs w:val="20"/>
                <w:color w:val="auto"/>
              </w:rPr>
            </w:pPr>
            <w:r>
              <w:rPr>
                <w:rFonts w:ascii="Arial" w:cs="Arial" w:eastAsia="Arial" w:hAnsi="Arial"/>
                <w:sz w:val="13"/>
                <w:szCs w:val="13"/>
                <w:color w:val="auto"/>
              </w:rPr>
              <w:t>5,829</w:t>
            </w:r>
          </w:p>
        </w:tc>
        <w:tc>
          <w:tcPr>
            <w:tcW w:w="66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4,000,737</w:t>
            </w:r>
          </w:p>
        </w:tc>
        <w:tc>
          <w:tcPr>
            <w:tcW w:w="0" w:type="dxa"/>
            <w:vAlign w:val="bottom"/>
          </w:tcPr>
          <w:p>
            <w:pPr>
              <w:spacing w:after="0"/>
              <w:rPr>
                <w:sz w:val="1"/>
                <w:szCs w:val="1"/>
                <w:color w:val="auto"/>
              </w:rPr>
            </w:pPr>
          </w:p>
        </w:tc>
      </w:tr>
      <w:tr>
        <w:trPr>
          <w:trHeight w:val="134"/>
        </w:trPr>
        <w:tc>
          <w:tcPr>
            <w:tcW w:w="880" w:type="dxa"/>
            <w:vAlign w:val="bottom"/>
          </w:tcPr>
          <w:p>
            <w:pPr>
              <w:spacing w:after="0" w:line="134" w:lineRule="exact"/>
              <w:rPr>
                <w:sz w:val="20"/>
                <w:szCs w:val="20"/>
                <w:color w:val="auto"/>
              </w:rPr>
            </w:pPr>
            <w:r>
              <w:rPr>
                <w:rFonts w:ascii="Arial" w:cs="Arial" w:eastAsia="Arial" w:hAnsi="Arial"/>
                <w:sz w:val="13"/>
                <w:szCs w:val="13"/>
                <w:color w:val="auto"/>
              </w:rPr>
              <w:t>Peter G.</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880" w:type="dxa"/>
            <w:vAlign w:val="bottom"/>
          </w:tcPr>
          <w:p>
            <w:pPr>
              <w:spacing w:after="0" w:line="146" w:lineRule="exact"/>
              <w:rPr>
                <w:sz w:val="20"/>
                <w:szCs w:val="20"/>
                <w:color w:val="auto"/>
              </w:rPr>
            </w:pPr>
            <w:r>
              <w:rPr>
                <w:rFonts w:ascii="Arial" w:cs="Arial" w:eastAsia="Arial" w:hAnsi="Arial"/>
                <w:sz w:val="13"/>
                <w:szCs w:val="13"/>
                <w:color w:val="auto"/>
              </w:rPr>
              <w:t>Bartolotta</w:t>
            </w:r>
          </w:p>
        </w:tc>
        <w:tc>
          <w:tcPr>
            <w:tcW w:w="520" w:type="dxa"/>
            <w:vAlign w:val="bottom"/>
            <w:gridSpan w:val="2"/>
          </w:tcPr>
          <w:p>
            <w:pPr>
              <w:jc w:val="right"/>
              <w:ind w:right="15"/>
              <w:spacing w:after="0" w:line="146" w:lineRule="exact"/>
              <w:rPr>
                <w:sz w:val="20"/>
                <w:szCs w:val="20"/>
                <w:color w:val="auto"/>
              </w:rPr>
            </w:pPr>
            <w:r>
              <w:rPr>
                <w:rFonts w:ascii="Arial" w:cs="Arial" w:eastAsia="Arial" w:hAnsi="Arial"/>
                <w:sz w:val="13"/>
                <w:szCs w:val="13"/>
                <w:color w:val="auto"/>
              </w:rPr>
              <w:t>2020</w:t>
            </w:r>
          </w:p>
        </w:tc>
        <w:tc>
          <w:tcPr>
            <w:tcW w:w="740" w:type="dxa"/>
            <w:vAlign w:val="bottom"/>
          </w:tcPr>
          <w:p>
            <w:pPr>
              <w:jc w:val="right"/>
              <w:ind w:right="15"/>
              <w:spacing w:after="0" w:line="146" w:lineRule="exact"/>
              <w:rPr>
                <w:sz w:val="20"/>
                <w:szCs w:val="20"/>
                <w:color w:val="auto"/>
              </w:rPr>
            </w:pPr>
            <w:r>
              <w:rPr>
                <w:rFonts w:ascii="Arial" w:cs="Arial" w:eastAsia="Arial" w:hAnsi="Arial"/>
                <w:sz w:val="13"/>
                <w:szCs w:val="13"/>
                <w:color w:val="auto"/>
              </w:rPr>
              <w:t>550,000</w:t>
            </w:r>
          </w:p>
        </w:tc>
        <w:tc>
          <w:tcPr>
            <w:tcW w:w="800" w:type="dxa"/>
            <w:vAlign w:val="bottom"/>
          </w:tcPr>
          <w:p>
            <w:pPr>
              <w:spacing w:after="0"/>
              <w:rPr>
                <w:sz w:val="12"/>
                <w:szCs w:val="12"/>
                <w:color w:val="auto"/>
              </w:rPr>
            </w:pPr>
          </w:p>
        </w:tc>
        <w:tc>
          <w:tcPr>
            <w:tcW w:w="740" w:type="dxa"/>
            <w:vAlign w:val="bottom"/>
          </w:tcPr>
          <w:p>
            <w:pPr>
              <w:jc w:val="right"/>
              <w:ind w:right="15"/>
              <w:spacing w:after="0" w:line="146" w:lineRule="exact"/>
              <w:rPr>
                <w:sz w:val="20"/>
                <w:szCs w:val="20"/>
                <w:color w:val="auto"/>
              </w:rPr>
            </w:pPr>
            <w:r>
              <w:rPr>
                <w:rFonts w:ascii="Arial" w:cs="Arial" w:eastAsia="Arial" w:hAnsi="Arial"/>
                <w:sz w:val="13"/>
                <w:szCs w:val="13"/>
                <w:color w:val="auto"/>
              </w:rPr>
              <w:t>777,163</w:t>
            </w:r>
          </w:p>
        </w:tc>
        <w:tc>
          <w:tcPr>
            <w:tcW w:w="740" w:type="dxa"/>
            <w:vAlign w:val="bottom"/>
          </w:tcPr>
          <w:p>
            <w:pPr>
              <w:jc w:val="right"/>
              <w:ind w:right="15"/>
              <w:spacing w:after="0" w:line="146" w:lineRule="exact"/>
              <w:rPr>
                <w:sz w:val="20"/>
                <w:szCs w:val="20"/>
                <w:color w:val="auto"/>
              </w:rPr>
            </w:pPr>
            <w:r>
              <w:rPr>
                <w:rFonts w:ascii="Arial" w:cs="Arial" w:eastAsia="Arial" w:hAnsi="Arial"/>
                <w:sz w:val="13"/>
                <w:szCs w:val="13"/>
                <w:color w:val="auto"/>
              </w:rPr>
              <w:t>192,601</w:t>
            </w:r>
          </w:p>
        </w:tc>
        <w:tc>
          <w:tcPr>
            <w:tcW w:w="1080" w:type="dxa"/>
            <w:vAlign w:val="bottom"/>
          </w:tcPr>
          <w:p>
            <w:pPr>
              <w:jc w:val="right"/>
              <w:ind w:right="15"/>
              <w:spacing w:after="0" w:line="146" w:lineRule="exact"/>
              <w:rPr>
                <w:sz w:val="20"/>
                <w:szCs w:val="20"/>
                <w:color w:val="auto"/>
              </w:rPr>
            </w:pPr>
            <w:r>
              <w:rPr>
                <w:rFonts w:ascii="Arial" w:cs="Arial" w:eastAsia="Arial" w:hAnsi="Arial"/>
                <w:sz w:val="13"/>
                <w:szCs w:val="13"/>
                <w:color w:val="auto"/>
              </w:rPr>
              <w:t>274,395</w:t>
            </w:r>
          </w:p>
        </w:tc>
        <w:tc>
          <w:tcPr>
            <w:tcW w:w="1080" w:type="dxa"/>
            <w:vAlign w:val="bottom"/>
          </w:tcPr>
          <w:p>
            <w:pPr>
              <w:jc w:val="right"/>
              <w:ind w:right="15"/>
              <w:spacing w:after="0" w:line="146" w:lineRule="exact"/>
              <w:rPr>
                <w:sz w:val="20"/>
                <w:szCs w:val="20"/>
                <w:color w:val="auto"/>
              </w:rPr>
            </w:pPr>
            <w:r>
              <w:rPr>
                <w:rFonts w:ascii="Arial" w:cs="Arial" w:eastAsia="Arial" w:hAnsi="Arial"/>
                <w:sz w:val="13"/>
                <w:szCs w:val="13"/>
                <w:color w:val="auto"/>
              </w:rPr>
              <w:t>82,538</w:t>
            </w:r>
          </w:p>
        </w:tc>
        <w:tc>
          <w:tcPr>
            <w:tcW w:w="1080" w:type="dxa"/>
            <w:vAlign w:val="bottom"/>
          </w:tcPr>
          <w:p>
            <w:pPr>
              <w:jc w:val="right"/>
              <w:ind w:right="15"/>
              <w:spacing w:after="0" w:line="146" w:lineRule="exact"/>
              <w:rPr>
                <w:sz w:val="20"/>
                <w:szCs w:val="20"/>
                <w:color w:val="auto"/>
              </w:rPr>
            </w:pPr>
            <w:r>
              <w:rPr>
                <w:rFonts w:ascii="Arial" w:cs="Arial" w:eastAsia="Arial" w:hAnsi="Arial"/>
                <w:sz w:val="13"/>
                <w:szCs w:val="13"/>
                <w:color w:val="auto"/>
              </w:rPr>
              <w:t>46,769</w:t>
            </w: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1,923,466</w:t>
            </w:r>
          </w:p>
        </w:tc>
        <w:tc>
          <w:tcPr>
            <w:tcW w:w="0" w:type="dxa"/>
            <w:vAlign w:val="bottom"/>
          </w:tcPr>
          <w:p>
            <w:pPr>
              <w:spacing w:after="0"/>
              <w:rPr>
                <w:sz w:val="1"/>
                <w:szCs w:val="1"/>
                <w:color w:val="auto"/>
              </w:rPr>
            </w:pPr>
          </w:p>
        </w:tc>
      </w:tr>
      <w:tr>
        <w:trPr>
          <w:trHeight w:val="146"/>
        </w:trPr>
        <w:tc>
          <w:tcPr>
            <w:tcW w:w="880" w:type="dxa"/>
            <w:vAlign w:val="bottom"/>
          </w:tcPr>
          <w:p>
            <w:pPr>
              <w:spacing w:after="0" w:line="146" w:lineRule="exact"/>
              <w:rPr>
                <w:sz w:val="20"/>
                <w:szCs w:val="20"/>
                <w:color w:val="auto"/>
              </w:rPr>
            </w:pPr>
            <w:r>
              <w:rPr>
                <w:rFonts w:ascii="Arial" w:cs="Arial" w:eastAsia="Arial" w:hAnsi="Arial"/>
                <w:sz w:val="13"/>
                <w:szCs w:val="13"/>
                <w:color w:val="auto"/>
              </w:rPr>
              <w:t>President,</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80" w:type="dxa"/>
            <w:vAlign w:val="bottom"/>
          </w:tcPr>
          <w:p>
            <w:pPr>
              <w:spacing w:after="0" w:line="146" w:lineRule="exact"/>
              <w:rPr>
                <w:sz w:val="20"/>
                <w:szCs w:val="20"/>
                <w:color w:val="auto"/>
              </w:rPr>
            </w:pPr>
            <w:r>
              <w:rPr>
                <w:rFonts w:ascii="Arial" w:cs="Arial" w:eastAsia="Arial" w:hAnsi="Arial"/>
                <w:sz w:val="13"/>
                <w:szCs w:val="13"/>
                <w:color w:val="auto"/>
              </w:rPr>
              <w:t>Business</w:t>
            </w:r>
          </w:p>
        </w:tc>
        <w:tc>
          <w:tcPr>
            <w:tcW w:w="520" w:type="dxa"/>
            <w:vAlign w:val="bottom"/>
            <w:gridSpan w:val="2"/>
          </w:tcPr>
          <w:p>
            <w:pPr>
              <w:jc w:val="right"/>
              <w:ind w:right="15"/>
              <w:spacing w:after="0" w:line="146" w:lineRule="exact"/>
              <w:rPr>
                <w:sz w:val="20"/>
                <w:szCs w:val="20"/>
                <w:color w:val="auto"/>
              </w:rPr>
            </w:pPr>
            <w:r>
              <w:rPr>
                <w:rFonts w:ascii="Arial" w:cs="Arial" w:eastAsia="Arial" w:hAnsi="Arial"/>
                <w:sz w:val="13"/>
                <w:szCs w:val="13"/>
                <w:color w:val="auto"/>
              </w:rPr>
              <w:t>2019</w:t>
            </w:r>
          </w:p>
        </w:tc>
        <w:tc>
          <w:tcPr>
            <w:tcW w:w="740" w:type="dxa"/>
            <w:vAlign w:val="bottom"/>
          </w:tcPr>
          <w:p>
            <w:pPr>
              <w:jc w:val="right"/>
              <w:ind w:right="15"/>
              <w:spacing w:after="0" w:line="146" w:lineRule="exact"/>
              <w:rPr>
                <w:sz w:val="20"/>
                <w:szCs w:val="20"/>
                <w:color w:val="auto"/>
              </w:rPr>
            </w:pPr>
            <w:r>
              <w:rPr>
                <w:rFonts w:ascii="Arial" w:cs="Arial" w:eastAsia="Arial" w:hAnsi="Arial"/>
                <w:sz w:val="13"/>
                <w:szCs w:val="13"/>
                <w:color w:val="auto"/>
              </w:rPr>
              <w:t>550,000</w:t>
            </w:r>
          </w:p>
        </w:tc>
        <w:tc>
          <w:tcPr>
            <w:tcW w:w="800" w:type="dxa"/>
            <w:vAlign w:val="bottom"/>
          </w:tcPr>
          <w:p>
            <w:pPr>
              <w:spacing w:after="0"/>
              <w:rPr>
                <w:sz w:val="12"/>
                <w:szCs w:val="12"/>
                <w:color w:val="auto"/>
              </w:rPr>
            </w:pPr>
          </w:p>
        </w:tc>
        <w:tc>
          <w:tcPr>
            <w:tcW w:w="740" w:type="dxa"/>
            <w:vAlign w:val="bottom"/>
          </w:tcPr>
          <w:p>
            <w:pPr>
              <w:jc w:val="right"/>
              <w:ind w:right="15"/>
              <w:spacing w:after="0" w:line="146" w:lineRule="exact"/>
              <w:rPr>
                <w:sz w:val="20"/>
                <w:szCs w:val="20"/>
                <w:color w:val="auto"/>
              </w:rPr>
            </w:pPr>
            <w:r>
              <w:rPr>
                <w:rFonts w:ascii="Arial" w:cs="Arial" w:eastAsia="Arial" w:hAnsi="Arial"/>
                <w:sz w:val="13"/>
                <w:szCs w:val="13"/>
                <w:color w:val="auto"/>
              </w:rPr>
              <w:t>787,683</w:t>
            </w:r>
          </w:p>
        </w:tc>
        <w:tc>
          <w:tcPr>
            <w:tcW w:w="740" w:type="dxa"/>
            <w:vAlign w:val="bottom"/>
          </w:tcPr>
          <w:p>
            <w:pPr>
              <w:jc w:val="right"/>
              <w:ind w:right="15"/>
              <w:spacing w:after="0" w:line="146" w:lineRule="exact"/>
              <w:rPr>
                <w:sz w:val="20"/>
                <w:szCs w:val="20"/>
                <w:color w:val="auto"/>
              </w:rPr>
            </w:pPr>
            <w:r>
              <w:rPr>
                <w:rFonts w:ascii="Arial" w:cs="Arial" w:eastAsia="Arial" w:hAnsi="Arial"/>
                <w:sz w:val="13"/>
                <w:szCs w:val="13"/>
                <w:color w:val="auto"/>
              </w:rPr>
              <w:t>210,081</w:t>
            </w:r>
          </w:p>
        </w:tc>
        <w:tc>
          <w:tcPr>
            <w:tcW w:w="1080" w:type="dxa"/>
            <w:vAlign w:val="bottom"/>
          </w:tcPr>
          <w:p>
            <w:pPr>
              <w:jc w:val="right"/>
              <w:ind w:right="15"/>
              <w:spacing w:after="0" w:line="146" w:lineRule="exact"/>
              <w:rPr>
                <w:sz w:val="20"/>
                <w:szCs w:val="20"/>
                <w:color w:val="auto"/>
              </w:rPr>
            </w:pPr>
            <w:r>
              <w:rPr>
                <w:rFonts w:ascii="Arial" w:cs="Arial" w:eastAsia="Arial" w:hAnsi="Arial"/>
                <w:sz w:val="13"/>
                <w:szCs w:val="13"/>
                <w:color w:val="auto"/>
              </w:rPr>
              <w:t>476,458</w:t>
            </w:r>
          </w:p>
        </w:tc>
        <w:tc>
          <w:tcPr>
            <w:tcW w:w="1080" w:type="dxa"/>
            <w:vAlign w:val="bottom"/>
          </w:tcPr>
          <w:p>
            <w:pPr>
              <w:jc w:val="right"/>
              <w:ind w:right="15"/>
              <w:spacing w:after="0" w:line="146" w:lineRule="exact"/>
              <w:rPr>
                <w:sz w:val="20"/>
                <w:szCs w:val="20"/>
                <w:color w:val="auto"/>
              </w:rPr>
            </w:pPr>
            <w:r>
              <w:rPr>
                <w:rFonts w:ascii="Arial" w:cs="Arial" w:eastAsia="Arial" w:hAnsi="Arial"/>
                <w:sz w:val="13"/>
                <w:szCs w:val="13"/>
                <w:color w:val="auto"/>
              </w:rPr>
              <w:t>82,776</w:t>
            </w:r>
          </w:p>
        </w:tc>
        <w:tc>
          <w:tcPr>
            <w:tcW w:w="1080" w:type="dxa"/>
            <w:vAlign w:val="bottom"/>
          </w:tcPr>
          <w:p>
            <w:pPr>
              <w:jc w:val="right"/>
              <w:ind w:right="15"/>
              <w:spacing w:after="0" w:line="146" w:lineRule="exact"/>
              <w:rPr>
                <w:sz w:val="20"/>
                <w:szCs w:val="20"/>
                <w:color w:val="auto"/>
              </w:rPr>
            </w:pPr>
            <w:r>
              <w:rPr>
                <w:rFonts w:ascii="Arial" w:cs="Arial" w:eastAsia="Arial" w:hAnsi="Arial"/>
                <w:sz w:val="13"/>
                <w:szCs w:val="13"/>
                <w:color w:val="auto"/>
              </w:rPr>
              <w:t>61,173</w:t>
            </w: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2,168,171</w:t>
            </w:r>
          </w:p>
        </w:tc>
        <w:tc>
          <w:tcPr>
            <w:tcW w:w="0" w:type="dxa"/>
            <w:vAlign w:val="bottom"/>
          </w:tcPr>
          <w:p>
            <w:pPr>
              <w:spacing w:after="0"/>
              <w:rPr>
                <w:sz w:val="1"/>
                <w:szCs w:val="1"/>
                <w:color w:val="auto"/>
              </w:rPr>
            </w:pPr>
          </w:p>
        </w:tc>
      </w:tr>
      <w:tr>
        <w:trPr>
          <w:trHeight w:val="157"/>
        </w:trPr>
        <w:tc>
          <w:tcPr>
            <w:tcW w:w="880" w:type="dxa"/>
            <w:vAlign w:val="bottom"/>
          </w:tcPr>
          <w:p>
            <w:pPr>
              <w:spacing w:after="0"/>
              <w:rPr>
                <w:sz w:val="20"/>
                <w:szCs w:val="20"/>
                <w:color w:val="auto"/>
              </w:rPr>
            </w:pPr>
            <w:r>
              <w:rPr>
                <w:rFonts w:ascii="Arial" w:cs="Arial" w:eastAsia="Arial" w:hAnsi="Arial"/>
                <w:sz w:val="13"/>
                <w:szCs w:val="13"/>
                <w:color w:val="auto"/>
                <w:w w:val="98"/>
              </w:rPr>
              <w:t>Transformation</w:t>
            </w:r>
          </w:p>
        </w:tc>
        <w:tc>
          <w:tcPr>
            <w:tcW w:w="520" w:type="dxa"/>
            <w:vAlign w:val="bottom"/>
            <w:gridSpan w:val="2"/>
          </w:tcPr>
          <w:p>
            <w:pPr>
              <w:jc w:val="right"/>
              <w:ind w:right="15"/>
              <w:spacing w:after="0"/>
              <w:rPr>
                <w:sz w:val="20"/>
                <w:szCs w:val="20"/>
                <w:color w:val="auto"/>
              </w:rPr>
            </w:pPr>
            <w:r>
              <w:rPr>
                <w:rFonts w:ascii="Arial" w:cs="Arial" w:eastAsia="Arial" w:hAnsi="Arial"/>
                <w:sz w:val="13"/>
                <w:szCs w:val="13"/>
                <w:color w:val="auto"/>
              </w:rPr>
              <w:t>2018</w:t>
            </w:r>
          </w:p>
        </w:tc>
        <w:tc>
          <w:tcPr>
            <w:tcW w:w="740" w:type="dxa"/>
            <w:vAlign w:val="bottom"/>
          </w:tcPr>
          <w:p>
            <w:pPr>
              <w:jc w:val="right"/>
              <w:ind w:right="15"/>
              <w:spacing w:after="0"/>
              <w:rPr>
                <w:sz w:val="20"/>
                <w:szCs w:val="20"/>
                <w:color w:val="auto"/>
              </w:rPr>
            </w:pPr>
            <w:r>
              <w:rPr>
                <w:rFonts w:ascii="Arial" w:cs="Arial" w:eastAsia="Arial" w:hAnsi="Arial"/>
                <w:sz w:val="13"/>
                <w:szCs w:val="13"/>
                <w:color w:val="auto"/>
              </w:rPr>
              <w:t>550,000</w:t>
            </w:r>
          </w:p>
        </w:tc>
        <w:tc>
          <w:tcPr>
            <w:tcW w:w="800" w:type="dxa"/>
            <w:vAlign w:val="bottom"/>
          </w:tcPr>
          <w:p>
            <w:pPr>
              <w:spacing w:after="0"/>
              <w:rPr>
                <w:sz w:val="13"/>
                <w:szCs w:val="13"/>
                <w:color w:val="auto"/>
              </w:rPr>
            </w:pPr>
          </w:p>
        </w:tc>
        <w:tc>
          <w:tcPr>
            <w:tcW w:w="740" w:type="dxa"/>
            <w:vAlign w:val="bottom"/>
          </w:tcPr>
          <w:p>
            <w:pPr>
              <w:jc w:val="right"/>
              <w:ind w:right="15"/>
              <w:spacing w:after="0"/>
              <w:rPr>
                <w:sz w:val="20"/>
                <w:szCs w:val="20"/>
                <w:color w:val="auto"/>
              </w:rPr>
            </w:pPr>
            <w:r>
              <w:rPr>
                <w:rFonts w:ascii="Arial" w:cs="Arial" w:eastAsia="Arial" w:hAnsi="Arial"/>
                <w:sz w:val="13"/>
                <w:szCs w:val="13"/>
                <w:color w:val="auto"/>
              </w:rPr>
              <w:t>782,611</w:t>
            </w:r>
          </w:p>
        </w:tc>
        <w:tc>
          <w:tcPr>
            <w:tcW w:w="740" w:type="dxa"/>
            <w:vAlign w:val="bottom"/>
          </w:tcPr>
          <w:p>
            <w:pPr>
              <w:jc w:val="right"/>
              <w:ind w:right="15"/>
              <w:spacing w:after="0"/>
              <w:rPr>
                <w:sz w:val="20"/>
                <w:szCs w:val="20"/>
                <w:color w:val="auto"/>
              </w:rPr>
            </w:pPr>
            <w:r>
              <w:rPr>
                <w:rFonts w:ascii="Arial" w:cs="Arial" w:eastAsia="Arial" w:hAnsi="Arial"/>
                <w:sz w:val="13"/>
                <w:szCs w:val="13"/>
                <w:color w:val="auto"/>
              </w:rPr>
              <w:t>207,814</w:t>
            </w:r>
          </w:p>
        </w:tc>
        <w:tc>
          <w:tcPr>
            <w:tcW w:w="1080" w:type="dxa"/>
            <w:vAlign w:val="bottom"/>
          </w:tcPr>
          <w:p>
            <w:pPr>
              <w:jc w:val="right"/>
              <w:ind w:right="15"/>
              <w:spacing w:after="0"/>
              <w:rPr>
                <w:sz w:val="20"/>
                <w:szCs w:val="20"/>
                <w:color w:val="auto"/>
              </w:rPr>
            </w:pPr>
            <w:r>
              <w:rPr>
                <w:rFonts w:ascii="Arial" w:cs="Arial" w:eastAsia="Arial" w:hAnsi="Arial"/>
                <w:sz w:val="13"/>
                <w:szCs w:val="13"/>
                <w:color w:val="auto"/>
              </w:rPr>
              <w:t>643,526</w:t>
            </w:r>
          </w:p>
        </w:tc>
        <w:tc>
          <w:tcPr>
            <w:tcW w:w="1080" w:type="dxa"/>
            <w:vAlign w:val="bottom"/>
          </w:tcPr>
          <w:p>
            <w:pPr>
              <w:jc w:val="right"/>
              <w:ind w:right="15"/>
              <w:spacing w:after="0"/>
              <w:rPr>
                <w:sz w:val="20"/>
                <w:szCs w:val="20"/>
                <w:color w:val="auto"/>
              </w:rPr>
            </w:pPr>
            <w:r>
              <w:rPr>
                <w:rFonts w:ascii="Arial" w:cs="Arial" w:eastAsia="Arial" w:hAnsi="Arial"/>
                <w:sz w:val="13"/>
                <w:szCs w:val="13"/>
                <w:color w:val="auto"/>
              </w:rPr>
              <w:t>17,698</w:t>
            </w:r>
          </w:p>
        </w:tc>
        <w:tc>
          <w:tcPr>
            <w:tcW w:w="1080" w:type="dxa"/>
            <w:vAlign w:val="bottom"/>
          </w:tcPr>
          <w:p>
            <w:pPr>
              <w:jc w:val="right"/>
              <w:ind w:right="15"/>
              <w:spacing w:after="0"/>
              <w:rPr>
                <w:sz w:val="20"/>
                <w:szCs w:val="20"/>
                <w:color w:val="auto"/>
              </w:rPr>
            </w:pPr>
            <w:r>
              <w:rPr>
                <w:rFonts w:ascii="Arial" w:cs="Arial" w:eastAsia="Arial" w:hAnsi="Arial"/>
                <w:sz w:val="13"/>
                <w:szCs w:val="13"/>
                <w:color w:val="auto"/>
              </w:rPr>
              <w:t>58,373</w:t>
            </w:r>
          </w:p>
        </w:tc>
        <w:tc>
          <w:tcPr>
            <w:tcW w:w="660" w:type="dxa"/>
            <w:vAlign w:val="bottom"/>
          </w:tcPr>
          <w:p>
            <w:pPr>
              <w:jc w:val="right"/>
              <w:spacing w:after="0"/>
              <w:rPr>
                <w:sz w:val="20"/>
                <w:szCs w:val="20"/>
                <w:color w:val="auto"/>
              </w:rPr>
            </w:pPr>
            <w:r>
              <w:rPr>
                <w:rFonts w:ascii="Arial" w:cs="Arial" w:eastAsia="Arial" w:hAnsi="Arial"/>
                <w:sz w:val="13"/>
                <w:szCs w:val="13"/>
                <w:color w:val="auto"/>
              </w:rPr>
              <w:t>2,260,022</w:t>
            </w:r>
          </w:p>
        </w:tc>
        <w:tc>
          <w:tcPr>
            <w:tcW w:w="0" w:type="dxa"/>
            <w:vAlign w:val="bottom"/>
          </w:tcPr>
          <w:p>
            <w:pPr>
              <w:spacing w:after="0"/>
              <w:rPr>
                <w:sz w:val="1"/>
                <w:szCs w:val="1"/>
                <w:color w:val="auto"/>
              </w:rPr>
            </w:pPr>
          </w:p>
        </w:tc>
      </w:tr>
      <w:tr>
        <w:trPr>
          <w:trHeight w:val="134"/>
        </w:trPr>
        <w:tc>
          <w:tcPr>
            <w:tcW w:w="880" w:type="dxa"/>
            <w:vAlign w:val="bottom"/>
            <w:shd w:val="clear" w:color="auto" w:fill="E8F5EA"/>
          </w:tcPr>
          <w:p>
            <w:pPr>
              <w:spacing w:after="0" w:line="134" w:lineRule="exact"/>
              <w:rPr>
                <w:sz w:val="20"/>
                <w:szCs w:val="20"/>
                <w:color w:val="auto"/>
              </w:rPr>
            </w:pPr>
            <w:r>
              <w:rPr>
                <w:rFonts w:ascii="Arial" w:cs="Arial" w:eastAsia="Arial" w:hAnsi="Arial"/>
                <w:sz w:val="13"/>
                <w:szCs w:val="13"/>
                <w:color w:val="auto"/>
              </w:rPr>
              <w:t>Philip R.</w:t>
            </w:r>
          </w:p>
        </w:tc>
        <w:tc>
          <w:tcPr>
            <w:tcW w:w="100" w:type="dxa"/>
            <w:vAlign w:val="bottom"/>
            <w:shd w:val="clear" w:color="auto" w:fill="E8F5EA"/>
          </w:tcPr>
          <w:p>
            <w:pPr>
              <w:spacing w:after="0"/>
              <w:rPr>
                <w:sz w:val="11"/>
                <w:szCs w:val="11"/>
                <w:color w:val="auto"/>
              </w:rPr>
            </w:pPr>
          </w:p>
        </w:tc>
        <w:tc>
          <w:tcPr>
            <w:tcW w:w="420" w:type="dxa"/>
            <w:vAlign w:val="bottom"/>
            <w:shd w:val="clear" w:color="auto" w:fill="E8F5EA"/>
          </w:tcPr>
          <w:p>
            <w:pPr>
              <w:spacing w:after="0"/>
              <w:rPr>
                <w:sz w:val="11"/>
                <w:szCs w:val="11"/>
                <w:color w:val="auto"/>
              </w:rPr>
            </w:pPr>
          </w:p>
        </w:tc>
        <w:tc>
          <w:tcPr>
            <w:tcW w:w="740" w:type="dxa"/>
            <w:vAlign w:val="bottom"/>
            <w:shd w:val="clear" w:color="auto" w:fill="E8F5EA"/>
          </w:tcPr>
          <w:p>
            <w:pPr>
              <w:spacing w:after="0"/>
              <w:rPr>
                <w:sz w:val="11"/>
                <w:szCs w:val="11"/>
                <w:color w:val="auto"/>
              </w:rPr>
            </w:pPr>
          </w:p>
        </w:tc>
        <w:tc>
          <w:tcPr>
            <w:tcW w:w="800" w:type="dxa"/>
            <w:vAlign w:val="bottom"/>
            <w:shd w:val="clear" w:color="auto" w:fill="E8F5EA"/>
          </w:tcPr>
          <w:p>
            <w:pPr>
              <w:spacing w:after="0"/>
              <w:rPr>
                <w:sz w:val="11"/>
                <w:szCs w:val="11"/>
                <w:color w:val="auto"/>
              </w:rPr>
            </w:pPr>
          </w:p>
        </w:tc>
        <w:tc>
          <w:tcPr>
            <w:tcW w:w="740" w:type="dxa"/>
            <w:vAlign w:val="bottom"/>
            <w:shd w:val="clear" w:color="auto" w:fill="E8F5EA"/>
          </w:tcPr>
          <w:p>
            <w:pPr>
              <w:spacing w:after="0"/>
              <w:rPr>
                <w:sz w:val="11"/>
                <w:szCs w:val="11"/>
                <w:color w:val="auto"/>
              </w:rPr>
            </w:pPr>
          </w:p>
        </w:tc>
        <w:tc>
          <w:tcPr>
            <w:tcW w:w="740" w:type="dxa"/>
            <w:vAlign w:val="bottom"/>
            <w:shd w:val="clear" w:color="auto" w:fill="E8F5EA"/>
          </w:tcPr>
          <w:p>
            <w:pPr>
              <w:spacing w:after="0"/>
              <w:rPr>
                <w:sz w:val="11"/>
                <w:szCs w:val="11"/>
                <w:color w:val="auto"/>
              </w:rPr>
            </w:pPr>
          </w:p>
        </w:tc>
        <w:tc>
          <w:tcPr>
            <w:tcW w:w="1080" w:type="dxa"/>
            <w:vAlign w:val="bottom"/>
            <w:shd w:val="clear" w:color="auto" w:fill="E8F5EA"/>
          </w:tcPr>
          <w:p>
            <w:pPr>
              <w:spacing w:after="0"/>
              <w:rPr>
                <w:sz w:val="11"/>
                <w:szCs w:val="11"/>
                <w:color w:val="auto"/>
              </w:rPr>
            </w:pPr>
          </w:p>
        </w:tc>
        <w:tc>
          <w:tcPr>
            <w:tcW w:w="1080" w:type="dxa"/>
            <w:vAlign w:val="bottom"/>
            <w:shd w:val="clear" w:color="auto" w:fill="E8F5EA"/>
          </w:tcPr>
          <w:p>
            <w:pPr>
              <w:spacing w:after="0"/>
              <w:rPr>
                <w:sz w:val="11"/>
                <w:szCs w:val="11"/>
                <w:color w:val="auto"/>
              </w:rPr>
            </w:pPr>
          </w:p>
        </w:tc>
        <w:tc>
          <w:tcPr>
            <w:tcW w:w="1080" w:type="dxa"/>
            <w:vAlign w:val="bottom"/>
            <w:shd w:val="clear" w:color="auto" w:fill="E8F5EA"/>
          </w:tcPr>
          <w:p>
            <w:pPr>
              <w:spacing w:after="0"/>
              <w:rPr>
                <w:sz w:val="11"/>
                <w:szCs w:val="11"/>
                <w:color w:val="auto"/>
              </w:rPr>
            </w:pPr>
          </w:p>
        </w:tc>
        <w:tc>
          <w:tcPr>
            <w:tcW w:w="660" w:type="dxa"/>
            <w:vAlign w:val="bottom"/>
            <w:shd w:val="clear" w:color="auto" w:fill="E8F5EA"/>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880" w:type="dxa"/>
            <w:vAlign w:val="bottom"/>
            <w:shd w:val="clear" w:color="auto" w:fill="E8F5EA"/>
          </w:tcPr>
          <w:p>
            <w:pPr>
              <w:spacing w:after="0"/>
              <w:rPr>
                <w:sz w:val="20"/>
                <w:szCs w:val="20"/>
                <w:color w:val="auto"/>
              </w:rPr>
            </w:pPr>
            <w:r>
              <w:rPr>
                <w:rFonts w:ascii="Arial" w:cs="Arial" w:eastAsia="Arial" w:hAnsi="Arial"/>
                <w:sz w:val="13"/>
                <w:szCs w:val="13"/>
                <w:color w:val="auto"/>
              </w:rPr>
              <w:t>Gallagher</w:t>
            </w:r>
          </w:p>
        </w:tc>
        <w:tc>
          <w:tcPr>
            <w:tcW w:w="520" w:type="dxa"/>
            <w:vAlign w:val="bottom"/>
            <w:gridSpan w:val="2"/>
            <w:shd w:val="clear" w:color="auto" w:fill="E8F5EA"/>
          </w:tcPr>
          <w:p>
            <w:pPr>
              <w:jc w:val="right"/>
              <w:ind w:right="15"/>
              <w:spacing w:after="0"/>
              <w:rPr>
                <w:sz w:val="20"/>
                <w:szCs w:val="20"/>
                <w:color w:val="auto"/>
              </w:rPr>
            </w:pPr>
            <w:r>
              <w:rPr>
                <w:rFonts w:ascii="Arial" w:cs="Arial" w:eastAsia="Arial" w:hAnsi="Arial"/>
                <w:sz w:val="13"/>
                <w:szCs w:val="13"/>
                <w:color w:val="auto"/>
              </w:rPr>
              <w:t>2020</w:t>
            </w:r>
          </w:p>
        </w:tc>
        <w:tc>
          <w:tcPr>
            <w:tcW w:w="740" w:type="dxa"/>
            <w:vAlign w:val="bottom"/>
            <w:shd w:val="clear" w:color="auto" w:fill="E8F5EA"/>
          </w:tcPr>
          <w:p>
            <w:pPr>
              <w:jc w:val="right"/>
              <w:ind w:right="15"/>
              <w:spacing w:after="0"/>
              <w:rPr>
                <w:sz w:val="20"/>
                <w:szCs w:val="20"/>
                <w:color w:val="auto"/>
              </w:rPr>
            </w:pPr>
            <w:r>
              <w:rPr>
                <w:rFonts w:ascii="Arial" w:cs="Arial" w:eastAsia="Arial" w:hAnsi="Arial"/>
                <w:sz w:val="13"/>
                <w:szCs w:val="13"/>
                <w:color w:val="auto"/>
              </w:rPr>
              <w:t>565,000</w:t>
            </w:r>
          </w:p>
        </w:tc>
        <w:tc>
          <w:tcPr>
            <w:tcW w:w="800" w:type="dxa"/>
            <w:vAlign w:val="bottom"/>
            <w:shd w:val="clear" w:color="auto" w:fill="E8F5EA"/>
          </w:tcPr>
          <w:p>
            <w:pPr>
              <w:spacing w:after="0"/>
              <w:rPr>
                <w:sz w:val="13"/>
                <w:szCs w:val="13"/>
                <w:color w:val="auto"/>
              </w:rPr>
            </w:pPr>
          </w:p>
        </w:tc>
        <w:tc>
          <w:tcPr>
            <w:tcW w:w="740" w:type="dxa"/>
            <w:vAlign w:val="bottom"/>
            <w:shd w:val="clear" w:color="auto" w:fill="E8F5EA"/>
          </w:tcPr>
          <w:p>
            <w:pPr>
              <w:jc w:val="right"/>
              <w:ind w:right="15"/>
              <w:spacing w:after="0"/>
              <w:rPr>
                <w:sz w:val="20"/>
                <w:szCs w:val="20"/>
                <w:color w:val="auto"/>
              </w:rPr>
            </w:pPr>
            <w:r>
              <w:rPr>
                <w:rFonts w:ascii="Arial" w:cs="Arial" w:eastAsia="Arial" w:hAnsi="Arial"/>
                <w:sz w:val="13"/>
                <w:szCs w:val="13"/>
                <w:color w:val="auto"/>
              </w:rPr>
              <w:t>953,719</w:t>
            </w:r>
          </w:p>
        </w:tc>
        <w:tc>
          <w:tcPr>
            <w:tcW w:w="740" w:type="dxa"/>
            <w:vAlign w:val="bottom"/>
            <w:shd w:val="clear" w:color="auto" w:fill="E8F5EA"/>
          </w:tcPr>
          <w:p>
            <w:pPr>
              <w:jc w:val="right"/>
              <w:ind w:right="15"/>
              <w:spacing w:after="0"/>
              <w:rPr>
                <w:sz w:val="20"/>
                <w:szCs w:val="20"/>
                <w:color w:val="auto"/>
              </w:rPr>
            </w:pPr>
            <w:r>
              <w:rPr>
                <w:rFonts w:ascii="Arial" w:cs="Arial" w:eastAsia="Arial" w:hAnsi="Arial"/>
                <w:sz w:val="13"/>
                <w:szCs w:val="13"/>
                <w:color w:val="auto"/>
              </w:rPr>
              <w:t>236,379</w:t>
            </w:r>
          </w:p>
        </w:tc>
        <w:tc>
          <w:tcPr>
            <w:tcW w:w="1080" w:type="dxa"/>
            <w:vAlign w:val="bottom"/>
            <w:shd w:val="clear" w:color="auto" w:fill="E8F5EA"/>
          </w:tcPr>
          <w:p>
            <w:pPr>
              <w:jc w:val="right"/>
              <w:ind w:right="15"/>
              <w:spacing w:after="0"/>
              <w:rPr>
                <w:sz w:val="20"/>
                <w:szCs w:val="20"/>
                <w:color w:val="auto"/>
              </w:rPr>
            </w:pPr>
            <w:r>
              <w:rPr>
                <w:rFonts w:ascii="Arial" w:cs="Arial" w:eastAsia="Arial" w:hAnsi="Arial"/>
                <w:sz w:val="13"/>
                <w:szCs w:val="13"/>
                <w:color w:val="auto"/>
              </w:rPr>
              <w:t>338,379</w:t>
            </w:r>
          </w:p>
        </w:tc>
        <w:tc>
          <w:tcPr>
            <w:tcW w:w="1080" w:type="dxa"/>
            <w:vAlign w:val="bottom"/>
            <w:shd w:val="clear" w:color="auto" w:fill="E8F5EA"/>
          </w:tcPr>
          <w:p>
            <w:pPr>
              <w:jc w:val="right"/>
              <w:ind w:right="15"/>
              <w:spacing w:after="0"/>
              <w:rPr>
                <w:sz w:val="20"/>
                <w:szCs w:val="20"/>
                <w:color w:val="auto"/>
              </w:rPr>
            </w:pPr>
            <w:r>
              <w:rPr>
                <w:rFonts w:ascii="Arial" w:cs="Arial" w:eastAsia="Arial" w:hAnsi="Arial"/>
                <w:sz w:val="13"/>
                <w:szCs w:val="13"/>
                <w:color w:val="auto"/>
              </w:rPr>
              <w:t>103,025</w:t>
            </w:r>
          </w:p>
        </w:tc>
        <w:tc>
          <w:tcPr>
            <w:tcW w:w="1080" w:type="dxa"/>
            <w:vAlign w:val="bottom"/>
            <w:shd w:val="clear" w:color="auto" w:fill="E8F5EA"/>
          </w:tcPr>
          <w:p>
            <w:pPr>
              <w:jc w:val="right"/>
              <w:ind w:right="15"/>
              <w:spacing w:after="0"/>
              <w:rPr>
                <w:sz w:val="20"/>
                <w:szCs w:val="20"/>
                <w:color w:val="auto"/>
              </w:rPr>
            </w:pPr>
            <w:r>
              <w:rPr>
                <w:rFonts w:ascii="Arial" w:cs="Arial" w:eastAsia="Arial" w:hAnsi="Arial"/>
                <w:sz w:val="13"/>
                <w:szCs w:val="13"/>
                <w:color w:val="auto"/>
              </w:rPr>
              <w:t>24,845</w:t>
            </w:r>
          </w:p>
        </w:tc>
        <w:tc>
          <w:tcPr>
            <w:tcW w:w="660" w:type="dxa"/>
            <w:vAlign w:val="bottom"/>
            <w:shd w:val="clear" w:color="auto" w:fill="E8F5EA"/>
          </w:tcPr>
          <w:p>
            <w:pPr>
              <w:jc w:val="right"/>
              <w:spacing w:after="0"/>
              <w:rPr>
                <w:sz w:val="20"/>
                <w:szCs w:val="20"/>
                <w:color w:val="auto"/>
              </w:rPr>
            </w:pPr>
            <w:r>
              <w:rPr>
                <w:rFonts w:ascii="Arial" w:cs="Arial" w:eastAsia="Arial" w:hAnsi="Arial"/>
                <w:sz w:val="13"/>
                <w:szCs w:val="13"/>
                <w:color w:val="auto"/>
              </w:rPr>
              <w:t>2,221,347</w:t>
            </w:r>
          </w:p>
        </w:tc>
        <w:tc>
          <w:tcPr>
            <w:tcW w:w="0" w:type="dxa"/>
            <w:vAlign w:val="bottom"/>
          </w:tcPr>
          <w:p>
            <w:pPr>
              <w:spacing w:after="0"/>
              <w:rPr>
                <w:sz w:val="1"/>
                <w:szCs w:val="1"/>
                <w:color w:val="auto"/>
              </w:rPr>
            </w:pPr>
          </w:p>
        </w:tc>
      </w:tr>
      <w:tr>
        <w:trPr>
          <w:trHeight w:val="134"/>
        </w:trPr>
        <w:tc>
          <w:tcPr>
            <w:tcW w:w="880" w:type="dxa"/>
            <w:vAlign w:val="bottom"/>
            <w:shd w:val="clear" w:color="auto" w:fill="E8F5EA"/>
          </w:tcPr>
          <w:p>
            <w:pPr>
              <w:spacing w:after="0" w:line="134" w:lineRule="exact"/>
              <w:rPr>
                <w:sz w:val="20"/>
                <w:szCs w:val="20"/>
                <w:color w:val="auto"/>
              </w:rPr>
            </w:pPr>
            <w:r>
              <w:rPr>
                <w:rFonts w:ascii="Arial" w:cs="Arial" w:eastAsia="Arial" w:hAnsi="Arial"/>
                <w:sz w:val="13"/>
                <w:szCs w:val="13"/>
                <w:color w:val="auto"/>
              </w:rPr>
              <w:t>Interim CEO,</w:t>
            </w:r>
          </w:p>
        </w:tc>
        <w:tc>
          <w:tcPr>
            <w:tcW w:w="100" w:type="dxa"/>
            <w:vAlign w:val="bottom"/>
            <w:shd w:val="clear" w:color="auto" w:fill="E8F5EA"/>
          </w:tcPr>
          <w:p>
            <w:pPr>
              <w:spacing w:after="0"/>
              <w:rPr>
                <w:sz w:val="11"/>
                <w:szCs w:val="11"/>
                <w:color w:val="auto"/>
              </w:rPr>
            </w:pPr>
          </w:p>
        </w:tc>
        <w:tc>
          <w:tcPr>
            <w:tcW w:w="420" w:type="dxa"/>
            <w:vAlign w:val="bottom"/>
            <w:shd w:val="clear" w:color="auto" w:fill="E8F5EA"/>
          </w:tcPr>
          <w:p>
            <w:pPr>
              <w:spacing w:after="0"/>
              <w:rPr>
                <w:sz w:val="11"/>
                <w:szCs w:val="11"/>
                <w:color w:val="auto"/>
              </w:rPr>
            </w:pPr>
          </w:p>
        </w:tc>
        <w:tc>
          <w:tcPr>
            <w:tcW w:w="740" w:type="dxa"/>
            <w:vAlign w:val="bottom"/>
            <w:shd w:val="clear" w:color="auto" w:fill="E8F5EA"/>
          </w:tcPr>
          <w:p>
            <w:pPr>
              <w:spacing w:after="0"/>
              <w:rPr>
                <w:sz w:val="11"/>
                <w:szCs w:val="11"/>
                <w:color w:val="auto"/>
              </w:rPr>
            </w:pPr>
          </w:p>
        </w:tc>
        <w:tc>
          <w:tcPr>
            <w:tcW w:w="800" w:type="dxa"/>
            <w:vAlign w:val="bottom"/>
            <w:shd w:val="clear" w:color="auto" w:fill="E8F5EA"/>
          </w:tcPr>
          <w:p>
            <w:pPr>
              <w:spacing w:after="0"/>
              <w:rPr>
                <w:sz w:val="11"/>
                <w:szCs w:val="11"/>
                <w:color w:val="auto"/>
              </w:rPr>
            </w:pPr>
          </w:p>
        </w:tc>
        <w:tc>
          <w:tcPr>
            <w:tcW w:w="740" w:type="dxa"/>
            <w:vAlign w:val="bottom"/>
            <w:shd w:val="clear" w:color="auto" w:fill="E8F5EA"/>
          </w:tcPr>
          <w:p>
            <w:pPr>
              <w:spacing w:after="0"/>
              <w:rPr>
                <w:sz w:val="11"/>
                <w:szCs w:val="11"/>
                <w:color w:val="auto"/>
              </w:rPr>
            </w:pPr>
          </w:p>
        </w:tc>
        <w:tc>
          <w:tcPr>
            <w:tcW w:w="740" w:type="dxa"/>
            <w:vAlign w:val="bottom"/>
            <w:shd w:val="clear" w:color="auto" w:fill="E8F5EA"/>
          </w:tcPr>
          <w:p>
            <w:pPr>
              <w:spacing w:after="0"/>
              <w:rPr>
                <w:sz w:val="11"/>
                <w:szCs w:val="11"/>
                <w:color w:val="auto"/>
              </w:rPr>
            </w:pPr>
          </w:p>
        </w:tc>
        <w:tc>
          <w:tcPr>
            <w:tcW w:w="1080" w:type="dxa"/>
            <w:vAlign w:val="bottom"/>
            <w:shd w:val="clear" w:color="auto" w:fill="E8F5EA"/>
          </w:tcPr>
          <w:p>
            <w:pPr>
              <w:spacing w:after="0"/>
              <w:rPr>
                <w:sz w:val="11"/>
                <w:szCs w:val="11"/>
                <w:color w:val="auto"/>
              </w:rPr>
            </w:pPr>
          </w:p>
        </w:tc>
        <w:tc>
          <w:tcPr>
            <w:tcW w:w="1080" w:type="dxa"/>
            <w:vAlign w:val="bottom"/>
            <w:shd w:val="clear" w:color="auto" w:fill="E8F5EA"/>
          </w:tcPr>
          <w:p>
            <w:pPr>
              <w:spacing w:after="0"/>
              <w:rPr>
                <w:sz w:val="11"/>
                <w:szCs w:val="11"/>
                <w:color w:val="auto"/>
              </w:rPr>
            </w:pPr>
          </w:p>
        </w:tc>
        <w:tc>
          <w:tcPr>
            <w:tcW w:w="1080" w:type="dxa"/>
            <w:vAlign w:val="bottom"/>
            <w:shd w:val="clear" w:color="auto" w:fill="E8F5EA"/>
          </w:tcPr>
          <w:p>
            <w:pPr>
              <w:spacing w:after="0"/>
              <w:rPr>
                <w:sz w:val="11"/>
                <w:szCs w:val="11"/>
                <w:color w:val="auto"/>
              </w:rPr>
            </w:pPr>
          </w:p>
        </w:tc>
        <w:tc>
          <w:tcPr>
            <w:tcW w:w="660" w:type="dxa"/>
            <w:vAlign w:val="bottom"/>
            <w:shd w:val="clear" w:color="auto" w:fill="E8F5EA"/>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880" w:type="dxa"/>
            <w:vAlign w:val="bottom"/>
            <w:shd w:val="clear" w:color="auto" w:fill="E8F5EA"/>
          </w:tcPr>
          <w:p>
            <w:pPr>
              <w:spacing w:after="0" w:line="146" w:lineRule="exact"/>
              <w:rPr>
                <w:sz w:val="20"/>
                <w:szCs w:val="20"/>
                <w:color w:val="auto"/>
              </w:rPr>
            </w:pPr>
            <w:r>
              <w:rPr>
                <w:rFonts w:ascii="Arial" w:cs="Arial" w:eastAsia="Arial" w:hAnsi="Arial"/>
                <w:sz w:val="13"/>
                <w:szCs w:val="13"/>
                <w:color w:val="auto"/>
              </w:rPr>
              <w:t>President,</w:t>
            </w:r>
          </w:p>
        </w:tc>
        <w:tc>
          <w:tcPr>
            <w:tcW w:w="100" w:type="dxa"/>
            <w:vAlign w:val="bottom"/>
            <w:shd w:val="clear" w:color="auto" w:fill="E8F5EA"/>
          </w:tcPr>
          <w:p>
            <w:pPr>
              <w:spacing w:after="0"/>
              <w:rPr>
                <w:sz w:val="12"/>
                <w:szCs w:val="12"/>
                <w:color w:val="auto"/>
              </w:rPr>
            </w:pPr>
          </w:p>
        </w:tc>
        <w:tc>
          <w:tcPr>
            <w:tcW w:w="420" w:type="dxa"/>
            <w:vAlign w:val="bottom"/>
            <w:shd w:val="clear" w:color="auto" w:fill="E8F5EA"/>
          </w:tcPr>
          <w:p>
            <w:pPr>
              <w:spacing w:after="0"/>
              <w:rPr>
                <w:sz w:val="12"/>
                <w:szCs w:val="12"/>
                <w:color w:val="auto"/>
              </w:rPr>
            </w:pPr>
          </w:p>
        </w:tc>
        <w:tc>
          <w:tcPr>
            <w:tcW w:w="740" w:type="dxa"/>
            <w:vAlign w:val="bottom"/>
            <w:shd w:val="clear" w:color="auto" w:fill="E8F5EA"/>
          </w:tcPr>
          <w:p>
            <w:pPr>
              <w:spacing w:after="0"/>
              <w:rPr>
                <w:sz w:val="12"/>
                <w:szCs w:val="12"/>
                <w:color w:val="auto"/>
              </w:rPr>
            </w:pPr>
          </w:p>
        </w:tc>
        <w:tc>
          <w:tcPr>
            <w:tcW w:w="800" w:type="dxa"/>
            <w:vAlign w:val="bottom"/>
            <w:shd w:val="clear" w:color="auto" w:fill="E8F5EA"/>
          </w:tcPr>
          <w:p>
            <w:pPr>
              <w:spacing w:after="0"/>
              <w:rPr>
                <w:sz w:val="12"/>
                <w:szCs w:val="12"/>
                <w:color w:val="auto"/>
              </w:rPr>
            </w:pPr>
          </w:p>
        </w:tc>
        <w:tc>
          <w:tcPr>
            <w:tcW w:w="740" w:type="dxa"/>
            <w:vAlign w:val="bottom"/>
            <w:shd w:val="clear" w:color="auto" w:fill="E8F5EA"/>
          </w:tcPr>
          <w:p>
            <w:pPr>
              <w:spacing w:after="0"/>
              <w:rPr>
                <w:sz w:val="12"/>
                <w:szCs w:val="12"/>
                <w:color w:val="auto"/>
              </w:rPr>
            </w:pPr>
          </w:p>
        </w:tc>
        <w:tc>
          <w:tcPr>
            <w:tcW w:w="740" w:type="dxa"/>
            <w:vAlign w:val="bottom"/>
            <w:shd w:val="clear" w:color="auto" w:fill="E8F5EA"/>
          </w:tcPr>
          <w:p>
            <w:pPr>
              <w:spacing w:after="0"/>
              <w:rPr>
                <w:sz w:val="12"/>
                <w:szCs w:val="12"/>
                <w:color w:val="auto"/>
              </w:rPr>
            </w:pPr>
          </w:p>
        </w:tc>
        <w:tc>
          <w:tcPr>
            <w:tcW w:w="1080" w:type="dxa"/>
            <w:vAlign w:val="bottom"/>
            <w:shd w:val="clear" w:color="auto" w:fill="E8F5EA"/>
          </w:tcPr>
          <w:p>
            <w:pPr>
              <w:spacing w:after="0"/>
              <w:rPr>
                <w:sz w:val="12"/>
                <w:szCs w:val="12"/>
                <w:color w:val="auto"/>
              </w:rPr>
            </w:pPr>
          </w:p>
        </w:tc>
        <w:tc>
          <w:tcPr>
            <w:tcW w:w="1080" w:type="dxa"/>
            <w:vAlign w:val="bottom"/>
            <w:shd w:val="clear" w:color="auto" w:fill="E8F5EA"/>
          </w:tcPr>
          <w:p>
            <w:pPr>
              <w:spacing w:after="0"/>
              <w:rPr>
                <w:sz w:val="12"/>
                <w:szCs w:val="12"/>
                <w:color w:val="auto"/>
              </w:rPr>
            </w:pPr>
          </w:p>
        </w:tc>
        <w:tc>
          <w:tcPr>
            <w:tcW w:w="1080" w:type="dxa"/>
            <w:vAlign w:val="bottom"/>
            <w:shd w:val="clear" w:color="auto" w:fill="E8F5EA"/>
          </w:tcPr>
          <w:p>
            <w:pPr>
              <w:spacing w:after="0"/>
              <w:rPr>
                <w:sz w:val="12"/>
                <w:szCs w:val="12"/>
                <w:color w:val="auto"/>
              </w:rPr>
            </w:pPr>
          </w:p>
        </w:tc>
        <w:tc>
          <w:tcPr>
            <w:tcW w:w="660" w:type="dxa"/>
            <w:vAlign w:val="bottom"/>
            <w:shd w:val="clear" w:color="auto" w:fill="E8F5EA"/>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80" w:type="dxa"/>
            <w:vAlign w:val="bottom"/>
            <w:shd w:val="clear" w:color="auto" w:fill="E8F5EA"/>
          </w:tcPr>
          <w:p>
            <w:pPr>
              <w:spacing w:after="0"/>
              <w:rPr>
                <w:sz w:val="20"/>
                <w:szCs w:val="20"/>
                <w:color w:val="auto"/>
              </w:rPr>
            </w:pPr>
            <w:r>
              <w:rPr>
                <w:rFonts w:ascii="Arial" w:cs="Arial" w:eastAsia="Arial" w:hAnsi="Arial"/>
                <w:sz w:val="13"/>
                <w:szCs w:val="13"/>
                <w:color w:val="auto"/>
              </w:rPr>
              <w:t>Electronic</w:t>
            </w:r>
          </w:p>
        </w:tc>
        <w:tc>
          <w:tcPr>
            <w:tcW w:w="100" w:type="dxa"/>
            <w:vAlign w:val="bottom"/>
            <w:shd w:val="clear" w:color="auto" w:fill="E8F5EA"/>
          </w:tcPr>
          <w:p>
            <w:pPr>
              <w:spacing w:after="0"/>
              <w:rPr>
                <w:sz w:val="13"/>
                <w:szCs w:val="13"/>
                <w:color w:val="auto"/>
              </w:rPr>
            </w:pPr>
          </w:p>
        </w:tc>
        <w:tc>
          <w:tcPr>
            <w:tcW w:w="420" w:type="dxa"/>
            <w:vAlign w:val="bottom"/>
            <w:shd w:val="clear" w:color="auto" w:fill="E8F5EA"/>
          </w:tcPr>
          <w:p>
            <w:pPr>
              <w:jc w:val="right"/>
              <w:ind w:right="15"/>
              <w:spacing w:after="0"/>
              <w:rPr>
                <w:sz w:val="20"/>
                <w:szCs w:val="20"/>
                <w:color w:val="auto"/>
              </w:rPr>
            </w:pPr>
            <w:r>
              <w:rPr>
                <w:rFonts w:ascii="Arial" w:cs="Arial" w:eastAsia="Arial" w:hAnsi="Arial"/>
                <w:sz w:val="13"/>
                <w:szCs w:val="13"/>
                <w:color w:val="auto"/>
              </w:rPr>
              <w:t>2019</w:t>
            </w:r>
          </w:p>
        </w:tc>
        <w:tc>
          <w:tcPr>
            <w:tcW w:w="740" w:type="dxa"/>
            <w:vAlign w:val="bottom"/>
            <w:shd w:val="clear" w:color="auto" w:fill="E8F5EA"/>
          </w:tcPr>
          <w:p>
            <w:pPr>
              <w:jc w:val="right"/>
              <w:ind w:right="15"/>
              <w:spacing w:after="0"/>
              <w:rPr>
                <w:sz w:val="20"/>
                <w:szCs w:val="20"/>
                <w:color w:val="auto"/>
              </w:rPr>
            </w:pPr>
            <w:r>
              <w:rPr>
                <w:rFonts w:ascii="Arial" w:cs="Arial" w:eastAsia="Arial" w:hAnsi="Arial"/>
                <w:sz w:val="13"/>
                <w:szCs w:val="13"/>
                <w:color w:val="auto"/>
              </w:rPr>
              <w:t>565,000</w:t>
            </w:r>
          </w:p>
        </w:tc>
        <w:tc>
          <w:tcPr>
            <w:tcW w:w="800" w:type="dxa"/>
            <w:vAlign w:val="bottom"/>
            <w:shd w:val="clear" w:color="auto" w:fill="E8F5EA"/>
          </w:tcPr>
          <w:p>
            <w:pPr>
              <w:spacing w:after="0"/>
              <w:rPr>
                <w:sz w:val="13"/>
                <w:szCs w:val="13"/>
                <w:color w:val="auto"/>
              </w:rPr>
            </w:pPr>
          </w:p>
        </w:tc>
        <w:tc>
          <w:tcPr>
            <w:tcW w:w="740" w:type="dxa"/>
            <w:vAlign w:val="bottom"/>
            <w:shd w:val="clear" w:color="auto" w:fill="E8F5EA"/>
          </w:tcPr>
          <w:p>
            <w:pPr>
              <w:jc w:val="right"/>
              <w:ind w:right="15"/>
              <w:spacing w:after="0"/>
              <w:rPr>
                <w:sz w:val="20"/>
                <w:szCs w:val="20"/>
                <w:color w:val="auto"/>
              </w:rPr>
            </w:pPr>
            <w:r>
              <w:rPr>
                <w:rFonts w:ascii="Arial" w:cs="Arial" w:eastAsia="Arial" w:hAnsi="Arial"/>
                <w:sz w:val="13"/>
                <w:szCs w:val="13"/>
                <w:color w:val="auto"/>
              </w:rPr>
              <w:t>966,627</w:t>
            </w:r>
          </w:p>
        </w:tc>
        <w:tc>
          <w:tcPr>
            <w:tcW w:w="740" w:type="dxa"/>
            <w:vAlign w:val="bottom"/>
            <w:shd w:val="clear" w:color="auto" w:fill="E8F5EA"/>
          </w:tcPr>
          <w:p>
            <w:pPr>
              <w:jc w:val="right"/>
              <w:ind w:right="15"/>
              <w:spacing w:after="0"/>
              <w:rPr>
                <w:sz w:val="20"/>
                <w:szCs w:val="20"/>
                <w:color w:val="auto"/>
              </w:rPr>
            </w:pPr>
            <w:r>
              <w:rPr>
                <w:rFonts w:ascii="Arial" w:cs="Arial" w:eastAsia="Arial" w:hAnsi="Arial"/>
                <w:sz w:val="13"/>
                <w:szCs w:val="13"/>
                <w:color w:val="auto"/>
              </w:rPr>
              <w:t>257,858</w:t>
            </w:r>
          </w:p>
        </w:tc>
        <w:tc>
          <w:tcPr>
            <w:tcW w:w="1080" w:type="dxa"/>
            <w:vAlign w:val="bottom"/>
            <w:shd w:val="clear" w:color="auto" w:fill="E8F5EA"/>
          </w:tcPr>
          <w:p>
            <w:pPr>
              <w:jc w:val="right"/>
              <w:ind w:right="15"/>
              <w:spacing w:after="0"/>
              <w:rPr>
                <w:sz w:val="20"/>
                <w:szCs w:val="20"/>
                <w:color w:val="auto"/>
              </w:rPr>
            </w:pPr>
            <w:r>
              <w:rPr>
                <w:rFonts w:ascii="Arial" w:cs="Arial" w:eastAsia="Arial" w:hAnsi="Arial"/>
                <w:sz w:val="13"/>
                <w:szCs w:val="13"/>
                <w:color w:val="auto"/>
              </w:rPr>
              <w:t>489,453</w:t>
            </w:r>
          </w:p>
        </w:tc>
        <w:tc>
          <w:tcPr>
            <w:tcW w:w="1080" w:type="dxa"/>
            <w:vAlign w:val="bottom"/>
            <w:shd w:val="clear" w:color="auto" w:fill="E8F5EA"/>
          </w:tcPr>
          <w:p>
            <w:pPr>
              <w:jc w:val="right"/>
              <w:ind w:right="15"/>
              <w:spacing w:after="0"/>
              <w:rPr>
                <w:sz w:val="20"/>
                <w:szCs w:val="20"/>
                <w:color w:val="auto"/>
              </w:rPr>
            </w:pPr>
            <w:r>
              <w:rPr>
                <w:rFonts w:ascii="Arial" w:cs="Arial" w:eastAsia="Arial" w:hAnsi="Arial"/>
                <w:sz w:val="13"/>
                <w:szCs w:val="13"/>
                <w:color w:val="auto"/>
              </w:rPr>
              <w:t>82,394</w:t>
            </w:r>
          </w:p>
        </w:tc>
        <w:tc>
          <w:tcPr>
            <w:tcW w:w="1080" w:type="dxa"/>
            <w:vAlign w:val="bottom"/>
            <w:shd w:val="clear" w:color="auto" w:fill="E8F5EA"/>
          </w:tcPr>
          <w:p>
            <w:pPr>
              <w:jc w:val="right"/>
              <w:ind w:right="15"/>
              <w:spacing w:after="0"/>
              <w:rPr>
                <w:sz w:val="20"/>
                <w:szCs w:val="20"/>
                <w:color w:val="auto"/>
              </w:rPr>
            </w:pPr>
            <w:r>
              <w:rPr>
                <w:rFonts w:ascii="Arial" w:cs="Arial" w:eastAsia="Arial" w:hAnsi="Arial"/>
                <w:sz w:val="13"/>
                <w:szCs w:val="13"/>
                <w:color w:val="auto"/>
              </w:rPr>
              <w:t>18,838</w:t>
            </w:r>
          </w:p>
        </w:tc>
        <w:tc>
          <w:tcPr>
            <w:tcW w:w="660" w:type="dxa"/>
            <w:vAlign w:val="bottom"/>
            <w:shd w:val="clear" w:color="auto" w:fill="E8F5EA"/>
          </w:tcPr>
          <w:p>
            <w:pPr>
              <w:jc w:val="right"/>
              <w:spacing w:after="0"/>
              <w:rPr>
                <w:sz w:val="20"/>
                <w:szCs w:val="20"/>
                <w:color w:val="auto"/>
              </w:rPr>
            </w:pPr>
            <w:r>
              <w:rPr>
                <w:rFonts w:ascii="Arial" w:cs="Arial" w:eastAsia="Arial" w:hAnsi="Arial"/>
                <w:sz w:val="13"/>
                <w:szCs w:val="13"/>
                <w:color w:val="auto"/>
              </w:rPr>
              <w:t>2,380,170</w:t>
            </w:r>
          </w:p>
        </w:tc>
        <w:tc>
          <w:tcPr>
            <w:tcW w:w="0" w:type="dxa"/>
            <w:vAlign w:val="bottom"/>
          </w:tcPr>
          <w:p>
            <w:pPr>
              <w:spacing w:after="0"/>
              <w:rPr>
                <w:sz w:val="1"/>
                <w:szCs w:val="1"/>
                <w:color w:val="auto"/>
              </w:rPr>
            </w:pPr>
          </w:p>
        </w:tc>
      </w:tr>
      <w:tr>
        <w:trPr>
          <w:trHeight w:val="146"/>
        </w:trPr>
        <w:tc>
          <w:tcPr>
            <w:tcW w:w="880" w:type="dxa"/>
            <w:vAlign w:val="bottom"/>
            <w:shd w:val="clear" w:color="auto" w:fill="E8F5EA"/>
          </w:tcPr>
          <w:p>
            <w:pPr>
              <w:spacing w:after="0" w:line="146" w:lineRule="exact"/>
              <w:rPr>
                <w:sz w:val="20"/>
                <w:szCs w:val="20"/>
                <w:color w:val="auto"/>
              </w:rPr>
            </w:pPr>
            <w:r>
              <w:rPr>
                <w:rFonts w:ascii="Arial" w:cs="Arial" w:eastAsia="Arial" w:hAnsi="Arial"/>
                <w:sz w:val="13"/>
                <w:szCs w:val="13"/>
                <w:color w:val="auto"/>
              </w:rPr>
              <w:t>Components</w:t>
            </w:r>
          </w:p>
        </w:tc>
        <w:tc>
          <w:tcPr>
            <w:tcW w:w="100" w:type="dxa"/>
            <w:vAlign w:val="bottom"/>
            <w:shd w:val="clear" w:color="auto" w:fill="E8F5EA"/>
          </w:tcPr>
          <w:p>
            <w:pPr>
              <w:spacing w:after="0"/>
              <w:rPr>
                <w:sz w:val="12"/>
                <w:szCs w:val="12"/>
                <w:color w:val="auto"/>
              </w:rPr>
            </w:pPr>
          </w:p>
        </w:tc>
        <w:tc>
          <w:tcPr>
            <w:tcW w:w="420" w:type="dxa"/>
            <w:vAlign w:val="bottom"/>
            <w:shd w:val="clear" w:color="auto" w:fill="E8F5EA"/>
          </w:tcPr>
          <w:p>
            <w:pPr>
              <w:jc w:val="right"/>
              <w:ind w:right="15"/>
              <w:spacing w:after="0" w:line="146" w:lineRule="exact"/>
              <w:rPr>
                <w:sz w:val="20"/>
                <w:szCs w:val="20"/>
                <w:color w:val="auto"/>
              </w:rPr>
            </w:pPr>
            <w:r>
              <w:rPr>
                <w:rFonts w:ascii="Arial" w:cs="Arial" w:eastAsia="Arial" w:hAnsi="Arial"/>
                <w:sz w:val="13"/>
                <w:szCs w:val="13"/>
                <w:color w:val="auto"/>
              </w:rPr>
              <w:t>2018</w:t>
            </w:r>
          </w:p>
        </w:tc>
        <w:tc>
          <w:tcPr>
            <w:tcW w:w="740" w:type="dxa"/>
            <w:vAlign w:val="bottom"/>
            <w:shd w:val="clear" w:color="auto" w:fill="E8F5EA"/>
          </w:tcPr>
          <w:p>
            <w:pPr>
              <w:jc w:val="right"/>
              <w:ind w:right="15"/>
              <w:spacing w:after="0" w:line="146" w:lineRule="exact"/>
              <w:rPr>
                <w:sz w:val="20"/>
                <w:szCs w:val="20"/>
                <w:color w:val="auto"/>
              </w:rPr>
            </w:pPr>
            <w:r>
              <w:rPr>
                <w:rFonts w:ascii="Arial" w:cs="Arial" w:eastAsia="Arial" w:hAnsi="Arial"/>
                <w:sz w:val="13"/>
                <w:szCs w:val="13"/>
                <w:color w:val="auto"/>
              </w:rPr>
              <w:t>515,000</w:t>
            </w:r>
          </w:p>
        </w:tc>
        <w:tc>
          <w:tcPr>
            <w:tcW w:w="800" w:type="dxa"/>
            <w:vAlign w:val="bottom"/>
            <w:shd w:val="clear" w:color="auto" w:fill="E8F5EA"/>
          </w:tcPr>
          <w:p>
            <w:pPr>
              <w:spacing w:after="0"/>
              <w:rPr>
                <w:sz w:val="12"/>
                <w:szCs w:val="12"/>
                <w:color w:val="auto"/>
              </w:rPr>
            </w:pPr>
          </w:p>
        </w:tc>
        <w:tc>
          <w:tcPr>
            <w:tcW w:w="740" w:type="dxa"/>
            <w:vAlign w:val="bottom"/>
            <w:shd w:val="clear" w:color="auto" w:fill="E8F5EA"/>
          </w:tcPr>
          <w:p>
            <w:pPr>
              <w:jc w:val="right"/>
              <w:ind w:right="15"/>
              <w:spacing w:after="0" w:line="146" w:lineRule="exact"/>
              <w:rPr>
                <w:sz w:val="20"/>
                <w:szCs w:val="20"/>
                <w:color w:val="auto"/>
              </w:rPr>
            </w:pPr>
            <w:r>
              <w:rPr>
                <w:rFonts w:ascii="Arial" w:cs="Arial" w:eastAsia="Arial" w:hAnsi="Arial"/>
                <w:sz w:val="13"/>
                <w:szCs w:val="13"/>
                <w:color w:val="auto"/>
              </w:rPr>
              <w:t>782,611</w:t>
            </w:r>
          </w:p>
        </w:tc>
        <w:tc>
          <w:tcPr>
            <w:tcW w:w="740" w:type="dxa"/>
            <w:vAlign w:val="bottom"/>
            <w:shd w:val="clear" w:color="auto" w:fill="E8F5EA"/>
          </w:tcPr>
          <w:p>
            <w:pPr>
              <w:jc w:val="right"/>
              <w:ind w:right="15"/>
              <w:spacing w:after="0" w:line="146" w:lineRule="exact"/>
              <w:rPr>
                <w:sz w:val="20"/>
                <w:szCs w:val="20"/>
                <w:color w:val="auto"/>
              </w:rPr>
            </w:pPr>
            <w:r>
              <w:rPr>
                <w:rFonts w:ascii="Arial" w:cs="Arial" w:eastAsia="Arial" w:hAnsi="Arial"/>
                <w:sz w:val="13"/>
                <w:szCs w:val="13"/>
                <w:color w:val="auto"/>
              </w:rPr>
              <w:t>207,814</w:t>
            </w:r>
          </w:p>
        </w:tc>
        <w:tc>
          <w:tcPr>
            <w:tcW w:w="1080" w:type="dxa"/>
            <w:vAlign w:val="bottom"/>
            <w:shd w:val="clear" w:color="auto" w:fill="E8F5EA"/>
          </w:tcPr>
          <w:p>
            <w:pPr>
              <w:jc w:val="right"/>
              <w:ind w:right="15"/>
              <w:spacing w:after="0" w:line="146" w:lineRule="exact"/>
              <w:rPr>
                <w:sz w:val="20"/>
                <w:szCs w:val="20"/>
                <w:color w:val="auto"/>
              </w:rPr>
            </w:pPr>
            <w:r>
              <w:rPr>
                <w:rFonts w:ascii="Arial" w:cs="Arial" w:eastAsia="Arial" w:hAnsi="Arial"/>
                <w:sz w:val="13"/>
                <w:szCs w:val="13"/>
                <w:color w:val="auto"/>
              </w:rPr>
              <w:t>551,075</w:t>
            </w:r>
          </w:p>
        </w:tc>
        <w:tc>
          <w:tcPr>
            <w:tcW w:w="1080" w:type="dxa"/>
            <w:vAlign w:val="bottom"/>
            <w:shd w:val="clear" w:color="auto" w:fill="E8F5EA"/>
          </w:tcPr>
          <w:p>
            <w:pPr>
              <w:jc w:val="right"/>
              <w:ind w:right="15"/>
              <w:spacing w:after="0" w:line="146" w:lineRule="exact"/>
              <w:rPr>
                <w:sz w:val="20"/>
                <w:szCs w:val="20"/>
                <w:color w:val="auto"/>
              </w:rPr>
            </w:pPr>
            <w:r>
              <w:rPr>
                <w:rFonts w:ascii="Arial" w:cs="Arial" w:eastAsia="Arial" w:hAnsi="Arial"/>
                <w:sz w:val="13"/>
                <w:szCs w:val="13"/>
                <w:color w:val="auto"/>
              </w:rPr>
              <w:t>27,370</w:t>
            </w:r>
          </w:p>
        </w:tc>
        <w:tc>
          <w:tcPr>
            <w:tcW w:w="1080" w:type="dxa"/>
            <w:vAlign w:val="bottom"/>
            <w:shd w:val="clear" w:color="auto" w:fill="E8F5EA"/>
          </w:tcPr>
          <w:p>
            <w:pPr>
              <w:jc w:val="right"/>
              <w:ind w:right="15"/>
              <w:spacing w:after="0" w:line="146" w:lineRule="exact"/>
              <w:rPr>
                <w:sz w:val="20"/>
                <w:szCs w:val="20"/>
                <w:color w:val="auto"/>
              </w:rPr>
            </w:pPr>
            <w:r>
              <w:rPr>
                <w:rFonts w:ascii="Arial" w:cs="Arial" w:eastAsia="Arial" w:hAnsi="Arial"/>
                <w:sz w:val="13"/>
                <w:szCs w:val="13"/>
                <w:color w:val="auto"/>
              </w:rPr>
              <w:t>20,951</w:t>
            </w:r>
          </w:p>
        </w:tc>
        <w:tc>
          <w:tcPr>
            <w:tcW w:w="66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2,104,821</w:t>
            </w:r>
          </w:p>
        </w:tc>
        <w:tc>
          <w:tcPr>
            <w:tcW w:w="0" w:type="dxa"/>
            <w:vAlign w:val="bottom"/>
          </w:tcPr>
          <w:p>
            <w:pPr>
              <w:spacing w:after="0"/>
              <w:rPr>
                <w:sz w:val="1"/>
                <w:szCs w:val="1"/>
                <w:color w:val="auto"/>
              </w:rPr>
            </w:pPr>
          </w:p>
        </w:tc>
      </w:tr>
      <w:tr>
        <w:trPr>
          <w:trHeight w:val="134"/>
        </w:trPr>
        <w:tc>
          <w:tcPr>
            <w:tcW w:w="880" w:type="dxa"/>
            <w:vAlign w:val="bottom"/>
          </w:tcPr>
          <w:p>
            <w:pPr>
              <w:spacing w:after="0" w:line="134" w:lineRule="exact"/>
              <w:rPr>
                <w:sz w:val="20"/>
                <w:szCs w:val="20"/>
                <w:color w:val="auto"/>
              </w:rPr>
            </w:pPr>
            <w:r>
              <w:rPr>
                <w:rFonts w:ascii="Arial" w:cs="Arial" w:eastAsia="Arial" w:hAnsi="Arial"/>
                <w:sz w:val="13"/>
                <w:szCs w:val="13"/>
                <w:color w:val="auto"/>
              </w:rPr>
              <w:t>MaryAnn G.</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880" w:type="dxa"/>
            <w:vAlign w:val="bottom"/>
          </w:tcPr>
          <w:p>
            <w:pPr>
              <w:spacing w:after="0" w:line="146" w:lineRule="exact"/>
              <w:rPr>
                <w:sz w:val="20"/>
                <w:szCs w:val="20"/>
                <w:color w:val="auto"/>
              </w:rPr>
            </w:pPr>
            <w:r>
              <w:rPr>
                <w:rFonts w:ascii="Arial" w:cs="Arial" w:eastAsia="Arial" w:hAnsi="Arial"/>
                <w:sz w:val="13"/>
                <w:szCs w:val="13"/>
                <w:color w:val="auto"/>
              </w:rPr>
              <w:t>Miller</w:t>
            </w:r>
          </w:p>
        </w:tc>
        <w:tc>
          <w:tcPr>
            <w:tcW w:w="520" w:type="dxa"/>
            <w:vAlign w:val="bottom"/>
            <w:gridSpan w:val="2"/>
          </w:tcPr>
          <w:p>
            <w:pPr>
              <w:jc w:val="right"/>
              <w:ind w:right="15"/>
              <w:spacing w:after="0" w:line="146" w:lineRule="exact"/>
              <w:rPr>
                <w:sz w:val="20"/>
                <w:szCs w:val="20"/>
                <w:color w:val="auto"/>
              </w:rPr>
            </w:pPr>
            <w:r>
              <w:rPr>
                <w:rFonts w:ascii="Arial" w:cs="Arial" w:eastAsia="Arial" w:hAnsi="Arial"/>
                <w:sz w:val="13"/>
                <w:szCs w:val="13"/>
                <w:color w:val="auto"/>
              </w:rPr>
              <w:t>2020</w:t>
            </w:r>
          </w:p>
        </w:tc>
        <w:tc>
          <w:tcPr>
            <w:tcW w:w="740" w:type="dxa"/>
            <w:vAlign w:val="bottom"/>
          </w:tcPr>
          <w:p>
            <w:pPr>
              <w:jc w:val="right"/>
              <w:ind w:right="15"/>
              <w:spacing w:after="0" w:line="146" w:lineRule="exact"/>
              <w:rPr>
                <w:sz w:val="20"/>
                <w:szCs w:val="20"/>
                <w:color w:val="auto"/>
              </w:rPr>
            </w:pPr>
            <w:r>
              <w:rPr>
                <w:rFonts w:ascii="Arial" w:cs="Arial" w:eastAsia="Arial" w:hAnsi="Arial"/>
                <w:sz w:val="13"/>
                <w:szCs w:val="13"/>
                <w:color w:val="auto"/>
              </w:rPr>
              <w:t>540,000</w:t>
            </w:r>
          </w:p>
        </w:tc>
        <w:tc>
          <w:tcPr>
            <w:tcW w:w="800" w:type="dxa"/>
            <w:vAlign w:val="bottom"/>
          </w:tcPr>
          <w:p>
            <w:pPr>
              <w:spacing w:after="0"/>
              <w:rPr>
                <w:sz w:val="12"/>
                <w:szCs w:val="12"/>
                <w:color w:val="auto"/>
              </w:rPr>
            </w:pPr>
          </w:p>
        </w:tc>
        <w:tc>
          <w:tcPr>
            <w:tcW w:w="740" w:type="dxa"/>
            <w:vAlign w:val="bottom"/>
          </w:tcPr>
          <w:p>
            <w:pPr>
              <w:jc w:val="right"/>
              <w:ind w:right="15"/>
              <w:spacing w:after="0" w:line="146" w:lineRule="exact"/>
              <w:rPr>
                <w:sz w:val="20"/>
                <w:szCs w:val="20"/>
                <w:color w:val="auto"/>
              </w:rPr>
            </w:pPr>
            <w:r>
              <w:rPr>
                <w:rFonts w:ascii="Arial" w:cs="Arial" w:eastAsia="Arial" w:hAnsi="Arial"/>
                <w:sz w:val="13"/>
                <w:szCs w:val="13"/>
                <w:color w:val="auto"/>
              </w:rPr>
              <w:t>865,461</w:t>
            </w:r>
          </w:p>
        </w:tc>
        <w:tc>
          <w:tcPr>
            <w:tcW w:w="740" w:type="dxa"/>
            <w:vAlign w:val="bottom"/>
          </w:tcPr>
          <w:p>
            <w:pPr>
              <w:jc w:val="right"/>
              <w:ind w:right="15"/>
              <w:spacing w:after="0" w:line="146" w:lineRule="exact"/>
              <w:rPr>
                <w:sz w:val="20"/>
                <w:szCs w:val="20"/>
                <w:color w:val="auto"/>
              </w:rPr>
            </w:pPr>
            <w:r>
              <w:rPr>
                <w:rFonts w:ascii="Arial" w:cs="Arial" w:eastAsia="Arial" w:hAnsi="Arial"/>
                <w:sz w:val="13"/>
                <w:szCs w:val="13"/>
                <w:color w:val="auto"/>
              </w:rPr>
              <w:t>214,505</w:t>
            </w:r>
          </w:p>
        </w:tc>
        <w:tc>
          <w:tcPr>
            <w:tcW w:w="1080" w:type="dxa"/>
            <w:vAlign w:val="bottom"/>
          </w:tcPr>
          <w:p>
            <w:pPr>
              <w:jc w:val="right"/>
              <w:ind w:right="15"/>
              <w:spacing w:after="0" w:line="146" w:lineRule="exact"/>
              <w:rPr>
                <w:sz w:val="20"/>
                <w:szCs w:val="20"/>
                <w:color w:val="auto"/>
              </w:rPr>
            </w:pPr>
            <w:r>
              <w:rPr>
                <w:rFonts w:ascii="Arial" w:cs="Arial" w:eastAsia="Arial" w:hAnsi="Arial"/>
                <w:sz w:val="13"/>
                <w:szCs w:val="13"/>
                <w:color w:val="auto"/>
              </w:rPr>
              <w:t>204,549</w:t>
            </w:r>
          </w:p>
        </w:tc>
        <w:tc>
          <w:tcPr>
            <w:tcW w:w="1080" w:type="dxa"/>
            <w:vAlign w:val="bottom"/>
          </w:tcPr>
          <w:p>
            <w:pPr>
              <w:jc w:val="right"/>
              <w:ind w:right="15"/>
              <w:spacing w:after="0" w:line="146" w:lineRule="exact"/>
              <w:rPr>
                <w:sz w:val="20"/>
                <w:szCs w:val="20"/>
                <w:color w:val="auto"/>
              </w:rPr>
            </w:pPr>
            <w:r>
              <w:rPr>
                <w:rFonts w:ascii="Arial" w:cs="Arial" w:eastAsia="Arial" w:hAnsi="Arial"/>
                <w:sz w:val="13"/>
                <w:szCs w:val="13"/>
                <w:color w:val="auto"/>
              </w:rPr>
              <w:t>354,628</w:t>
            </w:r>
          </w:p>
        </w:tc>
        <w:tc>
          <w:tcPr>
            <w:tcW w:w="1080" w:type="dxa"/>
            <w:vAlign w:val="bottom"/>
          </w:tcPr>
          <w:p>
            <w:pPr>
              <w:jc w:val="right"/>
              <w:ind w:right="15"/>
              <w:spacing w:after="0" w:line="146" w:lineRule="exact"/>
              <w:rPr>
                <w:sz w:val="20"/>
                <w:szCs w:val="20"/>
                <w:color w:val="auto"/>
              </w:rPr>
            </w:pPr>
            <w:r>
              <w:rPr>
                <w:rFonts w:ascii="Arial" w:cs="Arial" w:eastAsia="Arial" w:hAnsi="Arial"/>
                <w:sz w:val="13"/>
                <w:szCs w:val="13"/>
                <w:color w:val="auto"/>
              </w:rPr>
              <w:t>22,135</w:t>
            </w: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2,201,278</w:t>
            </w:r>
          </w:p>
        </w:tc>
        <w:tc>
          <w:tcPr>
            <w:tcW w:w="0" w:type="dxa"/>
            <w:vAlign w:val="bottom"/>
          </w:tcPr>
          <w:p>
            <w:pPr>
              <w:spacing w:after="0"/>
              <w:rPr>
                <w:sz w:val="1"/>
                <w:szCs w:val="1"/>
                <w:color w:val="auto"/>
              </w:rPr>
            </w:pPr>
          </w:p>
        </w:tc>
      </w:tr>
      <w:tr>
        <w:trPr>
          <w:trHeight w:val="146"/>
        </w:trPr>
        <w:tc>
          <w:tcPr>
            <w:tcW w:w="880" w:type="dxa"/>
            <w:vAlign w:val="bottom"/>
          </w:tcPr>
          <w:p>
            <w:pPr>
              <w:spacing w:after="0" w:line="146" w:lineRule="exact"/>
              <w:rPr>
                <w:sz w:val="20"/>
                <w:szCs w:val="20"/>
                <w:color w:val="auto"/>
              </w:rPr>
            </w:pPr>
            <w:r>
              <w:rPr>
                <w:rFonts w:ascii="Arial" w:cs="Arial" w:eastAsia="Arial" w:hAnsi="Arial"/>
                <w:sz w:val="13"/>
                <w:szCs w:val="13"/>
                <w:color w:val="auto"/>
              </w:rPr>
              <w:t>SVP and</w:t>
            </w:r>
          </w:p>
        </w:tc>
        <w:tc>
          <w:tcPr>
            <w:tcW w:w="520" w:type="dxa"/>
            <w:vAlign w:val="bottom"/>
            <w:gridSpan w:val="2"/>
          </w:tcPr>
          <w:p>
            <w:pPr>
              <w:jc w:val="right"/>
              <w:ind w:right="15"/>
              <w:spacing w:after="0" w:line="146" w:lineRule="exact"/>
              <w:rPr>
                <w:sz w:val="20"/>
                <w:szCs w:val="20"/>
                <w:color w:val="auto"/>
              </w:rPr>
            </w:pPr>
            <w:r>
              <w:rPr>
                <w:rFonts w:ascii="Arial" w:cs="Arial" w:eastAsia="Arial" w:hAnsi="Arial"/>
                <w:sz w:val="13"/>
                <w:szCs w:val="13"/>
                <w:color w:val="auto"/>
              </w:rPr>
              <w:t>2019</w:t>
            </w:r>
          </w:p>
        </w:tc>
        <w:tc>
          <w:tcPr>
            <w:tcW w:w="740" w:type="dxa"/>
            <w:vAlign w:val="bottom"/>
          </w:tcPr>
          <w:p>
            <w:pPr>
              <w:jc w:val="right"/>
              <w:ind w:right="15"/>
              <w:spacing w:after="0" w:line="146" w:lineRule="exact"/>
              <w:rPr>
                <w:sz w:val="20"/>
                <w:szCs w:val="20"/>
                <w:color w:val="auto"/>
              </w:rPr>
            </w:pPr>
            <w:r>
              <w:rPr>
                <w:rFonts w:ascii="Arial" w:cs="Arial" w:eastAsia="Arial" w:hAnsi="Arial"/>
                <w:sz w:val="13"/>
                <w:szCs w:val="13"/>
                <w:color w:val="auto"/>
              </w:rPr>
              <w:t>540,000</w:t>
            </w:r>
          </w:p>
        </w:tc>
        <w:tc>
          <w:tcPr>
            <w:tcW w:w="800" w:type="dxa"/>
            <w:vAlign w:val="bottom"/>
          </w:tcPr>
          <w:p>
            <w:pPr>
              <w:spacing w:after="0"/>
              <w:rPr>
                <w:sz w:val="12"/>
                <w:szCs w:val="12"/>
                <w:color w:val="auto"/>
              </w:rPr>
            </w:pPr>
          </w:p>
        </w:tc>
        <w:tc>
          <w:tcPr>
            <w:tcW w:w="740" w:type="dxa"/>
            <w:vAlign w:val="bottom"/>
          </w:tcPr>
          <w:p>
            <w:pPr>
              <w:jc w:val="right"/>
              <w:ind w:right="15"/>
              <w:spacing w:after="0" w:line="146" w:lineRule="exact"/>
              <w:rPr>
                <w:sz w:val="20"/>
                <w:szCs w:val="20"/>
                <w:color w:val="auto"/>
              </w:rPr>
            </w:pPr>
            <w:r>
              <w:rPr>
                <w:rFonts w:ascii="Arial" w:cs="Arial" w:eastAsia="Arial" w:hAnsi="Arial"/>
                <w:sz w:val="13"/>
                <w:szCs w:val="13"/>
                <w:color w:val="auto"/>
              </w:rPr>
              <w:t>877,180</w:t>
            </w:r>
          </w:p>
        </w:tc>
        <w:tc>
          <w:tcPr>
            <w:tcW w:w="740" w:type="dxa"/>
            <w:vAlign w:val="bottom"/>
          </w:tcPr>
          <w:p>
            <w:pPr>
              <w:jc w:val="right"/>
              <w:ind w:right="15"/>
              <w:spacing w:after="0" w:line="146" w:lineRule="exact"/>
              <w:rPr>
                <w:sz w:val="20"/>
                <w:szCs w:val="20"/>
                <w:color w:val="auto"/>
              </w:rPr>
            </w:pPr>
            <w:r>
              <w:rPr>
                <w:rFonts w:ascii="Arial" w:cs="Arial" w:eastAsia="Arial" w:hAnsi="Arial"/>
                <w:sz w:val="13"/>
                <w:szCs w:val="13"/>
                <w:color w:val="auto"/>
              </w:rPr>
              <w:t>233,969</w:t>
            </w:r>
          </w:p>
        </w:tc>
        <w:tc>
          <w:tcPr>
            <w:tcW w:w="1080" w:type="dxa"/>
            <w:vAlign w:val="bottom"/>
          </w:tcPr>
          <w:p>
            <w:pPr>
              <w:jc w:val="right"/>
              <w:ind w:right="15"/>
              <w:spacing w:after="0" w:line="146" w:lineRule="exact"/>
              <w:rPr>
                <w:sz w:val="20"/>
                <w:szCs w:val="20"/>
                <w:color w:val="auto"/>
              </w:rPr>
            </w:pPr>
            <w:r>
              <w:rPr>
                <w:rFonts w:ascii="Arial" w:cs="Arial" w:eastAsia="Arial" w:hAnsi="Arial"/>
                <w:sz w:val="13"/>
                <w:szCs w:val="13"/>
                <w:color w:val="auto"/>
              </w:rPr>
              <w:t>355,178</w:t>
            </w:r>
          </w:p>
        </w:tc>
        <w:tc>
          <w:tcPr>
            <w:tcW w:w="1080" w:type="dxa"/>
            <w:vAlign w:val="bottom"/>
          </w:tcPr>
          <w:p>
            <w:pPr>
              <w:jc w:val="right"/>
              <w:ind w:right="15"/>
              <w:spacing w:after="0" w:line="146" w:lineRule="exact"/>
              <w:rPr>
                <w:sz w:val="20"/>
                <w:szCs w:val="20"/>
                <w:color w:val="auto"/>
              </w:rPr>
            </w:pPr>
            <w:r>
              <w:rPr>
                <w:rFonts w:ascii="Arial" w:cs="Arial" w:eastAsia="Arial" w:hAnsi="Arial"/>
                <w:sz w:val="13"/>
                <w:szCs w:val="13"/>
                <w:color w:val="auto"/>
              </w:rPr>
              <w:t>300,524</w:t>
            </w:r>
          </w:p>
        </w:tc>
        <w:tc>
          <w:tcPr>
            <w:tcW w:w="1080" w:type="dxa"/>
            <w:vAlign w:val="bottom"/>
          </w:tcPr>
          <w:p>
            <w:pPr>
              <w:jc w:val="right"/>
              <w:ind w:right="15"/>
              <w:spacing w:after="0" w:line="146" w:lineRule="exact"/>
              <w:rPr>
                <w:sz w:val="20"/>
                <w:szCs w:val="20"/>
                <w:color w:val="auto"/>
              </w:rPr>
            </w:pPr>
            <w:r>
              <w:rPr>
                <w:rFonts w:ascii="Arial" w:cs="Arial" w:eastAsia="Arial" w:hAnsi="Arial"/>
                <w:sz w:val="13"/>
                <w:szCs w:val="13"/>
                <w:color w:val="auto"/>
              </w:rPr>
              <w:t>18,004</w:t>
            </w: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2,324,855</w:t>
            </w:r>
          </w:p>
        </w:tc>
        <w:tc>
          <w:tcPr>
            <w:tcW w:w="0" w:type="dxa"/>
            <w:vAlign w:val="bottom"/>
          </w:tcPr>
          <w:p>
            <w:pPr>
              <w:spacing w:after="0"/>
              <w:rPr>
                <w:sz w:val="1"/>
                <w:szCs w:val="1"/>
                <w:color w:val="auto"/>
              </w:rPr>
            </w:pPr>
          </w:p>
        </w:tc>
      </w:tr>
      <w:tr>
        <w:trPr>
          <w:trHeight w:val="146"/>
        </w:trPr>
        <w:tc>
          <w:tcPr>
            <w:tcW w:w="880" w:type="dxa"/>
            <w:vAlign w:val="bottom"/>
          </w:tcPr>
          <w:p>
            <w:pPr>
              <w:spacing w:after="0" w:line="146" w:lineRule="exact"/>
              <w:rPr>
                <w:sz w:val="20"/>
                <w:szCs w:val="20"/>
                <w:color w:val="auto"/>
              </w:rPr>
            </w:pPr>
            <w:r>
              <w:rPr>
                <w:rFonts w:ascii="Arial" w:cs="Arial" w:eastAsia="Arial" w:hAnsi="Arial"/>
                <w:sz w:val="13"/>
                <w:szCs w:val="13"/>
                <w:color w:val="auto"/>
              </w:rPr>
              <w:t>Chief</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80" w:type="dxa"/>
            <w:vAlign w:val="bottom"/>
          </w:tcPr>
          <w:p>
            <w:pPr>
              <w:spacing w:after="0" w:line="146" w:lineRule="exact"/>
              <w:rPr>
                <w:sz w:val="20"/>
                <w:szCs w:val="20"/>
                <w:color w:val="auto"/>
              </w:rPr>
            </w:pPr>
            <w:r>
              <w:rPr>
                <w:rFonts w:ascii="Arial" w:cs="Arial" w:eastAsia="Arial" w:hAnsi="Arial"/>
                <w:sz w:val="13"/>
                <w:szCs w:val="13"/>
                <w:color w:val="auto"/>
              </w:rPr>
              <w:t>Administrative</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80" w:type="dxa"/>
            <w:vAlign w:val="bottom"/>
          </w:tcPr>
          <w:p>
            <w:pPr>
              <w:spacing w:after="0"/>
              <w:rPr>
                <w:sz w:val="20"/>
                <w:szCs w:val="20"/>
                <w:color w:val="auto"/>
              </w:rPr>
            </w:pPr>
            <w:r>
              <w:rPr>
                <w:rFonts w:ascii="Arial" w:cs="Arial" w:eastAsia="Arial" w:hAnsi="Arial"/>
                <w:sz w:val="13"/>
                <w:szCs w:val="13"/>
                <w:color w:val="auto"/>
              </w:rPr>
              <w:t>Officer</w:t>
            </w:r>
          </w:p>
        </w:tc>
        <w:tc>
          <w:tcPr>
            <w:tcW w:w="520" w:type="dxa"/>
            <w:vAlign w:val="bottom"/>
            <w:gridSpan w:val="2"/>
          </w:tcPr>
          <w:p>
            <w:pPr>
              <w:jc w:val="right"/>
              <w:ind w:right="15"/>
              <w:spacing w:after="0"/>
              <w:rPr>
                <w:sz w:val="20"/>
                <w:szCs w:val="20"/>
                <w:color w:val="auto"/>
              </w:rPr>
            </w:pPr>
            <w:r>
              <w:rPr>
                <w:rFonts w:ascii="Arial" w:cs="Arial" w:eastAsia="Arial" w:hAnsi="Arial"/>
                <w:sz w:val="13"/>
                <w:szCs w:val="13"/>
                <w:color w:val="auto"/>
              </w:rPr>
              <w:t>2018</w:t>
            </w:r>
          </w:p>
        </w:tc>
        <w:tc>
          <w:tcPr>
            <w:tcW w:w="740" w:type="dxa"/>
            <w:vAlign w:val="bottom"/>
          </w:tcPr>
          <w:p>
            <w:pPr>
              <w:jc w:val="right"/>
              <w:ind w:right="15"/>
              <w:spacing w:after="0"/>
              <w:rPr>
                <w:sz w:val="20"/>
                <w:szCs w:val="20"/>
                <w:color w:val="auto"/>
              </w:rPr>
            </w:pPr>
            <w:r>
              <w:rPr>
                <w:rFonts w:ascii="Arial" w:cs="Arial" w:eastAsia="Arial" w:hAnsi="Arial"/>
                <w:sz w:val="13"/>
                <w:szCs w:val="13"/>
                <w:color w:val="auto"/>
              </w:rPr>
              <w:t>540,000</w:t>
            </w:r>
          </w:p>
        </w:tc>
        <w:tc>
          <w:tcPr>
            <w:tcW w:w="800" w:type="dxa"/>
            <w:vAlign w:val="bottom"/>
          </w:tcPr>
          <w:p>
            <w:pPr>
              <w:spacing w:after="0"/>
              <w:rPr>
                <w:sz w:val="13"/>
                <w:szCs w:val="13"/>
                <w:color w:val="auto"/>
              </w:rPr>
            </w:pPr>
          </w:p>
        </w:tc>
        <w:tc>
          <w:tcPr>
            <w:tcW w:w="740" w:type="dxa"/>
            <w:vAlign w:val="bottom"/>
          </w:tcPr>
          <w:p>
            <w:pPr>
              <w:jc w:val="right"/>
              <w:ind w:right="15"/>
              <w:spacing w:after="0"/>
              <w:rPr>
                <w:sz w:val="20"/>
                <w:szCs w:val="20"/>
                <w:color w:val="auto"/>
              </w:rPr>
            </w:pPr>
            <w:r>
              <w:rPr>
                <w:rFonts w:ascii="Arial" w:cs="Arial" w:eastAsia="Arial" w:hAnsi="Arial"/>
                <w:sz w:val="13"/>
                <w:szCs w:val="13"/>
                <w:color w:val="auto"/>
              </w:rPr>
              <w:t>746,968</w:t>
            </w:r>
          </w:p>
        </w:tc>
        <w:tc>
          <w:tcPr>
            <w:tcW w:w="740" w:type="dxa"/>
            <w:vAlign w:val="bottom"/>
          </w:tcPr>
          <w:p>
            <w:pPr>
              <w:jc w:val="right"/>
              <w:ind w:right="15"/>
              <w:spacing w:after="0"/>
              <w:rPr>
                <w:sz w:val="20"/>
                <w:szCs w:val="20"/>
                <w:color w:val="auto"/>
              </w:rPr>
            </w:pPr>
            <w:r>
              <w:rPr>
                <w:rFonts w:ascii="Arial" w:cs="Arial" w:eastAsia="Arial" w:hAnsi="Arial"/>
                <w:sz w:val="13"/>
                <w:szCs w:val="13"/>
                <w:color w:val="auto"/>
              </w:rPr>
              <w:t>198,363</w:t>
            </w:r>
          </w:p>
        </w:tc>
        <w:tc>
          <w:tcPr>
            <w:tcW w:w="1080" w:type="dxa"/>
            <w:vAlign w:val="bottom"/>
          </w:tcPr>
          <w:p>
            <w:pPr>
              <w:jc w:val="right"/>
              <w:ind w:right="15"/>
              <w:spacing w:after="0"/>
              <w:rPr>
                <w:sz w:val="20"/>
                <w:szCs w:val="20"/>
                <w:color w:val="auto"/>
              </w:rPr>
            </w:pPr>
            <w:r>
              <w:rPr>
                <w:rFonts w:ascii="Arial" w:cs="Arial" w:eastAsia="Arial" w:hAnsi="Arial"/>
                <w:sz w:val="13"/>
                <w:szCs w:val="13"/>
                <w:color w:val="auto"/>
              </w:rPr>
              <w:t>479,720</w:t>
            </w:r>
          </w:p>
        </w:tc>
        <w:tc>
          <w:tcPr>
            <w:tcW w:w="1080" w:type="dxa"/>
            <w:vAlign w:val="bottom"/>
          </w:tcPr>
          <w:p>
            <w:pPr>
              <w:jc w:val="right"/>
              <w:ind w:right="15"/>
              <w:spacing w:after="0"/>
              <w:rPr>
                <w:sz w:val="20"/>
                <w:szCs w:val="20"/>
                <w:color w:val="auto"/>
              </w:rPr>
            </w:pPr>
            <w:r>
              <w:rPr>
                <w:rFonts w:ascii="Arial" w:cs="Arial" w:eastAsia="Arial" w:hAnsi="Arial"/>
                <w:sz w:val="13"/>
                <w:szCs w:val="13"/>
                <w:color w:val="auto"/>
              </w:rPr>
              <w:t>236,380</w:t>
            </w:r>
          </w:p>
        </w:tc>
        <w:tc>
          <w:tcPr>
            <w:tcW w:w="1080" w:type="dxa"/>
            <w:vAlign w:val="bottom"/>
          </w:tcPr>
          <w:p>
            <w:pPr>
              <w:jc w:val="right"/>
              <w:ind w:right="15"/>
              <w:spacing w:after="0"/>
              <w:rPr>
                <w:sz w:val="20"/>
                <w:szCs w:val="20"/>
                <w:color w:val="auto"/>
              </w:rPr>
            </w:pPr>
            <w:r>
              <w:rPr>
                <w:rFonts w:ascii="Arial" w:cs="Arial" w:eastAsia="Arial" w:hAnsi="Arial"/>
                <w:sz w:val="13"/>
                <w:szCs w:val="13"/>
                <w:color w:val="auto"/>
              </w:rPr>
              <w:t>19,912</w:t>
            </w:r>
          </w:p>
        </w:tc>
        <w:tc>
          <w:tcPr>
            <w:tcW w:w="660" w:type="dxa"/>
            <w:vAlign w:val="bottom"/>
          </w:tcPr>
          <w:p>
            <w:pPr>
              <w:jc w:val="right"/>
              <w:spacing w:after="0"/>
              <w:rPr>
                <w:sz w:val="20"/>
                <w:szCs w:val="20"/>
                <w:color w:val="auto"/>
              </w:rPr>
            </w:pPr>
            <w:r>
              <w:rPr>
                <w:rFonts w:ascii="Arial" w:cs="Arial" w:eastAsia="Arial" w:hAnsi="Arial"/>
                <w:sz w:val="13"/>
                <w:szCs w:val="13"/>
                <w:color w:val="auto"/>
              </w:rPr>
              <w:t>2,221,343</w:t>
            </w:r>
          </w:p>
        </w:tc>
        <w:tc>
          <w:tcPr>
            <w:tcW w:w="0" w:type="dxa"/>
            <w:vAlign w:val="bottom"/>
          </w:tcPr>
          <w:p>
            <w:pPr>
              <w:spacing w:after="0"/>
              <w:rPr>
                <w:sz w:val="1"/>
                <w:szCs w:val="1"/>
                <w:color w:val="auto"/>
              </w:rPr>
            </w:pPr>
          </w:p>
        </w:tc>
      </w:tr>
      <w:tr>
        <w:trPr>
          <w:trHeight w:val="134"/>
        </w:trPr>
        <w:tc>
          <w:tcPr>
            <w:tcW w:w="880" w:type="dxa"/>
            <w:vAlign w:val="bottom"/>
            <w:shd w:val="clear" w:color="auto" w:fill="E8F5EA"/>
          </w:tcPr>
          <w:p>
            <w:pPr>
              <w:spacing w:after="0" w:line="134" w:lineRule="exact"/>
              <w:rPr>
                <w:sz w:val="20"/>
                <w:szCs w:val="20"/>
                <w:color w:val="auto"/>
              </w:rPr>
            </w:pPr>
            <w:r>
              <w:rPr>
                <w:rFonts w:ascii="Arial" w:cs="Arial" w:eastAsia="Arial" w:hAnsi="Arial"/>
                <w:sz w:val="13"/>
                <w:szCs w:val="13"/>
                <w:color w:val="auto"/>
              </w:rPr>
              <w:t>Michael J.</w:t>
            </w:r>
          </w:p>
        </w:tc>
        <w:tc>
          <w:tcPr>
            <w:tcW w:w="100" w:type="dxa"/>
            <w:vAlign w:val="bottom"/>
            <w:shd w:val="clear" w:color="auto" w:fill="E8F5EA"/>
          </w:tcPr>
          <w:p>
            <w:pPr>
              <w:spacing w:after="0"/>
              <w:rPr>
                <w:sz w:val="11"/>
                <w:szCs w:val="11"/>
                <w:color w:val="auto"/>
              </w:rPr>
            </w:pPr>
          </w:p>
        </w:tc>
        <w:tc>
          <w:tcPr>
            <w:tcW w:w="420" w:type="dxa"/>
            <w:vAlign w:val="bottom"/>
            <w:shd w:val="clear" w:color="auto" w:fill="E8F5EA"/>
          </w:tcPr>
          <w:p>
            <w:pPr>
              <w:spacing w:after="0"/>
              <w:rPr>
                <w:sz w:val="11"/>
                <w:szCs w:val="11"/>
                <w:color w:val="auto"/>
              </w:rPr>
            </w:pPr>
          </w:p>
        </w:tc>
        <w:tc>
          <w:tcPr>
            <w:tcW w:w="740" w:type="dxa"/>
            <w:vAlign w:val="bottom"/>
            <w:shd w:val="clear" w:color="auto" w:fill="E8F5EA"/>
          </w:tcPr>
          <w:p>
            <w:pPr>
              <w:spacing w:after="0"/>
              <w:rPr>
                <w:sz w:val="11"/>
                <w:szCs w:val="11"/>
                <w:color w:val="auto"/>
              </w:rPr>
            </w:pPr>
          </w:p>
        </w:tc>
        <w:tc>
          <w:tcPr>
            <w:tcW w:w="800" w:type="dxa"/>
            <w:vAlign w:val="bottom"/>
            <w:shd w:val="clear" w:color="auto" w:fill="E8F5EA"/>
          </w:tcPr>
          <w:p>
            <w:pPr>
              <w:spacing w:after="0"/>
              <w:rPr>
                <w:sz w:val="11"/>
                <w:szCs w:val="11"/>
                <w:color w:val="auto"/>
              </w:rPr>
            </w:pPr>
          </w:p>
        </w:tc>
        <w:tc>
          <w:tcPr>
            <w:tcW w:w="740" w:type="dxa"/>
            <w:vAlign w:val="bottom"/>
            <w:shd w:val="clear" w:color="auto" w:fill="E8F5EA"/>
          </w:tcPr>
          <w:p>
            <w:pPr>
              <w:spacing w:after="0"/>
              <w:rPr>
                <w:sz w:val="11"/>
                <w:szCs w:val="11"/>
                <w:color w:val="auto"/>
              </w:rPr>
            </w:pPr>
          </w:p>
        </w:tc>
        <w:tc>
          <w:tcPr>
            <w:tcW w:w="740" w:type="dxa"/>
            <w:vAlign w:val="bottom"/>
            <w:shd w:val="clear" w:color="auto" w:fill="E8F5EA"/>
          </w:tcPr>
          <w:p>
            <w:pPr>
              <w:spacing w:after="0"/>
              <w:rPr>
                <w:sz w:val="11"/>
                <w:szCs w:val="11"/>
                <w:color w:val="auto"/>
              </w:rPr>
            </w:pPr>
          </w:p>
        </w:tc>
        <w:tc>
          <w:tcPr>
            <w:tcW w:w="1080" w:type="dxa"/>
            <w:vAlign w:val="bottom"/>
            <w:shd w:val="clear" w:color="auto" w:fill="E8F5EA"/>
          </w:tcPr>
          <w:p>
            <w:pPr>
              <w:spacing w:after="0"/>
              <w:rPr>
                <w:sz w:val="11"/>
                <w:szCs w:val="11"/>
                <w:color w:val="auto"/>
              </w:rPr>
            </w:pPr>
          </w:p>
        </w:tc>
        <w:tc>
          <w:tcPr>
            <w:tcW w:w="1080" w:type="dxa"/>
            <w:vAlign w:val="bottom"/>
            <w:shd w:val="clear" w:color="auto" w:fill="E8F5EA"/>
          </w:tcPr>
          <w:p>
            <w:pPr>
              <w:spacing w:after="0"/>
              <w:rPr>
                <w:sz w:val="11"/>
                <w:szCs w:val="11"/>
                <w:color w:val="auto"/>
              </w:rPr>
            </w:pPr>
          </w:p>
        </w:tc>
        <w:tc>
          <w:tcPr>
            <w:tcW w:w="1080" w:type="dxa"/>
            <w:vAlign w:val="bottom"/>
            <w:shd w:val="clear" w:color="auto" w:fill="E8F5EA"/>
          </w:tcPr>
          <w:p>
            <w:pPr>
              <w:spacing w:after="0"/>
              <w:rPr>
                <w:sz w:val="11"/>
                <w:szCs w:val="11"/>
                <w:color w:val="auto"/>
              </w:rPr>
            </w:pPr>
          </w:p>
        </w:tc>
        <w:tc>
          <w:tcPr>
            <w:tcW w:w="660" w:type="dxa"/>
            <w:vAlign w:val="bottom"/>
            <w:shd w:val="clear" w:color="auto" w:fill="E8F5EA"/>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880" w:type="dxa"/>
            <w:vAlign w:val="bottom"/>
            <w:shd w:val="clear" w:color="auto" w:fill="E8F5EA"/>
          </w:tcPr>
          <w:p>
            <w:pPr>
              <w:spacing w:after="0"/>
              <w:rPr>
                <w:sz w:val="20"/>
                <w:szCs w:val="20"/>
                <w:color w:val="auto"/>
              </w:rPr>
            </w:pPr>
            <w:r>
              <w:rPr>
                <w:rFonts w:ascii="Arial" w:cs="Arial" w:eastAsia="Arial" w:hAnsi="Arial"/>
                <w:sz w:val="13"/>
                <w:szCs w:val="13"/>
                <w:color w:val="auto"/>
              </w:rPr>
              <w:t>O'Neill (7)</w:t>
            </w:r>
          </w:p>
        </w:tc>
        <w:tc>
          <w:tcPr>
            <w:tcW w:w="520" w:type="dxa"/>
            <w:vAlign w:val="bottom"/>
            <w:gridSpan w:val="2"/>
            <w:shd w:val="clear" w:color="auto" w:fill="E8F5EA"/>
          </w:tcPr>
          <w:p>
            <w:pPr>
              <w:jc w:val="right"/>
              <w:ind w:right="15"/>
              <w:spacing w:after="0"/>
              <w:rPr>
                <w:sz w:val="20"/>
                <w:szCs w:val="20"/>
                <w:color w:val="auto"/>
              </w:rPr>
            </w:pPr>
            <w:r>
              <w:rPr>
                <w:rFonts w:ascii="Arial" w:cs="Arial" w:eastAsia="Arial" w:hAnsi="Arial"/>
                <w:sz w:val="13"/>
                <w:szCs w:val="13"/>
                <w:color w:val="auto"/>
              </w:rPr>
              <w:t>2020</w:t>
            </w:r>
          </w:p>
        </w:tc>
        <w:tc>
          <w:tcPr>
            <w:tcW w:w="740" w:type="dxa"/>
            <w:vAlign w:val="bottom"/>
            <w:shd w:val="clear" w:color="auto" w:fill="E8F5EA"/>
          </w:tcPr>
          <w:p>
            <w:pPr>
              <w:jc w:val="right"/>
              <w:ind w:right="15"/>
              <w:spacing w:after="0"/>
              <w:rPr>
                <w:sz w:val="20"/>
                <w:szCs w:val="20"/>
                <w:color w:val="auto"/>
              </w:rPr>
            </w:pPr>
            <w:r>
              <w:rPr>
                <w:rFonts w:ascii="Arial" w:cs="Arial" w:eastAsia="Arial" w:hAnsi="Arial"/>
                <w:sz w:val="13"/>
                <w:szCs w:val="13"/>
                <w:color w:val="auto"/>
              </w:rPr>
              <w:t>419,538</w:t>
            </w:r>
          </w:p>
        </w:tc>
        <w:tc>
          <w:tcPr>
            <w:tcW w:w="800" w:type="dxa"/>
            <w:vAlign w:val="bottom"/>
            <w:shd w:val="clear" w:color="auto" w:fill="E8F5EA"/>
          </w:tcPr>
          <w:p>
            <w:pPr>
              <w:spacing w:after="0"/>
              <w:rPr>
                <w:sz w:val="13"/>
                <w:szCs w:val="13"/>
                <w:color w:val="auto"/>
              </w:rPr>
            </w:pPr>
          </w:p>
        </w:tc>
        <w:tc>
          <w:tcPr>
            <w:tcW w:w="740" w:type="dxa"/>
            <w:vAlign w:val="bottom"/>
            <w:shd w:val="clear" w:color="auto" w:fill="E8F5EA"/>
          </w:tcPr>
          <w:p>
            <w:pPr>
              <w:jc w:val="right"/>
              <w:ind w:right="15"/>
              <w:spacing w:after="0"/>
              <w:rPr>
                <w:sz w:val="20"/>
                <w:szCs w:val="20"/>
                <w:color w:val="auto"/>
              </w:rPr>
            </w:pPr>
            <w:r>
              <w:rPr>
                <w:rFonts w:ascii="Arial" w:cs="Arial" w:eastAsia="Arial" w:hAnsi="Arial"/>
                <w:sz w:val="13"/>
                <w:szCs w:val="13"/>
                <w:color w:val="auto"/>
              </w:rPr>
              <w:t>741,768</w:t>
            </w:r>
          </w:p>
        </w:tc>
        <w:tc>
          <w:tcPr>
            <w:tcW w:w="740" w:type="dxa"/>
            <w:vAlign w:val="bottom"/>
            <w:shd w:val="clear" w:color="auto" w:fill="E8F5EA"/>
          </w:tcPr>
          <w:p>
            <w:pPr>
              <w:jc w:val="right"/>
              <w:ind w:right="15"/>
              <w:spacing w:after="0"/>
              <w:rPr>
                <w:sz w:val="20"/>
                <w:szCs w:val="20"/>
                <w:color w:val="auto"/>
              </w:rPr>
            </w:pPr>
            <w:r>
              <w:rPr>
                <w:rFonts w:ascii="Arial" w:cs="Arial" w:eastAsia="Arial" w:hAnsi="Arial"/>
                <w:sz w:val="13"/>
                <w:szCs w:val="13"/>
                <w:color w:val="auto"/>
              </w:rPr>
              <w:t>183,857</w:t>
            </w:r>
          </w:p>
        </w:tc>
        <w:tc>
          <w:tcPr>
            <w:tcW w:w="1080" w:type="dxa"/>
            <w:vAlign w:val="bottom"/>
            <w:shd w:val="clear" w:color="auto" w:fill="E8F5EA"/>
          </w:tcPr>
          <w:p>
            <w:pPr>
              <w:jc w:val="right"/>
              <w:ind w:right="15"/>
              <w:spacing w:after="0"/>
              <w:rPr>
                <w:sz w:val="20"/>
                <w:szCs w:val="20"/>
                <w:color w:val="auto"/>
              </w:rPr>
            </w:pPr>
            <w:r>
              <w:rPr>
                <w:rFonts w:ascii="Arial" w:cs="Arial" w:eastAsia="Arial" w:hAnsi="Arial"/>
                <w:sz w:val="13"/>
                <w:szCs w:val="13"/>
                <w:color w:val="auto"/>
              </w:rPr>
              <w:t>157,345</w:t>
            </w:r>
          </w:p>
        </w:tc>
        <w:tc>
          <w:tcPr>
            <w:tcW w:w="1080" w:type="dxa"/>
            <w:vAlign w:val="bottom"/>
            <w:shd w:val="clear" w:color="auto" w:fill="E8F5EA"/>
          </w:tcPr>
          <w:p>
            <w:pPr>
              <w:jc w:val="right"/>
              <w:ind w:right="15"/>
              <w:spacing w:after="0"/>
              <w:rPr>
                <w:sz w:val="20"/>
                <w:szCs w:val="20"/>
                <w:color w:val="auto"/>
              </w:rPr>
            </w:pPr>
            <w:r>
              <w:rPr>
                <w:rFonts w:ascii="Arial" w:cs="Arial" w:eastAsia="Arial" w:hAnsi="Arial"/>
                <w:sz w:val="13"/>
                <w:szCs w:val="13"/>
                <w:color w:val="auto"/>
              </w:rPr>
              <w:t>63,733</w:t>
            </w:r>
          </w:p>
        </w:tc>
        <w:tc>
          <w:tcPr>
            <w:tcW w:w="1080" w:type="dxa"/>
            <w:vAlign w:val="bottom"/>
            <w:shd w:val="clear" w:color="auto" w:fill="E8F5EA"/>
          </w:tcPr>
          <w:p>
            <w:pPr>
              <w:jc w:val="right"/>
              <w:ind w:right="15"/>
              <w:spacing w:after="0"/>
              <w:rPr>
                <w:sz w:val="20"/>
                <w:szCs w:val="20"/>
                <w:color w:val="auto"/>
              </w:rPr>
            </w:pPr>
            <w:r>
              <w:rPr>
                <w:rFonts w:ascii="Arial" w:cs="Arial" w:eastAsia="Arial" w:hAnsi="Arial"/>
                <w:sz w:val="13"/>
                <w:szCs w:val="13"/>
                <w:color w:val="auto"/>
              </w:rPr>
              <w:t>968,600</w:t>
            </w:r>
          </w:p>
        </w:tc>
        <w:tc>
          <w:tcPr>
            <w:tcW w:w="660" w:type="dxa"/>
            <w:vAlign w:val="bottom"/>
            <w:shd w:val="clear" w:color="auto" w:fill="E8F5EA"/>
          </w:tcPr>
          <w:p>
            <w:pPr>
              <w:jc w:val="right"/>
              <w:spacing w:after="0"/>
              <w:rPr>
                <w:sz w:val="20"/>
                <w:szCs w:val="20"/>
                <w:color w:val="auto"/>
              </w:rPr>
            </w:pPr>
            <w:r>
              <w:rPr>
                <w:rFonts w:ascii="Arial" w:cs="Arial" w:eastAsia="Arial" w:hAnsi="Arial"/>
                <w:sz w:val="13"/>
                <w:szCs w:val="13"/>
                <w:color w:val="auto"/>
              </w:rPr>
              <w:t>2,534,841</w:t>
            </w:r>
          </w:p>
        </w:tc>
        <w:tc>
          <w:tcPr>
            <w:tcW w:w="0" w:type="dxa"/>
            <w:vAlign w:val="bottom"/>
          </w:tcPr>
          <w:p>
            <w:pPr>
              <w:spacing w:after="0"/>
              <w:rPr>
                <w:sz w:val="1"/>
                <w:szCs w:val="1"/>
                <w:color w:val="auto"/>
              </w:rPr>
            </w:pPr>
          </w:p>
        </w:tc>
      </w:tr>
      <w:tr>
        <w:trPr>
          <w:trHeight w:val="134"/>
        </w:trPr>
        <w:tc>
          <w:tcPr>
            <w:tcW w:w="880" w:type="dxa"/>
            <w:vAlign w:val="bottom"/>
            <w:shd w:val="clear" w:color="auto" w:fill="E8F5EA"/>
          </w:tcPr>
          <w:p>
            <w:pPr>
              <w:spacing w:after="0" w:line="134" w:lineRule="exact"/>
              <w:rPr>
                <w:sz w:val="20"/>
                <w:szCs w:val="20"/>
                <w:color w:val="auto"/>
              </w:rPr>
            </w:pPr>
            <w:r>
              <w:rPr>
                <w:rFonts w:ascii="Arial" w:cs="Arial" w:eastAsia="Arial" w:hAnsi="Arial"/>
                <w:sz w:val="13"/>
                <w:szCs w:val="13"/>
                <w:color w:val="auto"/>
              </w:rPr>
              <w:t>Former</w:t>
            </w:r>
          </w:p>
        </w:tc>
        <w:tc>
          <w:tcPr>
            <w:tcW w:w="100" w:type="dxa"/>
            <w:vAlign w:val="bottom"/>
            <w:shd w:val="clear" w:color="auto" w:fill="E8F5EA"/>
          </w:tcPr>
          <w:p>
            <w:pPr>
              <w:spacing w:after="0"/>
              <w:rPr>
                <w:sz w:val="11"/>
                <w:szCs w:val="11"/>
                <w:color w:val="auto"/>
              </w:rPr>
            </w:pPr>
          </w:p>
        </w:tc>
        <w:tc>
          <w:tcPr>
            <w:tcW w:w="420" w:type="dxa"/>
            <w:vAlign w:val="bottom"/>
            <w:shd w:val="clear" w:color="auto" w:fill="E8F5EA"/>
          </w:tcPr>
          <w:p>
            <w:pPr>
              <w:spacing w:after="0"/>
              <w:rPr>
                <w:sz w:val="11"/>
                <w:szCs w:val="11"/>
                <w:color w:val="auto"/>
              </w:rPr>
            </w:pPr>
          </w:p>
        </w:tc>
        <w:tc>
          <w:tcPr>
            <w:tcW w:w="740" w:type="dxa"/>
            <w:vAlign w:val="bottom"/>
            <w:shd w:val="clear" w:color="auto" w:fill="E8F5EA"/>
          </w:tcPr>
          <w:p>
            <w:pPr>
              <w:spacing w:after="0"/>
              <w:rPr>
                <w:sz w:val="11"/>
                <w:szCs w:val="11"/>
                <w:color w:val="auto"/>
              </w:rPr>
            </w:pPr>
          </w:p>
        </w:tc>
        <w:tc>
          <w:tcPr>
            <w:tcW w:w="800" w:type="dxa"/>
            <w:vAlign w:val="bottom"/>
            <w:shd w:val="clear" w:color="auto" w:fill="E8F5EA"/>
          </w:tcPr>
          <w:p>
            <w:pPr>
              <w:spacing w:after="0"/>
              <w:rPr>
                <w:sz w:val="11"/>
                <w:szCs w:val="11"/>
                <w:color w:val="auto"/>
              </w:rPr>
            </w:pPr>
          </w:p>
        </w:tc>
        <w:tc>
          <w:tcPr>
            <w:tcW w:w="740" w:type="dxa"/>
            <w:vAlign w:val="bottom"/>
            <w:shd w:val="clear" w:color="auto" w:fill="E8F5EA"/>
          </w:tcPr>
          <w:p>
            <w:pPr>
              <w:spacing w:after="0"/>
              <w:rPr>
                <w:sz w:val="11"/>
                <w:szCs w:val="11"/>
                <w:color w:val="auto"/>
              </w:rPr>
            </w:pPr>
          </w:p>
        </w:tc>
        <w:tc>
          <w:tcPr>
            <w:tcW w:w="740" w:type="dxa"/>
            <w:vAlign w:val="bottom"/>
            <w:shd w:val="clear" w:color="auto" w:fill="E8F5EA"/>
          </w:tcPr>
          <w:p>
            <w:pPr>
              <w:spacing w:after="0"/>
              <w:rPr>
                <w:sz w:val="11"/>
                <w:szCs w:val="11"/>
                <w:color w:val="auto"/>
              </w:rPr>
            </w:pPr>
          </w:p>
        </w:tc>
        <w:tc>
          <w:tcPr>
            <w:tcW w:w="1080" w:type="dxa"/>
            <w:vAlign w:val="bottom"/>
            <w:shd w:val="clear" w:color="auto" w:fill="E8F5EA"/>
          </w:tcPr>
          <w:p>
            <w:pPr>
              <w:spacing w:after="0"/>
              <w:rPr>
                <w:sz w:val="11"/>
                <w:szCs w:val="11"/>
                <w:color w:val="auto"/>
              </w:rPr>
            </w:pPr>
          </w:p>
        </w:tc>
        <w:tc>
          <w:tcPr>
            <w:tcW w:w="1080" w:type="dxa"/>
            <w:vAlign w:val="bottom"/>
            <w:shd w:val="clear" w:color="auto" w:fill="E8F5EA"/>
          </w:tcPr>
          <w:p>
            <w:pPr>
              <w:spacing w:after="0"/>
              <w:rPr>
                <w:sz w:val="11"/>
                <w:szCs w:val="11"/>
                <w:color w:val="auto"/>
              </w:rPr>
            </w:pPr>
          </w:p>
        </w:tc>
        <w:tc>
          <w:tcPr>
            <w:tcW w:w="1080" w:type="dxa"/>
            <w:vAlign w:val="bottom"/>
            <w:shd w:val="clear" w:color="auto" w:fill="E8F5EA"/>
          </w:tcPr>
          <w:p>
            <w:pPr>
              <w:spacing w:after="0"/>
              <w:rPr>
                <w:sz w:val="11"/>
                <w:szCs w:val="11"/>
                <w:color w:val="auto"/>
              </w:rPr>
            </w:pPr>
          </w:p>
        </w:tc>
        <w:tc>
          <w:tcPr>
            <w:tcW w:w="660" w:type="dxa"/>
            <w:vAlign w:val="bottom"/>
            <w:shd w:val="clear" w:color="auto" w:fill="E8F5EA"/>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880" w:type="dxa"/>
            <w:vAlign w:val="bottom"/>
            <w:shd w:val="clear" w:color="auto" w:fill="E8F5EA"/>
          </w:tcPr>
          <w:p>
            <w:pPr>
              <w:spacing w:after="0" w:line="146" w:lineRule="exact"/>
              <w:rPr>
                <w:sz w:val="20"/>
                <w:szCs w:val="20"/>
                <w:color w:val="auto"/>
              </w:rPr>
            </w:pPr>
            <w:r>
              <w:rPr>
                <w:rFonts w:ascii="Arial" w:cs="Arial" w:eastAsia="Arial" w:hAnsi="Arial"/>
                <w:sz w:val="13"/>
                <w:szCs w:val="13"/>
                <w:color w:val="auto"/>
              </w:rPr>
              <w:t>General</w:t>
            </w:r>
          </w:p>
        </w:tc>
        <w:tc>
          <w:tcPr>
            <w:tcW w:w="100" w:type="dxa"/>
            <w:vAlign w:val="bottom"/>
            <w:shd w:val="clear" w:color="auto" w:fill="E8F5EA"/>
          </w:tcPr>
          <w:p>
            <w:pPr>
              <w:spacing w:after="0"/>
              <w:rPr>
                <w:sz w:val="12"/>
                <w:szCs w:val="12"/>
                <w:color w:val="auto"/>
              </w:rPr>
            </w:pPr>
          </w:p>
        </w:tc>
        <w:tc>
          <w:tcPr>
            <w:tcW w:w="420" w:type="dxa"/>
            <w:vAlign w:val="bottom"/>
            <w:shd w:val="clear" w:color="auto" w:fill="E8F5EA"/>
          </w:tcPr>
          <w:p>
            <w:pPr>
              <w:spacing w:after="0"/>
              <w:rPr>
                <w:sz w:val="12"/>
                <w:szCs w:val="12"/>
                <w:color w:val="auto"/>
              </w:rPr>
            </w:pPr>
          </w:p>
        </w:tc>
        <w:tc>
          <w:tcPr>
            <w:tcW w:w="740" w:type="dxa"/>
            <w:vAlign w:val="bottom"/>
            <w:shd w:val="clear" w:color="auto" w:fill="E8F5EA"/>
          </w:tcPr>
          <w:p>
            <w:pPr>
              <w:spacing w:after="0"/>
              <w:rPr>
                <w:sz w:val="12"/>
                <w:szCs w:val="12"/>
                <w:color w:val="auto"/>
              </w:rPr>
            </w:pPr>
          </w:p>
        </w:tc>
        <w:tc>
          <w:tcPr>
            <w:tcW w:w="800" w:type="dxa"/>
            <w:vAlign w:val="bottom"/>
            <w:shd w:val="clear" w:color="auto" w:fill="E8F5EA"/>
          </w:tcPr>
          <w:p>
            <w:pPr>
              <w:spacing w:after="0"/>
              <w:rPr>
                <w:sz w:val="12"/>
                <w:szCs w:val="12"/>
                <w:color w:val="auto"/>
              </w:rPr>
            </w:pPr>
          </w:p>
        </w:tc>
        <w:tc>
          <w:tcPr>
            <w:tcW w:w="740" w:type="dxa"/>
            <w:vAlign w:val="bottom"/>
            <w:shd w:val="clear" w:color="auto" w:fill="E8F5EA"/>
          </w:tcPr>
          <w:p>
            <w:pPr>
              <w:spacing w:after="0"/>
              <w:rPr>
                <w:sz w:val="12"/>
                <w:szCs w:val="12"/>
                <w:color w:val="auto"/>
              </w:rPr>
            </w:pPr>
          </w:p>
        </w:tc>
        <w:tc>
          <w:tcPr>
            <w:tcW w:w="740" w:type="dxa"/>
            <w:vAlign w:val="bottom"/>
            <w:shd w:val="clear" w:color="auto" w:fill="E8F5EA"/>
          </w:tcPr>
          <w:p>
            <w:pPr>
              <w:spacing w:after="0"/>
              <w:rPr>
                <w:sz w:val="12"/>
                <w:szCs w:val="12"/>
                <w:color w:val="auto"/>
              </w:rPr>
            </w:pPr>
          </w:p>
        </w:tc>
        <w:tc>
          <w:tcPr>
            <w:tcW w:w="1080" w:type="dxa"/>
            <w:vAlign w:val="bottom"/>
            <w:shd w:val="clear" w:color="auto" w:fill="E8F5EA"/>
          </w:tcPr>
          <w:p>
            <w:pPr>
              <w:spacing w:after="0"/>
              <w:rPr>
                <w:sz w:val="12"/>
                <w:szCs w:val="12"/>
                <w:color w:val="auto"/>
              </w:rPr>
            </w:pPr>
          </w:p>
        </w:tc>
        <w:tc>
          <w:tcPr>
            <w:tcW w:w="1080" w:type="dxa"/>
            <w:vAlign w:val="bottom"/>
            <w:shd w:val="clear" w:color="auto" w:fill="E8F5EA"/>
          </w:tcPr>
          <w:p>
            <w:pPr>
              <w:spacing w:after="0"/>
              <w:rPr>
                <w:sz w:val="12"/>
                <w:szCs w:val="12"/>
                <w:color w:val="auto"/>
              </w:rPr>
            </w:pPr>
          </w:p>
        </w:tc>
        <w:tc>
          <w:tcPr>
            <w:tcW w:w="1080" w:type="dxa"/>
            <w:vAlign w:val="bottom"/>
            <w:shd w:val="clear" w:color="auto" w:fill="E8F5EA"/>
          </w:tcPr>
          <w:p>
            <w:pPr>
              <w:spacing w:after="0"/>
              <w:rPr>
                <w:sz w:val="12"/>
                <w:szCs w:val="12"/>
                <w:color w:val="auto"/>
              </w:rPr>
            </w:pPr>
          </w:p>
        </w:tc>
        <w:tc>
          <w:tcPr>
            <w:tcW w:w="660" w:type="dxa"/>
            <w:vAlign w:val="bottom"/>
            <w:shd w:val="clear" w:color="auto" w:fill="E8F5EA"/>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80" w:type="dxa"/>
            <w:vAlign w:val="bottom"/>
            <w:tcBorders>
              <w:bottom w:val="single" w:sz="8" w:color="53C072"/>
            </w:tcBorders>
            <w:shd w:val="clear" w:color="auto" w:fill="E8F5EA"/>
          </w:tcPr>
          <w:p>
            <w:pPr>
              <w:spacing w:after="0"/>
              <w:rPr>
                <w:sz w:val="20"/>
                <w:szCs w:val="20"/>
                <w:color w:val="auto"/>
              </w:rPr>
            </w:pPr>
            <w:r>
              <w:rPr>
                <w:rFonts w:ascii="Arial" w:cs="Arial" w:eastAsia="Arial" w:hAnsi="Arial"/>
                <w:sz w:val="13"/>
                <w:szCs w:val="13"/>
                <w:color w:val="auto"/>
              </w:rPr>
              <w:t>Counsel</w:t>
            </w:r>
          </w:p>
        </w:tc>
        <w:tc>
          <w:tcPr>
            <w:tcW w:w="100" w:type="dxa"/>
            <w:vAlign w:val="bottom"/>
            <w:tcBorders>
              <w:bottom w:val="single" w:sz="8" w:color="53C072"/>
            </w:tcBorders>
            <w:shd w:val="clear" w:color="auto" w:fill="E8F5EA"/>
          </w:tcPr>
          <w:p>
            <w:pPr>
              <w:spacing w:after="0"/>
              <w:rPr>
                <w:sz w:val="15"/>
                <w:szCs w:val="15"/>
                <w:color w:val="auto"/>
              </w:rPr>
            </w:pPr>
          </w:p>
        </w:tc>
        <w:tc>
          <w:tcPr>
            <w:tcW w:w="420" w:type="dxa"/>
            <w:vAlign w:val="bottom"/>
            <w:tcBorders>
              <w:bottom w:val="single" w:sz="8" w:color="53C072"/>
            </w:tcBorders>
            <w:shd w:val="clear" w:color="auto" w:fill="E8F5EA"/>
          </w:tcPr>
          <w:p>
            <w:pPr>
              <w:spacing w:after="0"/>
              <w:rPr>
                <w:sz w:val="15"/>
                <w:szCs w:val="15"/>
                <w:color w:val="auto"/>
              </w:rPr>
            </w:pPr>
          </w:p>
        </w:tc>
        <w:tc>
          <w:tcPr>
            <w:tcW w:w="740" w:type="dxa"/>
            <w:vAlign w:val="bottom"/>
            <w:tcBorders>
              <w:bottom w:val="single" w:sz="8" w:color="53C072"/>
            </w:tcBorders>
            <w:shd w:val="clear" w:color="auto" w:fill="E8F5EA"/>
          </w:tcPr>
          <w:p>
            <w:pPr>
              <w:spacing w:after="0"/>
              <w:rPr>
                <w:sz w:val="15"/>
                <w:szCs w:val="15"/>
                <w:color w:val="auto"/>
              </w:rPr>
            </w:pPr>
          </w:p>
        </w:tc>
        <w:tc>
          <w:tcPr>
            <w:tcW w:w="800" w:type="dxa"/>
            <w:vAlign w:val="bottom"/>
            <w:tcBorders>
              <w:bottom w:val="single" w:sz="8" w:color="53C072"/>
            </w:tcBorders>
            <w:shd w:val="clear" w:color="auto" w:fill="E8F5EA"/>
          </w:tcPr>
          <w:p>
            <w:pPr>
              <w:spacing w:after="0"/>
              <w:rPr>
                <w:sz w:val="15"/>
                <w:szCs w:val="15"/>
                <w:color w:val="auto"/>
              </w:rPr>
            </w:pPr>
          </w:p>
        </w:tc>
        <w:tc>
          <w:tcPr>
            <w:tcW w:w="740" w:type="dxa"/>
            <w:vAlign w:val="bottom"/>
            <w:tcBorders>
              <w:bottom w:val="single" w:sz="8" w:color="53C072"/>
            </w:tcBorders>
            <w:shd w:val="clear" w:color="auto" w:fill="E8F5EA"/>
          </w:tcPr>
          <w:p>
            <w:pPr>
              <w:spacing w:after="0"/>
              <w:rPr>
                <w:sz w:val="15"/>
                <w:szCs w:val="15"/>
                <w:color w:val="auto"/>
              </w:rPr>
            </w:pPr>
          </w:p>
        </w:tc>
        <w:tc>
          <w:tcPr>
            <w:tcW w:w="740" w:type="dxa"/>
            <w:vAlign w:val="bottom"/>
            <w:tcBorders>
              <w:bottom w:val="single" w:sz="8" w:color="53C072"/>
            </w:tcBorders>
            <w:shd w:val="clear" w:color="auto" w:fill="E8F5EA"/>
          </w:tcPr>
          <w:p>
            <w:pPr>
              <w:spacing w:after="0"/>
              <w:rPr>
                <w:sz w:val="15"/>
                <w:szCs w:val="15"/>
                <w:color w:val="auto"/>
              </w:rPr>
            </w:pPr>
          </w:p>
        </w:tc>
        <w:tc>
          <w:tcPr>
            <w:tcW w:w="1080" w:type="dxa"/>
            <w:vAlign w:val="bottom"/>
            <w:tcBorders>
              <w:bottom w:val="single" w:sz="8" w:color="53C072"/>
            </w:tcBorders>
            <w:shd w:val="clear" w:color="auto" w:fill="E8F5EA"/>
          </w:tcPr>
          <w:p>
            <w:pPr>
              <w:spacing w:after="0"/>
              <w:rPr>
                <w:sz w:val="15"/>
                <w:szCs w:val="15"/>
                <w:color w:val="auto"/>
              </w:rPr>
            </w:pPr>
          </w:p>
        </w:tc>
        <w:tc>
          <w:tcPr>
            <w:tcW w:w="1080" w:type="dxa"/>
            <w:vAlign w:val="bottom"/>
            <w:tcBorders>
              <w:bottom w:val="single" w:sz="8" w:color="53C072"/>
            </w:tcBorders>
            <w:shd w:val="clear" w:color="auto" w:fill="E8F5EA"/>
          </w:tcPr>
          <w:p>
            <w:pPr>
              <w:spacing w:after="0"/>
              <w:rPr>
                <w:sz w:val="15"/>
                <w:szCs w:val="15"/>
                <w:color w:val="auto"/>
              </w:rPr>
            </w:pPr>
          </w:p>
        </w:tc>
        <w:tc>
          <w:tcPr>
            <w:tcW w:w="1080" w:type="dxa"/>
            <w:vAlign w:val="bottom"/>
            <w:tcBorders>
              <w:bottom w:val="single" w:sz="8" w:color="53C072"/>
            </w:tcBorders>
            <w:shd w:val="clear" w:color="auto" w:fill="E8F5EA"/>
          </w:tcPr>
          <w:p>
            <w:pPr>
              <w:spacing w:after="0"/>
              <w:rPr>
                <w:sz w:val="15"/>
                <w:szCs w:val="15"/>
                <w:color w:val="auto"/>
              </w:rPr>
            </w:pPr>
          </w:p>
        </w:tc>
        <w:tc>
          <w:tcPr>
            <w:tcW w:w="660" w:type="dxa"/>
            <w:vAlign w:val="bottom"/>
            <w:tcBorders>
              <w:bottom w:val="single" w:sz="8" w:color="53C072"/>
            </w:tcBorders>
            <w:shd w:val="clear" w:color="auto" w:fill="E8F5EA"/>
          </w:tcPr>
          <w:p>
            <w:pPr>
              <w:spacing w:after="0"/>
              <w:rPr>
                <w:sz w:val="15"/>
                <w:szCs w:val="15"/>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1840" w:hanging="492"/>
        <w:spacing w:after="0"/>
        <w:tabs>
          <w:tab w:leader="none" w:pos="18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Amounts shown reflect the grant date fair value of awards of RSUs and PSUs, computed in accordance with FASB ASC Topic 718, excluding the effect of estimated forfeitures and dividends expected to be paid during the vesting period. The grant date fair value of RSUs awarded to each NEO in fiscal 2020 is as follows: Mr. Amelio — $1,554,473; Mr. Liguori — $358,678; Mr. Bartolotta — $263,081; Mr. Gallagher — $322,810; Ms. Miller — $293,021; and Mr. O'Neill — $251,074. With respect to PSUs, the grant date fair value was computed based upon the target outcome of the performance conditions as of the grant date, which was consistent with the estimates used by the Company to measure compensation cost determined as of the grant date. Assuming the target performance is achieved for PSUs awarded in fiscal 2020, the grant date fair value of the PSUs awarded to each NEO is as follows: Mr. Amelio — $3,037,494; Mr. Liguori — $700,960; Mr. Bartolotta — $514,082; Mr. Gallagher — $630,909; Ms. Miller — $572,440 and Mr. O'Neill — $490,694. Assuming the maximum payout of PSUs granted in fiscal 2020 is achieved, the grant date fair value of such awards would be for each NEO as follows: Mr. Amelio — $6,074,987; Mr. Liguori — $1,401,920; Mr. Bartolotta — $1,028,164; Mr. Gallagher — $1,261,817; Ms. Miller — $1,144,879; and Mr. O'Neill — $981,389. Such amounts may not correspond to the actual amounts that will be realized by the NEOs. Please see "Compensation Discussion and Analysis — Long-Term Incentives — PSU Earnouts for Fiscal 2020" for information on the earning of the PSUs granted for fiscal 2018.</w:t>
      </w:r>
    </w:p>
    <w:p>
      <w:pPr>
        <w:spacing w:after="0" w:line="169" w:lineRule="exact"/>
        <w:rPr>
          <w:rFonts w:ascii="Arial" w:cs="Arial" w:eastAsia="Arial" w:hAnsi="Arial"/>
          <w:sz w:val="16"/>
          <w:szCs w:val="16"/>
          <w:color w:val="auto"/>
        </w:rPr>
      </w:pPr>
    </w:p>
    <w:p>
      <w:pPr>
        <w:ind w:left="1840" w:right="40" w:hanging="492"/>
        <w:spacing w:after="0" w:line="250" w:lineRule="auto"/>
        <w:tabs>
          <w:tab w:leader="none" w:pos="18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Amounts shown reflect the grant date fair values for stock option awards calculated using the Black-Scholes option pricing model. For information on the assumptions used to calculate the value of the awards, refer to Note 12 to the Company's Consolidated Financial Statements in its Annual Report on Form 10-K for the year ended June 27, 2020. The amounts included in these columns relate to awards made in the fiscal year and reflect the aggregate grant date fair value</w:t>
      </w:r>
    </w:p>
    <w:p>
      <w:pPr>
        <w:spacing w:after="0" w:line="167"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56</w:t>
      </w:r>
      <w:r>
        <w:rPr>
          <w:sz w:val="20"/>
          <w:szCs w:val="20"/>
          <w:color w:val="auto"/>
        </w:rPr>
        <w:tab/>
      </w:r>
      <w:r>
        <w:rPr>
          <w:rFonts w:ascii="Arial" w:cs="Arial" w:eastAsia="Arial" w:hAnsi="Arial"/>
          <w:sz w:val="23"/>
          <w:szCs w:val="23"/>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7151370" cy="203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-155575</wp:posOffset>
            </wp:positionV>
            <wp:extent cx="1664970" cy="1231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13"/>
        </w:trPr>
        <w:tc>
          <w:tcPr>
            <w:tcW w:w="522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6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22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6040" w:type="dxa"/>
            <w:vAlign w:val="bottom"/>
            <w:vMerge w:val="restart"/>
          </w:tcPr>
          <w:p>
            <w:pPr>
              <w:ind w:left="3980"/>
              <w:spacing w:after="0"/>
              <w:rPr>
                <w:sz w:val="20"/>
                <w:szCs w:val="20"/>
                <w:color w:val="auto"/>
              </w:rPr>
            </w:pPr>
            <w:r>
              <w:rPr>
                <w:rFonts w:ascii="Arial" w:cs="Arial" w:eastAsia="Arial" w:hAnsi="Arial"/>
                <w:sz w:val="13"/>
                <w:szCs w:val="13"/>
                <w:color w:val="auto"/>
                <w:w w:val="98"/>
              </w:rPr>
              <w:t>Compensation of Executive Officers</w:t>
            </w:r>
          </w:p>
        </w:tc>
        <w:tc>
          <w:tcPr>
            <w:tcW w:w="0" w:type="dxa"/>
            <w:vAlign w:val="bottom"/>
          </w:tcPr>
          <w:p>
            <w:pPr>
              <w:spacing w:after="0"/>
              <w:rPr>
                <w:sz w:val="1"/>
                <w:szCs w:val="1"/>
                <w:color w:val="auto"/>
              </w:rPr>
            </w:pPr>
          </w:p>
        </w:tc>
      </w:tr>
      <w:tr>
        <w:trPr>
          <w:trHeight w:val="102"/>
        </w:trPr>
        <w:tc>
          <w:tcPr>
            <w:tcW w:w="522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6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220" w:type="dxa"/>
            <w:vAlign w:val="bottom"/>
            <w:vMerge w:val="continue"/>
          </w:tcPr>
          <w:p>
            <w:pPr>
              <w:spacing w:after="0"/>
              <w:rPr>
                <w:sz w:val="7"/>
                <w:szCs w:val="7"/>
                <w:color w:val="auto"/>
              </w:rPr>
            </w:pPr>
          </w:p>
        </w:tc>
        <w:tc>
          <w:tcPr>
            <w:tcW w:w="6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computed in accordance with FASB ASC Topic 718 and do not correspond to the actual amounts that will be realized by the NEOs.</w:t>
      </w:r>
    </w:p>
    <w:p>
      <w:pPr>
        <w:spacing w:after="0" w:line="192" w:lineRule="exact"/>
        <w:rPr>
          <w:sz w:val="20"/>
          <w:szCs w:val="20"/>
          <w:color w:val="auto"/>
        </w:rPr>
      </w:pPr>
    </w:p>
    <w:p>
      <w:pPr>
        <w:ind w:left="1840" w:right="20" w:hanging="492"/>
        <w:spacing w:after="0" w:line="243" w:lineRule="auto"/>
        <w:tabs>
          <w:tab w:leader="none" w:pos="18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Amounts shown include the net changes in the actuarial present value of accumulated benefits under the Company's qualified and nonqualified retirement plans. For fiscal 2020, the increase in the actuarial present value of accumulated benefits under the Company's qualified plan was as follows: Mr. Amelio — $23,850; Mr. Liguori — $41,226; Mr. Bartolotta — $22,646; Mr. Gallagher — $25,201; Ms. Miller — $38,764; and Mr. O'Neill — $14,161. For fiscal 2020, the increase in the actuarial present value of accumulated benefits under the Company's nonqualified retirement plans was as follows: Mr. Amelio — $168,129; Mr. Liguori — $32,792; Mr. Bartolotta — $59,892; Mr. Gallagher — $77,824; Ms. Miller — $315,864; and Mr. O'Neill — $49,572. Only Ms. Miller and Mr. Gallagher are participants in the SERP.</w:t>
      </w:r>
    </w:p>
    <w:p>
      <w:pPr>
        <w:spacing w:after="0" w:line="164" w:lineRule="exact"/>
        <w:rPr>
          <w:rFonts w:ascii="Arial" w:cs="Arial" w:eastAsia="Arial" w:hAnsi="Arial"/>
          <w:sz w:val="16"/>
          <w:szCs w:val="16"/>
          <w:color w:val="auto"/>
        </w:rPr>
      </w:pPr>
    </w:p>
    <w:p>
      <w:pPr>
        <w:ind w:left="1840" w:right="60" w:hanging="492"/>
        <w:spacing w:after="0" w:line="245" w:lineRule="auto"/>
        <w:tabs>
          <w:tab w:leader="none" w:pos="18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amounts include (a) for Messrs. Amelio and Bartolotta, whose primary residences are not in Arizona, expenses associated with Company-paid travel; (b) expenses associated with the Company's automobile program for each of the NEOs; and (c) the cost of annual physical exams. Regarding the above referenced Company-paid travel, expenses were $21,476 for Mr. Amelio and $22,996 for Mr. Bartolotta. For the other NEOs, none of their perquisites and personal benefits exceeded the greater of $25,000 or 10% of the total amount of their benefits. For Mr. O'Neill, the amount includes a severance payment in the amount of $950,000, paid upon his separation effective March 31, 2020, in accordance with the terms of his employment agreement.</w:t>
      </w:r>
    </w:p>
    <w:p>
      <w:pPr>
        <w:spacing w:after="0" w:line="147" w:lineRule="exact"/>
        <w:rPr>
          <w:rFonts w:ascii="Arial" w:cs="Arial" w:eastAsia="Arial" w:hAnsi="Arial"/>
          <w:sz w:val="16"/>
          <w:szCs w:val="16"/>
          <w:color w:val="auto"/>
        </w:rPr>
      </w:pPr>
    </w:p>
    <w:p>
      <w:pPr>
        <w:ind w:left="1840" w:right="40" w:hanging="492"/>
        <w:spacing w:after="0" w:line="275" w:lineRule="auto"/>
        <w:tabs>
          <w:tab w:leader="none" w:pos="18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Mr. Amelio ceased to be the Chief Executive Officer effective July 31, 2020. His separation constituted a termination without "cause" as that term is defined in his employment agreement dated September 1, 2016.</w:t>
      </w:r>
    </w:p>
    <w:p>
      <w:pPr>
        <w:spacing w:after="0" w:line="124" w:lineRule="exact"/>
        <w:rPr>
          <w:rFonts w:ascii="Arial" w:cs="Arial" w:eastAsia="Arial" w:hAnsi="Arial"/>
          <w:sz w:val="16"/>
          <w:szCs w:val="16"/>
          <w:color w:val="auto"/>
        </w:rPr>
      </w:pPr>
    </w:p>
    <w:p>
      <w:pPr>
        <w:ind w:left="1840" w:right="20" w:hanging="492"/>
        <w:spacing w:after="0" w:line="250" w:lineRule="auto"/>
        <w:tabs>
          <w:tab w:leader="none" w:pos="18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Amount shown reflects a one-time signing bonus paid to Mr. Liguori at the time he was hired pursuant to the terms of his employment agreement dated December 25, 2017. The terms of the employment agreement called for the repayment of such bonus had Mr. Liguori voluntarily terminated his employment or if the Company terminated his employment for "cause" within two years of his date of hire, which was January 29, 2018.</w:t>
      </w:r>
    </w:p>
    <w:p>
      <w:pPr>
        <w:spacing w:after="0" w:line="156" w:lineRule="exact"/>
        <w:rPr>
          <w:rFonts w:ascii="Arial" w:cs="Arial" w:eastAsia="Arial" w:hAnsi="Arial"/>
          <w:sz w:val="16"/>
          <w:szCs w:val="16"/>
          <w:color w:val="auto"/>
        </w:rPr>
      </w:pPr>
    </w:p>
    <w:p>
      <w:pPr>
        <w:ind w:left="1840" w:right="20" w:hanging="492"/>
        <w:spacing w:after="0" w:line="267" w:lineRule="auto"/>
        <w:tabs>
          <w:tab w:leader="none" w:pos="18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Mr. O'Neill ceased to be the General Counsel effective March 31, 2020. His separation entitled him to a severance payment under the terms of his employment agreement dated September 27, 2016, and he received a severance payment in accordance with the terms of such agreement. In addition, under the terms of his separation agreement, all his outstanding but unvested stock options, PSUs and RSUs continue to vest in accordance with the terms of the awards as if he remained employed by the Company. The amounts reported above for his salary and non-equity incentive plan compensation have been prorated through his termination date of March 31, 2020.</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EQUITY COMPENSATION PLAN INFORMATION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certain equity compensation plan information as of June 27, 2020:</w:t>
      </w:r>
    </w:p>
    <w:p>
      <w:pPr>
        <w:spacing w:after="0" w:line="192" w:lineRule="exact"/>
        <w:rPr>
          <w:sz w:val="20"/>
          <w:szCs w:val="20"/>
          <w:color w:val="auto"/>
        </w:rPr>
      </w:pPr>
    </w:p>
    <w:tbl>
      <w:tblPr>
        <w:tblLayout w:type="fixed"/>
        <w:tblInd w:w="1340" w:type="dxa"/>
        <w:tblCellMar>
          <w:top w:w="0" w:type="dxa"/>
          <w:left w:w="0" w:type="dxa"/>
          <w:bottom w:w="0" w:type="dxa"/>
          <w:right w:w="0" w:type="dxa"/>
        </w:tblCellMar>
      </w:tblPr>
      <w:tr>
        <w:trPr>
          <w:trHeight w:val="149"/>
        </w:trPr>
        <w:tc>
          <w:tcPr>
            <w:tcW w:w="4320" w:type="dxa"/>
            <w:vAlign w:val="bottom"/>
            <w:shd w:val="clear" w:color="auto" w:fill="53C072"/>
          </w:tcPr>
          <w:p>
            <w:pPr>
              <w:spacing w:after="0"/>
              <w:rPr>
                <w:sz w:val="12"/>
                <w:szCs w:val="12"/>
                <w:color w:val="auto"/>
              </w:rPr>
            </w:pPr>
          </w:p>
        </w:tc>
        <w:tc>
          <w:tcPr>
            <w:tcW w:w="150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Number of</w:t>
            </w:r>
          </w:p>
        </w:tc>
        <w:tc>
          <w:tcPr>
            <w:tcW w:w="180" w:type="dxa"/>
            <w:vAlign w:val="bottom"/>
            <w:shd w:val="clear" w:color="auto" w:fill="53C072"/>
          </w:tcPr>
          <w:p>
            <w:pPr>
              <w:spacing w:after="0"/>
              <w:rPr>
                <w:sz w:val="12"/>
                <w:szCs w:val="12"/>
                <w:color w:val="auto"/>
              </w:rPr>
            </w:pPr>
          </w:p>
        </w:tc>
        <w:tc>
          <w:tcPr>
            <w:tcW w:w="1200" w:type="dxa"/>
            <w:vAlign w:val="bottom"/>
            <w:shd w:val="clear" w:color="auto" w:fill="53C072"/>
          </w:tcPr>
          <w:p>
            <w:pPr>
              <w:spacing w:after="0"/>
              <w:rPr>
                <w:sz w:val="12"/>
                <w:szCs w:val="12"/>
                <w:color w:val="auto"/>
              </w:rPr>
            </w:pPr>
          </w:p>
        </w:tc>
        <w:tc>
          <w:tcPr>
            <w:tcW w:w="1100" w:type="dxa"/>
            <w:vAlign w:val="bottom"/>
            <w:vMerge w:val="restart"/>
            <w:shd w:val="clear" w:color="auto" w:fill="53C072"/>
          </w:tcPr>
          <w:p>
            <w:pPr>
              <w:jc w:val="right"/>
              <w:spacing w:after="0"/>
              <w:rPr>
                <w:sz w:val="20"/>
                <w:szCs w:val="20"/>
                <w:color w:val="auto"/>
              </w:rPr>
            </w:pPr>
            <w:r>
              <w:rPr>
                <w:rFonts w:ascii="Arial" w:cs="Arial" w:eastAsia="Arial" w:hAnsi="Arial"/>
                <w:sz w:val="13"/>
                <w:szCs w:val="13"/>
                <w:b w:val="1"/>
                <w:bCs w:val="1"/>
                <w:color w:val="FFFFFE"/>
              </w:rPr>
              <w:t>Number of</w:t>
            </w:r>
          </w:p>
        </w:tc>
        <w:tc>
          <w:tcPr>
            <w:tcW w:w="0" w:type="dxa"/>
            <w:vAlign w:val="bottom"/>
          </w:tcPr>
          <w:p>
            <w:pPr>
              <w:spacing w:after="0"/>
              <w:rPr>
                <w:sz w:val="1"/>
                <w:szCs w:val="1"/>
                <w:color w:val="auto"/>
              </w:rPr>
            </w:pPr>
          </w:p>
        </w:tc>
      </w:tr>
      <w:tr>
        <w:trPr>
          <w:trHeight w:val="146"/>
        </w:trPr>
        <w:tc>
          <w:tcPr>
            <w:tcW w:w="4320" w:type="dxa"/>
            <w:vAlign w:val="bottom"/>
            <w:shd w:val="clear" w:color="auto" w:fill="53C072"/>
          </w:tcPr>
          <w:p>
            <w:pPr>
              <w:spacing w:after="0"/>
              <w:rPr>
                <w:sz w:val="12"/>
                <w:szCs w:val="12"/>
                <w:color w:val="auto"/>
              </w:rPr>
            </w:pPr>
          </w:p>
        </w:tc>
        <w:tc>
          <w:tcPr>
            <w:tcW w:w="150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Securities</w:t>
            </w:r>
          </w:p>
        </w:tc>
        <w:tc>
          <w:tcPr>
            <w:tcW w:w="180" w:type="dxa"/>
            <w:vAlign w:val="bottom"/>
            <w:shd w:val="clear" w:color="auto" w:fill="53C072"/>
          </w:tcPr>
          <w:p>
            <w:pPr>
              <w:spacing w:after="0"/>
              <w:rPr>
                <w:sz w:val="12"/>
                <w:szCs w:val="12"/>
                <w:color w:val="auto"/>
              </w:rPr>
            </w:pPr>
          </w:p>
        </w:tc>
        <w:tc>
          <w:tcPr>
            <w:tcW w:w="1200" w:type="dxa"/>
            <w:vAlign w:val="bottom"/>
            <w:vMerge w:val="restart"/>
            <w:shd w:val="clear" w:color="auto" w:fill="53C072"/>
          </w:tcPr>
          <w:p>
            <w:pPr>
              <w:jc w:val="right"/>
              <w:ind w:right="54"/>
              <w:spacing w:after="0"/>
              <w:rPr>
                <w:sz w:val="20"/>
                <w:szCs w:val="20"/>
                <w:color w:val="auto"/>
              </w:rPr>
            </w:pPr>
            <w:r>
              <w:rPr>
                <w:rFonts w:ascii="Arial" w:cs="Arial" w:eastAsia="Arial" w:hAnsi="Arial"/>
                <w:sz w:val="13"/>
                <w:szCs w:val="13"/>
                <w:b w:val="1"/>
                <w:bCs w:val="1"/>
                <w:color w:val="FFFFFE"/>
              </w:rPr>
              <w:t>Weighted-</w:t>
            </w:r>
          </w:p>
        </w:tc>
        <w:tc>
          <w:tcPr>
            <w:tcW w:w="1100" w:type="dxa"/>
            <w:vAlign w:val="bottom"/>
            <w:vMerge w:val="continue"/>
            <w:shd w:val="clear" w:color="auto" w:fill="53C072"/>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20" w:type="dxa"/>
            <w:vAlign w:val="bottom"/>
            <w:shd w:val="clear" w:color="auto" w:fill="53C072"/>
          </w:tcPr>
          <w:p>
            <w:pPr>
              <w:spacing w:after="0"/>
              <w:rPr>
                <w:sz w:val="12"/>
                <w:szCs w:val="12"/>
                <w:color w:val="auto"/>
              </w:rPr>
            </w:pPr>
          </w:p>
        </w:tc>
        <w:tc>
          <w:tcPr>
            <w:tcW w:w="150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to be Issued</w:t>
            </w:r>
          </w:p>
        </w:tc>
        <w:tc>
          <w:tcPr>
            <w:tcW w:w="180" w:type="dxa"/>
            <w:vAlign w:val="bottom"/>
            <w:shd w:val="clear" w:color="auto" w:fill="53C072"/>
          </w:tcPr>
          <w:p>
            <w:pPr>
              <w:spacing w:after="0"/>
              <w:rPr>
                <w:sz w:val="12"/>
                <w:szCs w:val="12"/>
                <w:color w:val="auto"/>
              </w:rPr>
            </w:pPr>
          </w:p>
        </w:tc>
        <w:tc>
          <w:tcPr>
            <w:tcW w:w="1200" w:type="dxa"/>
            <w:vAlign w:val="bottom"/>
            <w:vMerge w:val="continue"/>
            <w:shd w:val="clear" w:color="auto" w:fill="53C072"/>
          </w:tcPr>
          <w:p>
            <w:pPr>
              <w:spacing w:after="0"/>
              <w:rPr>
                <w:sz w:val="12"/>
                <w:szCs w:val="12"/>
                <w:color w:val="auto"/>
              </w:rPr>
            </w:pPr>
          </w:p>
        </w:tc>
        <w:tc>
          <w:tcPr>
            <w:tcW w:w="110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Securities</w:t>
            </w:r>
          </w:p>
        </w:tc>
        <w:tc>
          <w:tcPr>
            <w:tcW w:w="0" w:type="dxa"/>
            <w:vAlign w:val="bottom"/>
          </w:tcPr>
          <w:p>
            <w:pPr>
              <w:spacing w:after="0"/>
              <w:rPr>
                <w:sz w:val="1"/>
                <w:szCs w:val="1"/>
                <w:color w:val="auto"/>
              </w:rPr>
            </w:pPr>
          </w:p>
        </w:tc>
      </w:tr>
      <w:tr>
        <w:trPr>
          <w:trHeight w:val="146"/>
        </w:trPr>
        <w:tc>
          <w:tcPr>
            <w:tcW w:w="4320" w:type="dxa"/>
            <w:vAlign w:val="bottom"/>
            <w:shd w:val="clear" w:color="auto" w:fill="53C072"/>
          </w:tcPr>
          <w:p>
            <w:pPr>
              <w:spacing w:after="0"/>
              <w:rPr>
                <w:sz w:val="12"/>
                <w:szCs w:val="12"/>
                <w:color w:val="auto"/>
              </w:rPr>
            </w:pPr>
          </w:p>
        </w:tc>
        <w:tc>
          <w:tcPr>
            <w:tcW w:w="150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Upon</w:t>
            </w:r>
          </w:p>
        </w:tc>
        <w:tc>
          <w:tcPr>
            <w:tcW w:w="180" w:type="dxa"/>
            <w:vAlign w:val="bottom"/>
            <w:shd w:val="clear" w:color="auto" w:fill="53C072"/>
          </w:tcPr>
          <w:p>
            <w:pPr>
              <w:spacing w:after="0"/>
              <w:rPr>
                <w:sz w:val="12"/>
                <w:szCs w:val="12"/>
                <w:color w:val="auto"/>
              </w:rPr>
            </w:pPr>
          </w:p>
        </w:tc>
        <w:tc>
          <w:tcPr>
            <w:tcW w:w="1200" w:type="dxa"/>
            <w:vAlign w:val="bottom"/>
            <w:shd w:val="clear" w:color="auto" w:fill="53C072"/>
          </w:tcPr>
          <w:p>
            <w:pPr>
              <w:jc w:val="right"/>
              <w:ind w:right="54"/>
              <w:spacing w:after="0" w:line="146" w:lineRule="exact"/>
              <w:rPr>
                <w:sz w:val="20"/>
                <w:szCs w:val="20"/>
                <w:color w:val="auto"/>
              </w:rPr>
            </w:pPr>
            <w:r>
              <w:rPr>
                <w:rFonts w:ascii="Arial" w:cs="Arial" w:eastAsia="Arial" w:hAnsi="Arial"/>
                <w:sz w:val="13"/>
                <w:szCs w:val="13"/>
                <w:b w:val="1"/>
                <w:bCs w:val="1"/>
                <w:color w:val="FFFFFE"/>
              </w:rPr>
              <w:t>Average</w:t>
            </w:r>
          </w:p>
        </w:tc>
        <w:tc>
          <w:tcPr>
            <w:tcW w:w="110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Remaining</w:t>
            </w:r>
          </w:p>
        </w:tc>
        <w:tc>
          <w:tcPr>
            <w:tcW w:w="0" w:type="dxa"/>
            <w:vAlign w:val="bottom"/>
          </w:tcPr>
          <w:p>
            <w:pPr>
              <w:spacing w:after="0"/>
              <w:rPr>
                <w:sz w:val="1"/>
                <w:szCs w:val="1"/>
                <w:color w:val="auto"/>
              </w:rPr>
            </w:pPr>
          </w:p>
        </w:tc>
      </w:tr>
      <w:tr>
        <w:trPr>
          <w:trHeight w:val="146"/>
        </w:trPr>
        <w:tc>
          <w:tcPr>
            <w:tcW w:w="4320" w:type="dxa"/>
            <w:vAlign w:val="bottom"/>
            <w:shd w:val="clear" w:color="auto" w:fill="53C072"/>
          </w:tcPr>
          <w:p>
            <w:pPr>
              <w:spacing w:after="0"/>
              <w:rPr>
                <w:sz w:val="12"/>
                <w:szCs w:val="12"/>
                <w:color w:val="auto"/>
              </w:rPr>
            </w:pPr>
          </w:p>
        </w:tc>
        <w:tc>
          <w:tcPr>
            <w:tcW w:w="150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Exercise of</w:t>
            </w:r>
          </w:p>
        </w:tc>
        <w:tc>
          <w:tcPr>
            <w:tcW w:w="180" w:type="dxa"/>
            <w:vAlign w:val="bottom"/>
            <w:shd w:val="clear" w:color="auto" w:fill="53C072"/>
          </w:tcPr>
          <w:p>
            <w:pPr>
              <w:spacing w:after="0"/>
              <w:rPr>
                <w:sz w:val="12"/>
                <w:szCs w:val="12"/>
                <w:color w:val="auto"/>
              </w:rPr>
            </w:pPr>
          </w:p>
        </w:tc>
        <w:tc>
          <w:tcPr>
            <w:tcW w:w="1200" w:type="dxa"/>
            <w:vAlign w:val="bottom"/>
            <w:shd w:val="clear" w:color="auto" w:fill="53C072"/>
          </w:tcPr>
          <w:p>
            <w:pPr>
              <w:jc w:val="right"/>
              <w:ind w:right="54"/>
              <w:spacing w:after="0" w:line="146" w:lineRule="exact"/>
              <w:rPr>
                <w:sz w:val="20"/>
                <w:szCs w:val="20"/>
                <w:color w:val="auto"/>
              </w:rPr>
            </w:pPr>
            <w:r>
              <w:rPr>
                <w:rFonts w:ascii="Arial" w:cs="Arial" w:eastAsia="Arial" w:hAnsi="Arial"/>
                <w:sz w:val="13"/>
                <w:szCs w:val="13"/>
                <w:b w:val="1"/>
                <w:bCs w:val="1"/>
                <w:color w:val="FFFFFE"/>
              </w:rPr>
              <w:t>Exercise Price of</w:t>
            </w:r>
          </w:p>
        </w:tc>
        <w:tc>
          <w:tcPr>
            <w:tcW w:w="110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Available for</w:t>
            </w:r>
          </w:p>
        </w:tc>
        <w:tc>
          <w:tcPr>
            <w:tcW w:w="0" w:type="dxa"/>
            <w:vAlign w:val="bottom"/>
          </w:tcPr>
          <w:p>
            <w:pPr>
              <w:spacing w:after="0"/>
              <w:rPr>
                <w:sz w:val="1"/>
                <w:szCs w:val="1"/>
                <w:color w:val="auto"/>
              </w:rPr>
            </w:pPr>
          </w:p>
        </w:tc>
      </w:tr>
      <w:tr>
        <w:trPr>
          <w:trHeight w:val="146"/>
        </w:trPr>
        <w:tc>
          <w:tcPr>
            <w:tcW w:w="4320" w:type="dxa"/>
            <w:vAlign w:val="bottom"/>
            <w:shd w:val="clear" w:color="auto" w:fill="53C072"/>
          </w:tcPr>
          <w:p>
            <w:pPr>
              <w:spacing w:after="0"/>
              <w:rPr>
                <w:sz w:val="12"/>
                <w:szCs w:val="12"/>
                <w:color w:val="auto"/>
              </w:rPr>
            </w:pPr>
          </w:p>
        </w:tc>
        <w:tc>
          <w:tcPr>
            <w:tcW w:w="150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Outstanding</w:t>
            </w:r>
          </w:p>
        </w:tc>
        <w:tc>
          <w:tcPr>
            <w:tcW w:w="180" w:type="dxa"/>
            <w:vAlign w:val="bottom"/>
            <w:shd w:val="clear" w:color="auto" w:fill="53C072"/>
          </w:tcPr>
          <w:p>
            <w:pPr>
              <w:spacing w:after="0"/>
              <w:rPr>
                <w:sz w:val="12"/>
                <w:szCs w:val="12"/>
                <w:color w:val="auto"/>
              </w:rPr>
            </w:pPr>
          </w:p>
        </w:tc>
        <w:tc>
          <w:tcPr>
            <w:tcW w:w="1200" w:type="dxa"/>
            <w:vAlign w:val="bottom"/>
            <w:shd w:val="clear" w:color="auto" w:fill="53C072"/>
          </w:tcPr>
          <w:p>
            <w:pPr>
              <w:jc w:val="right"/>
              <w:ind w:right="54"/>
              <w:spacing w:after="0" w:line="146" w:lineRule="exact"/>
              <w:rPr>
                <w:sz w:val="20"/>
                <w:szCs w:val="20"/>
                <w:color w:val="auto"/>
              </w:rPr>
            </w:pPr>
            <w:r>
              <w:rPr>
                <w:rFonts w:ascii="Arial" w:cs="Arial" w:eastAsia="Arial" w:hAnsi="Arial"/>
                <w:sz w:val="13"/>
                <w:szCs w:val="13"/>
                <w:b w:val="1"/>
                <w:bCs w:val="1"/>
                <w:color w:val="FFFFFE"/>
              </w:rPr>
              <w:t>Outstanding</w:t>
            </w:r>
          </w:p>
        </w:tc>
        <w:tc>
          <w:tcPr>
            <w:tcW w:w="110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Future Issuance</w:t>
            </w:r>
          </w:p>
        </w:tc>
        <w:tc>
          <w:tcPr>
            <w:tcW w:w="0" w:type="dxa"/>
            <w:vAlign w:val="bottom"/>
          </w:tcPr>
          <w:p>
            <w:pPr>
              <w:spacing w:after="0"/>
              <w:rPr>
                <w:sz w:val="1"/>
                <w:szCs w:val="1"/>
                <w:color w:val="auto"/>
              </w:rPr>
            </w:pPr>
          </w:p>
        </w:tc>
      </w:tr>
      <w:tr>
        <w:trPr>
          <w:trHeight w:val="146"/>
        </w:trPr>
        <w:tc>
          <w:tcPr>
            <w:tcW w:w="4320" w:type="dxa"/>
            <w:vAlign w:val="bottom"/>
            <w:shd w:val="clear" w:color="auto" w:fill="53C072"/>
          </w:tcPr>
          <w:p>
            <w:pPr>
              <w:spacing w:after="0"/>
              <w:rPr>
                <w:sz w:val="12"/>
                <w:szCs w:val="12"/>
                <w:color w:val="auto"/>
              </w:rPr>
            </w:pPr>
          </w:p>
        </w:tc>
        <w:tc>
          <w:tcPr>
            <w:tcW w:w="150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Options,</w:t>
            </w:r>
          </w:p>
        </w:tc>
        <w:tc>
          <w:tcPr>
            <w:tcW w:w="180" w:type="dxa"/>
            <w:vAlign w:val="bottom"/>
            <w:shd w:val="clear" w:color="auto" w:fill="53C072"/>
          </w:tcPr>
          <w:p>
            <w:pPr>
              <w:spacing w:after="0"/>
              <w:rPr>
                <w:sz w:val="12"/>
                <w:szCs w:val="12"/>
                <w:color w:val="auto"/>
              </w:rPr>
            </w:pPr>
          </w:p>
        </w:tc>
        <w:tc>
          <w:tcPr>
            <w:tcW w:w="1200" w:type="dxa"/>
            <w:vAlign w:val="bottom"/>
            <w:shd w:val="clear" w:color="auto" w:fill="53C072"/>
          </w:tcPr>
          <w:p>
            <w:pPr>
              <w:jc w:val="right"/>
              <w:ind w:right="54"/>
              <w:spacing w:after="0" w:line="146" w:lineRule="exact"/>
              <w:rPr>
                <w:sz w:val="20"/>
                <w:szCs w:val="20"/>
                <w:color w:val="auto"/>
              </w:rPr>
            </w:pPr>
            <w:r>
              <w:rPr>
                <w:rFonts w:ascii="Arial" w:cs="Arial" w:eastAsia="Arial" w:hAnsi="Arial"/>
                <w:sz w:val="13"/>
                <w:szCs w:val="13"/>
                <w:b w:val="1"/>
                <w:bCs w:val="1"/>
                <w:color w:val="FFFFFE"/>
              </w:rPr>
              <w:t>Options,</w:t>
            </w:r>
          </w:p>
        </w:tc>
        <w:tc>
          <w:tcPr>
            <w:tcW w:w="110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Under Equity</w:t>
            </w:r>
          </w:p>
        </w:tc>
        <w:tc>
          <w:tcPr>
            <w:tcW w:w="0" w:type="dxa"/>
            <w:vAlign w:val="bottom"/>
          </w:tcPr>
          <w:p>
            <w:pPr>
              <w:spacing w:after="0"/>
              <w:rPr>
                <w:sz w:val="1"/>
                <w:szCs w:val="1"/>
                <w:color w:val="auto"/>
              </w:rPr>
            </w:pPr>
          </w:p>
        </w:tc>
      </w:tr>
      <w:tr>
        <w:trPr>
          <w:trHeight w:val="146"/>
        </w:trPr>
        <w:tc>
          <w:tcPr>
            <w:tcW w:w="4320" w:type="dxa"/>
            <w:vAlign w:val="bottom"/>
            <w:vMerge w:val="restart"/>
            <w:shd w:val="clear" w:color="auto" w:fill="53C072"/>
          </w:tcPr>
          <w:p>
            <w:pPr>
              <w:spacing w:after="0"/>
              <w:rPr>
                <w:sz w:val="20"/>
                <w:szCs w:val="20"/>
                <w:color w:val="auto"/>
              </w:rPr>
            </w:pPr>
            <w:r>
              <w:rPr>
                <w:rFonts w:ascii="Arial" w:cs="Arial" w:eastAsia="Arial" w:hAnsi="Arial"/>
                <w:sz w:val="13"/>
                <w:szCs w:val="13"/>
                <w:b w:val="1"/>
                <w:bCs w:val="1"/>
                <w:color w:val="FFFFFE"/>
              </w:rPr>
              <w:t>Plan Category</w:t>
            </w:r>
          </w:p>
        </w:tc>
        <w:tc>
          <w:tcPr>
            <w:tcW w:w="150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Warrants and</w:t>
            </w:r>
          </w:p>
        </w:tc>
        <w:tc>
          <w:tcPr>
            <w:tcW w:w="180" w:type="dxa"/>
            <w:vAlign w:val="bottom"/>
            <w:shd w:val="clear" w:color="auto" w:fill="53C072"/>
          </w:tcPr>
          <w:p>
            <w:pPr>
              <w:spacing w:after="0"/>
              <w:rPr>
                <w:sz w:val="12"/>
                <w:szCs w:val="12"/>
                <w:color w:val="auto"/>
              </w:rPr>
            </w:pPr>
          </w:p>
        </w:tc>
        <w:tc>
          <w:tcPr>
            <w:tcW w:w="1200" w:type="dxa"/>
            <w:vAlign w:val="bottom"/>
            <w:shd w:val="clear" w:color="auto" w:fill="53C072"/>
          </w:tcPr>
          <w:p>
            <w:pPr>
              <w:jc w:val="right"/>
              <w:ind w:right="54"/>
              <w:spacing w:after="0" w:line="146" w:lineRule="exact"/>
              <w:rPr>
                <w:sz w:val="20"/>
                <w:szCs w:val="20"/>
                <w:color w:val="auto"/>
              </w:rPr>
            </w:pPr>
            <w:r>
              <w:rPr>
                <w:rFonts w:ascii="Arial" w:cs="Arial" w:eastAsia="Arial" w:hAnsi="Arial"/>
                <w:sz w:val="13"/>
                <w:szCs w:val="13"/>
                <w:b w:val="1"/>
                <w:bCs w:val="1"/>
                <w:color w:val="FFFFFE"/>
              </w:rPr>
              <w:t>Warrants and</w:t>
            </w:r>
          </w:p>
        </w:tc>
        <w:tc>
          <w:tcPr>
            <w:tcW w:w="110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Compensation</w:t>
            </w:r>
          </w:p>
        </w:tc>
        <w:tc>
          <w:tcPr>
            <w:tcW w:w="0" w:type="dxa"/>
            <w:vAlign w:val="bottom"/>
          </w:tcPr>
          <w:p>
            <w:pPr>
              <w:spacing w:after="0"/>
              <w:rPr>
                <w:sz w:val="1"/>
                <w:szCs w:val="1"/>
                <w:color w:val="auto"/>
              </w:rPr>
            </w:pPr>
          </w:p>
        </w:tc>
      </w:tr>
      <w:tr>
        <w:trPr>
          <w:trHeight w:val="159"/>
        </w:trPr>
        <w:tc>
          <w:tcPr>
            <w:tcW w:w="4320" w:type="dxa"/>
            <w:vAlign w:val="bottom"/>
            <w:vMerge w:val="continue"/>
            <w:shd w:val="clear" w:color="auto" w:fill="53C072"/>
          </w:tcPr>
          <w:p>
            <w:pPr>
              <w:spacing w:after="0"/>
              <w:rPr>
                <w:sz w:val="13"/>
                <w:szCs w:val="13"/>
                <w:color w:val="auto"/>
              </w:rPr>
            </w:pPr>
          </w:p>
        </w:tc>
        <w:tc>
          <w:tcPr>
            <w:tcW w:w="150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Rights</w:t>
            </w:r>
          </w:p>
        </w:tc>
        <w:tc>
          <w:tcPr>
            <w:tcW w:w="180" w:type="dxa"/>
            <w:vAlign w:val="bottom"/>
            <w:shd w:val="clear" w:color="auto" w:fill="53C072"/>
          </w:tcPr>
          <w:p>
            <w:pPr>
              <w:spacing w:after="0"/>
              <w:rPr>
                <w:sz w:val="13"/>
                <w:szCs w:val="13"/>
                <w:color w:val="auto"/>
              </w:rPr>
            </w:pPr>
          </w:p>
        </w:tc>
        <w:tc>
          <w:tcPr>
            <w:tcW w:w="1200" w:type="dxa"/>
            <w:vAlign w:val="bottom"/>
            <w:shd w:val="clear" w:color="auto" w:fill="53C072"/>
          </w:tcPr>
          <w:p>
            <w:pPr>
              <w:jc w:val="right"/>
              <w:ind w:right="54"/>
              <w:spacing w:after="0"/>
              <w:rPr>
                <w:sz w:val="20"/>
                <w:szCs w:val="20"/>
                <w:color w:val="auto"/>
              </w:rPr>
            </w:pPr>
            <w:r>
              <w:rPr>
                <w:rFonts w:ascii="Arial" w:cs="Arial" w:eastAsia="Arial" w:hAnsi="Arial"/>
                <w:sz w:val="13"/>
                <w:szCs w:val="13"/>
                <w:b w:val="1"/>
                <w:bCs w:val="1"/>
                <w:color w:val="FFFFFE"/>
              </w:rPr>
              <w:t>Rights</w:t>
            </w:r>
          </w:p>
        </w:tc>
        <w:tc>
          <w:tcPr>
            <w:tcW w:w="110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Plans</w:t>
            </w:r>
          </w:p>
        </w:tc>
        <w:tc>
          <w:tcPr>
            <w:tcW w:w="0" w:type="dxa"/>
            <w:vAlign w:val="bottom"/>
          </w:tcPr>
          <w:p>
            <w:pPr>
              <w:spacing w:after="0"/>
              <w:rPr>
                <w:sz w:val="1"/>
                <w:szCs w:val="1"/>
                <w:color w:val="auto"/>
              </w:rPr>
            </w:pPr>
          </w:p>
        </w:tc>
      </w:tr>
      <w:tr>
        <w:trPr>
          <w:trHeight w:val="235"/>
        </w:trPr>
        <w:tc>
          <w:tcPr>
            <w:tcW w:w="4320" w:type="dxa"/>
            <w:vAlign w:val="bottom"/>
            <w:tcBorders>
              <w:bottom w:val="single" w:sz="8" w:color="53C072"/>
            </w:tcBorders>
          </w:tcPr>
          <w:p>
            <w:pPr>
              <w:spacing w:after="0"/>
              <w:rPr>
                <w:sz w:val="20"/>
                <w:szCs w:val="20"/>
                <w:color w:val="auto"/>
              </w:rPr>
            </w:pPr>
            <w:r>
              <w:rPr>
                <w:rFonts w:ascii="Arial" w:cs="Arial" w:eastAsia="Arial" w:hAnsi="Arial"/>
                <w:sz w:val="16"/>
                <w:szCs w:val="16"/>
                <w:color w:val="auto"/>
              </w:rPr>
              <w:t>Equity compensation plans approved by shareholders</w:t>
            </w:r>
          </w:p>
        </w:tc>
        <w:tc>
          <w:tcPr>
            <w:tcW w:w="1500" w:type="dxa"/>
            <w:vAlign w:val="bottom"/>
            <w:tcBorders>
              <w:bottom w:val="single" w:sz="8" w:color="53C072"/>
            </w:tcBorders>
          </w:tcPr>
          <w:p>
            <w:pPr>
              <w:jc w:val="right"/>
              <w:spacing w:after="0" w:line="218" w:lineRule="exact"/>
              <w:rPr>
                <w:sz w:val="20"/>
                <w:szCs w:val="20"/>
                <w:color w:val="auto"/>
              </w:rPr>
            </w:pPr>
            <w:r>
              <w:rPr>
                <w:rFonts w:ascii="Arial" w:cs="Arial" w:eastAsia="Arial" w:hAnsi="Arial"/>
                <w:sz w:val="15"/>
                <w:szCs w:val="15"/>
                <w:color w:val="auto"/>
              </w:rPr>
              <w:t>3,078,902</w:t>
            </w:r>
            <w:r>
              <w:rPr>
                <w:rFonts w:ascii="Arial" w:cs="Arial" w:eastAsia="Arial" w:hAnsi="Arial"/>
                <w:sz w:val="25"/>
                <w:szCs w:val="25"/>
                <w:color w:val="auto"/>
                <w:vertAlign w:val="superscript"/>
              </w:rPr>
              <w:t>(1)</w:t>
            </w:r>
          </w:p>
        </w:tc>
        <w:tc>
          <w:tcPr>
            <w:tcW w:w="180" w:type="dxa"/>
            <w:vAlign w:val="bottom"/>
            <w:tcBorders>
              <w:bottom w:val="single" w:sz="8" w:color="53C072"/>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53C072"/>
            </w:tcBorders>
          </w:tcPr>
          <w:p>
            <w:pPr>
              <w:jc w:val="right"/>
              <w:ind w:right="54"/>
              <w:spacing w:after="0" w:line="218" w:lineRule="exact"/>
              <w:rPr>
                <w:sz w:val="20"/>
                <w:szCs w:val="20"/>
                <w:color w:val="auto"/>
              </w:rPr>
            </w:pPr>
            <w:r>
              <w:rPr>
                <w:rFonts w:ascii="Arial" w:cs="Arial" w:eastAsia="Arial" w:hAnsi="Arial"/>
                <w:sz w:val="15"/>
                <w:szCs w:val="15"/>
                <w:color w:val="auto"/>
              </w:rPr>
              <w:t>40.94</w:t>
            </w:r>
            <w:r>
              <w:rPr>
                <w:rFonts w:ascii="Arial" w:cs="Arial" w:eastAsia="Arial" w:hAnsi="Arial"/>
                <w:sz w:val="25"/>
                <w:szCs w:val="25"/>
                <w:color w:val="auto"/>
                <w:vertAlign w:val="superscript"/>
              </w:rPr>
              <w:t>(2)</w:t>
            </w:r>
          </w:p>
        </w:tc>
        <w:tc>
          <w:tcPr>
            <w:tcW w:w="1100" w:type="dxa"/>
            <w:vAlign w:val="bottom"/>
            <w:tcBorders>
              <w:bottom w:val="single" w:sz="8" w:color="53C072"/>
            </w:tcBorders>
          </w:tcPr>
          <w:p>
            <w:pPr>
              <w:jc w:val="right"/>
              <w:spacing w:after="0" w:line="218" w:lineRule="exact"/>
              <w:rPr>
                <w:sz w:val="20"/>
                <w:szCs w:val="20"/>
                <w:color w:val="auto"/>
              </w:rPr>
            </w:pPr>
            <w:r>
              <w:rPr>
                <w:rFonts w:ascii="Arial" w:cs="Arial" w:eastAsia="Arial" w:hAnsi="Arial"/>
                <w:sz w:val="15"/>
                <w:szCs w:val="15"/>
                <w:color w:val="auto"/>
              </w:rPr>
              <w:t>4,663,571</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1840" w:right="280" w:hanging="492"/>
        <w:spacing w:after="0" w:line="275" w:lineRule="auto"/>
        <w:tabs>
          <w:tab w:leader="none" w:pos="18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Consists of 1,537,669 shares underlying outstanding options, 1,015,822 RSUs and 525,411 PSUs awarded but not yet vested as of the end of the fiscal year.</w:t>
      </w:r>
    </w:p>
    <w:p>
      <w:pPr>
        <w:spacing w:after="0" w:line="108" w:lineRule="exact"/>
        <w:rPr>
          <w:sz w:val="20"/>
          <w:szCs w:val="20"/>
          <w:color w:val="auto"/>
        </w:rPr>
      </w:pPr>
    </w:p>
    <w:p>
      <w:pPr>
        <w:jc w:val="both"/>
        <w:ind w:left="10720"/>
        <w:spacing w:after="0"/>
        <w:tabs>
          <w:tab w:leader="none" w:pos="11060" w:val="left"/>
        </w:tabs>
        <w:rPr>
          <w:sz w:val="20"/>
          <w:szCs w:val="20"/>
          <w:color w:val="auto"/>
        </w:rPr>
      </w:pPr>
      <w:r>
        <w:rPr>
          <w:rFonts w:ascii="Arial" w:cs="Arial" w:eastAsia="Arial" w:hAnsi="Arial"/>
          <w:sz w:val="23"/>
          <w:szCs w:val="23"/>
          <w:b w:val="1"/>
          <w:bCs w:val="1"/>
          <w:color w:val="53C072"/>
        </w:rPr>
        <w:t>|</w:t>
      </w:r>
      <w:r>
        <w:rPr>
          <w:sz w:val="20"/>
          <w:szCs w:val="20"/>
          <w:color w:val="auto"/>
        </w:rPr>
        <w:tab/>
      </w: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7151370" cy="203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-130175</wp:posOffset>
            </wp:positionV>
            <wp:extent cx="1664970" cy="1231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62" w:name="page63"/>
    <w:bookmarkEnd w:id="62"/>
    <w:tbl>
      <w:tblPr>
        <w:tblLayout w:type="fixed"/>
        <w:tblInd w:w="3" w:type="dxa"/>
        <w:tblCellMar>
          <w:top w:w="0" w:type="dxa"/>
          <w:left w:w="0" w:type="dxa"/>
          <w:bottom w:w="0" w:type="dxa"/>
          <w:right w:w="0" w:type="dxa"/>
        </w:tblCellMar>
      </w:tblPr>
      <w:tr>
        <w:trPr>
          <w:trHeight w:val="213"/>
        </w:trPr>
        <w:tc>
          <w:tcPr>
            <w:tcW w:w="522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6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22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6040" w:type="dxa"/>
            <w:vAlign w:val="bottom"/>
            <w:vMerge w:val="restart"/>
          </w:tcPr>
          <w:p>
            <w:pPr>
              <w:ind w:left="3980"/>
              <w:spacing w:after="0"/>
              <w:rPr>
                <w:sz w:val="20"/>
                <w:szCs w:val="20"/>
                <w:color w:val="auto"/>
              </w:rPr>
            </w:pPr>
            <w:r>
              <w:rPr>
                <w:rFonts w:ascii="Arial" w:cs="Arial" w:eastAsia="Arial" w:hAnsi="Arial"/>
                <w:sz w:val="13"/>
                <w:szCs w:val="13"/>
                <w:color w:val="auto"/>
                <w:w w:val="98"/>
              </w:rPr>
              <w:t>Compensation of Executive Officers</w:t>
            </w:r>
          </w:p>
        </w:tc>
        <w:tc>
          <w:tcPr>
            <w:tcW w:w="0" w:type="dxa"/>
            <w:vAlign w:val="bottom"/>
          </w:tcPr>
          <w:p>
            <w:pPr>
              <w:spacing w:after="0"/>
              <w:rPr>
                <w:sz w:val="1"/>
                <w:szCs w:val="1"/>
                <w:color w:val="auto"/>
              </w:rPr>
            </w:pPr>
          </w:p>
        </w:tc>
      </w:tr>
      <w:tr>
        <w:trPr>
          <w:trHeight w:val="102"/>
        </w:trPr>
        <w:tc>
          <w:tcPr>
            <w:tcW w:w="522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6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220" w:type="dxa"/>
            <w:vAlign w:val="bottom"/>
            <w:vMerge w:val="continue"/>
          </w:tcPr>
          <w:p>
            <w:pPr>
              <w:spacing w:after="0"/>
              <w:rPr>
                <w:sz w:val="7"/>
                <w:szCs w:val="7"/>
                <w:color w:val="auto"/>
              </w:rPr>
            </w:pPr>
          </w:p>
        </w:tc>
        <w:tc>
          <w:tcPr>
            <w:tcW w:w="6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843" w:right="560" w:hanging="492"/>
        <w:spacing w:after="0" w:line="275" w:lineRule="auto"/>
        <w:tabs>
          <w:tab w:leader="none" w:pos="1843"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average exercise price is applicable only to the outstanding options referenced above. The RSUs and PSUs do not require consideration to be paid upon vesting.</w:t>
      </w:r>
    </w:p>
    <w:p>
      <w:pPr>
        <w:spacing w:after="0" w:line="136" w:lineRule="exact"/>
        <w:rPr>
          <w:rFonts w:ascii="Arial" w:cs="Arial" w:eastAsia="Arial" w:hAnsi="Arial"/>
          <w:sz w:val="16"/>
          <w:szCs w:val="16"/>
          <w:color w:val="auto"/>
        </w:rPr>
      </w:pPr>
    </w:p>
    <w:p>
      <w:pPr>
        <w:ind w:left="1843" w:hanging="492"/>
        <w:spacing w:after="0"/>
        <w:tabs>
          <w:tab w:leader="none" w:pos="1843"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Includes 498,729 shares available for future issuance under the Amended and Restated Avnet Employee Stock Purchase Plan.</w:t>
      </w:r>
    </w:p>
    <w:p>
      <w:pPr>
        <w:spacing w:after="0" w:line="178"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53C072"/>
        </w:rPr>
        <w:t>GRANTS OF PLAN-BASED AWARDS</w:t>
      </w:r>
    </w:p>
    <w:p>
      <w:pPr>
        <w:spacing w:after="0" w:line="209" w:lineRule="exact"/>
        <w:rPr>
          <w:sz w:val="20"/>
          <w:szCs w:val="20"/>
          <w:color w:val="auto"/>
        </w:rPr>
      </w:pPr>
    </w:p>
    <w:p>
      <w:pPr>
        <w:ind w:left="3"/>
        <w:spacing w:after="0"/>
        <w:rPr>
          <w:sz w:val="20"/>
          <w:szCs w:val="20"/>
          <w:color w:val="auto"/>
        </w:rPr>
      </w:pPr>
      <w:r>
        <w:rPr>
          <w:rFonts w:ascii="Arial" w:cs="Arial" w:eastAsia="Arial" w:hAnsi="Arial"/>
          <w:sz w:val="15"/>
          <w:szCs w:val="15"/>
          <w:color w:val="auto"/>
        </w:rPr>
        <w:t>The following table provides information about equity and non-equity plan-based awards to the NEOs in fiscal 2020 relating to: (1) annual cash incentive awards;</w:t>
      </w:r>
    </w:p>
    <w:p>
      <w:pPr>
        <w:spacing w:after="0" w:line="30" w:lineRule="exact"/>
        <w:rPr>
          <w:sz w:val="20"/>
          <w:szCs w:val="20"/>
          <w:color w:val="auto"/>
        </w:rPr>
      </w:pPr>
    </w:p>
    <w:p>
      <w:pPr>
        <w:jc w:val="both"/>
        <w:ind w:left="3" w:right="220" w:hanging="3"/>
        <w:spacing w:after="0" w:line="243" w:lineRule="auto"/>
        <w:tabs>
          <w:tab w:leader="none" w:pos="239" w:val="left"/>
        </w:tabs>
        <w:numPr>
          <w:ilvl w:val="0"/>
          <w:numId w:val="60"/>
        </w:numPr>
        <w:rPr>
          <w:rFonts w:ascii="Arial" w:cs="Arial" w:eastAsia="Arial" w:hAnsi="Arial"/>
          <w:sz w:val="16"/>
          <w:szCs w:val="16"/>
          <w:color w:val="auto"/>
        </w:rPr>
      </w:pPr>
      <w:r>
        <w:rPr>
          <w:rFonts w:ascii="Arial" w:cs="Arial" w:eastAsia="Arial" w:hAnsi="Arial"/>
          <w:sz w:val="16"/>
          <w:szCs w:val="16"/>
          <w:color w:val="auto"/>
        </w:rPr>
        <w:t>PSUs; (3) RSUs; and (4) stock options. The actual payouts earned in fiscal 2020 under the Non-Equity Incentive Plan Awards are included in the Summary Compensation Table as are the grant date fair values associated with the awards under the Equity Incentive Plan, All Other Stock Awards and All Other Option Awards in the table below.</w:t>
      </w:r>
    </w:p>
    <w:p>
      <w:pPr>
        <w:spacing w:after="0" w:line="161" w:lineRule="exact"/>
        <w:rPr>
          <w:sz w:val="20"/>
          <w:szCs w:val="20"/>
          <w:color w:val="auto"/>
        </w:rPr>
      </w:pPr>
    </w:p>
    <w:tbl>
      <w:tblPr>
        <w:tblLayout w:type="fixed"/>
        <w:tblInd w:w="1343" w:type="dxa"/>
        <w:tblCellMar>
          <w:top w:w="0" w:type="dxa"/>
          <w:left w:w="0" w:type="dxa"/>
          <w:bottom w:w="0" w:type="dxa"/>
          <w:right w:w="0" w:type="dxa"/>
        </w:tblCellMar>
      </w:tblPr>
      <w:tr>
        <w:trPr>
          <w:trHeight w:val="149"/>
        </w:trPr>
        <w:tc>
          <w:tcPr>
            <w:tcW w:w="620" w:type="dxa"/>
            <w:vAlign w:val="bottom"/>
            <w:shd w:val="clear" w:color="auto" w:fill="53C072"/>
          </w:tcPr>
          <w:p>
            <w:pPr>
              <w:spacing w:after="0"/>
              <w:rPr>
                <w:sz w:val="13"/>
                <w:szCs w:val="13"/>
                <w:color w:val="auto"/>
              </w:rPr>
            </w:pPr>
          </w:p>
        </w:tc>
        <w:tc>
          <w:tcPr>
            <w:tcW w:w="60" w:type="dxa"/>
            <w:vAlign w:val="bottom"/>
            <w:shd w:val="clear" w:color="auto" w:fill="53C072"/>
          </w:tcPr>
          <w:p>
            <w:pPr>
              <w:spacing w:after="0"/>
              <w:rPr>
                <w:sz w:val="13"/>
                <w:szCs w:val="13"/>
                <w:color w:val="auto"/>
              </w:rPr>
            </w:pPr>
          </w:p>
        </w:tc>
        <w:tc>
          <w:tcPr>
            <w:tcW w:w="700" w:type="dxa"/>
            <w:vAlign w:val="bottom"/>
            <w:shd w:val="clear" w:color="auto" w:fill="53C072"/>
          </w:tcPr>
          <w:p>
            <w:pPr>
              <w:spacing w:after="0"/>
              <w:rPr>
                <w:sz w:val="13"/>
                <w:szCs w:val="13"/>
                <w:color w:val="auto"/>
              </w:rPr>
            </w:pPr>
          </w:p>
        </w:tc>
        <w:tc>
          <w:tcPr>
            <w:tcW w:w="760" w:type="dxa"/>
            <w:vAlign w:val="bottom"/>
            <w:shd w:val="clear" w:color="auto" w:fill="53C072"/>
          </w:tcPr>
          <w:p>
            <w:pPr>
              <w:spacing w:after="0"/>
              <w:rPr>
                <w:sz w:val="13"/>
                <w:szCs w:val="13"/>
                <w:color w:val="auto"/>
              </w:rPr>
            </w:pPr>
          </w:p>
        </w:tc>
        <w:tc>
          <w:tcPr>
            <w:tcW w:w="660" w:type="dxa"/>
            <w:vAlign w:val="bottom"/>
            <w:shd w:val="clear" w:color="auto" w:fill="53C072"/>
          </w:tcPr>
          <w:p>
            <w:pPr>
              <w:spacing w:after="0"/>
              <w:rPr>
                <w:sz w:val="13"/>
                <w:szCs w:val="13"/>
                <w:color w:val="auto"/>
              </w:rPr>
            </w:pPr>
          </w:p>
        </w:tc>
        <w:tc>
          <w:tcPr>
            <w:tcW w:w="700" w:type="dxa"/>
            <w:vAlign w:val="bottom"/>
            <w:shd w:val="clear" w:color="auto" w:fill="53C072"/>
          </w:tcPr>
          <w:p>
            <w:pPr>
              <w:spacing w:after="0"/>
              <w:rPr>
                <w:sz w:val="13"/>
                <w:szCs w:val="13"/>
                <w:color w:val="auto"/>
              </w:rPr>
            </w:pPr>
          </w:p>
        </w:tc>
        <w:tc>
          <w:tcPr>
            <w:tcW w:w="80" w:type="dxa"/>
            <w:vAlign w:val="bottom"/>
            <w:shd w:val="clear" w:color="auto" w:fill="53C072"/>
          </w:tcPr>
          <w:p>
            <w:pPr>
              <w:spacing w:after="0"/>
              <w:rPr>
                <w:sz w:val="13"/>
                <w:szCs w:val="13"/>
                <w:color w:val="auto"/>
              </w:rPr>
            </w:pPr>
          </w:p>
        </w:tc>
        <w:tc>
          <w:tcPr>
            <w:tcW w:w="740" w:type="dxa"/>
            <w:vAlign w:val="bottom"/>
            <w:shd w:val="clear" w:color="auto" w:fill="53C072"/>
          </w:tcPr>
          <w:p>
            <w:pPr>
              <w:spacing w:after="0"/>
              <w:rPr>
                <w:sz w:val="13"/>
                <w:szCs w:val="13"/>
                <w:color w:val="auto"/>
              </w:rPr>
            </w:pPr>
          </w:p>
        </w:tc>
        <w:tc>
          <w:tcPr>
            <w:tcW w:w="520" w:type="dxa"/>
            <w:vAlign w:val="bottom"/>
            <w:shd w:val="clear" w:color="auto" w:fill="53C072"/>
          </w:tcPr>
          <w:p>
            <w:pPr>
              <w:spacing w:after="0"/>
              <w:rPr>
                <w:sz w:val="13"/>
                <w:szCs w:val="13"/>
                <w:color w:val="auto"/>
              </w:rPr>
            </w:pPr>
          </w:p>
        </w:tc>
        <w:tc>
          <w:tcPr>
            <w:tcW w:w="660" w:type="dxa"/>
            <w:vAlign w:val="bottom"/>
            <w:shd w:val="clear" w:color="auto" w:fill="53C072"/>
          </w:tcPr>
          <w:p>
            <w:pPr>
              <w:spacing w:after="0"/>
              <w:rPr>
                <w:sz w:val="13"/>
                <w:szCs w:val="13"/>
                <w:color w:val="auto"/>
              </w:rPr>
            </w:pPr>
          </w:p>
        </w:tc>
        <w:tc>
          <w:tcPr>
            <w:tcW w:w="80" w:type="dxa"/>
            <w:vAlign w:val="bottom"/>
            <w:shd w:val="clear" w:color="auto" w:fill="53C072"/>
          </w:tcPr>
          <w:p>
            <w:pPr>
              <w:spacing w:after="0"/>
              <w:rPr>
                <w:sz w:val="13"/>
                <w:szCs w:val="13"/>
                <w:color w:val="auto"/>
              </w:rPr>
            </w:pPr>
          </w:p>
        </w:tc>
        <w:tc>
          <w:tcPr>
            <w:tcW w:w="62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All</w:t>
            </w:r>
          </w:p>
        </w:tc>
        <w:tc>
          <w:tcPr>
            <w:tcW w:w="800" w:type="dxa"/>
            <w:vAlign w:val="bottom"/>
            <w:shd w:val="clear" w:color="auto" w:fill="53C072"/>
          </w:tcPr>
          <w:p>
            <w:pPr>
              <w:spacing w:after="0"/>
              <w:rPr>
                <w:sz w:val="13"/>
                <w:szCs w:val="13"/>
                <w:color w:val="auto"/>
              </w:rPr>
            </w:pPr>
          </w:p>
        </w:tc>
        <w:tc>
          <w:tcPr>
            <w:tcW w:w="660" w:type="dxa"/>
            <w:vAlign w:val="bottom"/>
            <w:shd w:val="clear" w:color="auto" w:fill="53C072"/>
          </w:tcPr>
          <w:p>
            <w:pPr>
              <w:spacing w:after="0"/>
              <w:rPr>
                <w:sz w:val="13"/>
                <w:szCs w:val="13"/>
                <w:color w:val="auto"/>
              </w:rPr>
            </w:pPr>
          </w:p>
        </w:tc>
        <w:tc>
          <w:tcPr>
            <w:tcW w:w="640" w:type="dxa"/>
            <w:vAlign w:val="bottom"/>
            <w:shd w:val="clear" w:color="auto" w:fill="53C072"/>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20" w:type="dxa"/>
            <w:vAlign w:val="bottom"/>
            <w:shd w:val="clear" w:color="auto" w:fill="53C072"/>
          </w:tcPr>
          <w:p>
            <w:pPr>
              <w:spacing w:after="0"/>
              <w:rPr>
                <w:sz w:val="12"/>
                <w:szCs w:val="12"/>
                <w:color w:val="auto"/>
              </w:rPr>
            </w:pPr>
          </w:p>
        </w:tc>
        <w:tc>
          <w:tcPr>
            <w:tcW w:w="6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760" w:type="dxa"/>
            <w:vAlign w:val="bottom"/>
            <w:shd w:val="clear" w:color="auto" w:fill="53C072"/>
          </w:tcPr>
          <w:p>
            <w:pPr>
              <w:spacing w:after="0"/>
              <w:rPr>
                <w:sz w:val="12"/>
                <w:szCs w:val="12"/>
                <w:color w:val="auto"/>
              </w:rPr>
            </w:pPr>
          </w:p>
        </w:tc>
        <w:tc>
          <w:tcPr>
            <w:tcW w:w="66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740" w:type="dxa"/>
            <w:vAlign w:val="bottom"/>
            <w:shd w:val="clear" w:color="auto" w:fill="53C072"/>
          </w:tcPr>
          <w:p>
            <w:pPr>
              <w:spacing w:after="0"/>
              <w:rPr>
                <w:sz w:val="12"/>
                <w:szCs w:val="12"/>
                <w:color w:val="auto"/>
              </w:rPr>
            </w:pPr>
          </w:p>
        </w:tc>
        <w:tc>
          <w:tcPr>
            <w:tcW w:w="520" w:type="dxa"/>
            <w:vAlign w:val="bottom"/>
            <w:shd w:val="clear" w:color="auto" w:fill="53C072"/>
          </w:tcPr>
          <w:p>
            <w:pPr>
              <w:spacing w:after="0"/>
              <w:rPr>
                <w:sz w:val="12"/>
                <w:szCs w:val="12"/>
                <w:color w:val="auto"/>
              </w:rPr>
            </w:pPr>
          </w:p>
        </w:tc>
        <w:tc>
          <w:tcPr>
            <w:tcW w:w="66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62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Other</w:t>
            </w:r>
          </w:p>
        </w:tc>
        <w:tc>
          <w:tcPr>
            <w:tcW w:w="800" w:type="dxa"/>
            <w:vAlign w:val="bottom"/>
            <w:shd w:val="clear" w:color="auto" w:fill="53C072"/>
          </w:tcPr>
          <w:p>
            <w:pPr>
              <w:spacing w:after="0"/>
              <w:rPr>
                <w:sz w:val="12"/>
                <w:szCs w:val="12"/>
                <w:color w:val="auto"/>
              </w:rPr>
            </w:pPr>
          </w:p>
        </w:tc>
        <w:tc>
          <w:tcPr>
            <w:tcW w:w="660" w:type="dxa"/>
            <w:vAlign w:val="bottom"/>
            <w:shd w:val="clear" w:color="auto" w:fill="53C072"/>
          </w:tcPr>
          <w:p>
            <w:pPr>
              <w:spacing w:after="0"/>
              <w:rPr>
                <w:sz w:val="12"/>
                <w:szCs w:val="12"/>
                <w:color w:val="auto"/>
              </w:rPr>
            </w:pPr>
          </w:p>
        </w:tc>
        <w:tc>
          <w:tcPr>
            <w:tcW w:w="640" w:type="dxa"/>
            <w:vAlign w:val="bottom"/>
            <w:shd w:val="clear" w:color="auto" w:fill="53C072"/>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20" w:type="dxa"/>
            <w:vAlign w:val="bottom"/>
            <w:shd w:val="clear" w:color="auto" w:fill="53C072"/>
          </w:tcPr>
          <w:p>
            <w:pPr>
              <w:spacing w:after="0"/>
              <w:rPr>
                <w:sz w:val="12"/>
                <w:szCs w:val="12"/>
                <w:color w:val="auto"/>
              </w:rPr>
            </w:pPr>
          </w:p>
        </w:tc>
        <w:tc>
          <w:tcPr>
            <w:tcW w:w="6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760" w:type="dxa"/>
            <w:vAlign w:val="bottom"/>
            <w:shd w:val="clear" w:color="auto" w:fill="53C072"/>
          </w:tcPr>
          <w:p>
            <w:pPr>
              <w:spacing w:after="0"/>
              <w:rPr>
                <w:sz w:val="12"/>
                <w:szCs w:val="12"/>
                <w:color w:val="auto"/>
              </w:rPr>
            </w:pPr>
          </w:p>
        </w:tc>
        <w:tc>
          <w:tcPr>
            <w:tcW w:w="66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740" w:type="dxa"/>
            <w:vAlign w:val="bottom"/>
            <w:shd w:val="clear" w:color="auto" w:fill="53C072"/>
          </w:tcPr>
          <w:p>
            <w:pPr>
              <w:spacing w:after="0"/>
              <w:rPr>
                <w:sz w:val="12"/>
                <w:szCs w:val="12"/>
                <w:color w:val="auto"/>
              </w:rPr>
            </w:pPr>
          </w:p>
        </w:tc>
        <w:tc>
          <w:tcPr>
            <w:tcW w:w="520" w:type="dxa"/>
            <w:vAlign w:val="bottom"/>
            <w:shd w:val="clear" w:color="auto" w:fill="53C072"/>
          </w:tcPr>
          <w:p>
            <w:pPr>
              <w:spacing w:after="0"/>
              <w:rPr>
                <w:sz w:val="12"/>
                <w:szCs w:val="12"/>
                <w:color w:val="auto"/>
              </w:rPr>
            </w:pPr>
          </w:p>
        </w:tc>
        <w:tc>
          <w:tcPr>
            <w:tcW w:w="66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62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Stock</w:t>
            </w:r>
          </w:p>
        </w:tc>
        <w:tc>
          <w:tcPr>
            <w:tcW w:w="800" w:type="dxa"/>
            <w:vAlign w:val="bottom"/>
            <w:vMerge w:val="restart"/>
            <w:shd w:val="clear" w:color="auto" w:fill="53C072"/>
          </w:tcPr>
          <w:p>
            <w:pPr>
              <w:jc w:val="right"/>
              <w:spacing w:after="0"/>
              <w:rPr>
                <w:sz w:val="20"/>
                <w:szCs w:val="20"/>
                <w:color w:val="auto"/>
              </w:rPr>
            </w:pPr>
            <w:r>
              <w:rPr>
                <w:rFonts w:ascii="Arial" w:cs="Arial" w:eastAsia="Arial" w:hAnsi="Arial"/>
                <w:sz w:val="13"/>
                <w:szCs w:val="13"/>
                <w:b w:val="1"/>
                <w:bCs w:val="1"/>
                <w:color w:val="FFFFFE"/>
              </w:rPr>
              <w:t>All</w:t>
            </w:r>
          </w:p>
        </w:tc>
        <w:tc>
          <w:tcPr>
            <w:tcW w:w="660" w:type="dxa"/>
            <w:vAlign w:val="bottom"/>
            <w:shd w:val="clear" w:color="auto" w:fill="53C072"/>
          </w:tcPr>
          <w:p>
            <w:pPr>
              <w:spacing w:after="0"/>
              <w:rPr>
                <w:sz w:val="12"/>
                <w:szCs w:val="12"/>
                <w:color w:val="auto"/>
              </w:rPr>
            </w:pPr>
          </w:p>
        </w:tc>
        <w:tc>
          <w:tcPr>
            <w:tcW w:w="640" w:type="dxa"/>
            <w:vAlign w:val="bottom"/>
            <w:shd w:val="clear" w:color="auto" w:fill="53C072"/>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20" w:type="dxa"/>
            <w:vAlign w:val="bottom"/>
            <w:shd w:val="clear" w:color="auto" w:fill="53C072"/>
          </w:tcPr>
          <w:p>
            <w:pPr>
              <w:spacing w:after="0"/>
              <w:rPr>
                <w:sz w:val="12"/>
                <w:szCs w:val="12"/>
                <w:color w:val="auto"/>
              </w:rPr>
            </w:pPr>
          </w:p>
        </w:tc>
        <w:tc>
          <w:tcPr>
            <w:tcW w:w="6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760" w:type="dxa"/>
            <w:vAlign w:val="bottom"/>
            <w:shd w:val="clear" w:color="auto" w:fill="53C072"/>
          </w:tcPr>
          <w:p>
            <w:pPr>
              <w:spacing w:after="0"/>
              <w:rPr>
                <w:sz w:val="12"/>
                <w:szCs w:val="12"/>
                <w:color w:val="auto"/>
              </w:rPr>
            </w:pPr>
          </w:p>
        </w:tc>
        <w:tc>
          <w:tcPr>
            <w:tcW w:w="66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740" w:type="dxa"/>
            <w:vAlign w:val="bottom"/>
            <w:shd w:val="clear" w:color="auto" w:fill="53C072"/>
          </w:tcPr>
          <w:p>
            <w:pPr>
              <w:spacing w:after="0"/>
              <w:rPr>
                <w:sz w:val="12"/>
                <w:szCs w:val="12"/>
                <w:color w:val="auto"/>
              </w:rPr>
            </w:pPr>
          </w:p>
        </w:tc>
        <w:tc>
          <w:tcPr>
            <w:tcW w:w="520" w:type="dxa"/>
            <w:vAlign w:val="bottom"/>
            <w:shd w:val="clear" w:color="auto" w:fill="53C072"/>
          </w:tcPr>
          <w:p>
            <w:pPr>
              <w:spacing w:after="0"/>
              <w:rPr>
                <w:sz w:val="12"/>
                <w:szCs w:val="12"/>
                <w:color w:val="auto"/>
              </w:rPr>
            </w:pPr>
          </w:p>
        </w:tc>
        <w:tc>
          <w:tcPr>
            <w:tcW w:w="66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62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Awards:</w:t>
            </w:r>
          </w:p>
        </w:tc>
        <w:tc>
          <w:tcPr>
            <w:tcW w:w="800" w:type="dxa"/>
            <w:vAlign w:val="bottom"/>
            <w:vMerge w:val="continue"/>
            <w:shd w:val="clear" w:color="auto" w:fill="53C072"/>
          </w:tcPr>
          <w:p>
            <w:pPr>
              <w:spacing w:after="0"/>
              <w:rPr>
                <w:sz w:val="12"/>
                <w:szCs w:val="12"/>
                <w:color w:val="auto"/>
              </w:rPr>
            </w:pPr>
          </w:p>
        </w:tc>
        <w:tc>
          <w:tcPr>
            <w:tcW w:w="660" w:type="dxa"/>
            <w:vAlign w:val="bottom"/>
            <w:vMerge w:val="restart"/>
            <w:shd w:val="clear" w:color="auto" w:fill="53C072"/>
          </w:tcPr>
          <w:p>
            <w:pPr>
              <w:jc w:val="right"/>
              <w:spacing w:after="0"/>
              <w:rPr>
                <w:sz w:val="20"/>
                <w:szCs w:val="20"/>
                <w:color w:val="auto"/>
              </w:rPr>
            </w:pPr>
            <w:r>
              <w:rPr>
                <w:rFonts w:ascii="Arial" w:cs="Arial" w:eastAsia="Arial" w:hAnsi="Arial"/>
                <w:sz w:val="13"/>
                <w:szCs w:val="13"/>
                <w:b w:val="1"/>
                <w:bCs w:val="1"/>
                <w:color w:val="FFFFFE"/>
              </w:rPr>
              <w:t>Exercise</w:t>
            </w:r>
          </w:p>
        </w:tc>
        <w:tc>
          <w:tcPr>
            <w:tcW w:w="640" w:type="dxa"/>
            <w:vAlign w:val="bottom"/>
            <w:vMerge w:val="restart"/>
            <w:shd w:val="clear" w:color="auto" w:fill="53C072"/>
          </w:tcPr>
          <w:p>
            <w:pPr>
              <w:jc w:val="right"/>
              <w:spacing w:after="0"/>
              <w:rPr>
                <w:sz w:val="20"/>
                <w:szCs w:val="20"/>
                <w:color w:val="auto"/>
              </w:rPr>
            </w:pPr>
            <w:r>
              <w:rPr>
                <w:rFonts w:ascii="Arial" w:cs="Arial" w:eastAsia="Arial" w:hAnsi="Arial"/>
                <w:sz w:val="13"/>
                <w:szCs w:val="13"/>
                <w:b w:val="1"/>
                <w:bCs w:val="1"/>
                <w:color w:val="FFFFFE"/>
              </w:rPr>
              <w:t>Grant</w:t>
            </w:r>
          </w:p>
        </w:tc>
        <w:tc>
          <w:tcPr>
            <w:tcW w:w="0" w:type="dxa"/>
            <w:vAlign w:val="bottom"/>
          </w:tcPr>
          <w:p>
            <w:pPr>
              <w:spacing w:after="0"/>
              <w:rPr>
                <w:sz w:val="1"/>
                <w:szCs w:val="1"/>
                <w:color w:val="auto"/>
              </w:rPr>
            </w:pPr>
          </w:p>
        </w:tc>
      </w:tr>
      <w:tr>
        <w:trPr>
          <w:trHeight w:val="146"/>
        </w:trPr>
        <w:tc>
          <w:tcPr>
            <w:tcW w:w="620" w:type="dxa"/>
            <w:vAlign w:val="bottom"/>
            <w:shd w:val="clear" w:color="auto" w:fill="53C072"/>
          </w:tcPr>
          <w:p>
            <w:pPr>
              <w:spacing w:after="0"/>
              <w:rPr>
                <w:sz w:val="12"/>
                <w:szCs w:val="12"/>
                <w:color w:val="auto"/>
              </w:rPr>
            </w:pPr>
          </w:p>
        </w:tc>
        <w:tc>
          <w:tcPr>
            <w:tcW w:w="6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760" w:type="dxa"/>
            <w:vAlign w:val="bottom"/>
            <w:shd w:val="clear" w:color="auto" w:fill="53C072"/>
          </w:tcPr>
          <w:p>
            <w:pPr>
              <w:spacing w:after="0"/>
              <w:rPr>
                <w:sz w:val="12"/>
                <w:szCs w:val="12"/>
                <w:color w:val="auto"/>
              </w:rPr>
            </w:pPr>
          </w:p>
        </w:tc>
        <w:tc>
          <w:tcPr>
            <w:tcW w:w="66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740" w:type="dxa"/>
            <w:vAlign w:val="bottom"/>
            <w:shd w:val="clear" w:color="auto" w:fill="53C072"/>
          </w:tcPr>
          <w:p>
            <w:pPr>
              <w:spacing w:after="0"/>
              <w:rPr>
                <w:sz w:val="12"/>
                <w:szCs w:val="12"/>
                <w:color w:val="auto"/>
              </w:rPr>
            </w:pPr>
          </w:p>
        </w:tc>
        <w:tc>
          <w:tcPr>
            <w:tcW w:w="520" w:type="dxa"/>
            <w:vAlign w:val="bottom"/>
            <w:shd w:val="clear" w:color="auto" w:fill="53C072"/>
          </w:tcPr>
          <w:p>
            <w:pPr>
              <w:spacing w:after="0"/>
              <w:rPr>
                <w:sz w:val="12"/>
                <w:szCs w:val="12"/>
                <w:color w:val="auto"/>
              </w:rPr>
            </w:pPr>
          </w:p>
        </w:tc>
        <w:tc>
          <w:tcPr>
            <w:tcW w:w="66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62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Number</w:t>
            </w:r>
          </w:p>
        </w:tc>
        <w:tc>
          <w:tcPr>
            <w:tcW w:w="80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Other</w:t>
            </w:r>
          </w:p>
        </w:tc>
        <w:tc>
          <w:tcPr>
            <w:tcW w:w="660" w:type="dxa"/>
            <w:vAlign w:val="bottom"/>
            <w:vMerge w:val="continue"/>
            <w:shd w:val="clear" w:color="auto" w:fill="53C072"/>
          </w:tcPr>
          <w:p>
            <w:pPr>
              <w:spacing w:after="0"/>
              <w:rPr>
                <w:sz w:val="12"/>
                <w:szCs w:val="12"/>
                <w:color w:val="auto"/>
              </w:rPr>
            </w:pPr>
          </w:p>
        </w:tc>
        <w:tc>
          <w:tcPr>
            <w:tcW w:w="640" w:type="dxa"/>
            <w:vAlign w:val="bottom"/>
            <w:vMerge w:val="continue"/>
            <w:shd w:val="clear" w:color="auto" w:fill="53C072"/>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20" w:type="dxa"/>
            <w:vAlign w:val="bottom"/>
            <w:shd w:val="clear" w:color="auto" w:fill="53C072"/>
          </w:tcPr>
          <w:p>
            <w:pPr>
              <w:spacing w:after="0"/>
              <w:rPr>
                <w:sz w:val="12"/>
                <w:szCs w:val="12"/>
                <w:color w:val="auto"/>
              </w:rPr>
            </w:pPr>
          </w:p>
        </w:tc>
        <w:tc>
          <w:tcPr>
            <w:tcW w:w="6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760" w:type="dxa"/>
            <w:vAlign w:val="bottom"/>
            <w:shd w:val="clear" w:color="auto" w:fill="53C072"/>
          </w:tcPr>
          <w:p>
            <w:pPr>
              <w:spacing w:after="0"/>
              <w:rPr>
                <w:sz w:val="12"/>
                <w:szCs w:val="12"/>
                <w:color w:val="auto"/>
              </w:rPr>
            </w:pPr>
          </w:p>
        </w:tc>
        <w:tc>
          <w:tcPr>
            <w:tcW w:w="66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740" w:type="dxa"/>
            <w:vAlign w:val="bottom"/>
            <w:shd w:val="clear" w:color="auto" w:fill="53C072"/>
          </w:tcPr>
          <w:p>
            <w:pPr>
              <w:spacing w:after="0"/>
              <w:rPr>
                <w:sz w:val="12"/>
                <w:szCs w:val="12"/>
                <w:color w:val="auto"/>
              </w:rPr>
            </w:pPr>
          </w:p>
        </w:tc>
        <w:tc>
          <w:tcPr>
            <w:tcW w:w="520" w:type="dxa"/>
            <w:vAlign w:val="bottom"/>
            <w:shd w:val="clear" w:color="auto" w:fill="53C072"/>
          </w:tcPr>
          <w:p>
            <w:pPr>
              <w:spacing w:after="0"/>
              <w:rPr>
                <w:sz w:val="12"/>
                <w:szCs w:val="12"/>
                <w:color w:val="auto"/>
              </w:rPr>
            </w:pPr>
          </w:p>
        </w:tc>
        <w:tc>
          <w:tcPr>
            <w:tcW w:w="66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62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of</w:t>
            </w:r>
          </w:p>
        </w:tc>
        <w:tc>
          <w:tcPr>
            <w:tcW w:w="80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Option</w:t>
            </w:r>
          </w:p>
        </w:tc>
        <w:tc>
          <w:tcPr>
            <w:tcW w:w="66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or</w:t>
            </w:r>
          </w:p>
        </w:tc>
        <w:tc>
          <w:tcPr>
            <w:tcW w:w="64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Date</w:t>
            </w:r>
          </w:p>
        </w:tc>
        <w:tc>
          <w:tcPr>
            <w:tcW w:w="0" w:type="dxa"/>
            <w:vAlign w:val="bottom"/>
          </w:tcPr>
          <w:p>
            <w:pPr>
              <w:spacing w:after="0"/>
              <w:rPr>
                <w:sz w:val="1"/>
                <w:szCs w:val="1"/>
                <w:color w:val="auto"/>
              </w:rPr>
            </w:pPr>
          </w:p>
        </w:tc>
      </w:tr>
      <w:tr>
        <w:trPr>
          <w:trHeight w:val="146"/>
        </w:trPr>
        <w:tc>
          <w:tcPr>
            <w:tcW w:w="620" w:type="dxa"/>
            <w:vAlign w:val="bottom"/>
            <w:shd w:val="clear" w:color="auto" w:fill="53C072"/>
          </w:tcPr>
          <w:p>
            <w:pPr>
              <w:spacing w:after="0"/>
              <w:rPr>
                <w:sz w:val="12"/>
                <w:szCs w:val="12"/>
                <w:color w:val="auto"/>
              </w:rPr>
            </w:pPr>
          </w:p>
        </w:tc>
        <w:tc>
          <w:tcPr>
            <w:tcW w:w="6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2120" w:type="dxa"/>
            <w:vAlign w:val="bottom"/>
            <w:gridSpan w:val="3"/>
            <w:vMerge w:val="restart"/>
            <w:shd w:val="clear" w:color="auto" w:fill="53C072"/>
          </w:tcPr>
          <w:p>
            <w:pPr>
              <w:jc w:val="right"/>
              <w:spacing w:after="0"/>
              <w:rPr>
                <w:sz w:val="20"/>
                <w:szCs w:val="20"/>
                <w:color w:val="auto"/>
              </w:rPr>
            </w:pPr>
            <w:r>
              <w:rPr>
                <w:rFonts w:ascii="Arial" w:cs="Arial" w:eastAsia="Arial" w:hAnsi="Arial"/>
                <w:sz w:val="13"/>
                <w:szCs w:val="13"/>
                <w:b w:val="1"/>
                <w:bCs w:val="1"/>
                <w:color w:val="FFFFFE"/>
              </w:rPr>
              <w:t>Estimated Future Payouts</w:t>
            </w:r>
          </w:p>
        </w:tc>
        <w:tc>
          <w:tcPr>
            <w:tcW w:w="80" w:type="dxa"/>
            <w:vAlign w:val="bottom"/>
            <w:shd w:val="clear" w:color="auto" w:fill="53C072"/>
          </w:tcPr>
          <w:p>
            <w:pPr>
              <w:spacing w:after="0"/>
              <w:rPr>
                <w:sz w:val="12"/>
                <w:szCs w:val="12"/>
                <w:color w:val="auto"/>
              </w:rPr>
            </w:pPr>
          </w:p>
        </w:tc>
        <w:tc>
          <w:tcPr>
            <w:tcW w:w="1920" w:type="dxa"/>
            <w:vAlign w:val="bottom"/>
            <w:gridSpan w:val="3"/>
            <w:vMerge w:val="restart"/>
            <w:shd w:val="clear" w:color="auto" w:fill="53C072"/>
          </w:tcPr>
          <w:p>
            <w:pPr>
              <w:jc w:val="right"/>
              <w:spacing w:after="0"/>
              <w:rPr>
                <w:sz w:val="20"/>
                <w:szCs w:val="20"/>
                <w:color w:val="auto"/>
              </w:rPr>
            </w:pPr>
            <w:r>
              <w:rPr>
                <w:rFonts w:ascii="Arial" w:cs="Arial" w:eastAsia="Arial" w:hAnsi="Arial"/>
                <w:sz w:val="13"/>
                <w:szCs w:val="13"/>
                <w:b w:val="1"/>
                <w:bCs w:val="1"/>
                <w:color w:val="FFFFFE"/>
              </w:rPr>
              <w:t>Estimated Future Payouts</w:t>
            </w:r>
          </w:p>
        </w:tc>
        <w:tc>
          <w:tcPr>
            <w:tcW w:w="80" w:type="dxa"/>
            <w:vAlign w:val="bottom"/>
            <w:shd w:val="clear" w:color="auto" w:fill="53C072"/>
          </w:tcPr>
          <w:p>
            <w:pPr>
              <w:spacing w:after="0"/>
              <w:rPr>
                <w:sz w:val="12"/>
                <w:szCs w:val="12"/>
                <w:color w:val="auto"/>
              </w:rPr>
            </w:pPr>
          </w:p>
        </w:tc>
        <w:tc>
          <w:tcPr>
            <w:tcW w:w="62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Shares</w:t>
            </w:r>
          </w:p>
        </w:tc>
        <w:tc>
          <w:tcPr>
            <w:tcW w:w="80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Awards:</w:t>
            </w:r>
          </w:p>
        </w:tc>
        <w:tc>
          <w:tcPr>
            <w:tcW w:w="66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Base</w:t>
            </w:r>
          </w:p>
        </w:tc>
        <w:tc>
          <w:tcPr>
            <w:tcW w:w="64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Fair</w:t>
            </w:r>
          </w:p>
        </w:tc>
        <w:tc>
          <w:tcPr>
            <w:tcW w:w="0" w:type="dxa"/>
            <w:vAlign w:val="bottom"/>
          </w:tcPr>
          <w:p>
            <w:pPr>
              <w:spacing w:after="0"/>
              <w:rPr>
                <w:sz w:val="1"/>
                <w:szCs w:val="1"/>
                <w:color w:val="auto"/>
              </w:rPr>
            </w:pPr>
          </w:p>
        </w:tc>
      </w:tr>
      <w:tr>
        <w:trPr>
          <w:trHeight w:val="61"/>
        </w:trPr>
        <w:tc>
          <w:tcPr>
            <w:tcW w:w="620" w:type="dxa"/>
            <w:vAlign w:val="bottom"/>
            <w:shd w:val="clear" w:color="auto" w:fill="53C072"/>
          </w:tcPr>
          <w:p>
            <w:pPr>
              <w:spacing w:after="0"/>
              <w:rPr>
                <w:sz w:val="5"/>
                <w:szCs w:val="5"/>
                <w:color w:val="auto"/>
              </w:rPr>
            </w:pPr>
          </w:p>
        </w:tc>
        <w:tc>
          <w:tcPr>
            <w:tcW w:w="60" w:type="dxa"/>
            <w:vAlign w:val="bottom"/>
            <w:shd w:val="clear" w:color="auto" w:fill="53C072"/>
          </w:tcPr>
          <w:p>
            <w:pPr>
              <w:spacing w:after="0"/>
              <w:rPr>
                <w:sz w:val="5"/>
                <w:szCs w:val="5"/>
                <w:color w:val="auto"/>
              </w:rPr>
            </w:pPr>
          </w:p>
        </w:tc>
        <w:tc>
          <w:tcPr>
            <w:tcW w:w="700" w:type="dxa"/>
            <w:vAlign w:val="bottom"/>
            <w:shd w:val="clear" w:color="auto" w:fill="53C072"/>
          </w:tcPr>
          <w:p>
            <w:pPr>
              <w:spacing w:after="0"/>
              <w:rPr>
                <w:sz w:val="5"/>
                <w:szCs w:val="5"/>
                <w:color w:val="auto"/>
              </w:rPr>
            </w:pPr>
          </w:p>
        </w:tc>
        <w:tc>
          <w:tcPr>
            <w:tcW w:w="2120" w:type="dxa"/>
            <w:vAlign w:val="bottom"/>
            <w:gridSpan w:val="3"/>
            <w:vMerge w:val="continue"/>
            <w:shd w:val="clear" w:color="auto" w:fill="53C072"/>
          </w:tcPr>
          <w:p>
            <w:pPr>
              <w:spacing w:after="0"/>
              <w:rPr>
                <w:sz w:val="5"/>
                <w:szCs w:val="5"/>
                <w:color w:val="auto"/>
              </w:rPr>
            </w:pPr>
          </w:p>
        </w:tc>
        <w:tc>
          <w:tcPr>
            <w:tcW w:w="80" w:type="dxa"/>
            <w:vAlign w:val="bottom"/>
            <w:shd w:val="clear" w:color="auto" w:fill="53C072"/>
          </w:tcPr>
          <w:p>
            <w:pPr>
              <w:spacing w:after="0"/>
              <w:rPr>
                <w:sz w:val="5"/>
                <w:szCs w:val="5"/>
                <w:color w:val="auto"/>
              </w:rPr>
            </w:pPr>
          </w:p>
        </w:tc>
        <w:tc>
          <w:tcPr>
            <w:tcW w:w="1920" w:type="dxa"/>
            <w:vAlign w:val="bottom"/>
            <w:gridSpan w:val="3"/>
            <w:vMerge w:val="continue"/>
            <w:shd w:val="clear" w:color="auto" w:fill="53C072"/>
          </w:tcPr>
          <w:p>
            <w:pPr>
              <w:spacing w:after="0"/>
              <w:rPr>
                <w:sz w:val="5"/>
                <w:szCs w:val="5"/>
                <w:color w:val="auto"/>
              </w:rPr>
            </w:pPr>
          </w:p>
        </w:tc>
        <w:tc>
          <w:tcPr>
            <w:tcW w:w="80" w:type="dxa"/>
            <w:vAlign w:val="bottom"/>
            <w:shd w:val="clear" w:color="auto" w:fill="53C072"/>
          </w:tcPr>
          <w:p>
            <w:pPr>
              <w:spacing w:after="0"/>
              <w:rPr>
                <w:sz w:val="5"/>
                <w:szCs w:val="5"/>
                <w:color w:val="auto"/>
              </w:rPr>
            </w:pPr>
          </w:p>
        </w:tc>
        <w:tc>
          <w:tcPr>
            <w:tcW w:w="620" w:type="dxa"/>
            <w:vAlign w:val="bottom"/>
            <w:vMerge w:val="restart"/>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of</w:t>
            </w:r>
          </w:p>
        </w:tc>
        <w:tc>
          <w:tcPr>
            <w:tcW w:w="800" w:type="dxa"/>
            <w:vAlign w:val="bottom"/>
            <w:vMerge w:val="restart"/>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Number of</w:t>
            </w:r>
          </w:p>
        </w:tc>
        <w:tc>
          <w:tcPr>
            <w:tcW w:w="660" w:type="dxa"/>
            <w:vAlign w:val="bottom"/>
            <w:vMerge w:val="restart"/>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Price</w:t>
            </w:r>
          </w:p>
        </w:tc>
        <w:tc>
          <w:tcPr>
            <w:tcW w:w="640" w:type="dxa"/>
            <w:vAlign w:val="bottom"/>
            <w:vMerge w:val="restart"/>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Value of</w:t>
            </w:r>
          </w:p>
        </w:tc>
        <w:tc>
          <w:tcPr>
            <w:tcW w:w="0" w:type="dxa"/>
            <w:vAlign w:val="bottom"/>
          </w:tcPr>
          <w:p>
            <w:pPr>
              <w:spacing w:after="0"/>
              <w:rPr>
                <w:sz w:val="1"/>
                <w:szCs w:val="1"/>
                <w:color w:val="auto"/>
              </w:rPr>
            </w:pPr>
          </w:p>
        </w:tc>
      </w:tr>
      <w:tr>
        <w:trPr>
          <w:trHeight w:val="85"/>
        </w:trPr>
        <w:tc>
          <w:tcPr>
            <w:tcW w:w="620" w:type="dxa"/>
            <w:vAlign w:val="bottom"/>
            <w:shd w:val="clear" w:color="auto" w:fill="53C072"/>
          </w:tcPr>
          <w:p>
            <w:pPr>
              <w:spacing w:after="0"/>
              <w:rPr>
                <w:sz w:val="7"/>
                <w:szCs w:val="7"/>
                <w:color w:val="auto"/>
              </w:rPr>
            </w:pPr>
          </w:p>
        </w:tc>
        <w:tc>
          <w:tcPr>
            <w:tcW w:w="60" w:type="dxa"/>
            <w:vAlign w:val="bottom"/>
            <w:shd w:val="clear" w:color="auto" w:fill="53C072"/>
          </w:tcPr>
          <w:p>
            <w:pPr>
              <w:spacing w:after="0"/>
              <w:rPr>
                <w:sz w:val="7"/>
                <w:szCs w:val="7"/>
                <w:color w:val="auto"/>
              </w:rPr>
            </w:pPr>
          </w:p>
        </w:tc>
        <w:tc>
          <w:tcPr>
            <w:tcW w:w="700" w:type="dxa"/>
            <w:vAlign w:val="bottom"/>
            <w:shd w:val="clear" w:color="auto" w:fill="53C072"/>
          </w:tcPr>
          <w:p>
            <w:pPr>
              <w:spacing w:after="0"/>
              <w:rPr>
                <w:sz w:val="7"/>
                <w:szCs w:val="7"/>
                <w:color w:val="auto"/>
              </w:rPr>
            </w:pPr>
          </w:p>
        </w:tc>
        <w:tc>
          <w:tcPr>
            <w:tcW w:w="2120" w:type="dxa"/>
            <w:vAlign w:val="bottom"/>
            <w:gridSpan w:val="3"/>
            <w:vMerge w:val="restart"/>
            <w:shd w:val="clear" w:color="auto" w:fill="53C072"/>
          </w:tcPr>
          <w:p>
            <w:pPr>
              <w:jc w:val="right"/>
              <w:spacing w:after="0"/>
              <w:rPr>
                <w:sz w:val="20"/>
                <w:szCs w:val="20"/>
                <w:color w:val="auto"/>
              </w:rPr>
            </w:pPr>
            <w:r>
              <w:rPr>
                <w:rFonts w:ascii="Arial" w:cs="Arial" w:eastAsia="Arial" w:hAnsi="Arial"/>
                <w:sz w:val="13"/>
                <w:szCs w:val="13"/>
                <w:b w:val="1"/>
                <w:bCs w:val="1"/>
                <w:color w:val="FFFFFE"/>
              </w:rPr>
              <w:t>Under Non-Equity Incentive Plan</w:t>
            </w:r>
          </w:p>
        </w:tc>
        <w:tc>
          <w:tcPr>
            <w:tcW w:w="80" w:type="dxa"/>
            <w:vAlign w:val="bottom"/>
            <w:shd w:val="clear" w:color="auto" w:fill="53C072"/>
          </w:tcPr>
          <w:p>
            <w:pPr>
              <w:spacing w:after="0"/>
              <w:rPr>
                <w:sz w:val="7"/>
                <w:szCs w:val="7"/>
                <w:color w:val="auto"/>
              </w:rPr>
            </w:pPr>
          </w:p>
        </w:tc>
        <w:tc>
          <w:tcPr>
            <w:tcW w:w="1920" w:type="dxa"/>
            <w:vAlign w:val="bottom"/>
            <w:gridSpan w:val="3"/>
            <w:vMerge w:val="restart"/>
            <w:shd w:val="clear" w:color="auto" w:fill="53C072"/>
          </w:tcPr>
          <w:p>
            <w:pPr>
              <w:jc w:val="right"/>
              <w:spacing w:after="0"/>
              <w:rPr>
                <w:sz w:val="20"/>
                <w:szCs w:val="20"/>
                <w:color w:val="auto"/>
              </w:rPr>
            </w:pPr>
            <w:r>
              <w:rPr>
                <w:rFonts w:ascii="Arial" w:cs="Arial" w:eastAsia="Arial" w:hAnsi="Arial"/>
                <w:sz w:val="13"/>
                <w:szCs w:val="13"/>
                <w:b w:val="1"/>
                <w:bCs w:val="1"/>
                <w:color w:val="FFFFFE"/>
              </w:rPr>
              <w:t>Under Equity Incentive Plan</w:t>
            </w:r>
          </w:p>
        </w:tc>
        <w:tc>
          <w:tcPr>
            <w:tcW w:w="80" w:type="dxa"/>
            <w:vAlign w:val="bottom"/>
            <w:shd w:val="clear" w:color="auto" w:fill="53C072"/>
          </w:tcPr>
          <w:p>
            <w:pPr>
              <w:spacing w:after="0"/>
              <w:rPr>
                <w:sz w:val="7"/>
                <w:szCs w:val="7"/>
                <w:color w:val="auto"/>
              </w:rPr>
            </w:pPr>
          </w:p>
        </w:tc>
        <w:tc>
          <w:tcPr>
            <w:tcW w:w="620" w:type="dxa"/>
            <w:vAlign w:val="bottom"/>
            <w:vMerge w:val="continue"/>
            <w:shd w:val="clear" w:color="auto" w:fill="53C072"/>
          </w:tcPr>
          <w:p>
            <w:pPr>
              <w:spacing w:after="0"/>
              <w:rPr>
                <w:sz w:val="7"/>
                <w:szCs w:val="7"/>
                <w:color w:val="auto"/>
              </w:rPr>
            </w:pPr>
          </w:p>
        </w:tc>
        <w:tc>
          <w:tcPr>
            <w:tcW w:w="800" w:type="dxa"/>
            <w:vAlign w:val="bottom"/>
            <w:vMerge w:val="continue"/>
            <w:shd w:val="clear" w:color="auto" w:fill="53C072"/>
          </w:tcPr>
          <w:p>
            <w:pPr>
              <w:spacing w:after="0"/>
              <w:rPr>
                <w:sz w:val="7"/>
                <w:szCs w:val="7"/>
                <w:color w:val="auto"/>
              </w:rPr>
            </w:pPr>
          </w:p>
        </w:tc>
        <w:tc>
          <w:tcPr>
            <w:tcW w:w="660" w:type="dxa"/>
            <w:vAlign w:val="bottom"/>
            <w:vMerge w:val="continue"/>
            <w:shd w:val="clear" w:color="auto" w:fill="53C072"/>
          </w:tcPr>
          <w:p>
            <w:pPr>
              <w:spacing w:after="0"/>
              <w:rPr>
                <w:sz w:val="7"/>
                <w:szCs w:val="7"/>
                <w:color w:val="auto"/>
              </w:rPr>
            </w:pPr>
          </w:p>
        </w:tc>
        <w:tc>
          <w:tcPr>
            <w:tcW w:w="640" w:type="dxa"/>
            <w:vAlign w:val="bottom"/>
            <w:vMerge w:val="continue"/>
            <w:shd w:val="clear" w:color="auto" w:fill="53C072"/>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620" w:type="dxa"/>
            <w:vAlign w:val="bottom"/>
            <w:shd w:val="clear" w:color="auto" w:fill="53C072"/>
          </w:tcPr>
          <w:p>
            <w:pPr>
              <w:spacing w:after="0"/>
              <w:rPr>
                <w:sz w:val="8"/>
                <w:szCs w:val="8"/>
                <w:color w:val="auto"/>
              </w:rPr>
            </w:pPr>
          </w:p>
        </w:tc>
        <w:tc>
          <w:tcPr>
            <w:tcW w:w="60" w:type="dxa"/>
            <w:vAlign w:val="bottom"/>
            <w:shd w:val="clear" w:color="auto" w:fill="53C072"/>
          </w:tcPr>
          <w:p>
            <w:pPr>
              <w:spacing w:after="0"/>
              <w:rPr>
                <w:sz w:val="8"/>
                <w:szCs w:val="8"/>
                <w:color w:val="auto"/>
              </w:rPr>
            </w:pPr>
          </w:p>
        </w:tc>
        <w:tc>
          <w:tcPr>
            <w:tcW w:w="700" w:type="dxa"/>
            <w:vAlign w:val="bottom"/>
            <w:shd w:val="clear" w:color="auto" w:fill="53C072"/>
          </w:tcPr>
          <w:p>
            <w:pPr>
              <w:spacing w:after="0"/>
              <w:rPr>
                <w:sz w:val="8"/>
                <w:szCs w:val="8"/>
                <w:color w:val="auto"/>
              </w:rPr>
            </w:pPr>
          </w:p>
        </w:tc>
        <w:tc>
          <w:tcPr>
            <w:tcW w:w="2120" w:type="dxa"/>
            <w:vAlign w:val="bottom"/>
            <w:gridSpan w:val="3"/>
            <w:vMerge w:val="continue"/>
            <w:shd w:val="clear" w:color="auto" w:fill="53C072"/>
          </w:tcPr>
          <w:p>
            <w:pPr>
              <w:spacing w:after="0"/>
              <w:rPr>
                <w:sz w:val="8"/>
                <w:szCs w:val="8"/>
                <w:color w:val="auto"/>
              </w:rPr>
            </w:pPr>
          </w:p>
        </w:tc>
        <w:tc>
          <w:tcPr>
            <w:tcW w:w="80" w:type="dxa"/>
            <w:vAlign w:val="bottom"/>
            <w:shd w:val="clear" w:color="auto" w:fill="53C072"/>
          </w:tcPr>
          <w:p>
            <w:pPr>
              <w:spacing w:after="0"/>
              <w:rPr>
                <w:sz w:val="8"/>
                <w:szCs w:val="8"/>
                <w:color w:val="auto"/>
              </w:rPr>
            </w:pPr>
          </w:p>
        </w:tc>
        <w:tc>
          <w:tcPr>
            <w:tcW w:w="1920" w:type="dxa"/>
            <w:vAlign w:val="bottom"/>
            <w:gridSpan w:val="3"/>
            <w:vMerge w:val="continue"/>
            <w:shd w:val="clear" w:color="auto" w:fill="53C072"/>
          </w:tcPr>
          <w:p>
            <w:pPr>
              <w:spacing w:after="0"/>
              <w:rPr>
                <w:sz w:val="8"/>
                <w:szCs w:val="8"/>
                <w:color w:val="auto"/>
              </w:rPr>
            </w:pPr>
          </w:p>
        </w:tc>
        <w:tc>
          <w:tcPr>
            <w:tcW w:w="80" w:type="dxa"/>
            <w:vAlign w:val="bottom"/>
            <w:shd w:val="clear" w:color="auto" w:fill="53C072"/>
          </w:tcPr>
          <w:p>
            <w:pPr>
              <w:spacing w:after="0"/>
              <w:rPr>
                <w:sz w:val="8"/>
                <w:szCs w:val="8"/>
                <w:color w:val="auto"/>
              </w:rPr>
            </w:pPr>
          </w:p>
        </w:tc>
        <w:tc>
          <w:tcPr>
            <w:tcW w:w="620" w:type="dxa"/>
            <w:vAlign w:val="bottom"/>
            <w:vMerge w:val="restart"/>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Stock</w:t>
            </w:r>
          </w:p>
        </w:tc>
        <w:tc>
          <w:tcPr>
            <w:tcW w:w="800" w:type="dxa"/>
            <w:vAlign w:val="bottom"/>
            <w:vMerge w:val="restart"/>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Securities</w:t>
            </w:r>
          </w:p>
        </w:tc>
        <w:tc>
          <w:tcPr>
            <w:tcW w:w="660" w:type="dxa"/>
            <w:vAlign w:val="bottom"/>
            <w:vMerge w:val="restart"/>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of</w:t>
            </w:r>
          </w:p>
        </w:tc>
        <w:tc>
          <w:tcPr>
            <w:tcW w:w="640" w:type="dxa"/>
            <w:vAlign w:val="bottom"/>
            <w:vMerge w:val="restart"/>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Stock</w:t>
            </w:r>
          </w:p>
        </w:tc>
        <w:tc>
          <w:tcPr>
            <w:tcW w:w="0" w:type="dxa"/>
            <w:vAlign w:val="bottom"/>
          </w:tcPr>
          <w:p>
            <w:pPr>
              <w:spacing w:after="0"/>
              <w:rPr>
                <w:sz w:val="1"/>
                <w:szCs w:val="1"/>
                <w:color w:val="auto"/>
              </w:rPr>
            </w:pPr>
          </w:p>
        </w:tc>
      </w:tr>
      <w:tr>
        <w:trPr>
          <w:trHeight w:val="48"/>
        </w:trPr>
        <w:tc>
          <w:tcPr>
            <w:tcW w:w="620" w:type="dxa"/>
            <w:vAlign w:val="bottom"/>
            <w:shd w:val="clear" w:color="auto" w:fill="53C072"/>
          </w:tcPr>
          <w:p>
            <w:pPr>
              <w:spacing w:after="0"/>
              <w:rPr>
                <w:sz w:val="4"/>
                <w:szCs w:val="4"/>
                <w:color w:val="auto"/>
              </w:rPr>
            </w:pPr>
          </w:p>
        </w:tc>
        <w:tc>
          <w:tcPr>
            <w:tcW w:w="60" w:type="dxa"/>
            <w:vAlign w:val="bottom"/>
            <w:shd w:val="clear" w:color="auto" w:fill="53C072"/>
          </w:tcPr>
          <w:p>
            <w:pPr>
              <w:spacing w:after="0"/>
              <w:rPr>
                <w:sz w:val="4"/>
                <w:szCs w:val="4"/>
                <w:color w:val="auto"/>
              </w:rPr>
            </w:pPr>
          </w:p>
        </w:tc>
        <w:tc>
          <w:tcPr>
            <w:tcW w:w="700" w:type="dxa"/>
            <w:vAlign w:val="bottom"/>
            <w:shd w:val="clear" w:color="auto" w:fill="53C072"/>
          </w:tcPr>
          <w:p>
            <w:pPr>
              <w:spacing w:after="0"/>
              <w:rPr>
                <w:sz w:val="4"/>
                <w:szCs w:val="4"/>
                <w:color w:val="auto"/>
              </w:rPr>
            </w:pPr>
          </w:p>
        </w:tc>
        <w:tc>
          <w:tcPr>
            <w:tcW w:w="760" w:type="dxa"/>
            <w:vAlign w:val="bottom"/>
            <w:shd w:val="clear" w:color="auto" w:fill="53C072"/>
          </w:tcPr>
          <w:p>
            <w:pPr>
              <w:spacing w:after="0"/>
              <w:rPr>
                <w:sz w:val="4"/>
                <w:szCs w:val="4"/>
                <w:color w:val="auto"/>
              </w:rPr>
            </w:pPr>
          </w:p>
        </w:tc>
        <w:tc>
          <w:tcPr>
            <w:tcW w:w="660" w:type="dxa"/>
            <w:vAlign w:val="bottom"/>
            <w:shd w:val="clear" w:color="auto" w:fill="53C072"/>
          </w:tcPr>
          <w:p>
            <w:pPr>
              <w:spacing w:after="0"/>
              <w:rPr>
                <w:sz w:val="4"/>
                <w:szCs w:val="4"/>
                <w:color w:val="auto"/>
              </w:rPr>
            </w:pPr>
          </w:p>
        </w:tc>
        <w:tc>
          <w:tcPr>
            <w:tcW w:w="700" w:type="dxa"/>
            <w:vAlign w:val="bottom"/>
            <w:vMerge w:val="restart"/>
            <w:shd w:val="clear" w:color="auto" w:fill="53C072"/>
          </w:tcPr>
          <w:p>
            <w:pPr>
              <w:jc w:val="right"/>
              <w:spacing w:after="0"/>
              <w:rPr>
                <w:sz w:val="20"/>
                <w:szCs w:val="20"/>
                <w:color w:val="auto"/>
              </w:rPr>
            </w:pPr>
            <w:r>
              <w:rPr>
                <w:rFonts w:ascii="Arial" w:cs="Arial" w:eastAsia="Arial" w:hAnsi="Arial"/>
                <w:sz w:val="13"/>
                <w:szCs w:val="13"/>
                <w:b w:val="1"/>
                <w:bCs w:val="1"/>
                <w:color w:val="FFFFFE"/>
              </w:rPr>
              <w:t>Awards(1)</w:t>
            </w:r>
          </w:p>
        </w:tc>
        <w:tc>
          <w:tcPr>
            <w:tcW w:w="80" w:type="dxa"/>
            <w:vAlign w:val="bottom"/>
            <w:shd w:val="clear" w:color="auto" w:fill="53C072"/>
          </w:tcPr>
          <w:p>
            <w:pPr>
              <w:spacing w:after="0"/>
              <w:rPr>
                <w:sz w:val="4"/>
                <w:szCs w:val="4"/>
                <w:color w:val="auto"/>
              </w:rPr>
            </w:pPr>
          </w:p>
        </w:tc>
        <w:tc>
          <w:tcPr>
            <w:tcW w:w="740" w:type="dxa"/>
            <w:vAlign w:val="bottom"/>
            <w:shd w:val="clear" w:color="auto" w:fill="53C072"/>
          </w:tcPr>
          <w:p>
            <w:pPr>
              <w:spacing w:after="0"/>
              <w:rPr>
                <w:sz w:val="4"/>
                <w:szCs w:val="4"/>
                <w:color w:val="auto"/>
              </w:rPr>
            </w:pPr>
          </w:p>
        </w:tc>
        <w:tc>
          <w:tcPr>
            <w:tcW w:w="1180" w:type="dxa"/>
            <w:vAlign w:val="bottom"/>
            <w:gridSpan w:val="2"/>
            <w:vMerge w:val="restart"/>
            <w:shd w:val="clear" w:color="auto" w:fill="53C072"/>
          </w:tcPr>
          <w:p>
            <w:pPr>
              <w:jc w:val="right"/>
              <w:spacing w:after="0"/>
              <w:rPr>
                <w:sz w:val="20"/>
                <w:szCs w:val="20"/>
                <w:color w:val="auto"/>
              </w:rPr>
            </w:pPr>
            <w:r>
              <w:rPr>
                <w:rFonts w:ascii="Arial" w:cs="Arial" w:eastAsia="Arial" w:hAnsi="Arial"/>
                <w:sz w:val="13"/>
                <w:szCs w:val="13"/>
                <w:b w:val="1"/>
                <w:bCs w:val="1"/>
                <w:color w:val="FFFFFE"/>
              </w:rPr>
              <w:t>Awards(#)(2)(3)</w:t>
            </w:r>
          </w:p>
        </w:tc>
        <w:tc>
          <w:tcPr>
            <w:tcW w:w="80" w:type="dxa"/>
            <w:vAlign w:val="bottom"/>
            <w:shd w:val="clear" w:color="auto" w:fill="53C072"/>
          </w:tcPr>
          <w:p>
            <w:pPr>
              <w:spacing w:after="0"/>
              <w:rPr>
                <w:sz w:val="4"/>
                <w:szCs w:val="4"/>
                <w:color w:val="auto"/>
              </w:rPr>
            </w:pPr>
          </w:p>
        </w:tc>
        <w:tc>
          <w:tcPr>
            <w:tcW w:w="620" w:type="dxa"/>
            <w:vAlign w:val="bottom"/>
            <w:vMerge w:val="continue"/>
            <w:shd w:val="clear" w:color="auto" w:fill="53C072"/>
          </w:tcPr>
          <w:p>
            <w:pPr>
              <w:spacing w:after="0"/>
              <w:rPr>
                <w:sz w:val="4"/>
                <w:szCs w:val="4"/>
                <w:color w:val="auto"/>
              </w:rPr>
            </w:pPr>
          </w:p>
        </w:tc>
        <w:tc>
          <w:tcPr>
            <w:tcW w:w="800" w:type="dxa"/>
            <w:vAlign w:val="bottom"/>
            <w:vMerge w:val="continue"/>
            <w:shd w:val="clear" w:color="auto" w:fill="53C072"/>
          </w:tcPr>
          <w:p>
            <w:pPr>
              <w:spacing w:after="0"/>
              <w:rPr>
                <w:sz w:val="4"/>
                <w:szCs w:val="4"/>
                <w:color w:val="auto"/>
              </w:rPr>
            </w:pPr>
          </w:p>
        </w:tc>
        <w:tc>
          <w:tcPr>
            <w:tcW w:w="660" w:type="dxa"/>
            <w:vAlign w:val="bottom"/>
            <w:vMerge w:val="continue"/>
            <w:shd w:val="clear" w:color="auto" w:fill="53C072"/>
          </w:tcPr>
          <w:p>
            <w:pPr>
              <w:spacing w:after="0"/>
              <w:rPr>
                <w:sz w:val="4"/>
                <w:szCs w:val="4"/>
                <w:color w:val="auto"/>
              </w:rPr>
            </w:pPr>
          </w:p>
        </w:tc>
        <w:tc>
          <w:tcPr>
            <w:tcW w:w="640" w:type="dxa"/>
            <w:vAlign w:val="bottom"/>
            <w:vMerge w:val="continue"/>
            <w:shd w:val="clear" w:color="auto" w:fill="53C072"/>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620" w:type="dxa"/>
            <w:vAlign w:val="bottom"/>
            <w:tcBorders>
              <w:bottom w:val="single" w:sz="8" w:color="53C072"/>
            </w:tcBorders>
            <w:shd w:val="clear" w:color="auto" w:fill="53C072"/>
          </w:tcPr>
          <w:p>
            <w:pPr>
              <w:spacing w:after="0"/>
              <w:rPr>
                <w:sz w:val="12"/>
                <w:szCs w:val="12"/>
                <w:color w:val="auto"/>
              </w:rPr>
            </w:pPr>
          </w:p>
        </w:tc>
        <w:tc>
          <w:tcPr>
            <w:tcW w:w="60" w:type="dxa"/>
            <w:vAlign w:val="bottom"/>
            <w:tcBorders>
              <w:bottom w:val="single" w:sz="8" w:color="53C072"/>
            </w:tcBorders>
            <w:shd w:val="clear" w:color="auto" w:fill="53C072"/>
          </w:tcPr>
          <w:p>
            <w:pPr>
              <w:spacing w:after="0"/>
              <w:rPr>
                <w:sz w:val="12"/>
                <w:szCs w:val="12"/>
                <w:color w:val="auto"/>
              </w:rPr>
            </w:pPr>
          </w:p>
        </w:tc>
        <w:tc>
          <w:tcPr>
            <w:tcW w:w="700" w:type="dxa"/>
            <w:vAlign w:val="bottom"/>
            <w:tcBorders>
              <w:bottom w:val="single" w:sz="8" w:color="53C072"/>
            </w:tcBorders>
            <w:shd w:val="clear" w:color="auto" w:fill="53C072"/>
          </w:tcPr>
          <w:p>
            <w:pPr>
              <w:spacing w:after="0"/>
              <w:rPr>
                <w:sz w:val="12"/>
                <w:szCs w:val="12"/>
                <w:color w:val="auto"/>
              </w:rPr>
            </w:pPr>
          </w:p>
        </w:tc>
        <w:tc>
          <w:tcPr>
            <w:tcW w:w="760" w:type="dxa"/>
            <w:vAlign w:val="bottom"/>
            <w:tcBorders>
              <w:bottom w:val="single" w:sz="8" w:color="auto"/>
            </w:tcBorders>
            <w:shd w:val="clear" w:color="auto" w:fill="53C072"/>
          </w:tcPr>
          <w:p>
            <w:pPr>
              <w:spacing w:after="0"/>
              <w:rPr>
                <w:sz w:val="12"/>
                <w:szCs w:val="12"/>
                <w:color w:val="auto"/>
              </w:rPr>
            </w:pPr>
          </w:p>
        </w:tc>
        <w:tc>
          <w:tcPr>
            <w:tcW w:w="660" w:type="dxa"/>
            <w:vAlign w:val="bottom"/>
            <w:tcBorders>
              <w:bottom w:val="single" w:sz="8" w:color="auto"/>
            </w:tcBorders>
            <w:shd w:val="clear" w:color="auto" w:fill="53C072"/>
          </w:tcPr>
          <w:p>
            <w:pPr>
              <w:spacing w:after="0"/>
              <w:rPr>
                <w:sz w:val="12"/>
                <w:szCs w:val="12"/>
                <w:color w:val="auto"/>
              </w:rPr>
            </w:pPr>
          </w:p>
        </w:tc>
        <w:tc>
          <w:tcPr>
            <w:tcW w:w="700" w:type="dxa"/>
            <w:vAlign w:val="bottom"/>
            <w:tcBorders>
              <w:bottom w:val="single" w:sz="8" w:color="auto"/>
            </w:tcBorders>
            <w:vMerge w:val="continue"/>
            <w:shd w:val="clear" w:color="auto" w:fill="53C072"/>
          </w:tcPr>
          <w:p>
            <w:pPr>
              <w:spacing w:after="0"/>
              <w:rPr>
                <w:sz w:val="12"/>
                <w:szCs w:val="12"/>
                <w:color w:val="auto"/>
              </w:rPr>
            </w:pPr>
          </w:p>
        </w:tc>
        <w:tc>
          <w:tcPr>
            <w:tcW w:w="80" w:type="dxa"/>
            <w:vAlign w:val="bottom"/>
            <w:tcBorders>
              <w:bottom w:val="single" w:sz="8" w:color="53C072"/>
            </w:tcBorders>
            <w:shd w:val="clear" w:color="auto" w:fill="53C072"/>
          </w:tcPr>
          <w:p>
            <w:pPr>
              <w:spacing w:after="0"/>
              <w:rPr>
                <w:sz w:val="12"/>
                <w:szCs w:val="12"/>
                <w:color w:val="auto"/>
              </w:rPr>
            </w:pPr>
          </w:p>
        </w:tc>
        <w:tc>
          <w:tcPr>
            <w:tcW w:w="740" w:type="dxa"/>
            <w:vAlign w:val="bottom"/>
            <w:tcBorders>
              <w:bottom w:val="single" w:sz="8" w:color="auto"/>
            </w:tcBorders>
            <w:shd w:val="clear" w:color="auto" w:fill="53C072"/>
          </w:tcPr>
          <w:p>
            <w:pPr>
              <w:spacing w:after="0"/>
              <w:rPr>
                <w:sz w:val="12"/>
                <w:szCs w:val="12"/>
                <w:color w:val="auto"/>
              </w:rPr>
            </w:pPr>
          </w:p>
        </w:tc>
        <w:tc>
          <w:tcPr>
            <w:tcW w:w="1180" w:type="dxa"/>
            <w:vAlign w:val="bottom"/>
            <w:tcBorders>
              <w:bottom w:val="single" w:sz="8" w:color="auto"/>
            </w:tcBorders>
            <w:gridSpan w:val="2"/>
            <w:vMerge w:val="continue"/>
            <w:shd w:val="clear" w:color="auto" w:fill="53C072"/>
          </w:tcPr>
          <w:p>
            <w:pPr>
              <w:spacing w:after="0"/>
              <w:rPr>
                <w:sz w:val="12"/>
                <w:szCs w:val="12"/>
                <w:color w:val="auto"/>
              </w:rPr>
            </w:pPr>
          </w:p>
        </w:tc>
        <w:tc>
          <w:tcPr>
            <w:tcW w:w="80" w:type="dxa"/>
            <w:vAlign w:val="bottom"/>
            <w:tcBorders>
              <w:bottom w:val="single" w:sz="8" w:color="53C072"/>
            </w:tcBorders>
            <w:shd w:val="clear" w:color="auto" w:fill="53C072"/>
          </w:tcPr>
          <w:p>
            <w:pPr>
              <w:spacing w:after="0"/>
              <w:rPr>
                <w:sz w:val="12"/>
                <w:szCs w:val="12"/>
                <w:color w:val="auto"/>
              </w:rPr>
            </w:pPr>
          </w:p>
        </w:tc>
        <w:tc>
          <w:tcPr>
            <w:tcW w:w="620" w:type="dxa"/>
            <w:vAlign w:val="bottom"/>
            <w:tcBorders>
              <w:bottom w:val="single" w:sz="8" w:color="53C072"/>
            </w:tcBorders>
            <w:shd w:val="clear" w:color="auto" w:fill="53C072"/>
          </w:tcPr>
          <w:p>
            <w:pPr>
              <w:jc w:val="right"/>
              <w:spacing w:after="0" w:line="148" w:lineRule="exact"/>
              <w:rPr>
                <w:sz w:val="20"/>
                <w:szCs w:val="20"/>
                <w:color w:val="auto"/>
              </w:rPr>
            </w:pPr>
            <w:r>
              <w:rPr>
                <w:rFonts w:ascii="Arial" w:cs="Arial" w:eastAsia="Arial" w:hAnsi="Arial"/>
                <w:sz w:val="13"/>
                <w:szCs w:val="13"/>
                <w:b w:val="1"/>
                <w:bCs w:val="1"/>
                <w:color w:val="FFFFFE"/>
              </w:rPr>
              <w:t>or</w:t>
            </w:r>
          </w:p>
        </w:tc>
        <w:tc>
          <w:tcPr>
            <w:tcW w:w="800" w:type="dxa"/>
            <w:vAlign w:val="bottom"/>
            <w:tcBorders>
              <w:bottom w:val="single" w:sz="8" w:color="53C072"/>
            </w:tcBorders>
            <w:shd w:val="clear" w:color="auto" w:fill="53C072"/>
          </w:tcPr>
          <w:p>
            <w:pPr>
              <w:jc w:val="right"/>
              <w:spacing w:after="0" w:line="148" w:lineRule="exact"/>
              <w:rPr>
                <w:sz w:val="20"/>
                <w:szCs w:val="20"/>
                <w:color w:val="auto"/>
              </w:rPr>
            </w:pPr>
            <w:r>
              <w:rPr>
                <w:rFonts w:ascii="Arial" w:cs="Arial" w:eastAsia="Arial" w:hAnsi="Arial"/>
                <w:sz w:val="13"/>
                <w:szCs w:val="13"/>
                <w:b w:val="1"/>
                <w:bCs w:val="1"/>
                <w:color w:val="FFFFFE"/>
              </w:rPr>
              <w:t>Underlying</w:t>
            </w:r>
          </w:p>
        </w:tc>
        <w:tc>
          <w:tcPr>
            <w:tcW w:w="660" w:type="dxa"/>
            <w:vAlign w:val="bottom"/>
            <w:tcBorders>
              <w:bottom w:val="single" w:sz="8" w:color="53C072"/>
            </w:tcBorders>
            <w:shd w:val="clear" w:color="auto" w:fill="53C072"/>
          </w:tcPr>
          <w:p>
            <w:pPr>
              <w:jc w:val="right"/>
              <w:spacing w:after="0" w:line="148" w:lineRule="exact"/>
              <w:rPr>
                <w:sz w:val="20"/>
                <w:szCs w:val="20"/>
                <w:color w:val="auto"/>
              </w:rPr>
            </w:pPr>
            <w:r>
              <w:rPr>
                <w:rFonts w:ascii="Arial" w:cs="Arial" w:eastAsia="Arial" w:hAnsi="Arial"/>
                <w:sz w:val="13"/>
                <w:szCs w:val="13"/>
                <w:b w:val="1"/>
                <w:bCs w:val="1"/>
                <w:color w:val="FFFFFE"/>
              </w:rPr>
              <w:t>Option</w:t>
            </w:r>
          </w:p>
        </w:tc>
        <w:tc>
          <w:tcPr>
            <w:tcW w:w="640" w:type="dxa"/>
            <w:vAlign w:val="bottom"/>
            <w:tcBorders>
              <w:bottom w:val="single" w:sz="8" w:color="53C072"/>
            </w:tcBorders>
            <w:shd w:val="clear" w:color="auto" w:fill="53C072"/>
          </w:tcPr>
          <w:p>
            <w:pPr>
              <w:jc w:val="right"/>
              <w:spacing w:after="0" w:line="148" w:lineRule="exact"/>
              <w:rPr>
                <w:sz w:val="20"/>
                <w:szCs w:val="20"/>
                <w:color w:val="auto"/>
              </w:rPr>
            </w:pPr>
            <w:r>
              <w:rPr>
                <w:rFonts w:ascii="Arial" w:cs="Arial" w:eastAsia="Arial" w:hAnsi="Arial"/>
                <w:sz w:val="13"/>
                <w:szCs w:val="13"/>
                <w:b w:val="1"/>
                <w:bCs w:val="1"/>
                <w:color w:val="FFFFFE"/>
              </w:rPr>
              <w:t>and</w:t>
            </w:r>
          </w:p>
        </w:tc>
        <w:tc>
          <w:tcPr>
            <w:tcW w:w="0" w:type="dxa"/>
            <w:vAlign w:val="bottom"/>
          </w:tcPr>
          <w:p>
            <w:pPr>
              <w:spacing w:after="0"/>
              <w:rPr>
                <w:sz w:val="1"/>
                <w:szCs w:val="1"/>
                <w:color w:val="auto"/>
              </w:rPr>
            </w:pPr>
          </w:p>
        </w:tc>
      </w:tr>
      <w:tr>
        <w:trPr>
          <w:trHeight w:val="124"/>
        </w:trPr>
        <w:tc>
          <w:tcPr>
            <w:tcW w:w="620" w:type="dxa"/>
            <w:vAlign w:val="bottom"/>
            <w:vMerge w:val="restart"/>
            <w:shd w:val="clear" w:color="auto" w:fill="53C072"/>
          </w:tcPr>
          <w:p>
            <w:pPr>
              <w:jc w:val="right"/>
              <w:spacing w:after="0"/>
              <w:rPr>
                <w:sz w:val="20"/>
                <w:szCs w:val="20"/>
                <w:color w:val="auto"/>
              </w:rPr>
            </w:pPr>
            <w:r>
              <w:rPr>
                <w:rFonts w:ascii="Arial" w:cs="Arial" w:eastAsia="Arial" w:hAnsi="Arial"/>
                <w:sz w:val="13"/>
                <w:szCs w:val="13"/>
                <w:b w:val="1"/>
                <w:bCs w:val="1"/>
                <w:color w:val="FFFFFE"/>
              </w:rPr>
              <w:t>Name</w:t>
            </w:r>
          </w:p>
        </w:tc>
        <w:tc>
          <w:tcPr>
            <w:tcW w:w="60" w:type="dxa"/>
            <w:vAlign w:val="bottom"/>
            <w:shd w:val="clear" w:color="auto" w:fill="53C072"/>
          </w:tcPr>
          <w:p>
            <w:pPr>
              <w:spacing w:after="0"/>
              <w:rPr>
                <w:sz w:val="10"/>
                <w:szCs w:val="10"/>
                <w:color w:val="auto"/>
              </w:rPr>
            </w:pPr>
          </w:p>
        </w:tc>
        <w:tc>
          <w:tcPr>
            <w:tcW w:w="700" w:type="dxa"/>
            <w:vAlign w:val="bottom"/>
            <w:shd w:val="clear" w:color="auto" w:fill="53C072"/>
          </w:tcPr>
          <w:p>
            <w:pPr>
              <w:jc w:val="right"/>
              <w:spacing w:after="0" w:line="124" w:lineRule="exact"/>
              <w:rPr>
                <w:sz w:val="20"/>
                <w:szCs w:val="20"/>
                <w:color w:val="auto"/>
              </w:rPr>
            </w:pPr>
            <w:r>
              <w:rPr>
                <w:rFonts w:ascii="Arial" w:cs="Arial" w:eastAsia="Arial" w:hAnsi="Arial"/>
                <w:sz w:val="13"/>
                <w:szCs w:val="13"/>
                <w:b w:val="1"/>
                <w:bCs w:val="1"/>
                <w:color w:val="FFFFFE"/>
              </w:rPr>
              <w:t>Grant</w:t>
            </w:r>
          </w:p>
        </w:tc>
        <w:tc>
          <w:tcPr>
            <w:tcW w:w="760" w:type="dxa"/>
            <w:vAlign w:val="bottom"/>
            <w:shd w:val="clear" w:color="auto" w:fill="53C072"/>
          </w:tcPr>
          <w:p>
            <w:pPr>
              <w:jc w:val="right"/>
              <w:spacing w:after="0" w:line="124" w:lineRule="exact"/>
              <w:rPr>
                <w:sz w:val="20"/>
                <w:szCs w:val="20"/>
                <w:color w:val="auto"/>
              </w:rPr>
            </w:pPr>
            <w:r>
              <w:rPr>
                <w:rFonts w:ascii="Arial" w:cs="Arial" w:eastAsia="Arial" w:hAnsi="Arial"/>
                <w:sz w:val="13"/>
                <w:szCs w:val="13"/>
                <w:b w:val="1"/>
                <w:bCs w:val="1"/>
                <w:color w:val="FFFFFE"/>
              </w:rPr>
              <w:t>Threshold</w:t>
            </w:r>
          </w:p>
        </w:tc>
        <w:tc>
          <w:tcPr>
            <w:tcW w:w="660" w:type="dxa"/>
            <w:vAlign w:val="bottom"/>
            <w:shd w:val="clear" w:color="auto" w:fill="53C072"/>
          </w:tcPr>
          <w:p>
            <w:pPr>
              <w:jc w:val="right"/>
              <w:spacing w:after="0" w:line="124" w:lineRule="exact"/>
              <w:rPr>
                <w:sz w:val="20"/>
                <w:szCs w:val="20"/>
                <w:color w:val="auto"/>
              </w:rPr>
            </w:pPr>
            <w:r>
              <w:rPr>
                <w:rFonts w:ascii="Arial" w:cs="Arial" w:eastAsia="Arial" w:hAnsi="Arial"/>
                <w:sz w:val="13"/>
                <w:szCs w:val="13"/>
                <w:b w:val="1"/>
                <w:bCs w:val="1"/>
                <w:color w:val="FFFFFE"/>
              </w:rPr>
              <w:t>Target</w:t>
            </w:r>
          </w:p>
        </w:tc>
        <w:tc>
          <w:tcPr>
            <w:tcW w:w="700" w:type="dxa"/>
            <w:vAlign w:val="bottom"/>
            <w:shd w:val="clear" w:color="auto" w:fill="53C072"/>
          </w:tcPr>
          <w:p>
            <w:pPr>
              <w:jc w:val="right"/>
              <w:spacing w:after="0" w:line="124" w:lineRule="exact"/>
              <w:rPr>
                <w:sz w:val="20"/>
                <w:szCs w:val="20"/>
                <w:color w:val="auto"/>
              </w:rPr>
            </w:pPr>
            <w:r>
              <w:rPr>
                <w:rFonts w:ascii="Arial" w:cs="Arial" w:eastAsia="Arial" w:hAnsi="Arial"/>
                <w:sz w:val="13"/>
                <w:szCs w:val="13"/>
                <w:b w:val="1"/>
                <w:bCs w:val="1"/>
                <w:color w:val="FFFFFE"/>
              </w:rPr>
              <w:t>Maximum</w:t>
            </w:r>
          </w:p>
        </w:tc>
        <w:tc>
          <w:tcPr>
            <w:tcW w:w="80" w:type="dxa"/>
            <w:vAlign w:val="bottom"/>
            <w:shd w:val="clear" w:color="auto" w:fill="53C072"/>
          </w:tcPr>
          <w:p>
            <w:pPr>
              <w:spacing w:after="0"/>
              <w:rPr>
                <w:sz w:val="10"/>
                <w:szCs w:val="10"/>
                <w:color w:val="auto"/>
              </w:rPr>
            </w:pPr>
          </w:p>
        </w:tc>
        <w:tc>
          <w:tcPr>
            <w:tcW w:w="740" w:type="dxa"/>
            <w:vAlign w:val="bottom"/>
            <w:shd w:val="clear" w:color="auto" w:fill="53C072"/>
          </w:tcPr>
          <w:p>
            <w:pPr>
              <w:jc w:val="right"/>
              <w:spacing w:after="0" w:line="124" w:lineRule="exact"/>
              <w:rPr>
                <w:sz w:val="20"/>
                <w:szCs w:val="20"/>
                <w:color w:val="auto"/>
              </w:rPr>
            </w:pPr>
            <w:r>
              <w:rPr>
                <w:rFonts w:ascii="Arial" w:cs="Arial" w:eastAsia="Arial" w:hAnsi="Arial"/>
                <w:sz w:val="13"/>
                <w:szCs w:val="13"/>
                <w:b w:val="1"/>
                <w:bCs w:val="1"/>
                <w:color w:val="FFFFFE"/>
              </w:rPr>
              <w:t>Threshold</w:t>
            </w:r>
          </w:p>
        </w:tc>
        <w:tc>
          <w:tcPr>
            <w:tcW w:w="520" w:type="dxa"/>
            <w:vAlign w:val="bottom"/>
            <w:shd w:val="clear" w:color="auto" w:fill="53C072"/>
          </w:tcPr>
          <w:p>
            <w:pPr>
              <w:jc w:val="right"/>
              <w:spacing w:after="0" w:line="124" w:lineRule="exact"/>
              <w:rPr>
                <w:sz w:val="20"/>
                <w:szCs w:val="20"/>
                <w:color w:val="auto"/>
              </w:rPr>
            </w:pPr>
            <w:r>
              <w:rPr>
                <w:rFonts w:ascii="Arial" w:cs="Arial" w:eastAsia="Arial" w:hAnsi="Arial"/>
                <w:sz w:val="13"/>
                <w:szCs w:val="13"/>
                <w:b w:val="1"/>
                <w:bCs w:val="1"/>
                <w:color w:val="FFFFFE"/>
              </w:rPr>
              <w:t>Target</w:t>
            </w:r>
          </w:p>
        </w:tc>
        <w:tc>
          <w:tcPr>
            <w:tcW w:w="660" w:type="dxa"/>
            <w:vAlign w:val="bottom"/>
            <w:shd w:val="clear" w:color="auto" w:fill="53C072"/>
          </w:tcPr>
          <w:p>
            <w:pPr>
              <w:jc w:val="right"/>
              <w:spacing w:after="0" w:line="124" w:lineRule="exact"/>
              <w:rPr>
                <w:sz w:val="20"/>
                <w:szCs w:val="20"/>
                <w:color w:val="auto"/>
              </w:rPr>
            </w:pPr>
            <w:r>
              <w:rPr>
                <w:rFonts w:ascii="Arial" w:cs="Arial" w:eastAsia="Arial" w:hAnsi="Arial"/>
                <w:sz w:val="13"/>
                <w:szCs w:val="13"/>
                <w:b w:val="1"/>
                <w:bCs w:val="1"/>
                <w:color w:val="FFFFFE"/>
              </w:rPr>
              <w:t>Maximum</w:t>
            </w:r>
          </w:p>
        </w:tc>
        <w:tc>
          <w:tcPr>
            <w:tcW w:w="80" w:type="dxa"/>
            <w:vAlign w:val="bottom"/>
            <w:shd w:val="clear" w:color="auto" w:fill="53C072"/>
          </w:tcPr>
          <w:p>
            <w:pPr>
              <w:spacing w:after="0"/>
              <w:rPr>
                <w:sz w:val="10"/>
                <w:szCs w:val="10"/>
                <w:color w:val="auto"/>
              </w:rPr>
            </w:pPr>
          </w:p>
        </w:tc>
        <w:tc>
          <w:tcPr>
            <w:tcW w:w="620" w:type="dxa"/>
            <w:vAlign w:val="bottom"/>
            <w:shd w:val="clear" w:color="auto" w:fill="53C072"/>
          </w:tcPr>
          <w:p>
            <w:pPr>
              <w:jc w:val="right"/>
              <w:spacing w:after="0" w:line="124" w:lineRule="exact"/>
              <w:rPr>
                <w:sz w:val="20"/>
                <w:szCs w:val="20"/>
                <w:color w:val="auto"/>
              </w:rPr>
            </w:pPr>
            <w:r>
              <w:rPr>
                <w:rFonts w:ascii="Arial" w:cs="Arial" w:eastAsia="Arial" w:hAnsi="Arial"/>
                <w:sz w:val="13"/>
                <w:szCs w:val="13"/>
                <w:b w:val="1"/>
                <w:bCs w:val="1"/>
                <w:color w:val="FFFFFE"/>
              </w:rPr>
              <w:t>Units</w:t>
            </w:r>
          </w:p>
        </w:tc>
        <w:tc>
          <w:tcPr>
            <w:tcW w:w="800" w:type="dxa"/>
            <w:vAlign w:val="bottom"/>
            <w:shd w:val="clear" w:color="auto" w:fill="53C072"/>
          </w:tcPr>
          <w:p>
            <w:pPr>
              <w:jc w:val="right"/>
              <w:spacing w:after="0" w:line="124" w:lineRule="exact"/>
              <w:rPr>
                <w:sz w:val="20"/>
                <w:szCs w:val="20"/>
                <w:color w:val="auto"/>
              </w:rPr>
            </w:pPr>
            <w:r>
              <w:rPr>
                <w:rFonts w:ascii="Arial" w:cs="Arial" w:eastAsia="Arial" w:hAnsi="Arial"/>
                <w:sz w:val="13"/>
                <w:szCs w:val="13"/>
                <w:b w:val="1"/>
                <w:bCs w:val="1"/>
                <w:color w:val="FFFFFE"/>
              </w:rPr>
              <w:t>Options</w:t>
            </w:r>
          </w:p>
        </w:tc>
        <w:tc>
          <w:tcPr>
            <w:tcW w:w="660" w:type="dxa"/>
            <w:vAlign w:val="bottom"/>
            <w:shd w:val="clear" w:color="auto" w:fill="53C072"/>
          </w:tcPr>
          <w:p>
            <w:pPr>
              <w:jc w:val="right"/>
              <w:spacing w:after="0" w:line="124" w:lineRule="exact"/>
              <w:rPr>
                <w:sz w:val="20"/>
                <w:szCs w:val="20"/>
                <w:color w:val="auto"/>
              </w:rPr>
            </w:pPr>
            <w:r>
              <w:rPr>
                <w:rFonts w:ascii="Arial" w:cs="Arial" w:eastAsia="Arial" w:hAnsi="Arial"/>
                <w:sz w:val="13"/>
                <w:szCs w:val="13"/>
                <w:b w:val="1"/>
                <w:bCs w:val="1"/>
                <w:color w:val="FFFFFE"/>
              </w:rPr>
              <w:t>Awards</w:t>
            </w:r>
          </w:p>
        </w:tc>
        <w:tc>
          <w:tcPr>
            <w:tcW w:w="640" w:type="dxa"/>
            <w:vAlign w:val="bottom"/>
            <w:shd w:val="clear" w:color="auto" w:fill="53C072"/>
          </w:tcPr>
          <w:p>
            <w:pPr>
              <w:jc w:val="right"/>
              <w:spacing w:after="0" w:line="124" w:lineRule="exact"/>
              <w:rPr>
                <w:sz w:val="20"/>
                <w:szCs w:val="20"/>
                <w:color w:val="auto"/>
              </w:rPr>
            </w:pPr>
            <w:r>
              <w:rPr>
                <w:rFonts w:ascii="Arial" w:cs="Arial" w:eastAsia="Arial" w:hAnsi="Arial"/>
                <w:sz w:val="13"/>
                <w:szCs w:val="13"/>
                <w:b w:val="1"/>
                <w:bCs w:val="1"/>
                <w:color w:val="FFFFFE"/>
              </w:rPr>
              <w:t>Options</w:t>
            </w:r>
          </w:p>
        </w:tc>
        <w:tc>
          <w:tcPr>
            <w:tcW w:w="0" w:type="dxa"/>
            <w:vAlign w:val="bottom"/>
          </w:tcPr>
          <w:p>
            <w:pPr>
              <w:spacing w:after="0"/>
              <w:rPr>
                <w:sz w:val="1"/>
                <w:szCs w:val="1"/>
                <w:color w:val="auto"/>
              </w:rPr>
            </w:pPr>
          </w:p>
        </w:tc>
      </w:tr>
      <w:tr>
        <w:trPr>
          <w:trHeight w:val="146"/>
        </w:trPr>
        <w:tc>
          <w:tcPr>
            <w:tcW w:w="620" w:type="dxa"/>
            <w:vAlign w:val="bottom"/>
            <w:vMerge w:val="continue"/>
            <w:shd w:val="clear" w:color="auto" w:fill="53C072"/>
          </w:tcPr>
          <w:p>
            <w:pPr>
              <w:spacing w:after="0"/>
              <w:rPr>
                <w:sz w:val="12"/>
                <w:szCs w:val="12"/>
                <w:color w:val="auto"/>
              </w:rPr>
            </w:pPr>
          </w:p>
        </w:tc>
        <w:tc>
          <w:tcPr>
            <w:tcW w:w="60" w:type="dxa"/>
            <w:vAlign w:val="bottom"/>
            <w:shd w:val="clear" w:color="auto" w:fill="53C072"/>
          </w:tcPr>
          <w:p>
            <w:pPr>
              <w:spacing w:after="0"/>
              <w:rPr>
                <w:sz w:val="12"/>
                <w:szCs w:val="12"/>
                <w:color w:val="auto"/>
              </w:rPr>
            </w:pPr>
          </w:p>
        </w:tc>
        <w:tc>
          <w:tcPr>
            <w:tcW w:w="70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Date</w:t>
            </w:r>
          </w:p>
        </w:tc>
        <w:tc>
          <w:tcPr>
            <w:tcW w:w="76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w:t>
            </w:r>
          </w:p>
        </w:tc>
        <w:tc>
          <w:tcPr>
            <w:tcW w:w="66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w:t>
            </w:r>
          </w:p>
        </w:tc>
        <w:tc>
          <w:tcPr>
            <w:tcW w:w="70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w:t>
            </w:r>
          </w:p>
        </w:tc>
        <w:tc>
          <w:tcPr>
            <w:tcW w:w="80" w:type="dxa"/>
            <w:vAlign w:val="bottom"/>
            <w:shd w:val="clear" w:color="auto" w:fill="53C072"/>
          </w:tcPr>
          <w:p>
            <w:pPr>
              <w:spacing w:after="0"/>
              <w:rPr>
                <w:sz w:val="12"/>
                <w:szCs w:val="12"/>
                <w:color w:val="auto"/>
              </w:rPr>
            </w:pPr>
          </w:p>
        </w:tc>
        <w:tc>
          <w:tcPr>
            <w:tcW w:w="74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w:t>
            </w:r>
          </w:p>
        </w:tc>
        <w:tc>
          <w:tcPr>
            <w:tcW w:w="52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w:t>
            </w:r>
          </w:p>
        </w:tc>
        <w:tc>
          <w:tcPr>
            <w:tcW w:w="66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w:t>
            </w:r>
          </w:p>
        </w:tc>
        <w:tc>
          <w:tcPr>
            <w:tcW w:w="80" w:type="dxa"/>
            <w:vAlign w:val="bottom"/>
            <w:shd w:val="clear" w:color="auto" w:fill="53C072"/>
          </w:tcPr>
          <w:p>
            <w:pPr>
              <w:spacing w:after="0"/>
              <w:rPr>
                <w:sz w:val="12"/>
                <w:szCs w:val="12"/>
                <w:color w:val="auto"/>
              </w:rPr>
            </w:pPr>
          </w:p>
        </w:tc>
        <w:tc>
          <w:tcPr>
            <w:tcW w:w="62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(#)(3)</w:t>
            </w:r>
          </w:p>
        </w:tc>
        <w:tc>
          <w:tcPr>
            <w:tcW w:w="80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(#)(3)</w:t>
            </w:r>
          </w:p>
        </w:tc>
        <w:tc>
          <w:tcPr>
            <w:tcW w:w="66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($/Sh)</w:t>
            </w:r>
          </w:p>
        </w:tc>
        <w:tc>
          <w:tcPr>
            <w:tcW w:w="64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Awards</w:t>
            </w:r>
          </w:p>
        </w:tc>
        <w:tc>
          <w:tcPr>
            <w:tcW w:w="0" w:type="dxa"/>
            <w:vAlign w:val="bottom"/>
          </w:tcPr>
          <w:p>
            <w:pPr>
              <w:spacing w:after="0"/>
              <w:rPr>
                <w:sz w:val="1"/>
                <w:szCs w:val="1"/>
                <w:color w:val="auto"/>
              </w:rPr>
            </w:pPr>
          </w:p>
        </w:tc>
      </w:tr>
      <w:tr>
        <w:trPr>
          <w:trHeight w:val="159"/>
        </w:trPr>
        <w:tc>
          <w:tcPr>
            <w:tcW w:w="62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(a)</w:t>
            </w:r>
          </w:p>
        </w:tc>
        <w:tc>
          <w:tcPr>
            <w:tcW w:w="60" w:type="dxa"/>
            <w:vAlign w:val="bottom"/>
            <w:shd w:val="clear" w:color="auto" w:fill="53C072"/>
          </w:tcPr>
          <w:p>
            <w:pPr>
              <w:spacing w:after="0"/>
              <w:rPr>
                <w:sz w:val="13"/>
                <w:szCs w:val="13"/>
                <w:color w:val="auto"/>
              </w:rPr>
            </w:pPr>
          </w:p>
        </w:tc>
        <w:tc>
          <w:tcPr>
            <w:tcW w:w="70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(b)</w:t>
            </w:r>
          </w:p>
        </w:tc>
        <w:tc>
          <w:tcPr>
            <w:tcW w:w="76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(c)</w:t>
            </w:r>
          </w:p>
        </w:tc>
        <w:tc>
          <w:tcPr>
            <w:tcW w:w="66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(d)</w:t>
            </w:r>
          </w:p>
        </w:tc>
        <w:tc>
          <w:tcPr>
            <w:tcW w:w="70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(e)</w:t>
            </w:r>
          </w:p>
        </w:tc>
        <w:tc>
          <w:tcPr>
            <w:tcW w:w="80" w:type="dxa"/>
            <w:vAlign w:val="bottom"/>
            <w:shd w:val="clear" w:color="auto" w:fill="53C072"/>
          </w:tcPr>
          <w:p>
            <w:pPr>
              <w:spacing w:after="0"/>
              <w:rPr>
                <w:sz w:val="13"/>
                <w:szCs w:val="13"/>
                <w:color w:val="auto"/>
              </w:rPr>
            </w:pPr>
          </w:p>
        </w:tc>
        <w:tc>
          <w:tcPr>
            <w:tcW w:w="7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(f)</w:t>
            </w:r>
          </w:p>
        </w:tc>
        <w:tc>
          <w:tcPr>
            <w:tcW w:w="52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(g)</w:t>
            </w:r>
          </w:p>
        </w:tc>
        <w:tc>
          <w:tcPr>
            <w:tcW w:w="66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(h)</w:t>
            </w:r>
          </w:p>
        </w:tc>
        <w:tc>
          <w:tcPr>
            <w:tcW w:w="80" w:type="dxa"/>
            <w:vAlign w:val="bottom"/>
            <w:shd w:val="clear" w:color="auto" w:fill="53C072"/>
          </w:tcPr>
          <w:p>
            <w:pPr>
              <w:spacing w:after="0"/>
              <w:rPr>
                <w:sz w:val="13"/>
                <w:szCs w:val="13"/>
                <w:color w:val="auto"/>
              </w:rPr>
            </w:pPr>
          </w:p>
        </w:tc>
        <w:tc>
          <w:tcPr>
            <w:tcW w:w="62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(i)</w:t>
            </w:r>
          </w:p>
        </w:tc>
        <w:tc>
          <w:tcPr>
            <w:tcW w:w="80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(j)</w:t>
            </w:r>
          </w:p>
        </w:tc>
        <w:tc>
          <w:tcPr>
            <w:tcW w:w="66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(k)</w:t>
            </w:r>
          </w:p>
        </w:tc>
        <w:tc>
          <w:tcPr>
            <w:tcW w:w="6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(l)</w:t>
            </w:r>
          </w:p>
        </w:tc>
        <w:tc>
          <w:tcPr>
            <w:tcW w:w="0" w:type="dxa"/>
            <w:vAlign w:val="bottom"/>
          </w:tcPr>
          <w:p>
            <w:pPr>
              <w:spacing w:after="0"/>
              <w:rPr>
                <w:sz w:val="1"/>
                <w:szCs w:val="1"/>
                <w:color w:val="auto"/>
              </w:rPr>
            </w:pPr>
          </w:p>
        </w:tc>
      </w:tr>
      <w:tr>
        <w:trPr>
          <w:trHeight w:val="134"/>
        </w:trPr>
        <w:tc>
          <w:tcPr>
            <w:tcW w:w="620" w:type="dxa"/>
            <w:vAlign w:val="bottom"/>
          </w:tcPr>
          <w:p>
            <w:pPr>
              <w:spacing w:after="0" w:line="134" w:lineRule="exact"/>
              <w:rPr>
                <w:sz w:val="20"/>
                <w:szCs w:val="20"/>
                <w:color w:val="auto"/>
              </w:rPr>
            </w:pPr>
            <w:r>
              <w:rPr>
                <w:rFonts w:ascii="Arial" w:cs="Arial" w:eastAsia="Arial" w:hAnsi="Arial"/>
                <w:sz w:val="13"/>
                <w:szCs w:val="13"/>
                <w:color w:val="auto"/>
              </w:rPr>
              <w:t>William J.</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80" w:type="dxa"/>
            <w:vAlign w:val="bottom"/>
            <w:gridSpan w:val="2"/>
          </w:tcPr>
          <w:p>
            <w:pPr>
              <w:spacing w:after="0" w:line="146" w:lineRule="exact"/>
              <w:rPr>
                <w:sz w:val="20"/>
                <w:szCs w:val="20"/>
                <w:color w:val="auto"/>
              </w:rPr>
            </w:pPr>
            <w:r>
              <w:rPr>
                <w:rFonts w:ascii="Arial" w:cs="Arial" w:eastAsia="Arial" w:hAnsi="Arial"/>
                <w:sz w:val="13"/>
                <w:szCs w:val="13"/>
                <w:color w:val="auto"/>
              </w:rPr>
              <w:t>Amelio</w:t>
            </w:r>
          </w:p>
        </w:tc>
        <w:tc>
          <w:tcPr>
            <w:tcW w:w="700" w:type="dxa"/>
            <w:vAlign w:val="bottom"/>
          </w:tcPr>
          <w:p>
            <w:pPr>
              <w:jc w:val="right"/>
              <w:spacing w:after="0" w:line="146" w:lineRule="exact"/>
              <w:rPr>
                <w:sz w:val="20"/>
                <w:szCs w:val="20"/>
                <w:color w:val="auto"/>
              </w:rPr>
            </w:pPr>
            <w:r>
              <w:rPr>
                <w:rFonts w:ascii="Arial" w:cs="Arial" w:eastAsia="Arial" w:hAnsi="Arial"/>
                <w:sz w:val="13"/>
                <w:szCs w:val="13"/>
                <w:color w:val="auto"/>
              </w:rPr>
              <w:t>8/14/2019</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690,000</w:t>
            </w: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1,500,000</w:t>
            </w:r>
          </w:p>
        </w:tc>
        <w:tc>
          <w:tcPr>
            <w:tcW w:w="78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3,000,000</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46" w:lineRule="exact"/>
              <w:rPr>
                <w:sz w:val="20"/>
                <w:szCs w:val="20"/>
                <w:color w:val="auto"/>
              </w:rPr>
            </w:pPr>
            <w:r>
              <w:rPr>
                <w:rFonts w:ascii="Arial" w:cs="Arial" w:eastAsia="Arial" w:hAnsi="Arial"/>
                <w:sz w:val="13"/>
                <w:szCs w:val="13"/>
                <w:color w:val="auto"/>
              </w:rPr>
              <w:t>153,592</w:t>
            </w: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39.72</w:t>
            </w:r>
          </w:p>
        </w:tc>
        <w:tc>
          <w:tcPr>
            <w:tcW w:w="640" w:type="dxa"/>
            <w:vAlign w:val="bottom"/>
          </w:tcPr>
          <w:p>
            <w:pPr>
              <w:jc w:val="right"/>
              <w:spacing w:after="0" w:line="146" w:lineRule="exact"/>
              <w:rPr>
                <w:sz w:val="20"/>
                <w:szCs w:val="20"/>
                <w:color w:val="auto"/>
              </w:rPr>
            </w:pPr>
            <w:r>
              <w:rPr>
                <w:rFonts w:ascii="Arial" w:cs="Arial" w:eastAsia="Arial" w:hAnsi="Arial"/>
                <w:sz w:val="13"/>
                <w:szCs w:val="13"/>
                <w:color w:val="auto"/>
              </w:rPr>
              <w:t>1,138,117</w:t>
            </w:r>
          </w:p>
        </w:tc>
        <w:tc>
          <w:tcPr>
            <w:tcW w:w="0" w:type="dxa"/>
            <w:vAlign w:val="bottom"/>
          </w:tcPr>
          <w:p>
            <w:pPr>
              <w:spacing w:after="0"/>
              <w:rPr>
                <w:sz w:val="1"/>
                <w:szCs w:val="1"/>
                <w:color w:val="auto"/>
              </w:rPr>
            </w:pPr>
          </w:p>
        </w:tc>
      </w:tr>
      <w:tr>
        <w:trPr>
          <w:trHeight w:val="146"/>
        </w:trPr>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6" w:lineRule="exact"/>
              <w:rPr>
                <w:sz w:val="20"/>
                <w:szCs w:val="20"/>
                <w:color w:val="auto"/>
              </w:rPr>
            </w:pPr>
            <w:r>
              <w:rPr>
                <w:rFonts w:ascii="Arial" w:cs="Arial" w:eastAsia="Arial" w:hAnsi="Arial"/>
                <w:sz w:val="13"/>
                <w:szCs w:val="13"/>
                <w:color w:val="auto"/>
              </w:rPr>
              <w:t>8/14/2019</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26,183</w:t>
            </w:r>
          </w:p>
        </w:tc>
        <w:tc>
          <w:tcPr>
            <w:tcW w:w="520" w:type="dxa"/>
            <w:vAlign w:val="bottom"/>
          </w:tcPr>
          <w:p>
            <w:pPr>
              <w:jc w:val="right"/>
              <w:spacing w:after="0" w:line="146" w:lineRule="exact"/>
              <w:rPr>
                <w:sz w:val="20"/>
                <w:szCs w:val="20"/>
                <w:color w:val="auto"/>
              </w:rPr>
            </w:pPr>
            <w:r>
              <w:rPr>
                <w:rFonts w:ascii="Arial" w:cs="Arial" w:eastAsia="Arial" w:hAnsi="Arial"/>
                <w:sz w:val="13"/>
                <w:szCs w:val="13"/>
                <w:color w:val="auto"/>
              </w:rPr>
              <w:t>81,822</w:t>
            </w:r>
          </w:p>
        </w:tc>
        <w:tc>
          <w:tcPr>
            <w:tcW w:w="7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163,644</w:t>
            </w: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46" w:lineRule="exact"/>
              <w:rPr>
                <w:sz w:val="20"/>
                <w:szCs w:val="20"/>
                <w:color w:val="auto"/>
              </w:rPr>
            </w:pPr>
            <w:r>
              <w:rPr>
                <w:rFonts w:ascii="Arial" w:cs="Arial" w:eastAsia="Arial" w:hAnsi="Arial"/>
                <w:sz w:val="13"/>
                <w:szCs w:val="13"/>
                <w:color w:val="auto"/>
              </w:rPr>
              <w:t>3,037,494</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8/14/2019</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40,912</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1,554,473</w:t>
            </w:r>
          </w:p>
        </w:tc>
        <w:tc>
          <w:tcPr>
            <w:tcW w:w="0" w:type="dxa"/>
            <w:vAlign w:val="bottom"/>
          </w:tcPr>
          <w:p>
            <w:pPr>
              <w:spacing w:after="0"/>
              <w:rPr>
                <w:sz w:val="1"/>
                <w:szCs w:val="1"/>
                <w:color w:val="auto"/>
              </w:rPr>
            </w:pPr>
          </w:p>
        </w:tc>
      </w:tr>
      <w:tr>
        <w:trPr>
          <w:trHeight w:val="134"/>
        </w:trPr>
        <w:tc>
          <w:tcPr>
            <w:tcW w:w="620" w:type="dxa"/>
            <w:vAlign w:val="bottom"/>
            <w:shd w:val="clear" w:color="auto" w:fill="E8F5EA"/>
          </w:tcPr>
          <w:p>
            <w:pPr>
              <w:spacing w:after="0" w:line="134" w:lineRule="exact"/>
              <w:rPr>
                <w:sz w:val="20"/>
                <w:szCs w:val="20"/>
                <w:color w:val="auto"/>
              </w:rPr>
            </w:pPr>
            <w:r>
              <w:rPr>
                <w:rFonts w:ascii="Arial" w:cs="Arial" w:eastAsia="Arial" w:hAnsi="Arial"/>
                <w:sz w:val="13"/>
                <w:szCs w:val="13"/>
                <w:color w:val="auto"/>
              </w:rPr>
              <w:t>Thomas</w:t>
            </w:r>
          </w:p>
        </w:tc>
        <w:tc>
          <w:tcPr>
            <w:tcW w:w="60" w:type="dxa"/>
            <w:vAlign w:val="bottom"/>
            <w:shd w:val="clear" w:color="auto" w:fill="E8F5EA"/>
          </w:tcPr>
          <w:p>
            <w:pPr>
              <w:spacing w:after="0"/>
              <w:rPr>
                <w:sz w:val="11"/>
                <w:szCs w:val="11"/>
                <w:color w:val="auto"/>
              </w:rPr>
            </w:pPr>
          </w:p>
        </w:tc>
        <w:tc>
          <w:tcPr>
            <w:tcW w:w="700" w:type="dxa"/>
            <w:vAlign w:val="bottom"/>
            <w:shd w:val="clear" w:color="auto" w:fill="E8F5EA"/>
          </w:tcPr>
          <w:p>
            <w:pPr>
              <w:spacing w:after="0"/>
              <w:rPr>
                <w:sz w:val="11"/>
                <w:szCs w:val="11"/>
                <w:color w:val="auto"/>
              </w:rPr>
            </w:pPr>
          </w:p>
        </w:tc>
        <w:tc>
          <w:tcPr>
            <w:tcW w:w="760" w:type="dxa"/>
            <w:vAlign w:val="bottom"/>
            <w:shd w:val="clear" w:color="auto" w:fill="E8F5EA"/>
          </w:tcPr>
          <w:p>
            <w:pPr>
              <w:spacing w:after="0"/>
              <w:rPr>
                <w:sz w:val="11"/>
                <w:szCs w:val="11"/>
                <w:color w:val="auto"/>
              </w:rPr>
            </w:pPr>
          </w:p>
        </w:tc>
        <w:tc>
          <w:tcPr>
            <w:tcW w:w="660" w:type="dxa"/>
            <w:vAlign w:val="bottom"/>
            <w:shd w:val="clear" w:color="auto" w:fill="E8F5EA"/>
          </w:tcPr>
          <w:p>
            <w:pPr>
              <w:spacing w:after="0"/>
              <w:rPr>
                <w:sz w:val="11"/>
                <w:szCs w:val="11"/>
                <w:color w:val="auto"/>
              </w:rPr>
            </w:pPr>
          </w:p>
        </w:tc>
        <w:tc>
          <w:tcPr>
            <w:tcW w:w="700" w:type="dxa"/>
            <w:vAlign w:val="bottom"/>
            <w:shd w:val="clear" w:color="auto" w:fill="E8F5EA"/>
          </w:tcPr>
          <w:p>
            <w:pPr>
              <w:spacing w:after="0"/>
              <w:rPr>
                <w:sz w:val="11"/>
                <w:szCs w:val="11"/>
                <w:color w:val="auto"/>
              </w:rPr>
            </w:pPr>
          </w:p>
        </w:tc>
        <w:tc>
          <w:tcPr>
            <w:tcW w:w="80" w:type="dxa"/>
            <w:vAlign w:val="bottom"/>
            <w:shd w:val="clear" w:color="auto" w:fill="E8F5EA"/>
          </w:tcPr>
          <w:p>
            <w:pPr>
              <w:spacing w:after="0"/>
              <w:rPr>
                <w:sz w:val="11"/>
                <w:szCs w:val="11"/>
                <w:color w:val="auto"/>
              </w:rPr>
            </w:pPr>
          </w:p>
        </w:tc>
        <w:tc>
          <w:tcPr>
            <w:tcW w:w="740" w:type="dxa"/>
            <w:vAlign w:val="bottom"/>
            <w:shd w:val="clear" w:color="auto" w:fill="E8F5EA"/>
          </w:tcPr>
          <w:p>
            <w:pPr>
              <w:spacing w:after="0"/>
              <w:rPr>
                <w:sz w:val="11"/>
                <w:szCs w:val="11"/>
                <w:color w:val="auto"/>
              </w:rPr>
            </w:pPr>
          </w:p>
        </w:tc>
        <w:tc>
          <w:tcPr>
            <w:tcW w:w="520" w:type="dxa"/>
            <w:vAlign w:val="bottom"/>
            <w:shd w:val="clear" w:color="auto" w:fill="E8F5EA"/>
          </w:tcPr>
          <w:p>
            <w:pPr>
              <w:spacing w:after="0"/>
              <w:rPr>
                <w:sz w:val="11"/>
                <w:szCs w:val="11"/>
                <w:color w:val="auto"/>
              </w:rPr>
            </w:pPr>
          </w:p>
        </w:tc>
        <w:tc>
          <w:tcPr>
            <w:tcW w:w="660" w:type="dxa"/>
            <w:vAlign w:val="bottom"/>
            <w:shd w:val="clear" w:color="auto" w:fill="E8F5EA"/>
          </w:tcPr>
          <w:p>
            <w:pPr>
              <w:spacing w:after="0"/>
              <w:rPr>
                <w:sz w:val="11"/>
                <w:szCs w:val="11"/>
                <w:color w:val="auto"/>
              </w:rPr>
            </w:pPr>
          </w:p>
        </w:tc>
        <w:tc>
          <w:tcPr>
            <w:tcW w:w="80" w:type="dxa"/>
            <w:vAlign w:val="bottom"/>
            <w:shd w:val="clear" w:color="auto" w:fill="E8F5EA"/>
          </w:tcPr>
          <w:p>
            <w:pPr>
              <w:spacing w:after="0"/>
              <w:rPr>
                <w:sz w:val="11"/>
                <w:szCs w:val="11"/>
                <w:color w:val="auto"/>
              </w:rPr>
            </w:pPr>
          </w:p>
        </w:tc>
        <w:tc>
          <w:tcPr>
            <w:tcW w:w="620" w:type="dxa"/>
            <w:vAlign w:val="bottom"/>
            <w:shd w:val="clear" w:color="auto" w:fill="E8F5EA"/>
          </w:tcPr>
          <w:p>
            <w:pPr>
              <w:spacing w:after="0"/>
              <w:rPr>
                <w:sz w:val="11"/>
                <w:szCs w:val="11"/>
                <w:color w:val="auto"/>
              </w:rPr>
            </w:pPr>
          </w:p>
        </w:tc>
        <w:tc>
          <w:tcPr>
            <w:tcW w:w="800" w:type="dxa"/>
            <w:vAlign w:val="bottom"/>
            <w:shd w:val="clear" w:color="auto" w:fill="E8F5EA"/>
          </w:tcPr>
          <w:p>
            <w:pPr>
              <w:spacing w:after="0"/>
              <w:rPr>
                <w:sz w:val="11"/>
                <w:szCs w:val="11"/>
                <w:color w:val="auto"/>
              </w:rPr>
            </w:pPr>
          </w:p>
        </w:tc>
        <w:tc>
          <w:tcPr>
            <w:tcW w:w="660" w:type="dxa"/>
            <w:vAlign w:val="bottom"/>
            <w:shd w:val="clear" w:color="auto" w:fill="E8F5EA"/>
          </w:tcPr>
          <w:p>
            <w:pPr>
              <w:spacing w:after="0"/>
              <w:rPr>
                <w:sz w:val="11"/>
                <w:szCs w:val="11"/>
                <w:color w:val="auto"/>
              </w:rPr>
            </w:pPr>
          </w:p>
        </w:tc>
        <w:tc>
          <w:tcPr>
            <w:tcW w:w="640" w:type="dxa"/>
            <w:vAlign w:val="bottom"/>
            <w:shd w:val="clear" w:color="auto" w:fill="E8F5EA"/>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20" w:type="dxa"/>
            <w:vAlign w:val="bottom"/>
            <w:shd w:val="clear" w:color="auto" w:fill="E8F5EA"/>
          </w:tcPr>
          <w:p>
            <w:pPr>
              <w:spacing w:after="0"/>
              <w:rPr>
                <w:sz w:val="20"/>
                <w:szCs w:val="20"/>
                <w:color w:val="auto"/>
              </w:rPr>
            </w:pPr>
            <w:r>
              <w:rPr>
                <w:rFonts w:ascii="Arial" w:cs="Arial" w:eastAsia="Arial" w:hAnsi="Arial"/>
                <w:sz w:val="13"/>
                <w:szCs w:val="13"/>
                <w:color w:val="auto"/>
              </w:rPr>
              <w:t>Liguori</w:t>
            </w:r>
          </w:p>
        </w:tc>
        <w:tc>
          <w:tcPr>
            <w:tcW w:w="60" w:type="dxa"/>
            <w:vAlign w:val="bottom"/>
            <w:shd w:val="clear" w:color="auto" w:fill="E8F5EA"/>
          </w:tcPr>
          <w:p>
            <w:pPr>
              <w:spacing w:after="0"/>
              <w:rPr>
                <w:sz w:val="13"/>
                <w:szCs w:val="13"/>
                <w:color w:val="auto"/>
              </w:rPr>
            </w:pPr>
          </w:p>
        </w:tc>
        <w:tc>
          <w:tcPr>
            <w:tcW w:w="700" w:type="dxa"/>
            <w:vAlign w:val="bottom"/>
            <w:shd w:val="clear" w:color="auto" w:fill="E8F5EA"/>
          </w:tcPr>
          <w:p>
            <w:pPr>
              <w:jc w:val="right"/>
              <w:spacing w:after="0"/>
              <w:rPr>
                <w:sz w:val="20"/>
                <w:szCs w:val="20"/>
                <w:color w:val="auto"/>
              </w:rPr>
            </w:pPr>
            <w:r>
              <w:rPr>
                <w:rFonts w:ascii="Arial" w:cs="Arial" w:eastAsia="Arial" w:hAnsi="Arial"/>
                <w:sz w:val="13"/>
                <w:szCs w:val="13"/>
                <w:color w:val="auto"/>
              </w:rPr>
              <w:t>8/14/2019</w:t>
            </w:r>
          </w:p>
        </w:tc>
        <w:tc>
          <w:tcPr>
            <w:tcW w:w="760" w:type="dxa"/>
            <w:vAlign w:val="bottom"/>
            <w:shd w:val="clear" w:color="auto" w:fill="E8F5EA"/>
          </w:tcPr>
          <w:p>
            <w:pPr>
              <w:jc w:val="right"/>
              <w:spacing w:after="0"/>
              <w:rPr>
                <w:sz w:val="20"/>
                <w:szCs w:val="20"/>
                <w:color w:val="auto"/>
              </w:rPr>
            </w:pPr>
            <w:r>
              <w:rPr>
                <w:rFonts w:ascii="Arial" w:cs="Arial" w:eastAsia="Arial" w:hAnsi="Arial"/>
                <w:sz w:val="13"/>
                <w:szCs w:val="13"/>
                <w:color w:val="auto"/>
              </w:rPr>
              <w:t>243,800</w:t>
            </w:r>
          </w:p>
        </w:tc>
        <w:tc>
          <w:tcPr>
            <w:tcW w:w="660" w:type="dxa"/>
            <w:vAlign w:val="bottom"/>
            <w:shd w:val="clear" w:color="auto" w:fill="E8F5EA"/>
          </w:tcPr>
          <w:p>
            <w:pPr>
              <w:jc w:val="right"/>
              <w:spacing w:after="0"/>
              <w:rPr>
                <w:sz w:val="20"/>
                <w:szCs w:val="20"/>
                <w:color w:val="auto"/>
              </w:rPr>
            </w:pPr>
            <w:r>
              <w:rPr>
                <w:rFonts w:ascii="Arial" w:cs="Arial" w:eastAsia="Arial" w:hAnsi="Arial"/>
                <w:sz w:val="13"/>
                <w:szCs w:val="13"/>
                <w:color w:val="auto"/>
              </w:rPr>
              <w:t>530,000</w:t>
            </w:r>
          </w:p>
        </w:tc>
        <w:tc>
          <w:tcPr>
            <w:tcW w:w="780" w:type="dxa"/>
            <w:vAlign w:val="bottom"/>
            <w:gridSpan w:val="2"/>
            <w:shd w:val="clear" w:color="auto" w:fill="E8F5EA"/>
          </w:tcPr>
          <w:p>
            <w:pPr>
              <w:jc w:val="right"/>
              <w:ind w:right="80"/>
              <w:spacing w:after="0"/>
              <w:rPr>
                <w:sz w:val="20"/>
                <w:szCs w:val="20"/>
                <w:color w:val="auto"/>
              </w:rPr>
            </w:pPr>
            <w:r>
              <w:rPr>
                <w:rFonts w:ascii="Arial" w:cs="Arial" w:eastAsia="Arial" w:hAnsi="Arial"/>
                <w:sz w:val="13"/>
                <w:szCs w:val="13"/>
                <w:color w:val="auto"/>
              </w:rPr>
              <w:t>1,060,000</w:t>
            </w:r>
          </w:p>
        </w:tc>
        <w:tc>
          <w:tcPr>
            <w:tcW w:w="740" w:type="dxa"/>
            <w:vAlign w:val="bottom"/>
            <w:shd w:val="clear" w:color="auto" w:fill="E8F5EA"/>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E8F5EA"/>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E8F5EA"/>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shd w:val="clear" w:color="auto" w:fill="E8F5EA"/>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8F5EA"/>
          </w:tcPr>
          <w:p>
            <w:pPr>
              <w:jc w:val="right"/>
              <w:spacing w:after="0"/>
              <w:rPr>
                <w:sz w:val="20"/>
                <w:szCs w:val="20"/>
                <w:color w:val="auto"/>
              </w:rPr>
            </w:pPr>
            <w:r>
              <w:rPr>
                <w:rFonts w:ascii="Arial" w:cs="Arial" w:eastAsia="Arial" w:hAnsi="Arial"/>
                <w:sz w:val="13"/>
                <w:szCs w:val="13"/>
                <w:color w:val="auto"/>
              </w:rPr>
              <w:t>35,444</w:t>
            </w:r>
          </w:p>
        </w:tc>
        <w:tc>
          <w:tcPr>
            <w:tcW w:w="660" w:type="dxa"/>
            <w:vAlign w:val="bottom"/>
            <w:shd w:val="clear" w:color="auto" w:fill="E8F5EA"/>
          </w:tcPr>
          <w:p>
            <w:pPr>
              <w:jc w:val="right"/>
              <w:spacing w:after="0"/>
              <w:rPr>
                <w:sz w:val="20"/>
                <w:szCs w:val="20"/>
                <w:color w:val="auto"/>
              </w:rPr>
            </w:pPr>
            <w:r>
              <w:rPr>
                <w:rFonts w:ascii="Arial" w:cs="Arial" w:eastAsia="Arial" w:hAnsi="Arial"/>
                <w:sz w:val="13"/>
                <w:szCs w:val="13"/>
                <w:color w:val="auto"/>
              </w:rPr>
              <w:t>39.72</w:t>
            </w:r>
          </w:p>
        </w:tc>
        <w:tc>
          <w:tcPr>
            <w:tcW w:w="640" w:type="dxa"/>
            <w:vAlign w:val="bottom"/>
            <w:shd w:val="clear" w:color="auto" w:fill="E8F5EA"/>
          </w:tcPr>
          <w:p>
            <w:pPr>
              <w:jc w:val="right"/>
              <w:spacing w:after="0"/>
              <w:rPr>
                <w:sz w:val="20"/>
                <w:szCs w:val="20"/>
                <w:color w:val="auto"/>
              </w:rPr>
            </w:pPr>
            <w:r>
              <w:rPr>
                <w:rFonts w:ascii="Arial" w:cs="Arial" w:eastAsia="Arial" w:hAnsi="Arial"/>
                <w:sz w:val="13"/>
                <w:szCs w:val="13"/>
                <w:color w:val="auto"/>
              </w:rPr>
              <w:t>262,640</w:t>
            </w:r>
          </w:p>
        </w:tc>
        <w:tc>
          <w:tcPr>
            <w:tcW w:w="0" w:type="dxa"/>
            <w:vAlign w:val="bottom"/>
          </w:tcPr>
          <w:p>
            <w:pPr>
              <w:spacing w:after="0"/>
              <w:rPr>
                <w:sz w:val="1"/>
                <w:szCs w:val="1"/>
                <w:color w:val="auto"/>
              </w:rPr>
            </w:pPr>
          </w:p>
        </w:tc>
      </w:tr>
      <w:tr>
        <w:trPr>
          <w:trHeight w:val="146"/>
        </w:trPr>
        <w:tc>
          <w:tcPr>
            <w:tcW w:w="620" w:type="dxa"/>
            <w:vAlign w:val="bottom"/>
            <w:shd w:val="clear" w:color="auto" w:fill="E8F5EA"/>
          </w:tcPr>
          <w:p>
            <w:pPr>
              <w:spacing w:after="0"/>
              <w:rPr>
                <w:sz w:val="12"/>
                <w:szCs w:val="12"/>
                <w:color w:val="auto"/>
              </w:rPr>
            </w:pPr>
          </w:p>
        </w:tc>
        <w:tc>
          <w:tcPr>
            <w:tcW w:w="60" w:type="dxa"/>
            <w:vAlign w:val="bottom"/>
            <w:shd w:val="clear" w:color="auto" w:fill="E8F5EA"/>
          </w:tcPr>
          <w:p>
            <w:pPr>
              <w:spacing w:after="0"/>
              <w:rPr>
                <w:sz w:val="12"/>
                <w:szCs w:val="12"/>
                <w:color w:val="auto"/>
              </w:rPr>
            </w:pPr>
          </w:p>
        </w:tc>
        <w:tc>
          <w:tcPr>
            <w:tcW w:w="70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8/14/2019</w:t>
            </w:r>
          </w:p>
        </w:tc>
        <w:tc>
          <w:tcPr>
            <w:tcW w:w="76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w:t>
            </w:r>
          </w:p>
        </w:tc>
        <w:tc>
          <w:tcPr>
            <w:tcW w:w="66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E8F5EA"/>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74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6,042</w:t>
            </w:r>
          </w:p>
        </w:tc>
        <w:tc>
          <w:tcPr>
            <w:tcW w:w="52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18,882</w:t>
            </w:r>
          </w:p>
        </w:tc>
        <w:tc>
          <w:tcPr>
            <w:tcW w:w="740" w:type="dxa"/>
            <w:vAlign w:val="bottom"/>
            <w:gridSpan w:val="2"/>
            <w:shd w:val="clear" w:color="auto" w:fill="E8F5EA"/>
          </w:tcPr>
          <w:p>
            <w:pPr>
              <w:jc w:val="right"/>
              <w:ind w:right="80"/>
              <w:spacing w:after="0" w:line="146" w:lineRule="exact"/>
              <w:rPr>
                <w:sz w:val="20"/>
                <w:szCs w:val="20"/>
                <w:color w:val="auto"/>
              </w:rPr>
            </w:pPr>
            <w:r>
              <w:rPr>
                <w:rFonts w:ascii="Arial" w:cs="Arial" w:eastAsia="Arial" w:hAnsi="Arial"/>
                <w:sz w:val="13"/>
                <w:szCs w:val="13"/>
                <w:color w:val="auto"/>
              </w:rPr>
              <w:t>37,764</w:t>
            </w:r>
          </w:p>
        </w:tc>
        <w:tc>
          <w:tcPr>
            <w:tcW w:w="62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w:t>
            </w:r>
          </w:p>
        </w:tc>
        <w:tc>
          <w:tcPr>
            <w:tcW w:w="80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w:t>
            </w:r>
          </w:p>
        </w:tc>
        <w:tc>
          <w:tcPr>
            <w:tcW w:w="66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w:t>
            </w:r>
          </w:p>
        </w:tc>
        <w:tc>
          <w:tcPr>
            <w:tcW w:w="64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700,960</w:t>
            </w:r>
          </w:p>
        </w:tc>
        <w:tc>
          <w:tcPr>
            <w:tcW w:w="0" w:type="dxa"/>
            <w:vAlign w:val="bottom"/>
          </w:tcPr>
          <w:p>
            <w:pPr>
              <w:spacing w:after="0"/>
              <w:rPr>
                <w:sz w:val="1"/>
                <w:szCs w:val="1"/>
                <w:color w:val="auto"/>
              </w:rPr>
            </w:pPr>
          </w:p>
        </w:tc>
      </w:tr>
      <w:tr>
        <w:trPr>
          <w:trHeight w:val="146"/>
        </w:trPr>
        <w:tc>
          <w:tcPr>
            <w:tcW w:w="620" w:type="dxa"/>
            <w:vAlign w:val="bottom"/>
            <w:shd w:val="clear" w:color="auto" w:fill="E8F5EA"/>
          </w:tcPr>
          <w:p>
            <w:pPr>
              <w:spacing w:after="0"/>
              <w:rPr>
                <w:sz w:val="12"/>
                <w:szCs w:val="12"/>
                <w:color w:val="auto"/>
              </w:rPr>
            </w:pPr>
          </w:p>
        </w:tc>
        <w:tc>
          <w:tcPr>
            <w:tcW w:w="60" w:type="dxa"/>
            <w:vAlign w:val="bottom"/>
            <w:shd w:val="clear" w:color="auto" w:fill="E8F5EA"/>
          </w:tcPr>
          <w:p>
            <w:pPr>
              <w:spacing w:after="0"/>
              <w:rPr>
                <w:sz w:val="12"/>
                <w:szCs w:val="12"/>
                <w:color w:val="auto"/>
              </w:rPr>
            </w:pPr>
          </w:p>
        </w:tc>
        <w:tc>
          <w:tcPr>
            <w:tcW w:w="70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8/14/2019</w:t>
            </w:r>
          </w:p>
        </w:tc>
        <w:tc>
          <w:tcPr>
            <w:tcW w:w="76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w:t>
            </w:r>
          </w:p>
        </w:tc>
        <w:tc>
          <w:tcPr>
            <w:tcW w:w="66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E8F5EA"/>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74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w:t>
            </w:r>
          </w:p>
        </w:tc>
        <w:tc>
          <w:tcPr>
            <w:tcW w:w="52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E8F5EA"/>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62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9,440</w:t>
            </w:r>
          </w:p>
        </w:tc>
        <w:tc>
          <w:tcPr>
            <w:tcW w:w="80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w:t>
            </w:r>
          </w:p>
        </w:tc>
        <w:tc>
          <w:tcPr>
            <w:tcW w:w="66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w:t>
            </w:r>
          </w:p>
        </w:tc>
        <w:tc>
          <w:tcPr>
            <w:tcW w:w="64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358,678</w:t>
            </w:r>
          </w:p>
        </w:tc>
        <w:tc>
          <w:tcPr>
            <w:tcW w:w="0" w:type="dxa"/>
            <w:vAlign w:val="bottom"/>
          </w:tcPr>
          <w:p>
            <w:pPr>
              <w:spacing w:after="0"/>
              <w:rPr>
                <w:sz w:val="1"/>
                <w:szCs w:val="1"/>
                <w:color w:val="auto"/>
              </w:rPr>
            </w:pPr>
          </w:p>
        </w:tc>
      </w:tr>
      <w:tr>
        <w:trPr>
          <w:trHeight w:val="134"/>
        </w:trPr>
        <w:tc>
          <w:tcPr>
            <w:tcW w:w="620" w:type="dxa"/>
            <w:vAlign w:val="bottom"/>
          </w:tcPr>
          <w:p>
            <w:pPr>
              <w:spacing w:after="0" w:line="134" w:lineRule="exact"/>
              <w:rPr>
                <w:sz w:val="20"/>
                <w:szCs w:val="20"/>
                <w:color w:val="auto"/>
              </w:rPr>
            </w:pPr>
            <w:r>
              <w:rPr>
                <w:rFonts w:ascii="Arial" w:cs="Arial" w:eastAsia="Arial" w:hAnsi="Arial"/>
                <w:sz w:val="13"/>
                <w:szCs w:val="13"/>
                <w:color w:val="auto"/>
              </w:rPr>
              <w:t>Peter G.</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80" w:type="dxa"/>
            <w:vAlign w:val="bottom"/>
            <w:gridSpan w:val="2"/>
          </w:tcPr>
          <w:p>
            <w:pPr>
              <w:spacing w:after="0" w:line="146" w:lineRule="exact"/>
              <w:rPr>
                <w:sz w:val="20"/>
                <w:szCs w:val="20"/>
                <w:color w:val="auto"/>
              </w:rPr>
            </w:pPr>
            <w:r>
              <w:rPr>
                <w:rFonts w:ascii="Arial" w:cs="Arial" w:eastAsia="Arial" w:hAnsi="Arial"/>
                <w:sz w:val="13"/>
                <w:szCs w:val="13"/>
                <w:color w:val="auto"/>
              </w:rPr>
              <w:t>Bartolotta</w:t>
            </w:r>
          </w:p>
        </w:tc>
        <w:tc>
          <w:tcPr>
            <w:tcW w:w="700" w:type="dxa"/>
            <w:vAlign w:val="bottom"/>
          </w:tcPr>
          <w:p>
            <w:pPr>
              <w:jc w:val="right"/>
              <w:spacing w:after="0" w:line="146" w:lineRule="exact"/>
              <w:rPr>
                <w:sz w:val="20"/>
                <w:szCs w:val="20"/>
                <w:color w:val="auto"/>
              </w:rPr>
            </w:pPr>
            <w:r>
              <w:rPr>
                <w:rFonts w:ascii="Arial" w:cs="Arial" w:eastAsia="Arial" w:hAnsi="Arial"/>
                <w:sz w:val="13"/>
                <w:szCs w:val="13"/>
                <w:color w:val="auto"/>
              </w:rPr>
              <w:t>8/14/2019</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253,000</w:t>
            </w: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550,000</w:t>
            </w:r>
          </w:p>
        </w:tc>
        <w:tc>
          <w:tcPr>
            <w:tcW w:w="78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1,100,000</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46" w:lineRule="exact"/>
              <w:rPr>
                <w:sz w:val="20"/>
                <w:szCs w:val="20"/>
                <w:color w:val="auto"/>
              </w:rPr>
            </w:pPr>
            <w:r>
              <w:rPr>
                <w:rFonts w:ascii="Arial" w:cs="Arial" w:eastAsia="Arial" w:hAnsi="Arial"/>
                <w:sz w:val="13"/>
                <w:szCs w:val="13"/>
                <w:color w:val="auto"/>
              </w:rPr>
              <w:t>25,992</w:t>
            </w: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39.72</w:t>
            </w:r>
          </w:p>
        </w:tc>
        <w:tc>
          <w:tcPr>
            <w:tcW w:w="640" w:type="dxa"/>
            <w:vAlign w:val="bottom"/>
          </w:tcPr>
          <w:p>
            <w:pPr>
              <w:jc w:val="right"/>
              <w:spacing w:after="0" w:line="146" w:lineRule="exact"/>
              <w:rPr>
                <w:sz w:val="20"/>
                <w:szCs w:val="20"/>
                <w:color w:val="auto"/>
              </w:rPr>
            </w:pPr>
            <w:r>
              <w:rPr>
                <w:rFonts w:ascii="Arial" w:cs="Arial" w:eastAsia="Arial" w:hAnsi="Arial"/>
                <w:sz w:val="13"/>
                <w:szCs w:val="13"/>
                <w:color w:val="auto"/>
              </w:rPr>
              <w:t>192,601</w:t>
            </w:r>
          </w:p>
        </w:tc>
        <w:tc>
          <w:tcPr>
            <w:tcW w:w="0" w:type="dxa"/>
            <w:vAlign w:val="bottom"/>
          </w:tcPr>
          <w:p>
            <w:pPr>
              <w:spacing w:after="0"/>
              <w:rPr>
                <w:sz w:val="1"/>
                <w:szCs w:val="1"/>
                <w:color w:val="auto"/>
              </w:rPr>
            </w:pPr>
          </w:p>
        </w:tc>
      </w:tr>
      <w:tr>
        <w:trPr>
          <w:trHeight w:val="146"/>
        </w:trPr>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6" w:lineRule="exact"/>
              <w:rPr>
                <w:sz w:val="20"/>
                <w:szCs w:val="20"/>
                <w:color w:val="auto"/>
              </w:rPr>
            </w:pPr>
            <w:r>
              <w:rPr>
                <w:rFonts w:ascii="Arial" w:cs="Arial" w:eastAsia="Arial" w:hAnsi="Arial"/>
                <w:sz w:val="13"/>
                <w:szCs w:val="13"/>
                <w:color w:val="auto"/>
              </w:rPr>
              <w:t>8/14/2019</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4,431</w:t>
            </w:r>
          </w:p>
        </w:tc>
        <w:tc>
          <w:tcPr>
            <w:tcW w:w="520" w:type="dxa"/>
            <w:vAlign w:val="bottom"/>
          </w:tcPr>
          <w:p>
            <w:pPr>
              <w:jc w:val="right"/>
              <w:spacing w:after="0" w:line="146" w:lineRule="exact"/>
              <w:rPr>
                <w:sz w:val="20"/>
                <w:szCs w:val="20"/>
                <w:color w:val="auto"/>
              </w:rPr>
            </w:pPr>
            <w:r>
              <w:rPr>
                <w:rFonts w:ascii="Arial" w:cs="Arial" w:eastAsia="Arial" w:hAnsi="Arial"/>
                <w:sz w:val="13"/>
                <w:szCs w:val="13"/>
                <w:color w:val="auto"/>
              </w:rPr>
              <w:t>13,848</w:t>
            </w:r>
          </w:p>
        </w:tc>
        <w:tc>
          <w:tcPr>
            <w:tcW w:w="7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27,696</w:t>
            </w: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46" w:lineRule="exact"/>
              <w:rPr>
                <w:sz w:val="20"/>
                <w:szCs w:val="20"/>
                <w:color w:val="auto"/>
              </w:rPr>
            </w:pPr>
            <w:r>
              <w:rPr>
                <w:rFonts w:ascii="Arial" w:cs="Arial" w:eastAsia="Arial" w:hAnsi="Arial"/>
                <w:sz w:val="13"/>
                <w:szCs w:val="13"/>
                <w:color w:val="auto"/>
              </w:rPr>
              <w:t>514,082</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8/14/2019</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6,924</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263,081</w:t>
            </w:r>
          </w:p>
        </w:tc>
        <w:tc>
          <w:tcPr>
            <w:tcW w:w="0" w:type="dxa"/>
            <w:vAlign w:val="bottom"/>
          </w:tcPr>
          <w:p>
            <w:pPr>
              <w:spacing w:after="0"/>
              <w:rPr>
                <w:sz w:val="1"/>
                <w:szCs w:val="1"/>
                <w:color w:val="auto"/>
              </w:rPr>
            </w:pPr>
          </w:p>
        </w:tc>
      </w:tr>
      <w:tr>
        <w:trPr>
          <w:trHeight w:val="134"/>
        </w:trPr>
        <w:tc>
          <w:tcPr>
            <w:tcW w:w="620" w:type="dxa"/>
            <w:vAlign w:val="bottom"/>
            <w:shd w:val="clear" w:color="auto" w:fill="E8F5EA"/>
          </w:tcPr>
          <w:p>
            <w:pPr>
              <w:spacing w:after="0" w:line="134" w:lineRule="exact"/>
              <w:rPr>
                <w:sz w:val="20"/>
                <w:szCs w:val="20"/>
                <w:color w:val="auto"/>
              </w:rPr>
            </w:pPr>
            <w:r>
              <w:rPr>
                <w:rFonts w:ascii="Arial" w:cs="Arial" w:eastAsia="Arial" w:hAnsi="Arial"/>
                <w:sz w:val="13"/>
                <w:szCs w:val="13"/>
                <w:color w:val="auto"/>
              </w:rPr>
              <w:t>Philip R.</w:t>
            </w:r>
          </w:p>
        </w:tc>
        <w:tc>
          <w:tcPr>
            <w:tcW w:w="60" w:type="dxa"/>
            <w:vAlign w:val="bottom"/>
            <w:shd w:val="clear" w:color="auto" w:fill="E8F5EA"/>
          </w:tcPr>
          <w:p>
            <w:pPr>
              <w:spacing w:after="0"/>
              <w:rPr>
                <w:sz w:val="11"/>
                <w:szCs w:val="11"/>
                <w:color w:val="auto"/>
              </w:rPr>
            </w:pPr>
          </w:p>
        </w:tc>
        <w:tc>
          <w:tcPr>
            <w:tcW w:w="700" w:type="dxa"/>
            <w:vAlign w:val="bottom"/>
            <w:shd w:val="clear" w:color="auto" w:fill="E8F5EA"/>
          </w:tcPr>
          <w:p>
            <w:pPr>
              <w:spacing w:after="0"/>
              <w:rPr>
                <w:sz w:val="11"/>
                <w:szCs w:val="11"/>
                <w:color w:val="auto"/>
              </w:rPr>
            </w:pPr>
          </w:p>
        </w:tc>
        <w:tc>
          <w:tcPr>
            <w:tcW w:w="760" w:type="dxa"/>
            <w:vAlign w:val="bottom"/>
            <w:shd w:val="clear" w:color="auto" w:fill="E8F5EA"/>
          </w:tcPr>
          <w:p>
            <w:pPr>
              <w:spacing w:after="0"/>
              <w:rPr>
                <w:sz w:val="11"/>
                <w:szCs w:val="11"/>
                <w:color w:val="auto"/>
              </w:rPr>
            </w:pPr>
          </w:p>
        </w:tc>
        <w:tc>
          <w:tcPr>
            <w:tcW w:w="660" w:type="dxa"/>
            <w:vAlign w:val="bottom"/>
            <w:shd w:val="clear" w:color="auto" w:fill="E8F5EA"/>
          </w:tcPr>
          <w:p>
            <w:pPr>
              <w:spacing w:after="0"/>
              <w:rPr>
                <w:sz w:val="11"/>
                <w:szCs w:val="11"/>
                <w:color w:val="auto"/>
              </w:rPr>
            </w:pPr>
          </w:p>
        </w:tc>
        <w:tc>
          <w:tcPr>
            <w:tcW w:w="700" w:type="dxa"/>
            <w:vAlign w:val="bottom"/>
            <w:shd w:val="clear" w:color="auto" w:fill="E8F5EA"/>
          </w:tcPr>
          <w:p>
            <w:pPr>
              <w:spacing w:after="0"/>
              <w:rPr>
                <w:sz w:val="11"/>
                <w:szCs w:val="11"/>
                <w:color w:val="auto"/>
              </w:rPr>
            </w:pPr>
          </w:p>
        </w:tc>
        <w:tc>
          <w:tcPr>
            <w:tcW w:w="80" w:type="dxa"/>
            <w:vAlign w:val="bottom"/>
            <w:shd w:val="clear" w:color="auto" w:fill="E8F5EA"/>
          </w:tcPr>
          <w:p>
            <w:pPr>
              <w:spacing w:after="0"/>
              <w:rPr>
                <w:sz w:val="11"/>
                <w:szCs w:val="11"/>
                <w:color w:val="auto"/>
              </w:rPr>
            </w:pPr>
          </w:p>
        </w:tc>
        <w:tc>
          <w:tcPr>
            <w:tcW w:w="740" w:type="dxa"/>
            <w:vAlign w:val="bottom"/>
            <w:shd w:val="clear" w:color="auto" w:fill="E8F5EA"/>
          </w:tcPr>
          <w:p>
            <w:pPr>
              <w:spacing w:after="0"/>
              <w:rPr>
                <w:sz w:val="11"/>
                <w:szCs w:val="11"/>
                <w:color w:val="auto"/>
              </w:rPr>
            </w:pPr>
          </w:p>
        </w:tc>
        <w:tc>
          <w:tcPr>
            <w:tcW w:w="520" w:type="dxa"/>
            <w:vAlign w:val="bottom"/>
            <w:shd w:val="clear" w:color="auto" w:fill="E8F5EA"/>
          </w:tcPr>
          <w:p>
            <w:pPr>
              <w:spacing w:after="0"/>
              <w:rPr>
                <w:sz w:val="11"/>
                <w:szCs w:val="11"/>
                <w:color w:val="auto"/>
              </w:rPr>
            </w:pPr>
          </w:p>
        </w:tc>
        <w:tc>
          <w:tcPr>
            <w:tcW w:w="660" w:type="dxa"/>
            <w:vAlign w:val="bottom"/>
            <w:shd w:val="clear" w:color="auto" w:fill="E8F5EA"/>
          </w:tcPr>
          <w:p>
            <w:pPr>
              <w:spacing w:after="0"/>
              <w:rPr>
                <w:sz w:val="11"/>
                <w:szCs w:val="11"/>
                <w:color w:val="auto"/>
              </w:rPr>
            </w:pPr>
          </w:p>
        </w:tc>
        <w:tc>
          <w:tcPr>
            <w:tcW w:w="80" w:type="dxa"/>
            <w:vAlign w:val="bottom"/>
            <w:shd w:val="clear" w:color="auto" w:fill="E8F5EA"/>
          </w:tcPr>
          <w:p>
            <w:pPr>
              <w:spacing w:after="0"/>
              <w:rPr>
                <w:sz w:val="11"/>
                <w:szCs w:val="11"/>
                <w:color w:val="auto"/>
              </w:rPr>
            </w:pPr>
          </w:p>
        </w:tc>
        <w:tc>
          <w:tcPr>
            <w:tcW w:w="620" w:type="dxa"/>
            <w:vAlign w:val="bottom"/>
            <w:shd w:val="clear" w:color="auto" w:fill="E8F5EA"/>
          </w:tcPr>
          <w:p>
            <w:pPr>
              <w:spacing w:after="0"/>
              <w:rPr>
                <w:sz w:val="11"/>
                <w:szCs w:val="11"/>
                <w:color w:val="auto"/>
              </w:rPr>
            </w:pPr>
          </w:p>
        </w:tc>
        <w:tc>
          <w:tcPr>
            <w:tcW w:w="800" w:type="dxa"/>
            <w:vAlign w:val="bottom"/>
            <w:shd w:val="clear" w:color="auto" w:fill="E8F5EA"/>
          </w:tcPr>
          <w:p>
            <w:pPr>
              <w:spacing w:after="0"/>
              <w:rPr>
                <w:sz w:val="11"/>
                <w:szCs w:val="11"/>
                <w:color w:val="auto"/>
              </w:rPr>
            </w:pPr>
          </w:p>
        </w:tc>
        <w:tc>
          <w:tcPr>
            <w:tcW w:w="660" w:type="dxa"/>
            <w:vAlign w:val="bottom"/>
            <w:shd w:val="clear" w:color="auto" w:fill="E8F5EA"/>
          </w:tcPr>
          <w:p>
            <w:pPr>
              <w:spacing w:after="0"/>
              <w:rPr>
                <w:sz w:val="11"/>
                <w:szCs w:val="11"/>
                <w:color w:val="auto"/>
              </w:rPr>
            </w:pPr>
          </w:p>
        </w:tc>
        <w:tc>
          <w:tcPr>
            <w:tcW w:w="640" w:type="dxa"/>
            <w:vAlign w:val="bottom"/>
            <w:shd w:val="clear" w:color="auto" w:fill="E8F5EA"/>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20" w:type="dxa"/>
            <w:vAlign w:val="bottom"/>
            <w:shd w:val="clear" w:color="auto" w:fill="E8F5EA"/>
          </w:tcPr>
          <w:p>
            <w:pPr>
              <w:spacing w:after="0"/>
              <w:rPr>
                <w:sz w:val="20"/>
                <w:szCs w:val="20"/>
                <w:color w:val="auto"/>
              </w:rPr>
            </w:pPr>
            <w:r>
              <w:rPr>
                <w:rFonts w:ascii="Arial" w:cs="Arial" w:eastAsia="Arial" w:hAnsi="Arial"/>
                <w:sz w:val="13"/>
                <w:szCs w:val="13"/>
                <w:color w:val="auto"/>
              </w:rPr>
              <w:t>Gallagher</w:t>
            </w:r>
          </w:p>
        </w:tc>
        <w:tc>
          <w:tcPr>
            <w:tcW w:w="60" w:type="dxa"/>
            <w:vAlign w:val="bottom"/>
            <w:shd w:val="clear" w:color="auto" w:fill="E8F5EA"/>
          </w:tcPr>
          <w:p>
            <w:pPr>
              <w:spacing w:after="0"/>
              <w:rPr>
                <w:sz w:val="13"/>
                <w:szCs w:val="13"/>
                <w:color w:val="auto"/>
              </w:rPr>
            </w:pPr>
          </w:p>
        </w:tc>
        <w:tc>
          <w:tcPr>
            <w:tcW w:w="700" w:type="dxa"/>
            <w:vAlign w:val="bottom"/>
            <w:shd w:val="clear" w:color="auto" w:fill="E8F5EA"/>
          </w:tcPr>
          <w:p>
            <w:pPr>
              <w:jc w:val="right"/>
              <w:spacing w:after="0"/>
              <w:rPr>
                <w:sz w:val="20"/>
                <w:szCs w:val="20"/>
                <w:color w:val="auto"/>
              </w:rPr>
            </w:pPr>
            <w:r>
              <w:rPr>
                <w:rFonts w:ascii="Arial" w:cs="Arial" w:eastAsia="Arial" w:hAnsi="Arial"/>
                <w:sz w:val="13"/>
                <w:szCs w:val="13"/>
                <w:color w:val="auto"/>
              </w:rPr>
              <w:t>8/14/2019</w:t>
            </w:r>
          </w:p>
        </w:tc>
        <w:tc>
          <w:tcPr>
            <w:tcW w:w="760" w:type="dxa"/>
            <w:vAlign w:val="bottom"/>
            <w:shd w:val="clear" w:color="auto" w:fill="E8F5EA"/>
          </w:tcPr>
          <w:p>
            <w:pPr>
              <w:jc w:val="right"/>
              <w:spacing w:after="0"/>
              <w:rPr>
                <w:sz w:val="20"/>
                <w:szCs w:val="20"/>
                <w:color w:val="auto"/>
              </w:rPr>
            </w:pPr>
            <w:r>
              <w:rPr>
                <w:rFonts w:ascii="Arial" w:cs="Arial" w:eastAsia="Arial" w:hAnsi="Arial"/>
                <w:sz w:val="13"/>
                <w:szCs w:val="13"/>
                <w:color w:val="auto"/>
              </w:rPr>
              <w:t>259,900</w:t>
            </w:r>
          </w:p>
        </w:tc>
        <w:tc>
          <w:tcPr>
            <w:tcW w:w="660" w:type="dxa"/>
            <w:vAlign w:val="bottom"/>
            <w:shd w:val="clear" w:color="auto" w:fill="E8F5EA"/>
          </w:tcPr>
          <w:p>
            <w:pPr>
              <w:jc w:val="right"/>
              <w:spacing w:after="0"/>
              <w:rPr>
                <w:sz w:val="20"/>
                <w:szCs w:val="20"/>
                <w:color w:val="auto"/>
              </w:rPr>
            </w:pPr>
            <w:r>
              <w:rPr>
                <w:rFonts w:ascii="Arial" w:cs="Arial" w:eastAsia="Arial" w:hAnsi="Arial"/>
                <w:sz w:val="13"/>
                <w:szCs w:val="13"/>
                <w:color w:val="auto"/>
              </w:rPr>
              <w:t>565,000</w:t>
            </w:r>
          </w:p>
        </w:tc>
        <w:tc>
          <w:tcPr>
            <w:tcW w:w="780" w:type="dxa"/>
            <w:vAlign w:val="bottom"/>
            <w:gridSpan w:val="2"/>
            <w:shd w:val="clear" w:color="auto" w:fill="E8F5EA"/>
          </w:tcPr>
          <w:p>
            <w:pPr>
              <w:jc w:val="right"/>
              <w:ind w:right="80"/>
              <w:spacing w:after="0"/>
              <w:rPr>
                <w:sz w:val="20"/>
                <w:szCs w:val="20"/>
                <w:color w:val="auto"/>
              </w:rPr>
            </w:pPr>
            <w:r>
              <w:rPr>
                <w:rFonts w:ascii="Arial" w:cs="Arial" w:eastAsia="Arial" w:hAnsi="Arial"/>
                <w:sz w:val="13"/>
                <w:szCs w:val="13"/>
                <w:color w:val="auto"/>
              </w:rPr>
              <w:t>1,130,000</w:t>
            </w:r>
          </w:p>
        </w:tc>
        <w:tc>
          <w:tcPr>
            <w:tcW w:w="740" w:type="dxa"/>
            <w:vAlign w:val="bottom"/>
            <w:shd w:val="clear" w:color="auto" w:fill="E8F5EA"/>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E8F5EA"/>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E8F5EA"/>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shd w:val="clear" w:color="auto" w:fill="E8F5EA"/>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8F5EA"/>
          </w:tcPr>
          <w:p>
            <w:pPr>
              <w:jc w:val="right"/>
              <w:spacing w:after="0"/>
              <w:rPr>
                <w:sz w:val="20"/>
                <w:szCs w:val="20"/>
                <w:color w:val="auto"/>
              </w:rPr>
            </w:pPr>
            <w:r>
              <w:rPr>
                <w:rFonts w:ascii="Arial" w:cs="Arial" w:eastAsia="Arial" w:hAnsi="Arial"/>
                <w:sz w:val="13"/>
                <w:szCs w:val="13"/>
                <w:color w:val="auto"/>
              </w:rPr>
              <w:t>31,900</w:t>
            </w:r>
          </w:p>
        </w:tc>
        <w:tc>
          <w:tcPr>
            <w:tcW w:w="660" w:type="dxa"/>
            <w:vAlign w:val="bottom"/>
            <w:shd w:val="clear" w:color="auto" w:fill="E8F5EA"/>
          </w:tcPr>
          <w:p>
            <w:pPr>
              <w:jc w:val="right"/>
              <w:spacing w:after="0"/>
              <w:rPr>
                <w:sz w:val="20"/>
                <w:szCs w:val="20"/>
                <w:color w:val="auto"/>
              </w:rPr>
            </w:pPr>
            <w:r>
              <w:rPr>
                <w:rFonts w:ascii="Arial" w:cs="Arial" w:eastAsia="Arial" w:hAnsi="Arial"/>
                <w:sz w:val="13"/>
                <w:szCs w:val="13"/>
                <w:color w:val="auto"/>
              </w:rPr>
              <w:t>39.72</w:t>
            </w:r>
          </w:p>
        </w:tc>
        <w:tc>
          <w:tcPr>
            <w:tcW w:w="640" w:type="dxa"/>
            <w:vAlign w:val="bottom"/>
            <w:shd w:val="clear" w:color="auto" w:fill="E8F5EA"/>
          </w:tcPr>
          <w:p>
            <w:pPr>
              <w:jc w:val="right"/>
              <w:spacing w:after="0"/>
              <w:rPr>
                <w:sz w:val="20"/>
                <w:szCs w:val="20"/>
                <w:color w:val="auto"/>
              </w:rPr>
            </w:pPr>
            <w:r>
              <w:rPr>
                <w:rFonts w:ascii="Arial" w:cs="Arial" w:eastAsia="Arial" w:hAnsi="Arial"/>
                <w:sz w:val="13"/>
                <w:szCs w:val="13"/>
                <w:color w:val="auto"/>
              </w:rPr>
              <w:t>236,379</w:t>
            </w:r>
          </w:p>
        </w:tc>
        <w:tc>
          <w:tcPr>
            <w:tcW w:w="0" w:type="dxa"/>
            <w:vAlign w:val="bottom"/>
          </w:tcPr>
          <w:p>
            <w:pPr>
              <w:spacing w:after="0"/>
              <w:rPr>
                <w:sz w:val="1"/>
                <w:szCs w:val="1"/>
                <w:color w:val="auto"/>
              </w:rPr>
            </w:pPr>
          </w:p>
        </w:tc>
      </w:tr>
      <w:tr>
        <w:trPr>
          <w:trHeight w:val="146"/>
        </w:trPr>
        <w:tc>
          <w:tcPr>
            <w:tcW w:w="620" w:type="dxa"/>
            <w:vAlign w:val="bottom"/>
            <w:shd w:val="clear" w:color="auto" w:fill="E8F5EA"/>
          </w:tcPr>
          <w:p>
            <w:pPr>
              <w:spacing w:after="0"/>
              <w:rPr>
                <w:sz w:val="12"/>
                <w:szCs w:val="12"/>
                <w:color w:val="auto"/>
              </w:rPr>
            </w:pPr>
          </w:p>
        </w:tc>
        <w:tc>
          <w:tcPr>
            <w:tcW w:w="60" w:type="dxa"/>
            <w:vAlign w:val="bottom"/>
            <w:shd w:val="clear" w:color="auto" w:fill="E8F5EA"/>
          </w:tcPr>
          <w:p>
            <w:pPr>
              <w:spacing w:after="0"/>
              <w:rPr>
                <w:sz w:val="12"/>
                <w:szCs w:val="12"/>
                <w:color w:val="auto"/>
              </w:rPr>
            </w:pPr>
          </w:p>
        </w:tc>
        <w:tc>
          <w:tcPr>
            <w:tcW w:w="70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8/14/2019</w:t>
            </w:r>
          </w:p>
        </w:tc>
        <w:tc>
          <w:tcPr>
            <w:tcW w:w="76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w:t>
            </w:r>
          </w:p>
        </w:tc>
        <w:tc>
          <w:tcPr>
            <w:tcW w:w="66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E8F5EA"/>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74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5,438</w:t>
            </w:r>
          </w:p>
        </w:tc>
        <w:tc>
          <w:tcPr>
            <w:tcW w:w="52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16,995</w:t>
            </w:r>
          </w:p>
        </w:tc>
        <w:tc>
          <w:tcPr>
            <w:tcW w:w="740" w:type="dxa"/>
            <w:vAlign w:val="bottom"/>
            <w:gridSpan w:val="2"/>
            <w:shd w:val="clear" w:color="auto" w:fill="E8F5EA"/>
          </w:tcPr>
          <w:p>
            <w:pPr>
              <w:jc w:val="right"/>
              <w:ind w:right="80"/>
              <w:spacing w:after="0" w:line="146" w:lineRule="exact"/>
              <w:rPr>
                <w:sz w:val="20"/>
                <w:szCs w:val="20"/>
                <w:color w:val="auto"/>
              </w:rPr>
            </w:pPr>
            <w:r>
              <w:rPr>
                <w:rFonts w:ascii="Arial" w:cs="Arial" w:eastAsia="Arial" w:hAnsi="Arial"/>
                <w:sz w:val="13"/>
                <w:szCs w:val="13"/>
                <w:color w:val="auto"/>
              </w:rPr>
              <w:t>33,990</w:t>
            </w:r>
          </w:p>
        </w:tc>
        <w:tc>
          <w:tcPr>
            <w:tcW w:w="62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w:t>
            </w:r>
          </w:p>
        </w:tc>
        <w:tc>
          <w:tcPr>
            <w:tcW w:w="80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w:t>
            </w:r>
          </w:p>
        </w:tc>
        <w:tc>
          <w:tcPr>
            <w:tcW w:w="66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w:t>
            </w:r>
          </w:p>
        </w:tc>
        <w:tc>
          <w:tcPr>
            <w:tcW w:w="64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630,909</w:t>
            </w:r>
          </w:p>
        </w:tc>
        <w:tc>
          <w:tcPr>
            <w:tcW w:w="0" w:type="dxa"/>
            <w:vAlign w:val="bottom"/>
          </w:tcPr>
          <w:p>
            <w:pPr>
              <w:spacing w:after="0"/>
              <w:rPr>
                <w:sz w:val="1"/>
                <w:szCs w:val="1"/>
                <w:color w:val="auto"/>
              </w:rPr>
            </w:pPr>
          </w:p>
        </w:tc>
      </w:tr>
      <w:tr>
        <w:trPr>
          <w:trHeight w:val="146"/>
        </w:trPr>
        <w:tc>
          <w:tcPr>
            <w:tcW w:w="620" w:type="dxa"/>
            <w:vAlign w:val="bottom"/>
            <w:shd w:val="clear" w:color="auto" w:fill="E8F5EA"/>
          </w:tcPr>
          <w:p>
            <w:pPr>
              <w:spacing w:after="0"/>
              <w:rPr>
                <w:sz w:val="12"/>
                <w:szCs w:val="12"/>
                <w:color w:val="auto"/>
              </w:rPr>
            </w:pPr>
          </w:p>
        </w:tc>
        <w:tc>
          <w:tcPr>
            <w:tcW w:w="60" w:type="dxa"/>
            <w:vAlign w:val="bottom"/>
            <w:shd w:val="clear" w:color="auto" w:fill="E8F5EA"/>
          </w:tcPr>
          <w:p>
            <w:pPr>
              <w:spacing w:after="0"/>
              <w:rPr>
                <w:sz w:val="12"/>
                <w:szCs w:val="12"/>
                <w:color w:val="auto"/>
              </w:rPr>
            </w:pPr>
          </w:p>
        </w:tc>
        <w:tc>
          <w:tcPr>
            <w:tcW w:w="70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8/14/2019</w:t>
            </w:r>
          </w:p>
        </w:tc>
        <w:tc>
          <w:tcPr>
            <w:tcW w:w="76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w:t>
            </w:r>
          </w:p>
        </w:tc>
        <w:tc>
          <w:tcPr>
            <w:tcW w:w="66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E8F5EA"/>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74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w:t>
            </w:r>
          </w:p>
        </w:tc>
        <w:tc>
          <w:tcPr>
            <w:tcW w:w="52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E8F5EA"/>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62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8,496</w:t>
            </w:r>
          </w:p>
        </w:tc>
        <w:tc>
          <w:tcPr>
            <w:tcW w:w="80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w:t>
            </w:r>
          </w:p>
        </w:tc>
        <w:tc>
          <w:tcPr>
            <w:tcW w:w="66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w:t>
            </w:r>
          </w:p>
        </w:tc>
        <w:tc>
          <w:tcPr>
            <w:tcW w:w="64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322,810</w:t>
            </w:r>
          </w:p>
        </w:tc>
        <w:tc>
          <w:tcPr>
            <w:tcW w:w="0" w:type="dxa"/>
            <w:vAlign w:val="bottom"/>
          </w:tcPr>
          <w:p>
            <w:pPr>
              <w:spacing w:after="0"/>
              <w:rPr>
                <w:sz w:val="1"/>
                <w:szCs w:val="1"/>
                <w:color w:val="auto"/>
              </w:rPr>
            </w:pPr>
          </w:p>
        </w:tc>
      </w:tr>
      <w:tr>
        <w:trPr>
          <w:trHeight w:val="134"/>
        </w:trPr>
        <w:tc>
          <w:tcPr>
            <w:tcW w:w="620" w:type="dxa"/>
            <w:vAlign w:val="bottom"/>
          </w:tcPr>
          <w:p>
            <w:pPr>
              <w:spacing w:after="0" w:line="134" w:lineRule="exact"/>
              <w:rPr>
                <w:sz w:val="20"/>
                <w:szCs w:val="20"/>
                <w:color w:val="auto"/>
              </w:rPr>
            </w:pPr>
            <w:r>
              <w:rPr>
                <w:rFonts w:ascii="Arial" w:cs="Arial" w:eastAsia="Arial" w:hAnsi="Arial"/>
                <w:sz w:val="13"/>
                <w:szCs w:val="13"/>
                <w:color w:val="auto"/>
              </w:rPr>
              <w:t>MaryAnn</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80" w:type="dxa"/>
            <w:vAlign w:val="bottom"/>
            <w:gridSpan w:val="2"/>
          </w:tcPr>
          <w:p>
            <w:pPr>
              <w:spacing w:after="0" w:line="146" w:lineRule="exact"/>
              <w:rPr>
                <w:sz w:val="20"/>
                <w:szCs w:val="20"/>
                <w:color w:val="auto"/>
              </w:rPr>
            </w:pPr>
            <w:r>
              <w:rPr>
                <w:rFonts w:ascii="Arial" w:cs="Arial" w:eastAsia="Arial" w:hAnsi="Arial"/>
                <w:sz w:val="13"/>
                <w:szCs w:val="13"/>
                <w:color w:val="auto"/>
              </w:rPr>
              <w:t>G. Miller</w:t>
            </w:r>
          </w:p>
        </w:tc>
        <w:tc>
          <w:tcPr>
            <w:tcW w:w="700" w:type="dxa"/>
            <w:vAlign w:val="bottom"/>
          </w:tcPr>
          <w:p>
            <w:pPr>
              <w:jc w:val="right"/>
              <w:spacing w:after="0" w:line="146" w:lineRule="exact"/>
              <w:rPr>
                <w:sz w:val="20"/>
                <w:szCs w:val="20"/>
                <w:color w:val="auto"/>
              </w:rPr>
            </w:pPr>
            <w:r>
              <w:rPr>
                <w:rFonts w:ascii="Arial" w:cs="Arial" w:eastAsia="Arial" w:hAnsi="Arial"/>
                <w:sz w:val="13"/>
                <w:szCs w:val="13"/>
                <w:color w:val="auto"/>
              </w:rPr>
              <w:t>8/14/2019</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188,600</w:t>
            </w: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410,000</w:t>
            </w:r>
          </w:p>
        </w:tc>
        <w:tc>
          <w:tcPr>
            <w:tcW w:w="78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820,000</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46" w:lineRule="exact"/>
              <w:rPr>
                <w:sz w:val="20"/>
                <w:szCs w:val="20"/>
                <w:color w:val="auto"/>
              </w:rPr>
            </w:pPr>
            <w:r>
              <w:rPr>
                <w:rFonts w:ascii="Arial" w:cs="Arial" w:eastAsia="Arial" w:hAnsi="Arial"/>
                <w:sz w:val="13"/>
                <w:szCs w:val="13"/>
                <w:color w:val="auto"/>
              </w:rPr>
              <w:t>28,948</w:t>
            </w: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39.72</w:t>
            </w:r>
          </w:p>
        </w:tc>
        <w:tc>
          <w:tcPr>
            <w:tcW w:w="640" w:type="dxa"/>
            <w:vAlign w:val="bottom"/>
          </w:tcPr>
          <w:p>
            <w:pPr>
              <w:jc w:val="right"/>
              <w:spacing w:after="0" w:line="146" w:lineRule="exact"/>
              <w:rPr>
                <w:sz w:val="20"/>
                <w:szCs w:val="20"/>
                <w:color w:val="auto"/>
              </w:rPr>
            </w:pPr>
            <w:r>
              <w:rPr>
                <w:rFonts w:ascii="Arial" w:cs="Arial" w:eastAsia="Arial" w:hAnsi="Arial"/>
                <w:sz w:val="13"/>
                <w:szCs w:val="13"/>
                <w:color w:val="auto"/>
              </w:rPr>
              <w:t>214,505</w:t>
            </w:r>
          </w:p>
        </w:tc>
        <w:tc>
          <w:tcPr>
            <w:tcW w:w="0" w:type="dxa"/>
            <w:vAlign w:val="bottom"/>
          </w:tcPr>
          <w:p>
            <w:pPr>
              <w:spacing w:after="0"/>
              <w:rPr>
                <w:sz w:val="1"/>
                <w:szCs w:val="1"/>
                <w:color w:val="auto"/>
              </w:rPr>
            </w:pPr>
          </w:p>
        </w:tc>
      </w:tr>
      <w:tr>
        <w:trPr>
          <w:trHeight w:val="146"/>
        </w:trPr>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6" w:lineRule="exact"/>
              <w:rPr>
                <w:sz w:val="20"/>
                <w:szCs w:val="20"/>
                <w:color w:val="auto"/>
              </w:rPr>
            </w:pPr>
            <w:r>
              <w:rPr>
                <w:rFonts w:ascii="Arial" w:cs="Arial" w:eastAsia="Arial" w:hAnsi="Arial"/>
                <w:sz w:val="13"/>
                <w:szCs w:val="13"/>
                <w:color w:val="auto"/>
              </w:rPr>
              <w:t>8/14/2019</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4,934</w:t>
            </w:r>
          </w:p>
        </w:tc>
        <w:tc>
          <w:tcPr>
            <w:tcW w:w="520" w:type="dxa"/>
            <w:vAlign w:val="bottom"/>
          </w:tcPr>
          <w:p>
            <w:pPr>
              <w:jc w:val="right"/>
              <w:spacing w:after="0" w:line="146" w:lineRule="exact"/>
              <w:rPr>
                <w:sz w:val="20"/>
                <w:szCs w:val="20"/>
                <w:color w:val="auto"/>
              </w:rPr>
            </w:pPr>
            <w:r>
              <w:rPr>
                <w:rFonts w:ascii="Arial" w:cs="Arial" w:eastAsia="Arial" w:hAnsi="Arial"/>
                <w:sz w:val="13"/>
                <w:szCs w:val="13"/>
                <w:color w:val="auto"/>
              </w:rPr>
              <w:t>15,420</w:t>
            </w:r>
          </w:p>
        </w:tc>
        <w:tc>
          <w:tcPr>
            <w:tcW w:w="7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30,840</w:t>
            </w: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46" w:lineRule="exact"/>
              <w:rPr>
                <w:sz w:val="20"/>
                <w:szCs w:val="20"/>
                <w:color w:val="auto"/>
              </w:rPr>
            </w:pPr>
            <w:r>
              <w:rPr>
                <w:rFonts w:ascii="Arial" w:cs="Arial" w:eastAsia="Arial" w:hAnsi="Arial"/>
                <w:sz w:val="13"/>
                <w:szCs w:val="13"/>
                <w:color w:val="auto"/>
              </w:rPr>
              <w:t>572,440</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8/14/2019</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7,712</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293,021</w:t>
            </w:r>
          </w:p>
        </w:tc>
        <w:tc>
          <w:tcPr>
            <w:tcW w:w="0" w:type="dxa"/>
            <w:vAlign w:val="bottom"/>
          </w:tcPr>
          <w:p>
            <w:pPr>
              <w:spacing w:after="0"/>
              <w:rPr>
                <w:sz w:val="1"/>
                <w:szCs w:val="1"/>
                <w:color w:val="auto"/>
              </w:rPr>
            </w:pPr>
          </w:p>
        </w:tc>
      </w:tr>
      <w:tr>
        <w:trPr>
          <w:trHeight w:val="134"/>
        </w:trPr>
        <w:tc>
          <w:tcPr>
            <w:tcW w:w="620" w:type="dxa"/>
            <w:vAlign w:val="bottom"/>
            <w:shd w:val="clear" w:color="auto" w:fill="E8F5EA"/>
          </w:tcPr>
          <w:p>
            <w:pPr>
              <w:spacing w:after="0" w:line="134" w:lineRule="exact"/>
              <w:rPr>
                <w:sz w:val="20"/>
                <w:szCs w:val="20"/>
                <w:color w:val="auto"/>
              </w:rPr>
            </w:pPr>
            <w:r>
              <w:rPr>
                <w:rFonts w:ascii="Arial" w:cs="Arial" w:eastAsia="Arial" w:hAnsi="Arial"/>
                <w:sz w:val="13"/>
                <w:szCs w:val="13"/>
                <w:color w:val="auto"/>
              </w:rPr>
              <w:t>Michael J.</w:t>
            </w:r>
          </w:p>
        </w:tc>
        <w:tc>
          <w:tcPr>
            <w:tcW w:w="60" w:type="dxa"/>
            <w:vAlign w:val="bottom"/>
            <w:shd w:val="clear" w:color="auto" w:fill="E8F5EA"/>
          </w:tcPr>
          <w:p>
            <w:pPr>
              <w:spacing w:after="0"/>
              <w:rPr>
                <w:sz w:val="11"/>
                <w:szCs w:val="11"/>
                <w:color w:val="auto"/>
              </w:rPr>
            </w:pPr>
          </w:p>
        </w:tc>
        <w:tc>
          <w:tcPr>
            <w:tcW w:w="700" w:type="dxa"/>
            <w:vAlign w:val="bottom"/>
            <w:shd w:val="clear" w:color="auto" w:fill="E8F5EA"/>
          </w:tcPr>
          <w:p>
            <w:pPr>
              <w:spacing w:after="0"/>
              <w:rPr>
                <w:sz w:val="11"/>
                <w:szCs w:val="11"/>
                <w:color w:val="auto"/>
              </w:rPr>
            </w:pPr>
          </w:p>
        </w:tc>
        <w:tc>
          <w:tcPr>
            <w:tcW w:w="760" w:type="dxa"/>
            <w:vAlign w:val="bottom"/>
            <w:shd w:val="clear" w:color="auto" w:fill="E8F5EA"/>
          </w:tcPr>
          <w:p>
            <w:pPr>
              <w:spacing w:after="0"/>
              <w:rPr>
                <w:sz w:val="11"/>
                <w:szCs w:val="11"/>
                <w:color w:val="auto"/>
              </w:rPr>
            </w:pPr>
          </w:p>
        </w:tc>
        <w:tc>
          <w:tcPr>
            <w:tcW w:w="660" w:type="dxa"/>
            <w:vAlign w:val="bottom"/>
            <w:shd w:val="clear" w:color="auto" w:fill="E8F5EA"/>
          </w:tcPr>
          <w:p>
            <w:pPr>
              <w:spacing w:after="0"/>
              <w:rPr>
                <w:sz w:val="11"/>
                <w:szCs w:val="11"/>
                <w:color w:val="auto"/>
              </w:rPr>
            </w:pPr>
          </w:p>
        </w:tc>
        <w:tc>
          <w:tcPr>
            <w:tcW w:w="700" w:type="dxa"/>
            <w:vAlign w:val="bottom"/>
            <w:shd w:val="clear" w:color="auto" w:fill="E8F5EA"/>
          </w:tcPr>
          <w:p>
            <w:pPr>
              <w:spacing w:after="0"/>
              <w:rPr>
                <w:sz w:val="11"/>
                <w:szCs w:val="11"/>
                <w:color w:val="auto"/>
              </w:rPr>
            </w:pPr>
          </w:p>
        </w:tc>
        <w:tc>
          <w:tcPr>
            <w:tcW w:w="80" w:type="dxa"/>
            <w:vAlign w:val="bottom"/>
            <w:shd w:val="clear" w:color="auto" w:fill="E8F5EA"/>
          </w:tcPr>
          <w:p>
            <w:pPr>
              <w:spacing w:after="0"/>
              <w:rPr>
                <w:sz w:val="11"/>
                <w:szCs w:val="11"/>
                <w:color w:val="auto"/>
              </w:rPr>
            </w:pPr>
          </w:p>
        </w:tc>
        <w:tc>
          <w:tcPr>
            <w:tcW w:w="740" w:type="dxa"/>
            <w:vAlign w:val="bottom"/>
            <w:shd w:val="clear" w:color="auto" w:fill="E8F5EA"/>
          </w:tcPr>
          <w:p>
            <w:pPr>
              <w:spacing w:after="0"/>
              <w:rPr>
                <w:sz w:val="11"/>
                <w:szCs w:val="11"/>
                <w:color w:val="auto"/>
              </w:rPr>
            </w:pPr>
          </w:p>
        </w:tc>
        <w:tc>
          <w:tcPr>
            <w:tcW w:w="520" w:type="dxa"/>
            <w:vAlign w:val="bottom"/>
            <w:shd w:val="clear" w:color="auto" w:fill="E8F5EA"/>
          </w:tcPr>
          <w:p>
            <w:pPr>
              <w:spacing w:after="0"/>
              <w:rPr>
                <w:sz w:val="11"/>
                <w:szCs w:val="11"/>
                <w:color w:val="auto"/>
              </w:rPr>
            </w:pPr>
          </w:p>
        </w:tc>
        <w:tc>
          <w:tcPr>
            <w:tcW w:w="660" w:type="dxa"/>
            <w:vAlign w:val="bottom"/>
            <w:shd w:val="clear" w:color="auto" w:fill="E8F5EA"/>
          </w:tcPr>
          <w:p>
            <w:pPr>
              <w:spacing w:after="0"/>
              <w:rPr>
                <w:sz w:val="11"/>
                <w:szCs w:val="11"/>
                <w:color w:val="auto"/>
              </w:rPr>
            </w:pPr>
          </w:p>
        </w:tc>
        <w:tc>
          <w:tcPr>
            <w:tcW w:w="80" w:type="dxa"/>
            <w:vAlign w:val="bottom"/>
            <w:shd w:val="clear" w:color="auto" w:fill="E8F5EA"/>
          </w:tcPr>
          <w:p>
            <w:pPr>
              <w:spacing w:after="0"/>
              <w:rPr>
                <w:sz w:val="11"/>
                <w:szCs w:val="11"/>
                <w:color w:val="auto"/>
              </w:rPr>
            </w:pPr>
          </w:p>
        </w:tc>
        <w:tc>
          <w:tcPr>
            <w:tcW w:w="620" w:type="dxa"/>
            <w:vAlign w:val="bottom"/>
            <w:shd w:val="clear" w:color="auto" w:fill="E8F5EA"/>
          </w:tcPr>
          <w:p>
            <w:pPr>
              <w:spacing w:after="0"/>
              <w:rPr>
                <w:sz w:val="11"/>
                <w:szCs w:val="11"/>
                <w:color w:val="auto"/>
              </w:rPr>
            </w:pPr>
          </w:p>
        </w:tc>
        <w:tc>
          <w:tcPr>
            <w:tcW w:w="800" w:type="dxa"/>
            <w:vAlign w:val="bottom"/>
            <w:shd w:val="clear" w:color="auto" w:fill="E8F5EA"/>
          </w:tcPr>
          <w:p>
            <w:pPr>
              <w:spacing w:after="0"/>
              <w:rPr>
                <w:sz w:val="11"/>
                <w:szCs w:val="11"/>
                <w:color w:val="auto"/>
              </w:rPr>
            </w:pPr>
          </w:p>
        </w:tc>
        <w:tc>
          <w:tcPr>
            <w:tcW w:w="660" w:type="dxa"/>
            <w:vAlign w:val="bottom"/>
            <w:shd w:val="clear" w:color="auto" w:fill="E8F5EA"/>
          </w:tcPr>
          <w:p>
            <w:pPr>
              <w:spacing w:after="0"/>
              <w:rPr>
                <w:sz w:val="11"/>
                <w:szCs w:val="11"/>
                <w:color w:val="auto"/>
              </w:rPr>
            </w:pPr>
          </w:p>
        </w:tc>
        <w:tc>
          <w:tcPr>
            <w:tcW w:w="640" w:type="dxa"/>
            <w:vAlign w:val="bottom"/>
            <w:shd w:val="clear" w:color="auto" w:fill="E8F5EA"/>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20" w:type="dxa"/>
            <w:vAlign w:val="bottom"/>
            <w:shd w:val="clear" w:color="auto" w:fill="E8F5EA"/>
          </w:tcPr>
          <w:p>
            <w:pPr>
              <w:spacing w:after="0"/>
              <w:rPr>
                <w:sz w:val="20"/>
                <w:szCs w:val="20"/>
                <w:color w:val="auto"/>
              </w:rPr>
            </w:pPr>
            <w:r>
              <w:rPr>
                <w:rFonts w:ascii="Arial" w:cs="Arial" w:eastAsia="Arial" w:hAnsi="Arial"/>
                <w:sz w:val="13"/>
                <w:szCs w:val="13"/>
                <w:color w:val="auto"/>
              </w:rPr>
              <w:t>O'Neill</w:t>
            </w:r>
          </w:p>
        </w:tc>
        <w:tc>
          <w:tcPr>
            <w:tcW w:w="60" w:type="dxa"/>
            <w:vAlign w:val="bottom"/>
            <w:shd w:val="clear" w:color="auto" w:fill="E8F5EA"/>
          </w:tcPr>
          <w:p>
            <w:pPr>
              <w:spacing w:after="0"/>
              <w:rPr>
                <w:sz w:val="13"/>
                <w:szCs w:val="13"/>
                <w:color w:val="auto"/>
              </w:rPr>
            </w:pPr>
          </w:p>
        </w:tc>
        <w:tc>
          <w:tcPr>
            <w:tcW w:w="700" w:type="dxa"/>
            <w:vAlign w:val="bottom"/>
            <w:shd w:val="clear" w:color="auto" w:fill="E8F5EA"/>
          </w:tcPr>
          <w:p>
            <w:pPr>
              <w:jc w:val="right"/>
              <w:spacing w:after="0"/>
              <w:rPr>
                <w:sz w:val="20"/>
                <w:szCs w:val="20"/>
                <w:color w:val="auto"/>
              </w:rPr>
            </w:pPr>
            <w:r>
              <w:rPr>
                <w:rFonts w:ascii="Arial" w:cs="Arial" w:eastAsia="Arial" w:hAnsi="Arial"/>
                <w:sz w:val="13"/>
                <w:szCs w:val="13"/>
                <w:color w:val="auto"/>
              </w:rPr>
              <w:t>8/14/2019</w:t>
            </w:r>
          </w:p>
        </w:tc>
        <w:tc>
          <w:tcPr>
            <w:tcW w:w="760" w:type="dxa"/>
            <w:vAlign w:val="bottom"/>
            <w:shd w:val="clear" w:color="auto" w:fill="E8F5EA"/>
          </w:tcPr>
          <w:p>
            <w:pPr>
              <w:jc w:val="right"/>
              <w:spacing w:after="0"/>
              <w:rPr>
                <w:sz w:val="20"/>
                <w:szCs w:val="20"/>
                <w:color w:val="auto"/>
              </w:rPr>
            </w:pPr>
            <w:r>
              <w:rPr>
                <w:rFonts w:ascii="Arial" w:cs="Arial" w:eastAsia="Arial" w:hAnsi="Arial"/>
                <w:sz w:val="13"/>
                <w:szCs w:val="13"/>
                <w:color w:val="auto"/>
              </w:rPr>
              <w:t>145,077</w:t>
            </w:r>
          </w:p>
        </w:tc>
        <w:tc>
          <w:tcPr>
            <w:tcW w:w="660" w:type="dxa"/>
            <w:vAlign w:val="bottom"/>
            <w:shd w:val="clear" w:color="auto" w:fill="E8F5EA"/>
          </w:tcPr>
          <w:p>
            <w:pPr>
              <w:jc w:val="right"/>
              <w:spacing w:after="0"/>
              <w:rPr>
                <w:sz w:val="20"/>
                <w:szCs w:val="20"/>
                <w:color w:val="auto"/>
              </w:rPr>
            </w:pPr>
            <w:r>
              <w:rPr>
                <w:rFonts w:ascii="Arial" w:cs="Arial" w:eastAsia="Arial" w:hAnsi="Arial"/>
                <w:sz w:val="13"/>
                <w:szCs w:val="13"/>
                <w:color w:val="auto"/>
              </w:rPr>
              <w:t>315,385</w:t>
            </w:r>
          </w:p>
        </w:tc>
        <w:tc>
          <w:tcPr>
            <w:tcW w:w="780" w:type="dxa"/>
            <w:vAlign w:val="bottom"/>
            <w:gridSpan w:val="2"/>
            <w:shd w:val="clear" w:color="auto" w:fill="E8F5EA"/>
          </w:tcPr>
          <w:p>
            <w:pPr>
              <w:jc w:val="right"/>
              <w:ind w:right="80"/>
              <w:spacing w:after="0"/>
              <w:rPr>
                <w:sz w:val="20"/>
                <w:szCs w:val="20"/>
                <w:color w:val="auto"/>
              </w:rPr>
            </w:pPr>
            <w:r>
              <w:rPr>
                <w:rFonts w:ascii="Arial" w:cs="Arial" w:eastAsia="Arial" w:hAnsi="Arial"/>
                <w:sz w:val="13"/>
                <w:szCs w:val="13"/>
                <w:color w:val="auto"/>
              </w:rPr>
              <w:t>630,769</w:t>
            </w:r>
          </w:p>
        </w:tc>
        <w:tc>
          <w:tcPr>
            <w:tcW w:w="740" w:type="dxa"/>
            <w:vAlign w:val="bottom"/>
            <w:shd w:val="clear" w:color="auto" w:fill="E8F5EA"/>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E8F5EA"/>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E8F5EA"/>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shd w:val="clear" w:color="auto" w:fill="E8F5EA"/>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E8F5EA"/>
          </w:tcPr>
          <w:p>
            <w:pPr>
              <w:jc w:val="right"/>
              <w:spacing w:after="0"/>
              <w:rPr>
                <w:sz w:val="20"/>
                <w:szCs w:val="20"/>
                <w:color w:val="auto"/>
              </w:rPr>
            </w:pPr>
            <w:r>
              <w:rPr>
                <w:rFonts w:ascii="Arial" w:cs="Arial" w:eastAsia="Arial" w:hAnsi="Arial"/>
                <w:sz w:val="13"/>
                <w:szCs w:val="13"/>
                <w:color w:val="auto"/>
              </w:rPr>
              <w:t>24,812</w:t>
            </w:r>
          </w:p>
        </w:tc>
        <w:tc>
          <w:tcPr>
            <w:tcW w:w="660" w:type="dxa"/>
            <w:vAlign w:val="bottom"/>
            <w:shd w:val="clear" w:color="auto" w:fill="E8F5EA"/>
          </w:tcPr>
          <w:p>
            <w:pPr>
              <w:jc w:val="right"/>
              <w:spacing w:after="0"/>
              <w:rPr>
                <w:sz w:val="20"/>
                <w:szCs w:val="20"/>
                <w:color w:val="auto"/>
              </w:rPr>
            </w:pPr>
            <w:r>
              <w:rPr>
                <w:rFonts w:ascii="Arial" w:cs="Arial" w:eastAsia="Arial" w:hAnsi="Arial"/>
                <w:sz w:val="13"/>
                <w:szCs w:val="13"/>
                <w:color w:val="auto"/>
              </w:rPr>
              <w:t>39.72</w:t>
            </w:r>
          </w:p>
        </w:tc>
        <w:tc>
          <w:tcPr>
            <w:tcW w:w="640" w:type="dxa"/>
            <w:vAlign w:val="bottom"/>
            <w:shd w:val="clear" w:color="auto" w:fill="E8F5EA"/>
          </w:tcPr>
          <w:p>
            <w:pPr>
              <w:jc w:val="right"/>
              <w:spacing w:after="0"/>
              <w:rPr>
                <w:sz w:val="20"/>
                <w:szCs w:val="20"/>
                <w:color w:val="auto"/>
              </w:rPr>
            </w:pPr>
            <w:r>
              <w:rPr>
                <w:rFonts w:ascii="Arial" w:cs="Arial" w:eastAsia="Arial" w:hAnsi="Arial"/>
                <w:sz w:val="13"/>
                <w:szCs w:val="13"/>
                <w:color w:val="auto"/>
              </w:rPr>
              <w:t>183,857</w:t>
            </w:r>
          </w:p>
        </w:tc>
        <w:tc>
          <w:tcPr>
            <w:tcW w:w="0" w:type="dxa"/>
            <w:vAlign w:val="bottom"/>
          </w:tcPr>
          <w:p>
            <w:pPr>
              <w:spacing w:after="0"/>
              <w:rPr>
                <w:sz w:val="1"/>
                <w:szCs w:val="1"/>
                <w:color w:val="auto"/>
              </w:rPr>
            </w:pPr>
          </w:p>
        </w:tc>
      </w:tr>
      <w:tr>
        <w:trPr>
          <w:trHeight w:val="146"/>
        </w:trPr>
        <w:tc>
          <w:tcPr>
            <w:tcW w:w="620" w:type="dxa"/>
            <w:vAlign w:val="bottom"/>
            <w:shd w:val="clear" w:color="auto" w:fill="E8F5EA"/>
          </w:tcPr>
          <w:p>
            <w:pPr>
              <w:spacing w:after="0"/>
              <w:rPr>
                <w:sz w:val="12"/>
                <w:szCs w:val="12"/>
                <w:color w:val="auto"/>
              </w:rPr>
            </w:pPr>
          </w:p>
        </w:tc>
        <w:tc>
          <w:tcPr>
            <w:tcW w:w="60" w:type="dxa"/>
            <w:vAlign w:val="bottom"/>
            <w:shd w:val="clear" w:color="auto" w:fill="E8F5EA"/>
          </w:tcPr>
          <w:p>
            <w:pPr>
              <w:spacing w:after="0"/>
              <w:rPr>
                <w:sz w:val="12"/>
                <w:szCs w:val="12"/>
                <w:color w:val="auto"/>
              </w:rPr>
            </w:pPr>
          </w:p>
        </w:tc>
        <w:tc>
          <w:tcPr>
            <w:tcW w:w="70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8/14/2019</w:t>
            </w:r>
          </w:p>
        </w:tc>
        <w:tc>
          <w:tcPr>
            <w:tcW w:w="76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w:t>
            </w:r>
          </w:p>
        </w:tc>
        <w:tc>
          <w:tcPr>
            <w:tcW w:w="66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E8F5EA"/>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74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4,230</w:t>
            </w:r>
          </w:p>
        </w:tc>
        <w:tc>
          <w:tcPr>
            <w:tcW w:w="52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13,218</w:t>
            </w:r>
          </w:p>
        </w:tc>
        <w:tc>
          <w:tcPr>
            <w:tcW w:w="740" w:type="dxa"/>
            <w:vAlign w:val="bottom"/>
            <w:gridSpan w:val="2"/>
            <w:shd w:val="clear" w:color="auto" w:fill="E8F5EA"/>
          </w:tcPr>
          <w:p>
            <w:pPr>
              <w:jc w:val="right"/>
              <w:ind w:right="80"/>
              <w:spacing w:after="0" w:line="146" w:lineRule="exact"/>
              <w:rPr>
                <w:sz w:val="20"/>
                <w:szCs w:val="20"/>
                <w:color w:val="auto"/>
              </w:rPr>
            </w:pPr>
            <w:r>
              <w:rPr>
                <w:rFonts w:ascii="Arial" w:cs="Arial" w:eastAsia="Arial" w:hAnsi="Arial"/>
                <w:sz w:val="13"/>
                <w:szCs w:val="13"/>
                <w:color w:val="auto"/>
              </w:rPr>
              <w:t>26,436</w:t>
            </w:r>
          </w:p>
        </w:tc>
        <w:tc>
          <w:tcPr>
            <w:tcW w:w="62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w:t>
            </w:r>
          </w:p>
        </w:tc>
        <w:tc>
          <w:tcPr>
            <w:tcW w:w="80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w:t>
            </w:r>
          </w:p>
        </w:tc>
        <w:tc>
          <w:tcPr>
            <w:tcW w:w="66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w:t>
            </w:r>
          </w:p>
        </w:tc>
        <w:tc>
          <w:tcPr>
            <w:tcW w:w="64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490,694</w:t>
            </w:r>
          </w:p>
        </w:tc>
        <w:tc>
          <w:tcPr>
            <w:tcW w:w="0" w:type="dxa"/>
            <w:vAlign w:val="bottom"/>
          </w:tcPr>
          <w:p>
            <w:pPr>
              <w:spacing w:after="0"/>
              <w:rPr>
                <w:sz w:val="1"/>
                <w:szCs w:val="1"/>
                <w:color w:val="auto"/>
              </w:rPr>
            </w:pPr>
          </w:p>
        </w:tc>
      </w:tr>
      <w:tr>
        <w:trPr>
          <w:trHeight w:val="162"/>
        </w:trPr>
        <w:tc>
          <w:tcPr>
            <w:tcW w:w="620" w:type="dxa"/>
            <w:vAlign w:val="bottom"/>
            <w:tcBorders>
              <w:bottom w:val="single" w:sz="8" w:color="53C072"/>
            </w:tcBorders>
            <w:shd w:val="clear" w:color="auto" w:fill="E8F5EA"/>
          </w:tcPr>
          <w:p>
            <w:pPr>
              <w:spacing w:after="0"/>
              <w:rPr>
                <w:sz w:val="14"/>
                <w:szCs w:val="14"/>
                <w:color w:val="auto"/>
              </w:rPr>
            </w:pPr>
          </w:p>
        </w:tc>
        <w:tc>
          <w:tcPr>
            <w:tcW w:w="60" w:type="dxa"/>
            <w:vAlign w:val="bottom"/>
            <w:tcBorders>
              <w:bottom w:val="single" w:sz="8" w:color="53C072"/>
            </w:tcBorders>
            <w:shd w:val="clear" w:color="auto" w:fill="E8F5EA"/>
          </w:tcPr>
          <w:p>
            <w:pPr>
              <w:spacing w:after="0"/>
              <w:rPr>
                <w:sz w:val="14"/>
                <w:szCs w:val="14"/>
                <w:color w:val="auto"/>
              </w:rPr>
            </w:pPr>
          </w:p>
        </w:tc>
        <w:tc>
          <w:tcPr>
            <w:tcW w:w="700" w:type="dxa"/>
            <w:vAlign w:val="bottom"/>
            <w:tcBorders>
              <w:bottom w:val="single" w:sz="8" w:color="53C072"/>
            </w:tcBorders>
            <w:shd w:val="clear" w:color="auto" w:fill="E8F5EA"/>
          </w:tcPr>
          <w:p>
            <w:pPr>
              <w:jc w:val="right"/>
              <w:spacing w:after="0" w:line="146" w:lineRule="exact"/>
              <w:rPr>
                <w:sz w:val="20"/>
                <w:szCs w:val="20"/>
                <w:color w:val="auto"/>
              </w:rPr>
            </w:pPr>
            <w:r>
              <w:rPr>
                <w:rFonts w:ascii="Arial" w:cs="Arial" w:eastAsia="Arial" w:hAnsi="Arial"/>
                <w:sz w:val="13"/>
                <w:szCs w:val="13"/>
                <w:color w:val="auto"/>
              </w:rPr>
              <w:t>8/14/2019</w:t>
            </w:r>
          </w:p>
        </w:tc>
        <w:tc>
          <w:tcPr>
            <w:tcW w:w="760" w:type="dxa"/>
            <w:vAlign w:val="bottom"/>
            <w:tcBorders>
              <w:bottom w:val="single" w:sz="8" w:color="53C072"/>
            </w:tcBorders>
            <w:shd w:val="clear" w:color="auto" w:fill="E8F5EA"/>
          </w:tcPr>
          <w:p>
            <w:pPr>
              <w:jc w:val="right"/>
              <w:spacing w:after="0" w:line="146"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53C072"/>
            </w:tcBorders>
            <w:shd w:val="clear" w:color="auto" w:fill="E8F5EA"/>
          </w:tcPr>
          <w:p>
            <w:pPr>
              <w:jc w:val="right"/>
              <w:spacing w:after="0" w:line="146"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53C072"/>
            </w:tcBorders>
            <w:gridSpan w:val="2"/>
            <w:shd w:val="clear" w:color="auto" w:fill="E8F5EA"/>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53C072"/>
            </w:tcBorders>
            <w:shd w:val="clear" w:color="auto" w:fill="E8F5EA"/>
          </w:tcPr>
          <w:p>
            <w:pPr>
              <w:jc w:val="right"/>
              <w:spacing w:after="0" w:line="146" w:lineRule="exact"/>
              <w:rPr>
                <w:sz w:val="20"/>
                <w:szCs w:val="20"/>
                <w:color w:val="auto"/>
              </w:rPr>
            </w:pPr>
            <w:r>
              <w:rPr>
                <w:rFonts w:ascii="Arial" w:cs="Arial" w:eastAsia="Arial" w:hAnsi="Arial"/>
                <w:sz w:val="13"/>
                <w:szCs w:val="13"/>
                <w:color w:val="auto"/>
              </w:rPr>
              <w:t>—</w:t>
            </w:r>
          </w:p>
        </w:tc>
        <w:tc>
          <w:tcPr>
            <w:tcW w:w="520" w:type="dxa"/>
            <w:vAlign w:val="bottom"/>
            <w:tcBorders>
              <w:bottom w:val="single" w:sz="8" w:color="53C072"/>
            </w:tcBorders>
            <w:shd w:val="clear" w:color="auto" w:fill="E8F5EA"/>
          </w:tcPr>
          <w:p>
            <w:pPr>
              <w:jc w:val="right"/>
              <w:spacing w:after="0" w:line="146"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53C072"/>
            </w:tcBorders>
            <w:gridSpan w:val="2"/>
            <w:shd w:val="clear" w:color="auto" w:fill="E8F5EA"/>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53C072"/>
            </w:tcBorders>
            <w:shd w:val="clear" w:color="auto" w:fill="E8F5EA"/>
          </w:tcPr>
          <w:p>
            <w:pPr>
              <w:jc w:val="right"/>
              <w:spacing w:after="0" w:line="146" w:lineRule="exact"/>
              <w:rPr>
                <w:sz w:val="20"/>
                <w:szCs w:val="20"/>
                <w:color w:val="auto"/>
              </w:rPr>
            </w:pPr>
            <w:r>
              <w:rPr>
                <w:rFonts w:ascii="Arial" w:cs="Arial" w:eastAsia="Arial" w:hAnsi="Arial"/>
                <w:sz w:val="13"/>
                <w:szCs w:val="13"/>
                <w:color w:val="auto"/>
              </w:rPr>
              <w:t>6,608</w:t>
            </w:r>
          </w:p>
        </w:tc>
        <w:tc>
          <w:tcPr>
            <w:tcW w:w="800" w:type="dxa"/>
            <w:vAlign w:val="bottom"/>
            <w:tcBorders>
              <w:bottom w:val="single" w:sz="8" w:color="53C072"/>
            </w:tcBorders>
            <w:shd w:val="clear" w:color="auto" w:fill="E8F5EA"/>
          </w:tcPr>
          <w:p>
            <w:pPr>
              <w:jc w:val="right"/>
              <w:spacing w:after="0" w:line="146"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53C072"/>
            </w:tcBorders>
            <w:shd w:val="clear" w:color="auto" w:fill="E8F5EA"/>
          </w:tcPr>
          <w:p>
            <w:pPr>
              <w:jc w:val="right"/>
              <w:spacing w:after="0" w:line="146" w:lineRule="exact"/>
              <w:rPr>
                <w:sz w:val="20"/>
                <w:szCs w:val="20"/>
                <w:color w:val="auto"/>
              </w:rPr>
            </w:pPr>
            <w:r>
              <w:rPr>
                <w:rFonts w:ascii="Arial" w:cs="Arial" w:eastAsia="Arial" w:hAnsi="Arial"/>
                <w:sz w:val="13"/>
                <w:szCs w:val="13"/>
                <w:color w:val="auto"/>
              </w:rPr>
              <w:t>—</w:t>
            </w:r>
          </w:p>
        </w:tc>
        <w:tc>
          <w:tcPr>
            <w:tcW w:w="640" w:type="dxa"/>
            <w:vAlign w:val="bottom"/>
            <w:tcBorders>
              <w:bottom w:val="single" w:sz="8" w:color="53C072"/>
            </w:tcBorders>
            <w:shd w:val="clear" w:color="auto" w:fill="E8F5EA"/>
          </w:tcPr>
          <w:p>
            <w:pPr>
              <w:jc w:val="right"/>
              <w:spacing w:after="0" w:line="146" w:lineRule="exact"/>
              <w:rPr>
                <w:sz w:val="20"/>
                <w:szCs w:val="20"/>
                <w:color w:val="auto"/>
              </w:rPr>
            </w:pPr>
            <w:r>
              <w:rPr>
                <w:rFonts w:ascii="Arial" w:cs="Arial" w:eastAsia="Arial" w:hAnsi="Arial"/>
                <w:sz w:val="13"/>
                <w:szCs w:val="13"/>
                <w:color w:val="auto"/>
              </w:rPr>
              <w:t>251,074</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1843" w:right="60" w:hanging="492"/>
        <w:spacing w:after="0" w:line="256" w:lineRule="auto"/>
        <w:tabs>
          <w:tab w:leader="none" w:pos="1843" w:val="left"/>
        </w:tabs>
        <w:numPr>
          <w:ilvl w:val="0"/>
          <w:numId w:val="61"/>
        </w:numPr>
        <w:rPr>
          <w:rFonts w:ascii="Arial" w:cs="Arial" w:eastAsia="Arial" w:hAnsi="Arial"/>
          <w:sz w:val="16"/>
          <w:szCs w:val="16"/>
          <w:color w:val="auto"/>
        </w:rPr>
      </w:pPr>
      <w:r>
        <w:rPr>
          <w:rFonts w:ascii="Arial" w:cs="Arial" w:eastAsia="Arial" w:hAnsi="Arial"/>
          <w:sz w:val="16"/>
          <w:szCs w:val="16"/>
          <w:color w:val="auto"/>
        </w:rPr>
        <w:t>For all the NEOs, the threshold column assumes payout of 46% of the target amount and the maximum payout is 200% of the target. Achievement below the threshold would yield a payout of $0. For Mr. O'Neill, the target, threshold and maximum amounts are prorated through his termination date of March 31, 2020.</w:t>
      </w:r>
    </w:p>
    <w:p>
      <w:pPr>
        <w:spacing w:after="0" w:line="139" w:lineRule="exact"/>
        <w:rPr>
          <w:rFonts w:ascii="Arial" w:cs="Arial" w:eastAsia="Arial" w:hAnsi="Arial"/>
          <w:sz w:val="16"/>
          <w:szCs w:val="16"/>
          <w:color w:val="auto"/>
        </w:rPr>
      </w:pPr>
    </w:p>
    <w:p>
      <w:pPr>
        <w:ind w:left="1843" w:right="40" w:hanging="492"/>
        <w:spacing w:after="0" w:line="281" w:lineRule="auto"/>
        <w:tabs>
          <w:tab w:leader="none" w:pos="1843"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This column represents grants of PSUs, the payout for which is based upon the Company's actual three year cumulative adjusted diluted earnings per share versus the target, as modified by the Relative TSR during the three-year performance period. The executive is eligible to receive a percentage of the target number of shares ranging from 32% to 200% of his or her targeted number of shares.</w:t>
      </w:r>
    </w:p>
    <w:p>
      <w:pPr>
        <w:spacing w:after="0" w:line="134" w:lineRule="exact"/>
        <w:rPr>
          <w:rFonts w:ascii="Arial" w:cs="Arial" w:eastAsia="Arial" w:hAnsi="Arial"/>
          <w:sz w:val="15"/>
          <w:szCs w:val="15"/>
          <w:color w:val="auto"/>
        </w:rPr>
      </w:pPr>
    </w:p>
    <w:p>
      <w:pPr>
        <w:ind w:left="1843" w:hanging="492"/>
        <w:spacing w:after="0"/>
        <w:tabs>
          <w:tab w:leader="none" w:pos="1843"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vesting schedules for the PSUs, RSUs and the stock option grants made in fiscal 2020 are as follows:</w:t>
      </w:r>
    </w:p>
    <w:p>
      <w:pPr>
        <w:spacing w:after="0" w:line="208" w:lineRule="exact"/>
        <w:rPr>
          <w:sz w:val="20"/>
          <w:szCs w:val="20"/>
          <w:color w:val="auto"/>
        </w:rPr>
      </w:pPr>
    </w:p>
    <w:tbl>
      <w:tblPr>
        <w:tblLayout w:type="fixed"/>
        <w:tblInd w:w="3" w:type="dxa"/>
        <w:tblCellMar>
          <w:top w:w="0" w:type="dxa"/>
          <w:left w:w="0" w:type="dxa"/>
          <w:bottom w:w="0" w:type="dxa"/>
          <w:right w:w="0" w:type="dxa"/>
        </w:tblCellMar>
      </w:tblPr>
      <w:tr>
        <w:trPr>
          <w:trHeight w:val="184"/>
        </w:trPr>
        <w:tc>
          <w:tcPr>
            <w:tcW w:w="2880" w:type="dxa"/>
            <w:vAlign w:val="bottom"/>
            <w:gridSpan w:val="2"/>
            <w:shd w:val="clear" w:color="auto" w:fill="53C072"/>
          </w:tcPr>
          <w:p>
            <w:pPr>
              <w:spacing w:after="0"/>
              <w:rPr>
                <w:sz w:val="20"/>
                <w:szCs w:val="20"/>
                <w:color w:val="auto"/>
              </w:rPr>
            </w:pPr>
            <w:r>
              <w:rPr>
                <w:rFonts w:ascii="Arial" w:cs="Arial" w:eastAsia="Arial" w:hAnsi="Arial"/>
                <w:sz w:val="16"/>
                <w:szCs w:val="16"/>
                <w:b w:val="1"/>
                <w:bCs w:val="1"/>
                <w:color w:val="FFFFFE"/>
              </w:rPr>
              <w:t>Type of Awards Made in Fiscal 2020</w:t>
            </w:r>
          </w:p>
        </w:tc>
        <w:tc>
          <w:tcPr>
            <w:tcW w:w="8380" w:type="dxa"/>
            <w:vAlign w:val="bottom"/>
            <w:shd w:val="clear" w:color="auto" w:fill="53C072"/>
          </w:tcPr>
          <w:p>
            <w:pPr>
              <w:ind w:left="180"/>
              <w:spacing w:after="0"/>
              <w:rPr>
                <w:sz w:val="20"/>
                <w:szCs w:val="20"/>
                <w:color w:val="auto"/>
              </w:rPr>
            </w:pPr>
            <w:r>
              <w:rPr>
                <w:rFonts w:ascii="Arial" w:cs="Arial" w:eastAsia="Arial" w:hAnsi="Arial"/>
                <w:sz w:val="16"/>
                <w:szCs w:val="16"/>
                <w:b w:val="1"/>
                <w:bCs w:val="1"/>
                <w:color w:val="FFFFFE"/>
              </w:rPr>
              <w:t>Vesting Schedule</w:t>
            </w:r>
          </w:p>
        </w:tc>
      </w:tr>
      <w:tr>
        <w:trPr>
          <w:trHeight w:val="182"/>
        </w:trPr>
        <w:tc>
          <w:tcPr>
            <w:tcW w:w="2880" w:type="dxa"/>
            <w:vAlign w:val="bottom"/>
            <w:gridSpan w:val="2"/>
          </w:tcPr>
          <w:p>
            <w:pPr>
              <w:spacing w:after="0" w:line="182" w:lineRule="exact"/>
              <w:rPr>
                <w:sz w:val="20"/>
                <w:szCs w:val="20"/>
                <w:color w:val="auto"/>
              </w:rPr>
            </w:pPr>
            <w:r>
              <w:rPr>
                <w:rFonts w:ascii="Arial" w:cs="Arial" w:eastAsia="Arial" w:hAnsi="Arial"/>
                <w:sz w:val="16"/>
                <w:szCs w:val="16"/>
                <w:color w:val="auto"/>
              </w:rPr>
              <w:t>Performance Share Units (PSUs)</w:t>
            </w:r>
          </w:p>
        </w:tc>
        <w:tc>
          <w:tcPr>
            <w:tcW w:w="8380" w:type="dxa"/>
            <w:vAlign w:val="bottom"/>
          </w:tcPr>
          <w:p>
            <w:pPr>
              <w:ind w:left="180"/>
              <w:spacing w:after="0" w:line="182" w:lineRule="exact"/>
              <w:rPr>
                <w:sz w:val="20"/>
                <w:szCs w:val="20"/>
                <w:color w:val="auto"/>
              </w:rPr>
            </w:pPr>
            <w:r>
              <w:rPr>
                <w:rFonts w:ascii="Arial" w:cs="Arial" w:eastAsia="Arial" w:hAnsi="Arial"/>
                <w:sz w:val="16"/>
                <w:szCs w:val="16"/>
                <w:color w:val="auto"/>
              </w:rPr>
              <w:t>vest, if at all, at the end of fiscal 2022 (July 2, 2022)</w:t>
            </w:r>
          </w:p>
        </w:tc>
      </w:tr>
      <w:tr>
        <w:trPr>
          <w:trHeight w:val="182"/>
        </w:trPr>
        <w:tc>
          <w:tcPr>
            <w:tcW w:w="2880" w:type="dxa"/>
            <w:vAlign w:val="bottom"/>
            <w:gridSpan w:val="2"/>
            <w:shd w:val="clear" w:color="auto" w:fill="E8F5EA"/>
          </w:tcPr>
          <w:p>
            <w:pPr>
              <w:spacing w:after="0" w:line="182" w:lineRule="exact"/>
              <w:rPr>
                <w:sz w:val="20"/>
                <w:szCs w:val="20"/>
                <w:color w:val="auto"/>
              </w:rPr>
            </w:pPr>
            <w:r>
              <w:rPr>
                <w:rFonts w:ascii="Arial" w:cs="Arial" w:eastAsia="Arial" w:hAnsi="Arial"/>
                <w:sz w:val="16"/>
                <w:szCs w:val="16"/>
                <w:color w:val="auto"/>
              </w:rPr>
              <w:t>Restricted Stock Units (RSUs)</w:t>
            </w:r>
          </w:p>
        </w:tc>
        <w:tc>
          <w:tcPr>
            <w:tcW w:w="8380" w:type="dxa"/>
            <w:vAlign w:val="bottom"/>
            <w:shd w:val="clear" w:color="auto" w:fill="E8F5EA"/>
          </w:tcPr>
          <w:p>
            <w:pPr>
              <w:ind w:left="180"/>
              <w:spacing w:after="0" w:line="182" w:lineRule="exact"/>
              <w:rPr>
                <w:sz w:val="20"/>
                <w:szCs w:val="20"/>
                <w:color w:val="auto"/>
              </w:rPr>
            </w:pPr>
            <w:r>
              <w:rPr>
                <w:rFonts w:ascii="Arial" w:cs="Arial" w:eastAsia="Arial" w:hAnsi="Arial"/>
                <w:sz w:val="16"/>
                <w:szCs w:val="16"/>
                <w:color w:val="auto"/>
              </w:rPr>
              <w:t>25% each on the first business day in January of 2020 through 2023</w:t>
            </w:r>
          </w:p>
        </w:tc>
      </w:tr>
      <w:tr>
        <w:trPr>
          <w:trHeight w:val="199"/>
        </w:trPr>
        <w:tc>
          <w:tcPr>
            <w:tcW w:w="2880" w:type="dxa"/>
            <w:vAlign w:val="bottom"/>
            <w:tcBorders>
              <w:bottom w:val="single" w:sz="8" w:color="53C072"/>
            </w:tcBorders>
            <w:gridSpan w:val="2"/>
          </w:tcPr>
          <w:p>
            <w:pPr>
              <w:spacing w:after="0" w:line="182" w:lineRule="exact"/>
              <w:rPr>
                <w:sz w:val="20"/>
                <w:szCs w:val="20"/>
                <w:color w:val="auto"/>
              </w:rPr>
            </w:pPr>
            <w:r>
              <w:rPr>
                <w:rFonts w:ascii="Arial" w:cs="Arial" w:eastAsia="Arial" w:hAnsi="Arial"/>
                <w:sz w:val="16"/>
                <w:szCs w:val="16"/>
                <w:color w:val="auto"/>
              </w:rPr>
              <w:t>Stock Options</w:t>
            </w:r>
          </w:p>
        </w:tc>
        <w:tc>
          <w:tcPr>
            <w:tcW w:w="8380" w:type="dxa"/>
            <w:vAlign w:val="bottom"/>
            <w:tcBorders>
              <w:bottom w:val="single" w:sz="8" w:color="53C072"/>
            </w:tcBorders>
          </w:tcPr>
          <w:p>
            <w:pPr>
              <w:ind w:left="180"/>
              <w:spacing w:after="0" w:line="182" w:lineRule="exact"/>
              <w:rPr>
                <w:sz w:val="20"/>
                <w:szCs w:val="20"/>
                <w:color w:val="auto"/>
              </w:rPr>
            </w:pPr>
            <w:r>
              <w:rPr>
                <w:rFonts w:ascii="Arial" w:cs="Arial" w:eastAsia="Arial" w:hAnsi="Arial"/>
                <w:sz w:val="16"/>
                <w:szCs w:val="16"/>
                <w:color w:val="auto"/>
              </w:rPr>
              <w:t>25% on each of the first through fourth anniversaries of the grant date</w:t>
            </w:r>
          </w:p>
        </w:tc>
      </w:tr>
      <w:tr>
        <w:trPr>
          <w:trHeight w:val="509"/>
        </w:trPr>
        <w:tc>
          <w:tcPr>
            <w:tcW w:w="320" w:type="dxa"/>
            <w:vAlign w:val="bottom"/>
          </w:tcPr>
          <w:p>
            <w:pPr>
              <w:spacing w:after="0"/>
              <w:rPr>
                <w:sz w:val="20"/>
                <w:szCs w:val="20"/>
                <w:color w:val="auto"/>
              </w:rPr>
            </w:pPr>
            <w:r>
              <w:rPr>
                <w:rFonts w:ascii="Arial" w:cs="Arial" w:eastAsia="Arial" w:hAnsi="Arial"/>
                <w:sz w:val="16"/>
                <w:szCs w:val="16"/>
                <w:color w:val="auto"/>
              </w:rPr>
              <w:t>58</w:t>
            </w:r>
          </w:p>
        </w:tc>
        <w:tc>
          <w:tcPr>
            <w:tcW w:w="2560" w:type="dxa"/>
            <w:vAlign w:val="bottom"/>
          </w:tcPr>
          <w:p>
            <w:pPr>
              <w:jc w:val="right"/>
              <w:ind w:right="2247"/>
              <w:spacing w:after="0"/>
              <w:rPr>
                <w:sz w:val="20"/>
                <w:szCs w:val="20"/>
                <w:color w:val="auto"/>
              </w:rPr>
            </w:pPr>
            <w:r>
              <w:rPr>
                <w:rFonts w:ascii="Arial" w:cs="Arial" w:eastAsia="Arial" w:hAnsi="Arial"/>
                <w:sz w:val="23"/>
                <w:szCs w:val="23"/>
                <w:b w:val="1"/>
                <w:bCs w:val="1"/>
                <w:color w:val="53C072"/>
              </w:rPr>
              <w:t>|</w:t>
            </w:r>
          </w:p>
        </w:tc>
        <w:tc>
          <w:tcPr>
            <w:tcW w:w="8380" w:type="dxa"/>
            <w:vAlign w:val="bottom"/>
          </w:tcPr>
          <w:p>
            <w:pPr>
              <w:spacing w:after="0"/>
              <w:rPr>
                <w:sz w:val="24"/>
                <w:szCs w:val="24"/>
                <w:color w:val="auto"/>
              </w:rPr>
            </w:pPr>
          </w:p>
        </w:tc>
      </w:tr>
      <w:tr>
        <w:trPr>
          <w:trHeight w:val="155"/>
        </w:trPr>
        <w:tc>
          <w:tcPr>
            <w:tcW w:w="320" w:type="dxa"/>
            <w:vAlign w:val="bottom"/>
            <w:tcBorders>
              <w:bottom w:val="single" w:sz="8" w:color="808080"/>
            </w:tcBorders>
          </w:tcPr>
          <w:p>
            <w:pPr>
              <w:spacing w:after="0"/>
              <w:rPr>
                <w:sz w:val="13"/>
                <w:szCs w:val="13"/>
                <w:color w:val="auto"/>
              </w:rPr>
            </w:pPr>
          </w:p>
        </w:tc>
        <w:tc>
          <w:tcPr>
            <w:tcW w:w="2560" w:type="dxa"/>
            <w:vAlign w:val="bottom"/>
            <w:tcBorders>
              <w:bottom w:val="single" w:sz="8" w:color="808080"/>
            </w:tcBorders>
          </w:tcPr>
          <w:p>
            <w:pPr>
              <w:spacing w:after="0"/>
              <w:rPr>
                <w:sz w:val="13"/>
                <w:szCs w:val="13"/>
                <w:color w:val="auto"/>
              </w:rPr>
            </w:pPr>
          </w:p>
        </w:tc>
        <w:tc>
          <w:tcPr>
            <w:tcW w:w="838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-13335</wp:posOffset>
            </wp:positionV>
            <wp:extent cx="12700"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-302260</wp:posOffset>
            </wp:positionV>
            <wp:extent cx="1664970" cy="1231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3"/>
          </w:cols>
          <w:pgMar w:left="317" w:top="122" w:right="31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13"/>
        </w:trPr>
        <w:tc>
          <w:tcPr>
            <w:tcW w:w="522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6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22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6040" w:type="dxa"/>
            <w:vAlign w:val="bottom"/>
            <w:vMerge w:val="restart"/>
          </w:tcPr>
          <w:p>
            <w:pPr>
              <w:ind w:left="3980"/>
              <w:spacing w:after="0"/>
              <w:rPr>
                <w:sz w:val="20"/>
                <w:szCs w:val="20"/>
                <w:color w:val="auto"/>
              </w:rPr>
            </w:pPr>
            <w:r>
              <w:rPr>
                <w:rFonts w:ascii="Arial" w:cs="Arial" w:eastAsia="Arial" w:hAnsi="Arial"/>
                <w:sz w:val="13"/>
                <w:szCs w:val="13"/>
                <w:color w:val="auto"/>
                <w:w w:val="98"/>
              </w:rPr>
              <w:t>Compensation of Executive Officers</w:t>
            </w:r>
          </w:p>
        </w:tc>
        <w:tc>
          <w:tcPr>
            <w:tcW w:w="0" w:type="dxa"/>
            <w:vAlign w:val="bottom"/>
          </w:tcPr>
          <w:p>
            <w:pPr>
              <w:spacing w:after="0"/>
              <w:rPr>
                <w:sz w:val="1"/>
                <w:szCs w:val="1"/>
                <w:color w:val="auto"/>
              </w:rPr>
            </w:pPr>
          </w:p>
        </w:tc>
      </w:tr>
      <w:tr>
        <w:trPr>
          <w:trHeight w:val="102"/>
        </w:trPr>
        <w:tc>
          <w:tcPr>
            <w:tcW w:w="522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6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220" w:type="dxa"/>
            <w:vAlign w:val="bottom"/>
            <w:vMerge w:val="continue"/>
          </w:tcPr>
          <w:p>
            <w:pPr>
              <w:spacing w:after="0"/>
              <w:rPr>
                <w:sz w:val="7"/>
                <w:szCs w:val="7"/>
                <w:color w:val="auto"/>
              </w:rPr>
            </w:pPr>
          </w:p>
        </w:tc>
        <w:tc>
          <w:tcPr>
            <w:tcW w:w="6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right="500"/>
        <w:spacing w:after="0" w:line="275" w:lineRule="auto"/>
        <w:rPr>
          <w:sz w:val="20"/>
          <w:szCs w:val="20"/>
          <w:color w:val="auto"/>
        </w:rPr>
      </w:pPr>
      <w:r>
        <w:rPr>
          <w:rFonts w:ascii="Arial" w:cs="Arial" w:eastAsia="Arial" w:hAnsi="Arial"/>
          <w:sz w:val="16"/>
          <w:szCs w:val="16"/>
          <w:color w:val="auto"/>
        </w:rPr>
        <w:t>For additional description of the terms and awards of RSUs, stock options and PSUs made in fiscal 2020, see the description of long-term incentives in the CD&amp;A and Note 12 to the Company's Consolidated Financial Statements included in its Form 10-K for the fiscal year ended June 27, 2020.</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OUTSTANDING EQUITY AWARDS AT FISCAL YEAR-END</w:t>
      </w:r>
    </w:p>
    <w:p>
      <w:pPr>
        <w:spacing w:after="0" w:line="209" w:lineRule="exact"/>
        <w:rPr>
          <w:sz w:val="20"/>
          <w:szCs w:val="20"/>
          <w:color w:val="auto"/>
        </w:rPr>
      </w:pPr>
    </w:p>
    <w:p>
      <w:pPr>
        <w:ind w:right="160"/>
        <w:spacing w:after="0" w:line="262" w:lineRule="auto"/>
        <w:rPr>
          <w:sz w:val="20"/>
          <w:szCs w:val="20"/>
          <w:color w:val="auto"/>
        </w:rPr>
      </w:pPr>
      <w:r>
        <w:rPr>
          <w:rFonts w:ascii="Arial" w:cs="Arial" w:eastAsia="Arial" w:hAnsi="Arial"/>
          <w:sz w:val="15"/>
          <w:szCs w:val="15"/>
          <w:color w:val="auto"/>
        </w:rPr>
        <w:t>The following table provides information on the current holdings of stock options and stock awards by the NEOs as of June 27, 2020. This table includes unexercised and unearned option grants, as well as unvested RSUs and PSUs with vesting conditions that have not yet been satisfied. Each equity grant is shown separately for each NEO. The vesting schedule for each grant is shown following this table, based on the option grant date or stock award date. The market value of the stock awards is based on the closing market price of the Company's Common Stock as of June 27, 2020, which was $26.04. The PSUs are subject to specified performance objectives over the performance period. The market values as of June 27, 2020 shown in columns (h) and (j) below, assume 100% achievement of these performance objectives. For additional information about the option grants and stock awards, see the description of long-term incentives in the CD&amp;A and Note 12 to the Company's Consolidated Financial Statements included in its Form 10-K for the fiscal year ended June 27, 2020.</w:t>
      </w:r>
    </w:p>
    <w:p>
      <w:pPr>
        <w:sectPr>
          <w:pgSz w:w="11900" w:h="16838" w:orient="portrait"/>
          <w:cols w:equalWidth="0" w:num="1">
            <w:col w:w="11260"/>
          </w:cols>
          <w:pgMar w:left="320" w:top="12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340"/>
        <w:spacing w:after="0"/>
        <w:rPr>
          <w:sz w:val="20"/>
          <w:szCs w:val="20"/>
          <w:color w:val="auto"/>
        </w:rPr>
      </w:pPr>
      <w:r>
        <w:rPr>
          <w:rFonts w:ascii="Arial" w:cs="Arial" w:eastAsia="Arial" w:hAnsi="Arial"/>
          <w:sz w:val="13"/>
          <w:szCs w:val="13"/>
          <w:b w:val="1"/>
          <w:bCs w:val="1"/>
          <w:color w:val="FFFFFE"/>
        </w:rPr>
        <w:t>Name</w:t>
      </w:r>
    </w:p>
    <w:p>
      <w:pPr>
        <w:spacing w:after="0" w:line="10" w:lineRule="exact"/>
        <w:rPr>
          <w:sz w:val="20"/>
          <w:szCs w:val="20"/>
          <w:color w:val="auto"/>
        </w:rPr>
      </w:pPr>
    </w:p>
    <w:p>
      <w:pPr>
        <w:ind w:left="1340"/>
        <w:spacing w:after="0"/>
        <w:rPr>
          <w:sz w:val="20"/>
          <w:szCs w:val="20"/>
          <w:color w:val="auto"/>
        </w:rPr>
      </w:pPr>
      <w:r>
        <w:rPr>
          <w:rFonts w:ascii="Arial" w:cs="Arial" w:eastAsia="Arial" w:hAnsi="Arial"/>
          <w:sz w:val="13"/>
          <w:szCs w:val="13"/>
          <w:b w:val="1"/>
          <w:bCs w:val="1"/>
          <w:color w:val="FFFFFE"/>
        </w:rPr>
        <w:t>(a)</w:t>
      </w:r>
    </w:p>
    <w:p>
      <w:pPr>
        <w:ind w:left="1340"/>
        <w:spacing w:after="0" w:line="233" w:lineRule="auto"/>
        <w:rPr>
          <w:sz w:val="20"/>
          <w:szCs w:val="20"/>
          <w:color w:val="auto"/>
        </w:rPr>
      </w:pPr>
      <w:r>
        <w:rPr>
          <w:rFonts w:ascii="Arial" w:cs="Arial" w:eastAsia="Arial" w:hAnsi="Arial"/>
          <w:sz w:val="13"/>
          <w:szCs w:val="13"/>
          <w:color w:val="auto"/>
        </w:rPr>
        <w:t>William J.</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Amelio</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3"/>
                <w:szCs w:val="13"/>
                <w:b w:val="1"/>
                <w:bCs w:val="1"/>
                <w:color w:val="FFFFFE"/>
              </w:rPr>
              <w:t>Option Awards</w:t>
            </w: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0" w:type="dxa"/>
            <w:vAlign w:val="bottom"/>
            <w:gridSpan w:val="2"/>
          </w:tcPr>
          <w:p>
            <w:pPr>
              <w:jc w:val="right"/>
              <w:spacing w:after="0"/>
              <w:rPr>
                <w:sz w:val="20"/>
                <w:szCs w:val="20"/>
                <w:color w:val="auto"/>
              </w:rPr>
            </w:pPr>
            <w:r>
              <w:rPr>
                <w:rFonts w:ascii="Arial" w:cs="Arial" w:eastAsia="Arial" w:hAnsi="Arial"/>
                <w:sz w:val="13"/>
                <w:szCs w:val="13"/>
                <w:b w:val="1"/>
                <w:bCs w:val="1"/>
                <w:color w:val="FFFFFE"/>
              </w:rPr>
              <w:t>Stock Awards</w:t>
            </w:r>
          </w:p>
        </w:tc>
        <w:tc>
          <w:tcPr>
            <w:tcW w:w="0" w:type="dxa"/>
            <w:vAlign w:val="bottom"/>
          </w:tcPr>
          <w:p>
            <w:pPr>
              <w:spacing w:after="0"/>
              <w:rPr>
                <w:sz w:val="1"/>
                <w:szCs w:val="1"/>
                <w:color w:val="auto"/>
              </w:rPr>
            </w:pPr>
          </w:p>
        </w:tc>
      </w:tr>
      <w:tr>
        <w:trPr>
          <w:trHeight w:val="124"/>
        </w:trPr>
        <w:tc>
          <w:tcPr>
            <w:tcW w:w="60" w:type="dxa"/>
            <w:vAlign w:val="bottom"/>
            <w:tcBorders>
              <w:top w:val="single" w:sz="8" w:color="53C072"/>
            </w:tcBorders>
            <w:shd w:val="clear" w:color="auto" w:fill="53C072"/>
          </w:tcPr>
          <w:p>
            <w:pPr>
              <w:spacing w:after="0"/>
              <w:rPr>
                <w:sz w:val="10"/>
                <w:szCs w:val="10"/>
                <w:color w:val="auto"/>
              </w:rPr>
            </w:pPr>
          </w:p>
        </w:tc>
        <w:tc>
          <w:tcPr>
            <w:tcW w:w="780" w:type="dxa"/>
            <w:vAlign w:val="bottom"/>
            <w:tcBorders>
              <w:top w:val="single" w:sz="8" w:color="auto"/>
            </w:tcBorders>
            <w:shd w:val="clear" w:color="auto" w:fill="53C072"/>
          </w:tcPr>
          <w:p>
            <w:pPr>
              <w:spacing w:after="0"/>
              <w:rPr>
                <w:sz w:val="10"/>
                <w:szCs w:val="10"/>
                <w:color w:val="auto"/>
              </w:rPr>
            </w:pPr>
          </w:p>
        </w:tc>
        <w:tc>
          <w:tcPr>
            <w:tcW w:w="900" w:type="dxa"/>
            <w:vAlign w:val="bottom"/>
            <w:tcBorders>
              <w:top w:val="single" w:sz="8" w:color="auto"/>
            </w:tcBorders>
            <w:shd w:val="clear" w:color="auto" w:fill="53C072"/>
          </w:tcPr>
          <w:p>
            <w:pPr>
              <w:spacing w:after="0"/>
              <w:rPr>
                <w:sz w:val="10"/>
                <w:szCs w:val="10"/>
                <w:color w:val="auto"/>
              </w:rPr>
            </w:pPr>
          </w:p>
        </w:tc>
        <w:tc>
          <w:tcPr>
            <w:tcW w:w="1000" w:type="dxa"/>
            <w:vAlign w:val="bottom"/>
            <w:tcBorders>
              <w:top w:val="single" w:sz="8" w:color="auto"/>
            </w:tcBorders>
            <w:shd w:val="clear" w:color="auto" w:fill="53C072"/>
          </w:tcPr>
          <w:p>
            <w:pPr>
              <w:spacing w:after="0"/>
              <w:rPr>
                <w:sz w:val="10"/>
                <w:szCs w:val="10"/>
                <w:color w:val="auto"/>
              </w:rPr>
            </w:pPr>
          </w:p>
        </w:tc>
        <w:tc>
          <w:tcPr>
            <w:tcW w:w="660" w:type="dxa"/>
            <w:vAlign w:val="bottom"/>
            <w:tcBorders>
              <w:top w:val="single" w:sz="8" w:color="auto"/>
            </w:tcBorders>
            <w:shd w:val="clear" w:color="auto" w:fill="53C072"/>
          </w:tcPr>
          <w:p>
            <w:pPr>
              <w:spacing w:after="0"/>
              <w:rPr>
                <w:sz w:val="10"/>
                <w:szCs w:val="10"/>
                <w:color w:val="auto"/>
              </w:rPr>
            </w:pPr>
          </w:p>
        </w:tc>
        <w:tc>
          <w:tcPr>
            <w:tcW w:w="700" w:type="dxa"/>
            <w:vAlign w:val="bottom"/>
            <w:tcBorders>
              <w:top w:val="single" w:sz="8" w:color="auto"/>
            </w:tcBorders>
            <w:shd w:val="clear" w:color="auto" w:fill="53C072"/>
          </w:tcPr>
          <w:p>
            <w:pPr>
              <w:spacing w:after="0"/>
              <w:rPr>
                <w:sz w:val="10"/>
                <w:szCs w:val="10"/>
                <w:color w:val="auto"/>
              </w:rPr>
            </w:pPr>
          </w:p>
        </w:tc>
        <w:tc>
          <w:tcPr>
            <w:tcW w:w="80" w:type="dxa"/>
            <w:vAlign w:val="bottom"/>
            <w:tcBorders>
              <w:top w:val="single" w:sz="8" w:color="53C072"/>
            </w:tcBorders>
            <w:shd w:val="clear" w:color="auto" w:fill="53C072"/>
          </w:tcPr>
          <w:p>
            <w:pPr>
              <w:spacing w:after="0"/>
              <w:rPr>
                <w:sz w:val="10"/>
                <w:szCs w:val="10"/>
                <w:color w:val="auto"/>
              </w:rPr>
            </w:pPr>
          </w:p>
        </w:tc>
        <w:tc>
          <w:tcPr>
            <w:tcW w:w="700" w:type="dxa"/>
            <w:vAlign w:val="bottom"/>
            <w:tcBorders>
              <w:top w:val="single" w:sz="8" w:color="auto"/>
            </w:tcBorders>
            <w:shd w:val="clear" w:color="auto" w:fill="53C072"/>
          </w:tcPr>
          <w:p>
            <w:pPr>
              <w:spacing w:after="0"/>
              <w:rPr>
                <w:sz w:val="10"/>
                <w:szCs w:val="10"/>
                <w:color w:val="auto"/>
              </w:rPr>
            </w:pPr>
          </w:p>
        </w:tc>
        <w:tc>
          <w:tcPr>
            <w:tcW w:w="640" w:type="dxa"/>
            <w:vAlign w:val="bottom"/>
            <w:tcBorders>
              <w:top w:val="single" w:sz="8" w:color="auto"/>
            </w:tcBorders>
            <w:shd w:val="clear" w:color="auto" w:fill="53C072"/>
          </w:tcPr>
          <w:p>
            <w:pPr>
              <w:spacing w:after="0"/>
              <w:rPr>
                <w:sz w:val="10"/>
                <w:szCs w:val="10"/>
                <w:color w:val="auto"/>
              </w:rPr>
            </w:pPr>
          </w:p>
        </w:tc>
        <w:tc>
          <w:tcPr>
            <w:tcW w:w="580" w:type="dxa"/>
            <w:vAlign w:val="bottom"/>
            <w:tcBorders>
              <w:top w:val="single" w:sz="8" w:color="auto"/>
            </w:tcBorders>
            <w:shd w:val="clear" w:color="auto" w:fill="53C072"/>
          </w:tcPr>
          <w:p>
            <w:pPr>
              <w:spacing w:after="0"/>
              <w:rPr>
                <w:sz w:val="10"/>
                <w:szCs w:val="10"/>
                <w:color w:val="auto"/>
              </w:rPr>
            </w:pPr>
          </w:p>
        </w:tc>
        <w:tc>
          <w:tcPr>
            <w:tcW w:w="740" w:type="dxa"/>
            <w:vAlign w:val="bottom"/>
            <w:tcBorders>
              <w:top w:val="single" w:sz="8" w:color="auto"/>
            </w:tcBorders>
            <w:shd w:val="clear" w:color="auto" w:fill="53C072"/>
          </w:tcPr>
          <w:p>
            <w:pPr>
              <w:jc w:val="right"/>
              <w:spacing w:after="0" w:line="124" w:lineRule="exact"/>
              <w:rPr>
                <w:sz w:val="20"/>
                <w:szCs w:val="20"/>
                <w:color w:val="auto"/>
              </w:rPr>
            </w:pPr>
            <w:r>
              <w:rPr>
                <w:rFonts w:ascii="Arial" w:cs="Arial" w:eastAsia="Arial" w:hAnsi="Arial"/>
                <w:sz w:val="13"/>
                <w:szCs w:val="13"/>
                <w:b w:val="1"/>
                <w:bCs w:val="1"/>
                <w:color w:val="FFFFFE"/>
              </w:rPr>
              <w:t>Equity</w:t>
            </w:r>
          </w:p>
        </w:tc>
        <w:tc>
          <w:tcPr>
            <w:tcW w:w="660" w:type="dxa"/>
            <w:vAlign w:val="bottom"/>
            <w:tcBorders>
              <w:top w:val="single" w:sz="8" w:color="auto"/>
            </w:tcBorders>
            <w:shd w:val="clear" w:color="auto" w:fill="53C072"/>
          </w:tcPr>
          <w:p>
            <w:pPr>
              <w:jc w:val="right"/>
              <w:spacing w:after="0" w:line="124" w:lineRule="exact"/>
              <w:rPr>
                <w:sz w:val="20"/>
                <w:szCs w:val="20"/>
                <w:color w:val="auto"/>
              </w:rPr>
            </w:pPr>
            <w:r>
              <w:rPr>
                <w:rFonts w:ascii="Arial" w:cs="Arial" w:eastAsia="Arial" w:hAnsi="Arial"/>
                <w:sz w:val="13"/>
                <w:szCs w:val="13"/>
                <w:b w:val="1"/>
                <w:bCs w:val="1"/>
                <w:color w:val="FFFFFE"/>
              </w:rPr>
              <w:t>Equity</w:t>
            </w:r>
          </w:p>
        </w:tc>
        <w:tc>
          <w:tcPr>
            <w:tcW w:w="0" w:type="dxa"/>
            <w:vAlign w:val="bottom"/>
          </w:tcPr>
          <w:p>
            <w:pPr>
              <w:spacing w:after="0"/>
              <w:rPr>
                <w:sz w:val="1"/>
                <w:szCs w:val="1"/>
                <w:color w:val="auto"/>
              </w:rPr>
            </w:pPr>
          </w:p>
        </w:tc>
      </w:tr>
      <w:tr>
        <w:trPr>
          <w:trHeight w:val="146"/>
        </w:trPr>
        <w:tc>
          <w:tcPr>
            <w:tcW w:w="60" w:type="dxa"/>
            <w:vAlign w:val="bottom"/>
            <w:shd w:val="clear" w:color="auto" w:fill="53C072"/>
          </w:tcPr>
          <w:p>
            <w:pPr>
              <w:spacing w:after="0"/>
              <w:rPr>
                <w:sz w:val="12"/>
                <w:szCs w:val="12"/>
                <w:color w:val="auto"/>
              </w:rPr>
            </w:pPr>
          </w:p>
        </w:tc>
        <w:tc>
          <w:tcPr>
            <w:tcW w:w="780" w:type="dxa"/>
            <w:vAlign w:val="bottom"/>
            <w:shd w:val="clear" w:color="auto" w:fill="53C072"/>
          </w:tcPr>
          <w:p>
            <w:pPr>
              <w:spacing w:after="0"/>
              <w:rPr>
                <w:sz w:val="12"/>
                <w:szCs w:val="12"/>
                <w:color w:val="auto"/>
              </w:rPr>
            </w:pPr>
          </w:p>
        </w:tc>
        <w:tc>
          <w:tcPr>
            <w:tcW w:w="900" w:type="dxa"/>
            <w:vAlign w:val="bottom"/>
            <w:shd w:val="clear" w:color="auto" w:fill="53C072"/>
          </w:tcPr>
          <w:p>
            <w:pPr>
              <w:spacing w:after="0"/>
              <w:rPr>
                <w:sz w:val="12"/>
                <w:szCs w:val="12"/>
                <w:color w:val="auto"/>
              </w:rPr>
            </w:pPr>
          </w:p>
        </w:tc>
        <w:tc>
          <w:tcPr>
            <w:tcW w:w="1000" w:type="dxa"/>
            <w:vAlign w:val="bottom"/>
            <w:shd w:val="clear" w:color="auto" w:fill="53C072"/>
          </w:tcPr>
          <w:p>
            <w:pPr>
              <w:spacing w:after="0"/>
              <w:rPr>
                <w:sz w:val="12"/>
                <w:szCs w:val="12"/>
                <w:color w:val="auto"/>
              </w:rPr>
            </w:pPr>
          </w:p>
        </w:tc>
        <w:tc>
          <w:tcPr>
            <w:tcW w:w="66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640" w:type="dxa"/>
            <w:vAlign w:val="bottom"/>
            <w:shd w:val="clear" w:color="auto" w:fill="53C072"/>
          </w:tcPr>
          <w:p>
            <w:pPr>
              <w:spacing w:after="0"/>
              <w:rPr>
                <w:sz w:val="12"/>
                <w:szCs w:val="12"/>
                <w:color w:val="auto"/>
              </w:rPr>
            </w:pPr>
          </w:p>
        </w:tc>
        <w:tc>
          <w:tcPr>
            <w:tcW w:w="580" w:type="dxa"/>
            <w:vAlign w:val="bottom"/>
            <w:shd w:val="clear" w:color="auto" w:fill="53C072"/>
          </w:tcPr>
          <w:p>
            <w:pPr>
              <w:spacing w:after="0"/>
              <w:rPr>
                <w:sz w:val="12"/>
                <w:szCs w:val="12"/>
                <w:color w:val="auto"/>
              </w:rPr>
            </w:pPr>
          </w:p>
        </w:tc>
        <w:tc>
          <w:tcPr>
            <w:tcW w:w="74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Incentive</w:t>
            </w:r>
          </w:p>
        </w:tc>
        <w:tc>
          <w:tcPr>
            <w:tcW w:w="66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Incentive</w:t>
            </w:r>
          </w:p>
        </w:tc>
        <w:tc>
          <w:tcPr>
            <w:tcW w:w="0" w:type="dxa"/>
            <w:vAlign w:val="bottom"/>
          </w:tcPr>
          <w:p>
            <w:pPr>
              <w:spacing w:after="0"/>
              <w:rPr>
                <w:sz w:val="1"/>
                <w:szCs w:val="1"/>
                <w:color w:val="auto"/>
              </w:rPr>
            </w:pPr>
          </w:p>
        </w:tc>
      </w:tr>
      <w:tr>
        <w:trPr>
          <w:trHeight w:val="146"/>
        </w:trPr>
        <w:tc>
          <w:tcPr>
            <w:tcW w:w="60" w:type="dxa"/>
            <w:vAlign w:val="bottom"/>
            <w:shd w:val="clear" w:color="auto" w:fill="53C072"/>
          </w:tcPr>
          <w:p>
            <w:pPr>
              <w:spacing w:after="0"/>
              <w:rPr>
                <w:sz w:val="12"/>
                <w:szCs w:val="12"/>
                <w:color w:val="auto"/>
              </w:rPr>
            </w:pPr>
          </w:p>
        </w:tc>
        <w:tc>
          <w:tcPr>
            <w:tcW w:w="780" w:type="dxa"/>
            <w:vAlign w:val="bottom"/>
            <w:shd w:val="clear" w:color="auto" w:fill="53C072"/>
          </w:tcPr>
          <w:p>
            <w:pPr>
              <w:spacing w:after="0"/>
              <w:rPr>
                <w:sz w:val="12"/>
                <w:szCs w:val="12"/>
                <w:color w:val="auto"/>
              </w:rPr>
            </w:pPr>
          </w:p>
        </w:tc>
        <w:tc>
          <w:tcPr>
            <w:tcW w:w="900" w:type="dxa"/>
            <w:vAlign w:val="bottom"/>
            <w:shd w:val="clear" w:color="auto" w:fill="53C072"/>
          </w:tcPr>
          <w:p>
            <w:pPr>
              <w:spacing w:after="0"/>
              <w:rPr>
                <w:sz w:val="12"/>
                <w:szCs w:val="12"/>
                <w:color w:val="auto"/>
              </w:rPr>
            </w:pPr>
          </w:p>
        </w:tc>
        <w:tc>
          <w:tcPr>
            <w:tcW w:w="1000" w:type="dxa"/>
            <w:vAlign w:val="bottom"/>
            <w:shd w:val="clear" w:color="auto" w:fill="53C072"/>
          </w:tcPr>
          <w:p>
            <w:pPr>
              <w:spacing w:after="0"/>
              <w:rPr>
                <w:sz w:val="12"/>
                <w:szCs w:val="12"/>
                <w:color w:val="auto"/>
              </w:rPr>
            </w:pPr>
          </w:p>
        </w:tc>
        <w:tc>
          <w:tcPr>
            <w:tcW w:w="66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640" w:type="dxa"/>
            <w:vAlign w:val="bottom"/>
            <w:shd w:val="clear" w:color="auto" w:fill="53C072"/>
          </w:tcPr>
          <w:p>
            <w:pPr>
              <w:spacing w:after="0"/>
              <w:rPr>
                <w:sz w:val="12"/>
                <w:szCs w:val="12"/>
                <w:color w:val="auto"/>
              </w:rPr>
            </w:pPr>
          </w:p>
        </w:tc>
        <w:tc>
          <w:tcPr>
            <w:tcW w:w="580" w:type="dxa"/>
            <w:vAlign w:val="bottom"/>
            <w:vMerge w:val="restart"/>
            <w:shd w:val="clear" w:color="auto" w:fill="53C072"/>
          </w:tcPr>
          <w:p>
            <w:pPr>
              <w:jc w:val="right"/>
              <w:spacing w:after="0"/>
              <w:rPr>
                <w:sz w:val="20"/>
                <w:szCs w:val="20"/>
                <w:color w:val="auto"/>
              </w:rPr>
            </w:pPr>
            <w:r>
              <w:rPr>
                <w:rFonts w:ascii="Arial" w:cs="Arial" w:eastAsia="Arial" w:hAnsi="Arial"/>
                <w:sz w:val="13"/>
                <w:szCs w:val="13"/>
                <w:b w:val="1"/>
                <w:bCs w:val="1"/>
                <w:color w:val="FFFFFE"/>
              </w:rPr>
              <w:t>Market</w:t>
            </w:r>
          </w:p>
        </w:tc>
        <w:tc>
          <w:tcPr>
            <w:tcW w:w="74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Plan</w:t>
            </w:r>
          </w:p>
        </w:tc>
        <w:tc>
          <w:tcPr>
            <w:tcW w:w="66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Plan</w:t>
            </w:r>
          </w:p>
        </w:tc>
        <w:tc>
          <w:tcPr>
            <w:tcW w:w="0" w:type="dxa"/>
            <w:vAlign w:val="bottom"/>
          </w:tcPr>
          <w:p>
            <w:pPr>
              <w:spacing w:after="0"/>
              <w:rPr>
                <w:sz w:val="1"/>
                <w:szCs w:val="1"/>
                <w:color w:val="auto"/>
              </w:rPr>
            </w:pPr>
          </w:p>
        </w:tc>
      </w:tr>
      <w:tr>
        <w:trPr>
          <w:trHeight w:val="146"/>
        </w:trPr>
        <w:tc>
          <w:tcPr>
            <w:tcW w:w="60" w:type="dxa"/>
            <w:vAlign w:val="bottom"/>
            <w:shd w:val="clear" w:color="auto" w:fill="53C072"/>
          </w:tcPr>
          <w:p>
            <w:pPr>
              <w:spacing w:after="0"/>
              <w:rPr>
                <w:sz w:val="12"/>
                <w:szCs w:val="12"/>
                <w:color w:val="auto"/>
              </w:rPr>
            </w:pPr>
          </w:p>
        </w:tc>
        <w:tc>
          <w:tcPr>
            <w:tcW w:w="780" w:type="dxa"/>
            <w:vAlign w:val="bottom"/>
            <w:shd w:val="clear" w:color="auto" w:fill="53C072"/>
          </w:tcPr>
          <w:p>
            <w:pPr>
              <w:spacing w:after="0"/>
              <w:rPr>
                <w:sz w:val="12"/>
                <w:szCs w:val="12"/>
                <w:color w:val="auto"/>
              </w:rPr>
            </w:pPr>
          </w:p>
        </w:tc>
        <w:tc>
          <w:tcPr>
            <w:tcW w:w="900" w:type="dxa"/>
            <w:vAlign w:val="bottom"/>
            <w:shd w:val="clear" w:color="auto" w:fill="53C072"/>
          </w:tcPr>
          <w:p>
            <w:pPr>
              <w:spacing w:after="0"/>
              <w:rPr>
                <w:sz w:val="12"/>
                <w:szCs w:val="12"/>
                <w:color w:val="auto"/>
              </w:rPr>
            </w:pPr>
          </w:p>
        </w:tc>
        <w:tc>
          <w:tcPr>
            <w:tcW w:w="1000" w:type="dxa"/>
            <w:vAlign w:val="bottom"/>
            <w:shd w:val="clear" w:color="auto" w:fill="53C072"/>
          </w:tcPr>
          <w:p>
            <w:pPr>
              <w:spacing w:after="0"/>
              <w:rPr>
                <w:sz w:val="12"/>
                <w:szCs w:val="12"/>
                <w:color w:val="auto"/>
              </w:rPr>
            </w:pPr>
          </w:p>
        </w:tc>
        <w:tc>
          <w:tcPr>
            <w:tcW w:w="66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640" w:type="dxa"/>
            <w:vAlign w:val="bottom"/>
            <w:vMerge w:val="restart"/>
            <w:shd w:val="clear" w:color="auto" w:fill="53C072"/>
          </w:tcPr>
          <w:p>
            <w:pPr>
              <w:jc w:val="right"/>
              <w:ind w:right="15"/>
              <w:spacing w:after="0"/>
              <w:rPr>
                <w:sz w:val="20"/>
                <w:szCs w:val="20"/>
                <w:color w:val="auto"/>
              </w:rPr>
            </w:pPr>
            <w:r>
              <w:rPr>
                <w:rFonts w:ascii="Arial" w:cs="Arial" w:eastAsia="Arial" w:hAnsi="Arial"/>
                <w:sz w:val="13"/>
                <w:szCs w:val="13"/>
                <w:b w:val="1"/>
                <w:bCs w:val="1"/>
                <w:color w:val="FFFFFE"/>
              </w:rPr>
              <w:t>Number</w:t>
            </w:r>
          </w:p>
        </w:tc>
        <w:tc>
          <w:tcPr>
            <w:tcW w:w="580" w:type="dxa"/>
            <w:vAlign w:val="bottom"/>
            <w:vMerge w:val="continue"/>
            <w:shd w:val="clear" w:color="auto" w:fill="53C072"/>
          </w:tcPr>
          <w:p>
            <w:pPr>
              <w:spacing w:after="0"/>
              <w:rPr>
                <w:sz w:val="12"/>
                <w:szCs w:val="12"/>
                <w:color w:val="auto"/>
              </w:rPr>
            </w:pPr>
          </w:p>
        </w:tc>
        <w:tc>
          <w:tcPr>
            <w:tcW w:w="74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Awards:</w:t>
            </w:r>
          </w:p>
        </w:tc>
        <w:tc>
          <w:tcPr>
            <w:tcW w:w="66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Awards:</w:t>
            </w:r>
          </w:p>
        </w:tc>
        <w:tc>
          <w:tcPr>
            <w:tcW w:w="0" w:type="dxa"/>
            <w:vAlign w:val="bottom"/>
          </w:tcPr>
          <w:p>
            <w:pPr>
              <w:spacing w:after="0"/>
              <w:rPr>
                <w:sz w:val="1"/>
                <w:szCs w:val="1"/>
                <w:color w:val="auto"/>
              </w:rPr>
            </w:pPr>
          </w:p>
        </w:tc>
      </w:tr>
      <w:tr>
        <w:trPr>
          <w:trHeight w:val="146"/>
        </w:trPr>
        <w:tc>
          <w:tcPr>
            <w:tcW w:w="60" w:type="dxa"/>
            <w:vAlign w:val="bottom"/>
            <w:shd w:val="clear" w:color="auto" w:fill="53C072"/>
          </w:tcPr>
          <w:p>
            <w:pPr>
              <w:spacing w:after="0"/>
              <w:rPr>
                <w:sz w:val="12"/>
                <w:szCs w:val="12"/>
                <w:color w:val="auto"/>
              </w:rPr>
            </w:pPr>
          </w:p>
        </w:tc>
        <w:tc>
          <w:tcPr>
            <w:tcW w:w="780" w:type="dxa"/>
            <w:vAlign w:val="bottom"/>
            <w:shd w:val="clear" w:color="auto" w:fill="53C072"/>
          </w:tcPr>
          <w:p>
            <w:pPr>
              <w:spacing w:after="0"/>
              <w:rPr>
                <w:sz w:val="12"/>
                <w:szCs w:val="12"/>
                <w:color w:val="auto"/>
              </w:rPr>
            </w:pPr>
          </w:p>
        </w:tc>
        <w:tc>
          <w:tcPr>
            <w:tcW w:w="900" w:type="dxa"/>
            <w:vAlign w:val="bottom"/>
            <w:shd w:val="clear" w:color="auto" w:fill="53C072"/>
          </w:tcPr>
          <w:p>
            <w:pPr>
              <w:spacing w:after="0"/>
              <w:rPr>
                <w:sz w:val="12"/>
                <w:szCs w:val="12"/>
                <w:color w:val="auto"/>
              </w:rPr>
            </w:pPr>
          </w:p>
        </w:tc>
        <w:tc>
          <w:tcPr>
            <w:tcW w:w="1000" w:type="dxa"/>
            <w:vAlign w:val="bottom"/>
            <w:shd w:val="clear" w:color="auto" w:fill="53C072"/>
          </w:tcPr>
          <w:p>
            <w:pPr>
              <w:spacing w:after="0"/>
              <w:rPr>
                <w:sz w:val="12"/>
                <w:szCs w:val="12"/>
                <w:color w:val="auto"/>
              </w:rPr>
            </w:pPr>
          </w:p>
        </w:tc>
        <w:tc>
          <w:tcPr>
            <w:tcW w:w="66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640" w:type="dxa"/>
            <w:vAlign w:val="bottom"/>
            <w:vMerge w:val="continue"/>
            <w:shd w:val="clear" w:color="auto" w:fill="53C072"/>
          </w:tcPr>
          <w:p>
            <w:pPr>
              <w:spacing w:after="0"/>
              <w:rPr>
                <w:sz w:val="12"/>
                <w:szCs w:val="12"/>
                <w:color w:val="auto"/>
              </w:rPr>
            </w:pPr>
          </w:p>
        </w:tc>
        <w:tc>
          <w:tcPr>
            <w:tcW w:w="58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Value</w:t>
            </w:r>
          </w:p>
        </w:tc>
        <w:tc>
          <w:tcPr>
            <w:tcW w:w="74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Number</w:t>
            </w:r>
          </w:p>
        </w:tc>
        <w:tc>
          <w:tcPr>
            <w:tcW w:w="66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Market or</w:t>
            </w:r>
          </w:p>
        </w:tc>
        <w:tc>
          <w:tcPr>
            <w:tcW w:w="0" w:type="dxa"/>
            <w:vAlign w:val="bottom"/>
          </w:tcPr>
          <w:p>
            <w:pPr>
              <w:spacing w:after="0"/>
              <w:rPr>
                <w:sz w:val="1"/>
                <w:szCs w:val="1"/>
                <w:color w:val="auto"/>
              </w:rPr>
            </w:pPr>
          </w:p>
        </w:tc>
      </w:tr>
      <w:tr>
        <w:trPr>
          <w:trHeight w:val="146"/>
        </w:trPr>
        <w:tc>
          <w:tcPr>
            <w:tcW w:w="60" w:type="dxa"/>
            <w:vAlign w:val="bottom"/>
            <w:shd w:val="clear" w:color="auto" w:fill="53C072"/>
          </w:tcPr>
          <w:p>
            <w:pPr>
              <w:spacing w:after="0"/>
              <w:rPr>
                <w:sz w:val="12"/>
                <w:szCs w:val="12"/>
                <w:color w:val="auto"/>
              </w:rPr>
            </w:pPr>
          </w:p>
        </w:tc>
        <w:tc>
          <w:tcPr>
            <w:tcW w:w="780" w:type="dxa"/>
            <w:vAlign w:val="bottom"/>
            <w:shd w:val="clear" w:color="auto" w:fill="53C072"/>
          </w:tcPr>
          <w:p>
            <w:pPr>
              <w:spacing w:after="0"/>
              <w:rPr>
                <w:sz w:val="12"/>
                <w:szCs w:val="12"/>
                <w:color w:val="auto"/>
              </w:rPr>
            </w:pPr>
          </w:p>
        </w:tc>
        <w:tc>
          <w:tcPr>
            <w:tcW w:w="900" w:type="dxa"/>
            <w:vAlign w:val="bottom"/>
            <w:shd w:val="clear" w:color="auto" w:fill="53C072"/>
          </w:tcPr>
          <w:p>
            <w:pPr>
              <w:spacing w:after="0"/>
              <w:rPr>
                <w:sz w:val="12"/>
                <w:szCs w:val="12"/>
                <w:color w:val="auto"/>
              </w:rPr>
            </w:pPr>
          </w:p>
        </w:tc>
        <w:tc>
          <w:tcPr>
            <w:tcW w:w="1000" w:type="dxa"/>
            <w:vAlign w:val="bottom"/>
            <w:shd w:val="clear" w:color="auto" w:fill="53C072"/>
          </w:tcPr>
          <w:p>
            <w:pPr>
              <w:spacing w:after="0"/>
              <w:rPr>
                <w:sz w:val="12"/>
                <w:szCs w:val="12"/>
                <w:color w:val="auto"/>
              </w:rPr>
            </w:pPr>
          </w:p>
        </w:tc>
        <w:tc>
          <w:tcPr>
            <w:tcW w:w="66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640" w:type="dxa"/>
            <w:vAlign w:val="bottom"/>
            <w:shd w:val="clear" w:color="auto" w:fill="53C072"/>
          </w:tcPr>
          <w:p>
            <w:pPr>
              <w:jc w:val="right"/>
              <w:ind w:right="15"/>
              <w:spacing w:after="0" w:line="146" w:lineRule="exact"/>
              <w:rPr>
                <w:sz w:val="20"/>
                <w:szCs w:val="20"/>
                <w:color w:val="auto"/>
              </w:rPr>
            </w:pPr>
            <w:r>
              <w:rPr>
                <w:rFonts w:ascii="Arial" w:cs="Arial" w:eastAsia="Arial" w:hAnsi="Arial"/>
                <w:sz w:val="13"/>
                <w:szCs w:val="13"/>
                <w:b w:val="1"/>
                <w:bCs w:val="1"/>
                <w:color w:val="FFFFFE"/>
              </w:rPr>
              <w:t>of</w:t>
            </w:r>
          </w:p>
        </w:tc>
        <w:tc>
          <w:tcPr>
            <w:tcW w:w="58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of</w:t>
            </w:r>
          </w:p>
        </w:tc>
        <w:tc>
          <w:tcPr>
            <w:tcW w:w="74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of</w:t>
            </w:r>
          </w:p>
        </w:tc>
        <w:tc>
          <w:tcPr>
            <w:tcW w:w="66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Payout</w:t>
            </w:r>
          </w:p>
        </w:tc>
        <w:tc>
          <w:tcPr>
            <w:tcW w:w="0" w:type="dxa"/>
            <w:vAlign w:val="bottom"/>
          </w:tcPr>
          <w:p>
            <w:pPr>
              <w:spacing w:after="0"/>
              <w:rPr>
                <w:sz w:val="1"/>
                <w:szCs w:val="1"/>
                <w:color w:val="auto"/>
              </w:rPr>
            </w:pPr>
          </w:p>
        </w:tc>
      </w:tr>
      <w:tr>
        <w:trPr>
          <w:trHeight w:val="146"/>
        </w:trPr>
        <w:tc>
          <w:tcPr>
            <w:tcW w:w="60" w:type="dxa"/>
            <w:vAlign w:val="bottom"/>
            <w:shd w:val="clear" w:color="auto" w:fill="53C072"/>
          </w:tcPr>
          <w:p>
            <w:pPr>
              <w:spacing w:after="0"/>
              <w:rPr>
                <w:sz w:val="12"/>
                <w:szCs w:val="12"/>
                <w:color w:val="auto"/>
              </w:rPr>
            </w:pPr>
          </w:p>
        </w:tc>
        <w:tc>
          <w:tcPr>
            <w:tcW w:w="780" w:type="dxa"/>
            <w:vAlign w:val="bottom"/>
            <w:shd w:val="clear" w:color="auto" w:fill="53C072"/>
          </w:tcPr>
          <w:p>
            <w:pPr>
              <w:spacing w:after="0"/>
              <w:rPr>
                <w:sz w:val="12"/>
                <w:szCs w:val="12"/>
                <w:color w:val="auto"/>
              </w:rPr>
            </w:pPr>
          </w:p>
        </w:tc>
        <w:tc>
          <w:tcPr>
            <w:tcW w:w="900" w:type="dxa"/>
            <w:vAlign w:val="bottom"/>
            <w:shd w:val="clear" w:color="auto" w:fill="53C072"/>
          </w:tcPr>
          <w:p>
            <w:pPr>
              <w:spacing w:after="0"/>
              <w:rPr>
                <w:sz w:val="12"/>
                <w:szCs w:val="12"/>
                <w:color w:val="auto"/>
              </w:rPr>
            </w:pPr>
          </w:p>
        </w:tc>
        <w:tc>
          <w:tcPr>
            <w:tcW w:w="1000" w:type="dxa"/>
            <w:vAlign w:val="bottom"/>
            <w:shd w:val="clear" w:color="auto" w:fill="53C072"/>
          </w:tcPr>
          <w:p>
            <w:pPr>
              <w:spacing w:after="0"/>
              <w:rPr>
                <w:sz w:val="12"/>
                <w:szCs w:val="12"/>
                <w:color w:val="auto"/>
              </w:rPr>
            </w:pPr>
          </w:p>
        </w:tc>
        <w:tc>
          <w:tcPr>
            <w:tcW w:w="66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640" w:type="dxa"/>
            <w:vAlign w:val="bottom"/>
            <w:shd w:val="clear" w:color="auto" w:fill="53C072"/>
          </w:tcPr>
          <w:p>
            <w:pPr>
              <w:jc w:val="right"/>
              <w:ind w:right="15"/>
              <w:spacing w:after="0" w:line="146" w:lineRule="exact"/>
              <w:rPr>
                <w:sz w:val="20"/>
                <w:szCs w:val="20"/>
                <w:color w:val="auto"/>
              </w:rPr>
            </w:pPr>
            <w:r>
              <w:rPr>
                <w:rFonts w:ascii="Arial" w:cs="Arial" w:eastAsia="Arial" w:hAnsi="Arial"/>
                <w:sz w:val="13"/>
                <w:szCs w:val="13"/>
                <w:b w:val="1"/>
                <w:bCs w:val="1"/>
                <w:color w:val="FFFFFE"/>
              </w:rPr>
              <w:t>Shares</w:t>
            </w:r>
          </w:p>
        </w:tc>
        <w:tc>
          <w:tcPr>
            <w:tcW w:w="58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Shares</w:t>
            </w:r>
          </w:p>
        </w:tc>
        <w:tc>
          <w:tcPr>
            <w:tcW w:w="74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Unearned</w:t>
            </w:r>
          </w:p>
        </w:tc>
        <w:tc>
          <w:tcPr>
            <w:tcW w:w="66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Value of</w:t>
            </w:r>
          </w:p>
        </w:tc>
        <w:tc>
          <w:tcPr>
            <w:tcW w:w="0" w:type="dxa"/>
            <w:vAlign w:val="bottom"/>
          </w:tcPr>
          <w:p>
            <w:pPr>
              <w:spacing w:after="0"/>
              <w:rPr>
                <w:sz w:val="1"/>
                <w:szCs w:val="1"/>
                <w:color w:val="auto"/>
              </w:rPr>
            </w:pPr>
          </w:p>
        </w:tc>
      </w:tr>
      <w:tr>
        <w:trPr>
          <w:trHeight w:val="146"/>
        </w:trPr>
        <w:tc>
          <w:tcPr>
            <w:tcW w:w="60" w:type="dxa"/>
            <w:vAlign w:val="bottom"/>
            <w:shd w:val="clear" w:color="auto" w:fill="53C072"/>
          </w:tcPr>
          <w:p>
            <w:pPr>
              <w:spacing w:after="0"/>
              <w:rPr>
                <w:sz w:val="12"/>
                <w:szCs w:val="12"/>
                <w:color w:val="auto"/>
              </w:rPr>
            </w:pPr>
          </w:p>
        </w:tc>
        <w:tc>
          <w:tcPr>
            <w:tcW w:w="780" w:type="dxa"/>
            <w:vAlign w:val="bottom"/>
            <w:shd w:val="clear" w:color="auto" w:fill="53C072"/>
          </w:tcPr>
          <w:p>
            <w:pPr>
              <w:spacing w:after="0"/>
              <w:rPr>
                <w:sz w:val="12"/>
                <w:szCs w:val="12"/>
                <w:color w:val="auto"/>
              </w:rPr>
            </w:pPr>
          </w:p>
        </w:tc>
        <w:tc>
          <w:tcPr>
            <w:tcW w:w="900" w:type="dxa"/>
            <w:vAlign w:val="bottom"/>
            <w:shd w:val="clear" w:color="auto" w:fill="53C072"/>
          </w:tcPr>
          <w:p>
            <w:pPr>
              <w:spacing w:after="0"/>
              <w:rPr>
                <w:sz w:val="12"/>
                <w:szCs w:val="12"/>
                <w:color w:val="auto"/>
              </w:rPr>
            </w:pPr>
          </w:p>
        </w:tc>
        <w:tc>
          <w:tcPr>
            <w:tcW w:w="1000" w:type="dxa"/>
            <w:vAlign w:val="bottom"/>
            <w:shd w:val="clear" w:color="auto" w:fill="53C072"/>
          </w:tcPr>
          <w:p>
            <w:pPr>
              <w:spacing w:after="0"/>
              <w:rPr>
                <w:sz w:val="12"/>
                <w:szCs w:val="12"/>
                <w:color w:val="auto"/>
              </w:rPr>
            </w:pPr>
          </w:p>
        </w:tc>
        <w:tc>
          <w:tcPr>
            <w:tcW w:w="66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640" w:type="dxa"/>
            <w:vAlign w:val="bottom"/>
            <w:shd w:val="clear" w:color="auto" w:fill="53C072"/>
          </w:tcPr>
          <w:p>
            <w:pPr>
              <w:jc w:val="right"/>
              <w:ind w:right="15"/>
              <w:spacing w:after="0" w:line="146" w:lineRule="exact"/>
              <w:rPr>
                <w:sz w:val="20"/>
                <w:szCs w:val="20"/>
                <w:color w:val="auto"/>
              </w:rPr>
            </w:pPr>
            <w:r>
              <w:rPr>
                <w:rFonts w:ascii="Arial" w:cs="Arial" w:eastAsia="Arial" w:hAnsi="Arial"/>
                <w:sz w:val="13"/>
                <w:szCs w:val="13"/>
                <w:b w:val="1"/>
                <w:bCs w:val="1"/>
                <w:color w:val="FFFFFE"/>
              </w:rPr>
              <w:t>or</w:t>
            </w:r>
          </w:p>
        </w:tc>
        <w:tc>
          <w:tcPr>
            <w:tcW w:w="58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or</w:t>
            </w:r>
          </w:p>
        </w:tc>
        <w:tc>
          <w:tcPr>
            <w:tcW w:w="74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Shares,</w:t>
            </w:r>
          </w:p>
        </w:tc>
        <w:tc>
          <w:tcPr>
            <w:tcW w:w="66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Unearned</w:t>
            </w:r>
          </w:p>
        </w:tc>
        <w:tc>
          <w:tcPr>
            <w:tcW w:w="0" w:type="dxa"/>
            <w:vAlign w:val="bottom"/>
          </w:tcPr>
          <w:p>
            <w:pPr>
              <w:spacing w:after="0"/>
              <w:rPr>
                <w:sz w:val="1"/>
                <w:szCs w:val="1"/>
                <w:color w:val="auto"/>
              </w:rPr>
            </w:pPr>
          </w:p>
        </w:tc>
      </w:tr>
      <w:tr>
        <w:trPr>
          <w:trHeight w:val="146"/>
        </w:trPr>
        <w:tc>
          <w:tcPr>
            <w:tcW w:w="60" w:type="dxa"/>
            <w:vAlign w:val="bottom"/>
            <w:shd w:val="clear" w:color="auto" w:fill="53C072"/>
          </w:tcPr>
          <w:p>
            <w:pPr>
              <w:spacing w:after="0"/>
              <w:rPr>
                <w:sz w:val="12"/>
                <w:szCs w:val="12"/>
                <w:color w:val="auto"/>
              </w:rPr>
            </w:pPr>
          </w:p>
        </w:tc>
        <w:tc>
          <w:tcPr>
            <w:tcW w:w="780" w:type="dxa"/>
            <w:vAlign w:val="bottom"/>
            <w:shd w:val="clear" w:color="auto" w:fill="53C072"/>
          </w:tcPr>
          <w:p>
            <w:pPr>
              <w:spacing w:after="0"/>
              <w:rPr>
                <w:sz w:val="12"/>
                <w:szCs w:val="12"/>
                <w:color w:val="auto"/>
              </w:rPr>
            </w:pPr>
          </w:p>
        </w:tc>
        <w:tc>
          <w:tcPr>
            <w:tcW w:w="900" w:type="dxa"/>
            <w:vAlign w:val="bottom"/>
            <w:vMerge w:val="restart"/>
            <w:shd w:val="clear" w:color="auto" w:fill="53C072"/>
          </w:tcPr>
          <w:p>
            <w:pPr>
              <w:jc w:val="right"/>
              <w:spacing w:after="0"/>
              <w:rPr>
                <w:sz w:val="20"/>
                <w:szCs w:val="20"/>
                <w:color w:val="auto"/>
              </w:rPr>
            </w:pPr>
            <w:r>
              <w:rPr>
                <w:rFonts w:ascii="Arial" w:cs="Arial" w:eastAsia="Arial" w:hAnsi="Arial"/>
                <w:sz w:val="13"/>
                <w:szCs w:val="13"/>
                <w:b w:val="1"/>
                <w:bCs w:val="1"/>
                <w:color w:val="FFFFFE"/>
              </w:rPr>
              <w:t>Number of</w:t>
            </w:r>
          </w:p>
        </w:tc>
        <w:tc>
          <w:tcPr>
            <w:tcW w:w="1000" w:type="dxa"/>
            <w:vAlign w:val="bottom"/>
            <w:vMerge w:val="restart"/>
            <w:shd w:val="clear" w:color="auto" w:fill="53C072"/>
          </w:tcPr>
          <w:p>
            <w:pPr>
              <w:jc w:val="right"/>
              <w:spacing w:after="0"/>
              <w:rPr>
                <w:sz w:val="20"/>
                <w:szCs w:val="20"/>
                <w:color w:val="auto"/>
              </w:rPr>
            </w:pPr>
            <w:r>
              <w:rPr>
                <w:rFonts w:ascii="Arial" w:cs="Arial" w:eastAsia="Arial" w:hAnsi="Arial"/>
                <w:sz w:val="13"/>
                <w:szCs w:val="13"/>
                <w:b w:val="1"/>
                <w:bCs w:val="1"/>
                <w:color w:val="FFFFFE"/>
              </w:rPr>
              <w:t>Number of</w:t>
            </w:r>
          </w:p>
        </w:tc>
        <w:tc>
          <w:tcPr>
            <w:tcW w:w="66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640" w:type="dxa"/>
            <w:vAlign w:val="bottom"/>
            <w:shd w:val="clear" w:color="auto" w:fill="53C072"/>
          </w:tcPr>
          <w:p>
            <w:pPr>
              <w:jc w:val="right"/>
              <w:ind w:right="15"/>
              <w:spacing w:after="0" w:line="146" w:lineRule="exact"/>
              <w:rPr>
                <w:sz w:val="20"/>
                <w:szCs w:val="20"/>
                <w:color w:val="auto"/>
              </w:rPr>
            </w:pPr>
            <w:r>
              <w:rPr>
                <w:rFonts w:ascii="Arial" w:cs="Arial" w:eastAsia="Arial" w:hAnsi="Arial"/>
                <w:sz w:val="13"/>
                <w:szCs w:val="13"/>
                <w:b w:val="1"/>
                <w:bCs w:val="1"/>
                <w:color w:val="FFFFFE"/>
              </w:rPr>
              <w:t>Units of</w:t>
            </w:r>
          </w:p>
        </w:tc>
        <w:tc>
          <w:tcPr>
            <w:tcW w:w="58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Units</w:t>
            </w:r>
          </w:p>
        </w:tc>
        <w:tc>
          <w:tcPr>
            <w:tcW w:w="74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Units or</w:t>
            </w:r>
          </w:p>
        </w:tc>
        <w:tc>
          <w:tcPr>
            <w:tcW w:w="66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Shares,</w:t>
            </w:r>
          </w:p>
        </w:tc>
        <w:tc>
          <w:tcPr>
            <w:tcW w:w="0" w:type="dxa"/>
            <w:vAlign w:val="bottom"/>
          </w:tcPr>
          <w:p>
            <w:pPr>
              <w:spacing w:after="0"/>
              <w:rPr>
                <w:sz w:val="1"/>
                <w:szCs w:val="1"/>
                <w:color w:val="auto"/>
              </w:rPr>
            </w:pPr>
          </w:p>
        </w:tc>
      </w:tr>
      <w:tr>
        <w:trPr>
          <w:trHeight w:val="146"/>
        </w:trPr>
        <w:tc>
          <w:tcPr>
            <w:tcW w:w="60" w:type="dxa"/>
            <w:vAlign w:val="bottom"/>
            <w:shd w:val="clear" w:color="auto" w:fill="53C072"/>
          </w:tcPr>
          <w:p>
            <w:pPr>
              <w:spacing w:after="0"/>
              <w:rPr>
                <w:sz w:val="12"/>
                <w:szCs w:val="12"/>
                <w:color w:val="auto"/>
              </w:rPr>
            </w:pPr>
          </w:p>
        </w:tc>
        <w:tc>
          <w:tcPr>
            <w:tcW w:w="780" w:type="dxa"/>
            <w:vAlign w:val="bottom"/>
            <w:shd w:val="clear" w:color="auto" w:fill="53C072"/>
          </w:tcPr>
          <w:p>
            <w:pPr>
              <w:spacing w:after="0"/>
              <w:rPr>
                <w:sz w:val="12"/>
                <w:szCs w:val="12"/>
                <w:color w:val="auto"/>
              </w:rPr>
            </w:pPr>
          </w:p>
        </w:tc>
        <w:tc>
          <w:tcPr>
            <w:tcW w:w="900" w:type="dxa"/>
            <w:vAlign w:val="bottom"/>
            <w:vMerge w:val="continue"/>
            <w:shd w:val="clear" w:color="auto" w:fill="53C072"/>
          </w:tcPr>
          <w:p>
            <w:pPr>
              <w:spacing w:after="0"/>
              <w:rPr>
                <w:sz w:val="12"/>
                <w:szCs w:val="12"/>
                <w:color w:val="auto"/>
              </w:rPr>
            </w:pPr>
          </w:p>
        </w:tc>
        <w:tc>
          <w:tcPr>
            <w:tcW w:w="1000" w:type="dxa"/>
            <w:vAlign w:val="bottom"/>
            <w:vMerge w:val="continue"/>
            <w:shd w:val="clear" w:color="auto" w:fill="53C072"/>
          </w:tcPr>
          <w:p>
            <w:pPr>
              <w:spacing w:after="0"/>
              <w:rPr>
                <w:sz w:val="12"/>
                <w:szCs w:val="12"/>
                <w:color w:val="auto"/>
              </w:rPr>
            </w:pPr>
          </w:p>
        </w:tc>
        <w:tc>
          <w:tcPr>
            <w:tcW w:w="66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640" w:type="dxa"/>
            <w:vAlign w:val="bottom"/>
            <w:shd w:val="clear" w:color="auto" w:fill="53C072"/>
          </w:tcPr>
          <w:p>
            <w:pPr>
              <w:jc w:val="right"/>
              <w:ind w:right="15"/>
              <w:spacing w:after="0" w:line="146" w:lineRule="exact"/>
              <w:rPr>
                <w:sz w:val="20"/>
                <w:szCs w:val="20"/>
                <w:color w:val="auto"/>
              </w:rPr>
            </w:pPr>
            <w:r>
              <w:rPr>
                <w:rFonts w:ascii="Arial" w:cs="Arial" w:eastAsia="Arial" w:hAnsi="Arial"/>
                <w:sz w:val="13"/>
                <w:szCs w:val="13"/>
                <w:b w:val="1"/>
                <w:bCs w:val="1"/>
                <w:color w:val="FFFFFE"/>
              </w:rPr>
              <w:t>Stock</w:t>
            </w:r>
          </w:p>
        </w:tc>
        <w:tc>
          <w:tcPr>
            <w:tcW w:w="58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of</w:t>
            </w:r>
          </w:p>
        </w:tc>
        <w:tc>
          <w:tcPr>
            <w:tcW w:w="74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Other</w:t>
            </w:r>
          </w:p>
        </w:tc>
        <w:tc>
          <w:tcPr>
            <w:tcW w:w="66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Units or</w:t>
            </w:r>
          </w:p>
        </w:tc>
        <w:tc>
          <w:tcPr>
            <w:tcW w:w="0" w:type="dxa"/>
            <w:vAlign w:val="bottom"/>
          </w:tcPr>
          <w:p>
            <w:pPr>
              <w:spacing w:after="0"/>
              <w:rPr>
                <w:sz w:val="1"/>
                <w:szCs w:val="1"/>
                <w:color w:val="auto"/>
              </w:rPr>
            </w:pPr>
          </w:p>
        </w:tc>
      </w:tr>
      <w:tr>
        <w:trPr>
          <w:trHeight w:val="146"/>
        </w:trPr>
        <w:tc>
          <w:tcPr>
            <w:tcW w:w="60" w:type="dxa"/>
            <w:vAlign w:val="bottom"/>
            <w:shd w:val="clear" w:color="auto" w:fill="53C072"/>
          </w:tcPr>
          <w:p>
            <w:pPr>
              <w:spacing w:after="0"/>
              <w:rPr>
                <w:sz w:val="12"/>
                <w:szCs w:val="12"/>
                <w:color w:val="auto"/>
              </w:rPr>
            </w:pPr>
          </w:p>
        </w:tc>
        <w:tc>
          <w:tcPr>
            <w:tcW w:w="780" w:type="dxa"/>
            <w:vAlign w:val="bottom"/>
            <w:shd w:val="clear" w:color="auto" w:fill="53C072"/>
          </w:tcPr>
          <w:p>
            <w:pPr>
              <w:spacing w:after="0"/>
              <w:rPr>
                <w:sz w:val="12"/>
                <w:szCs w:val="12"/>
                <w:color w:val="auto"/>
              </w:rPr>
            </w:pPr>
          </w:p>
        </w:tc>
        <w:tc>
          <w:tcPr>
            <w:tcW w:w="90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Securities</w:t>
            </w:r>
          </w:p>
        </w:tc>
        <w:tc>
          <w:tcPr>
            <w:tcW w:w="100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Securities</w:t>
            </w:r>
          </w:p>
        </w:tc>
        <w:tc>
          <w:tcPr>
            <w:tcW w:w="66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640" w:type="dxa"/>
            <w:vAlign w:val="bottom"/>
            <w:shd w:val="clear" w:color="auto" w:fill="53C072"/>
          </w:tcPr>
          <w:p>
            <w:pPr>
              <w:jc w:val="right"/>
              <w:ind w:right="15"/>
              <w:spacing w:after="0" w:line="146" w:lineRule="exact"/>
              <w:rPr>
                <w:sz w:val="20"/>
                <w:szCs w:val="20"/>
                <w:color w:val="auto"/>
              </w:rPr>
            </w:pPr>
            <w:r>
              <w:rPr>
                <w:rFonts w:ascii="Arial" w:cs="Arial" w:eastAsia="Arial" w:hAnsi="Arial"/>
                <w:sz w:val="13"/>
                <w:szCs w:val="13"/>
                <w:b w:val="1"/>
                <w:bCs w:val="1"/>
                <w:color w:val="FFFFFE"/>
              </w:rPr>
              <w:t>That</w:t>
            </w:r>
          </w:p>
        </w:tc>
        <w:tc>
          <w:tcPr>
            <w:tcW w:w="58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Stock</w:t>
            </w:r>
          </w:p>
        </w:tc>
        <w:tc>
          <w:tcPr>
            <w:tcW w:w="74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Rights</w:t>
            </w:r>
          </w:p>
        </w:tc>
        <w:tc>
          <w:tcPr>
            <w:tcW w:w="66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Other</w:t>
            </w:r>
          </w:p>
        </w:tc>
        <w:tc>
          <w:tcPr>
            <w:tcW w:w="0" w:type="dxa"/>
            <w:vAlign w:val="bottom"/>
          </w:tcPr>
          <w:p>
            <w:pPr>
              <w:spacing w:after="0"/>
              <w:rPr>
                <w:sz w:val="1"/>
                <w:szCs w:val="1"/>
                <w:color w:val="auto"/>
              </w:rPr>
            </w:pPr>
          </w:p>
        </w:tc>
      </w:tr>
      <w:tr>
        <w:trPr>
          <w:trHeight w:val="146"/>
        </w:trPr>
        <w:tc>
          <w:tcPr>
            <w:tcW w:w="60" w:type="dxa"/>
            <w:vAlign w:val="bottom"/>
            <w:shd w:val="clear" w:color="auto" w:fill="53C072"/>
          </w:tcPr>
          <w:p>
            <w:pPr>
              <w:spacing w:after="0"/>
              <w:rPr>
                <w:sz w:val="12"/>
                <w:szCs w:val="12"/>
                <w:color w:val="auto"/>
              </w:rPr>
            </w:pPr>
          </w:p>
        </w:tc>
        <w:tc>
          <w:tcPr>
            <w:tcW w:w="780" w:type="dxa"/>
            <w:vAlign w:val="bottom"/>
            <w:shd w:val="clear" w:color="auto" w:fill="53C072"/>
          </w:tcPr>
          <w:p>
            <w:pPr>
              <w:spacing w:after="0"/>
              <w:rPr>
                <w:sz w:val="12"/>
                <w:szCs w:val="12"/>
                <w:color w:val="auto"/>
              </w:rPr>
            </w:pPr>
          </w:p>
        </w:tc>
        <w:tc>
          <w:tcPr>
            <w:tcW w:w="90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Underlying</w:t>
            </w:r>
          </w:p>
        </w:tc>
        <w:tc>
          <w:tcPr>
            <w:tcW w:w="100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Underlying</w:t>
            </w:r>
          </w:p>
        </w:tc>
        <w:tc>
          <w:tcPr>
            <w:tcW w:w="660" w:type="dxa"/>
            <w:vAlign w:val="bottom"/>
            <w:vMerge w:val="restart"/>
            <w:shd w:val="clear" w:color="auto" w:fill="53C072"/>
          </w:tcPr>
          <w:p>
            <w:pPr>
              <w:jc w:val="right"/>
              <w:spacing w:after="0"/>
              <w:rPr>
                <w:sz w:val="20"/>
                <w:szCs w:val="20"/>
                <w:color w:val="auto"/>
              </w:rPr>
            </w:pPr>
            <w:r>
              <w:rPr>
                <w:rFonts w:ascii="Arial" w:cs="Arial" w:eastAsia="Arial" w:hAnsi="Arial"/>
                <w:sz w:val="13"/>
                <w:szCs w:val="13"/>
                <w:b w:val="1"/>
                <w:bCs w:val="1"/>
                <w:color w:val="FFFFFE"/>
              </w:rPr>
              <w:t>Option</w:t>
            </w:r>
          </w:p>
        </w:tc>
        <w:tc>
          <w:tcPr>
            <w:tcW w:w="700" w:type="dxa"/>
            <w:vAlign w:val="bottom"/>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700" w:type="dxa"/>
            <w:vAlign w:val="bottom"/>
            <w:shd w:val="clear" w:color="auto" w:fill="53C072"/>
          </w:tcPr>
          <w:p>
            <w:pPr>
              <w:spacing w:after="0"/>
              <w:rPr>
                <w:sz w:val="12"/>
                <w:szCs w:val="12"/>
                <w:color w:val="auto"/>
              </w:rPr>
            </w:pPr>
          </w:p>
        </w:tc>
        <w:tc>
          <w:tcPr>
            <w:tcW w:w="640" w:type="dxa"/>
            <w:vAlign w:val="bottom"/>
            <w:shd w:val="clear" w:color="auto" w:fill="53C072"/>
          </w:tcPr>
          <w:p>
            <w:pPr>
              <w:jc w:val="right"/>
              <w:ind w:right="15"/>
              <w:spacing w:after="0" w:line="146" w:lineRule="exact"/>
              <w:rPr>
                <w:sz w:val="20"/>
                <w:szCs w:val="20"/>
                <w:color w:val="auto"/>
              </w:rPr>
            </w:pPr>
            <w:r>
              <w:rPr>
                <w:rFonts w:ascii="Arial" w:cs="Arial" w:eastAsia="Arial" w:hAnsi="Arial"/>
                <w:sz w:val="13"/>
                <w:szCs w:val="13"/>
                <w:b w:val="1"/>
                <w:bCs w:val="1"/>
                <w:color w:val="FFFFFE"/>
              </w:rPr>
              <w:t>Have</w:t>
            </w:r>
          </w:p>
        </w:tc>
        <w:tc>
          <w:tcPr>
            <w:tcW w:w="58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That</w:t>
            </w:r>
          </w:p>
        </w:tc>
        <w:tc>
          <w:tcPr>
            <w:tcW w:w="74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That</w:t>
            </w:r>
          </w:p>
        </w:tc>
        <w:tc>
          <w:tcPr>
            <w:tcW w:w="66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Rights</w:t>
            </w:r>
          </w:p>
        </w:tc>
        <w:tc>
          <w:tcPr>
            <w:tcW w:w="0" w:type="dxa"/>
            <w:vAlign w:val="bottom"/>
          </w:tcPr>
          <w:p>
            <w:pPr>
              <w:spacing w:after="0"/>
              <w:rPr>
                <w:sz w:val="1"/>
                <w:szCs w:val="1"/>
                <w:color w:val="auto"/>
              </w:rPr>
            </w:pPr>
          </w:p>
        </w:tc>
      </w:tr>
      <w:tr>
        <w:trPr>
          <w:trHeight w:val="146"/>
        </w:trPr>
        <w:tc>
          <w:tcPr>
            <w:tcW w:w="60" w:type="dxa"/>
            <w:vAlign w:val="bottom"/>
            <w:shd w:val="clear" w:color="auto" w:fill="53C072"/>
          </w:tcPr>
          <w:p>
            <w:pPr>
              <w:spacing w:after="0"/>
              <w:rPr>
                <w:sz w:val="12"/>
                <w:szCs w:val="12"/>
                <w:color w:val="auto"/>
              </w:rPr>
            </w:pPr>
          </w:p>
        </w:tc>
        <w:tc>
          <w:tcPr>
            <w:tcW w:w="780" w:type="dxa"/>
            <w:vAlign w:val="bottom"/>
            <w:shd w:val="clear" w:color="auto" w:fill="53C072"/>
          </w:tcPr>
          <w:p>
            <w:pPr>
              <w:spacing w:after="0"/>
              <w:rPr>
                <w:sz w:val="12"/>
                <w:szCs w:val="12"/>
                <w:color w:val="auto"/>
              </w:rPr>
            </w:pPr>
          </w:p>
        </w:tc>
        <w:tc>
          <w:tcPr>
            <w:tcW w:w="90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Unexercised</w:t>
            </w:r>
          </w:p>
        </w:tc>
        <w:tc>
          <w:tcPr>
            <w:tcW w:w="100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Unexercised</w:t>
            </w:r>
          </w:p>
        </w:tc>
        <w:tc>
          <w:tcPr>
            <w:tcW w:w="660" w:type="dxa"/>
            <w:vAlign w:val="bottom"/>
            <w:vMerge w:val="continue"/>
            <w:shd w:val="clear" w:color="auto" w:fill="53C072"/>
          </w:tcPr>
          <w:p>
            <w:pPr>
              <w:spacing w:after="0"/>
              <w:rPr>
                <w:sz w:val="12"/>
                <w:szCs w:val="12"/>
                <w:color w:val="auto"/>
              </w:rPr>
            </w:pPr>
          </w:p>
        </w:tc>
        <w:tc>
          <w:tcPr>
            <w:tcW w:w="700" w:type="dxa"/>
            <w:vAlign w:val="bottom"/>
            <w:vMerge w:val="restart"/>
            <w:shd w:val="clear" w:color="auto" w:fill="53C072"/>
          </w:tcPr>
          <w:p>
            <w:pPr>
              <w:jc w:val="right"/>
              <w:spacing w:after="0"/>
              <w:rPr>
                <w:sz w:val="20"/>
                <w:szCs w:val="20"/>
                <w:color w:val="auto"/>
              </w:rPr>
            </w:pPr>
            <w:r>
              <w:rPr>
                <w:rFonts w:ascii="Arial" w:cs="Arial" w:eastAsia="Arial" w:hAnsi="Arial"/>
                <w:sz w:val="13"/>
                <w:szCs w:val="13"/>
                <w:b w:val="1"/>
                <w:bCs w:val="1"/>
                <w:color w:val="FFFFFE"/>
              </w:rPr>
              <w:t>Option</w:t>
            </w:r>
          </w:p>
        </w:tc>
        <w:tc>
          <w:tcPr>
            <w:tcW w:w="80" w:type="dxa"/>
            <w:vAlign w:val="bottom"/>
            <w:shd w:val="clear" w:color="auto" w:fill="53C072"/>
          </w:tcPr>
          <w:p>
            <w:pPr>
              <w:spacing w:after="0"/>
              <w:rPr>
                <w:sz w:val="12"/>
                <w:szCs w:val="12"/>
                <w:color w:val="auto"/>
              </w:rPr>
            </w:pPr>
          </w:p>
        </w:tc>
        <w:tc>
          <w:tcPr>
            <w:tcW w:w="700" w:type="dxa"/>
            <w:vAlign w:val="bottom"/>
            <w:vMerge w:val="restart"/>
            <w:shd w:val="clear" w:color="auto" w:fill="53C072"/>
          </w:tcPr>
          <w:p>
            <w:pPr>
              <w:jc w:val="right"/>
              <w:spacing w:after="0"/>
              <w:rPr>
                <w:sz w:val="20"/>
                <w:szCs w:val="20"/>
                <w:color w:val="auto"/>
              </w:rPr>
            </w:pPr>
            <w:r>
              <w:rPr>
                <w:rFonts w:ascii="Arial" w:cs="Arial" w:eastAsia="Arial" w:hAnsi="Arial"/>
                <w:sz w:val="13"/>
                <w:szCs w:val="13"/>
                <w:b w:val="1"/>
                <w:bCs w:val="1"/>
                <w:color w:val="FFFFFE"/>
              </w:rPr>
              <w:t>Stock</w:t>
            </w:r>
          </w:p>
        </w:tc>
        <w:tc>
          <w:tcPr>
            <w:tcW w:w="640" w:type="dxa"/>
            <w:vAlign w:val="bottom"/>
            <w:shd w:val="clear" w:color="auto" w:fill="53C072"/>
          </w:tcPr>
          <w:p>
            <w:pPr>
              <w:jc w:val="right"/>
              <w:ind w:right="15"/>
              <w:spacing w:after="0" w:line="146" w:lineRule="exact"/>
              <w:rPr>
                <w:sz w:val="20"/>
                <w:szCs w:val="20"/>
                <w:color w:val="auto"/>
              </w:rPr>
            </w:pPr>
            <w:r>
              <w:rPr>
                <w:rFonts w:ascii="Arial" w:cs="Arial" w:eastAsia="Arial" w:hAnsi="Arial"/>
                <w:sz w:val="13"/>
                <w:szCs w:val="13"/>
                <w:b w:val="1"/>
                <w:bCs w:val="1"/>
                <w:color w:val="FFFFFE"/>
              </w:rPr>
              <w:t>Not</w:t>
            </w:r>
          </w:p>
        </w:tc>
        <w:tc>
          <w:tcPr>
            <w:tcW w:w="58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Have</w:t>
            </w:r>
          </w:p>
        </w:tc>
        <w:tc>
          <w:tcPr>
            <w:tcW w:w="74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Have Not</w:t>
            </w:r>
          </w:p>
        </w:tc>
        <w:tc>
          <w:tcPr>
            <w:tcW w:w="66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That</w:t>
            </w:r>
          </w:p>
        </w:tc>
        <w:tc>
          <w:tcPr>
            <w:tcW w:w="0" w:type="dxa"/>
            <w:vAlign w:val="bottom"/>
          </w:tcPr>
          <w:p>
            <w:pPr>
              <w:spacing w:after="0"/>
              <w:rPr>
                <w:sz w:val="1"/>
                <w:szCs w:val="1"/>
                <w:color w:val="auto"/>
              </w:rPr>
            </w:pPr>
          </w:p>
        </w:tc>
      </w:tr>
      <w:tr>
        <w:trPr>
          <w:trHeight w:val="146"/>
        </w:trPr>
        <w:tc>
          <w:tcPr>
            <w:tcW w:w="60" w:type="dxa"/>
            <w:vAlign w:val="bottom"/>
            <w:shd w:val="clear" w:color="auto" w:fill="53C072"/>
          </w:tcPr>
          <w:p>
            <w:pPr>
              <w:spacing w:after="0"/>
              <w:rPr>
                <w:sz w:val="12"/>
                <w:szCs w:val="12"/>
                <w:color w:val="auto"/>
              </w:rPr>
            </w:pPr>
          </w:p>
        </w:tc>
        <w:tc>
          <w:tcPr>
            <w:tcW w:w="780" w:type="dxa"/>
            <w:vAlign w:val="bottom"/>
            <w:vMerge w:val="restart"/>
            <w:shd w:val="clear" w:color="auto" w:fill="53C072"/>
          </w:tcPr>
          <w:p>
            <w:pPr>
              <w:jc w:val="right"/>
              <w:spacing w:after="0"/>
              <w:rPr>
                <w:sz w:val="20"/>
                <w:szCs w:val="20"/>
                <w:color w:val="auto"/>
              </w:rPr>
            </w:pPr>
            <w:r>
              <w:rPr>
                <w:rFonts w:ascii="Arial" w:cs="Arial" w:eastAsia="Arial" w:hAnsi="Arial"/>
                <w:sz w:val="13"/>
                <w:szCs w:val="13"/>
                <w:b w:val="1"/>
                <w:bCs w:val="1"/>
                <w:color w:val="FFFFFE"/>
              </w:rPr>
              <w:t>Option</w:t>
            </w:r>
          </w:p>
        </w:tc>
        <w:tc>
          <w:tcPr>
            <w:tcW w:w="90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Options</w:t>
            </w:r>
          </w:p>
        </w:tc>
        <w:tc>
          <w:tcPr>
            <w:tcW w:w="100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Options</w:t>
            </w:r>
          </w:p>
        </w:tc>
        <w:tc>
          <w:tcPr>
            <w:tcW w:w="66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Exercise</w:t>
            </w:r>
          </w:p>
        </w:tc>
        <w:tc>
          <w:tcPr>
            <w:tcW w:w="700" w:type="dxa"/>
            <w:vAlign w:val="bottom"/>
            <w:vMerge w:val="continue"/>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700" w:type="dxa"/>
            <w:vAlign w:val="bottom"/>
            <w:vMerge w:val="continue"/>
            <w:shd w:val="clear" w:color="auto" w:fill="53C072"/>
          </w:tcPr>
          <w:p>
            <w:pPr>
              <w:spacing w:after="0"/>
              <w:rPr>
                <w:sz w:val="12"/>
                <w:szCs w:val="12"/>
                <w:color w:val="auto"/>
              </w:rPr>
            </w:pPr>
          </w:p>
        </w:tc>
        <w:tc>
          <w:tcPr>
            <w:tcW w:w="640" w:type="dxa"/>
            <w:vAlign w:val="bottom"/>
            <w:shd w:val="clear" w:color="auto" w:fill="53C072"/>
          </w:tcPr>
          <w:p>
            <w:pPr>
              <w:jc w:val="right"/>
              <w:ind w:right="15"/>
              <w:spacing w:after="0" w:line="146" w:lineRule="exact"/>
              <w:rPr>
                <w:sz w:val="20"/>
                <w:szCs w:val="20"/>
                <w:color w:val="auto"/>
              </w:rPr>
            </w:pPr>
            <w:r>
              <w:rPr>
                <w:rFonts w:ascii="Arial" w:cs="Arial" w:eastAsia="Arial" w:hAnsi="Arial"/>
                <w:sz w:val="13"/>
                <w:szCs w:val="13"/>
                <w:b w:val="1"/>
                <w:bCs w:val="1"/>
                <w:color w:val="FFFFFE"/>
              </w:rPr>
              <w:t>Vested</w:t>
            </w:r>
          </w:p>
        </w:tc>
        <w:tc>
          <w:tcPr>
            <w:tcW w:w="58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Not</w:t>
            </w:r>
          </w:p>
        </w:tc>
        <w:tc>
          <w:tcPr>
            <w:tcW w:w="74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Vested</w:t>
            </w:r>
          </w:p>
        </w:tc>
        <w:tc>
          <w:tcPr>
            <w:tcW w:w="66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Have Not</w:t>
            </w:r>
          </w:p>
        </w:tc>
        <w:tc>
          <w:tcPr>
            <w:tcW w:w="0" w:type="dxa"/>
            <w:vAlign w:val="bottom"/>
          </w:tcPr>
          <w:p>
            <w:pPr>
              <w:spacing w:after="0"/>
              <w:rPr>
                <w:sz w:val="1"/>
                <w:szCs w:val="1"/>
                <w:color w:val="auto"/>
              </w:rPr>
            </w:pPr>
          </w:p>
        </w:tc>
      </w:tr>
      <w:tr>
        <w:trPr>
          <w:trHeight w:val="146"/>
        </w:trPr>
        <w:tc>
          <w:tcPr>
            <w:tcW w:w="60" w:type="dxa"/>
            <w:vAlign w:val="bottom"/>
            <w:shd w:val="clear" w:color="auto" w:fill="53C072"/>
          </w:tcPr>
          <w:p>
            <w:pPr>
              <w:spacing w:after="0"/>
              <w:rPr>
                <w:sz w:val="12"/>
                <w:szCs w:val="12"/>
                <w:color w:val="auto"/>
              </w:rPr>
            </w:pPr>
          </w:p>
        </w:tc>
        <w:tc>
          <w:tcPr>
            <w:tcW w:w="780" w:type="dxa"/>
            <w:vAlign w:val="bottom"/>
            <w:vMerge w:val="continue"/>
            <w:shd w:val="clear" w:color="auto" w:fill="53C072"/>
          </w:tcPr>
          <w:p>
            <w:pPr>
              <w:spacing w:after="0"/>
              <w:rPr>
                <w:sz w:val="12"/>
                <w:szCs w:val="12"/>
                <w:color w:val="auto"/>
              </w:rPr>
            </w:pPr>
          </w:p>
        </w:tc>
        <w:tc>
          <w:tcPr>
            <w:tcW w:w="90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w:t>
            </w:r>
          </w:p>
        </w:tc>
        <w:tc>
          <w:tcPr>
            <w:tcW w:w="100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w:t>
            </w:r>
          </w:p>
        </w:tc>
        <w:tc>
          <w:tcPr>
            <w:tcW w:w="66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Price</w:t>
            </w:r>
          </w:p>
        </w:tc>
        <w:tc>
          <w:tcPr>
            <w:tcW w:w="70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Expiration</w:t>
            </w:r>
          </w:p>
        </w:tc>
        <w:tc>
          <w:tcPr>
            <w:tcW w:w="80" w:type="dxa"/>
            <w:vAlign w:val="bottom"/>
            <w:shd w:val="clear" w:color="auto" w:fill="53C072"/>
          </w:tcPr>
          <w:p>
            <w:pPr>
              <w:spacing w:after="0"/>
              <w:rPr>
                <w:sz w:val="12"/>
                <w:szCs w:val="12"/>
                <w:color w:val="auto"/>
              </w:rPr>
            </w:pPr>
          </w:p>
        </w:tc>
        <w:tc>
          <w:tcPr>
            <w:tcW w:w="70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Award</w:t>
            </w:r>
          </w:p>
        </w:tc>
        <w:tc>
          <w:tcPr>
            <w:tcW w:w="640" w:type="dxa"/>
            <w:vAlign w:val="bottom"/>
            <w:shd w:val="clear" w:color="auto" w:fill="53C072"/>
          </w:tcPr>
          <w:p>
            <w:pPr>
              <w:jc w:val="right"/>
              <w:ind w:right="15"/>
              <w:spacing w:after="0" w:line="146" w:lineRule="exact"/>
              <w:rPr>
                <w:sz w:val="20"/>
                <w:szCs w:val="20"/>
                <w:color w:val="auto"/>
              </w:rPr>
            </w:pPr>
            <w:r>
              <w:rPr>
                <w:rFonts w:ascii="Arial" w:cs="Arial" w:eastAsia="Arial" w:hAnsi="Arial"/>
                <w:sz w:val="13"/>
                <w:szCs w:val="13"/>
                <w:b w:val="1"/>
                <w:bCs w:val="1"/>
                <w:color w:val="FFFFFE"/>
              </w:rPr>
              <w:t>(RSUs)</w:t>
            </w:r>
          </w:p>
        </w:tc>
        <w:tc>
          <w:tcPr>
            <w:tcW w:w="58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Vested</w:t>
            </w:r>
          </w:p>
        </w:tc>
        <w:tc>
          <w:tcPr>
            <w:tcW w:w="74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(PSUs)</w:t>
            </w:r>
          </w:p>
        </w:tc>
        <w:tc>
          <w:tcPr>
            <w:tcW w:w="66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Vested</w:t>
            </w:r>
          </w:p>
        </w:tc>
        <w:tc>
          <w:tcPr>
            <w:tcW w:w="0" w:type="dxa"/>
            <w:vAlign w:val="bottom"/>
          </w:tcPr>
          <w:p>
            <w:pPr>
              <w:spacing w:after="0"/>
              <w:rPr>
                <w:sz w:val="1"/>
                <w:szCs w:val="1"/>
                <w:color w:val="auto"/>
              </w:rPr>
            </w:pPr>
          </w:p>
        </w:tc>
      </w:tr>
      <w:tr>
        <w:trPr>
          <w:trHeight w:val="146"/>
        </w:trPr>
        <w:tc>
          <w:tcPr>
            <w:tcW w:w="60" w:type="dxa"/>
            <w:vAlign w:val="bottom"/>
            <w:shd w:val="clear" w:color="auto" w:fill="53C072"/>
          </w:tcPr>
          <w:p>
            <w:pPr>
              <w:spacing w:after="0"/>
              <w:rPr>
                <w:sz w:val="12"/>
                <w:szCs w:val="12"/>
                <w:color w:val="auto"/>
              </w:rPr>
            </w:pPr>
          </w:p>
        </w:tc>
        <w:tc>
          <w:tcPr>
            <w:tcW w:w="78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Grant</w:t>
            </w:r>
          </w:p>
        </w:tc>
        <w:tc>
          <w:tcPr>
            <w:tcW w:w="90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Exercisable</w:t>
            </w:r>
          </w:p>
        </w:tc>
        <w:tc>
          <w:tcPr>
            <w:tcW w:w="100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Unexercisable</w:t>
            </w:r>
          </w:p>
        </w:tc>
        <w:tc>
          <w:tcPr>
            <w:tcW w:w="66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w:t>
            </w:r>
          </w:p>
        </w:tc>
        <w:tc>
          <w:tcPr>
            <w:tcW w:w="70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Date</w:t>
            </w:r>
          </w:p>
        </w:tc>
        <w:tc>
          <w:tcPr>
            <w:tcW w:w="80" w:type="dxa"/>
            <w:vAlign w:val="bottom"/>
            <w:shd w:val="clear" w:color="auto" w:fill="53C072"/>
          </w:tcPr>
          <w:p>
            <w:pPr>
              <w:spacing w:after="0"/>
              <w:rPr>
                <w:sz w:val="12"/>
                <w:szCs w:val="12"/>
                <w:color w:val="auto"/>
              </w:rPr>
            </w:pPr>
          </w:p>
        </w:tc>
        <w:tc>
          <w:tcPr>
            <w:tcW w:w="70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Grant</w:t>
            </w:r>
          </w:p>
        </w:tc>
        <w:tc>
          <w:tcPr>
            <w:tcW w:w="640" w:type="dxa"/>
            <w:vAlign w:val="bottom"/>
            <w:shd w:val="clear" w:color="auto" w:fill="53C072"/>
          </w:tcPr>
          <w:p>
            <w:pPr>
              <w:jc w:val="right"/>
              <w:ind w:right="15"/>
              <w:spacing w:after="0" w:line="146" w:lineRule="exact"/>
              <w:rPr>
                <w:sz w:val="20"/>
                <w:szCs w:val="20"/>
                <w:color w:val="auto"/>
              </w:rPr>
            </w:pPr>
            <w:r>
              <w:rPr>
                <w:rFonts w:ascii="Arial" w:cs="Arial" w:eastAsia="Arial" w:hAnsi="Arial"/>
                <w:sz w:val="13"/>
                <w:szCs w:val="13"/>
                <w:b w:val="1"/>
                <w:bCs w:val="1"/>
                <w:color w:val="FFFFFE"/>
              </w:rPr>
              <w:t>(#)</w:t>
            </w:r>
          </w:p>
        </w:tc>
        <w:tc>
          <w:tcPr>
            <w:tcW w:w="58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w:t>
            </w:r>
          </w:p>
        </w:tc>
        <w:tc>
          <w:tcPr>
            <w:tcW w:w="74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w:t>
            </w:r>
          </w:p>
        </w:tc>
        <w:tc>
          <w:tcPr>
            <w:tcW w:w="66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w:t>
            </w:r>
          </w:p>
        </w:tc>
        <w:tc>
          <w:tcPr>
            <w:tcW w:w="0" w:type="dxa"/>
            <w:vAlign w:val="bottom"/>
          </w:tcPr>
          <w:p>
            <w:pPr>
              <w:spacing w:after="0"/>
              <w:rPr>
                <w:sz w:val="1"/>
                <w:szCs w:val="1"/>
                <w:color w:val="auto"/>
              </w:rPr>
            </w:pPr>
          </w:p>
        </w:tc>
      </w:tr>
      <w:tr>
        <w:trPr>
          <w:trHeight w:val="159"/>
        </w:trPr>
        <w:tc>
          <w:tcPr>
            <w:tcW w:w="60" w:type="dxa"/>
            <w:vAlign w:val="bottom"/>
            <w:shd w:val="clear" w:color="auto" w:fill="53C072"/>
          </w:tcPr>
          <w:p>
            <w:pPr>
              <w:spacing w:after="0"/>
              <w:rPr>
                <w:sz w:val="13"/>
                <w:szCs w:val="13"/>
                <w:color w:val="auto"/>
              </w:rPr>
            </w:pPr>
          </w:p>
        </w:tc>
        <w:tc>
          <w:tcPr>
            <w:tcW w:w="78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Date</w:t>
            </w:r>
          </w:p>
        </w:tc>
        <w:tc>
          <w:tcPr>
            <w:tcW w:w="90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(b)</w:t>
            </w:r>
          </w:p>
        </w:tc>
        <w:tc>
          <w:tcPr>
            <w:tcW w:w="100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(c)</w:t>
            </w:r>
          </w:p>
        </w:tc>
        <w:tc>
          <w:tcPr>
            <w:tcW w:w="66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(e)</w:t>
            </w:r>
          </w:p>
        </w:tc>
        <w:tc>
          <w:tcPr>
            <w:tcW w:w="70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(f)</w:t>
            </w:r>
          </w:p>
        </w:tc>
        <w:tc>
          <w:tcPr>
            <w:tcW w:w="80" w:type="dxa"/>
            <w:vAlign w:val="bottom"/>
            <w:shd w:val="clear" w:color="auto" w:fill="53C072"/>
          </w:tcPr>
          <w:p>
            <w:pPr>
              <w:spacing w:after="0"/>
              <w:rPr>
                <w:sz w:val="13"/>
                <w:szCs w:val="13"/>
                <w:color w:val="auto"/>
              </w:rPr>
            </w:pPr>
          </w:p>
        </w:tc>
        <w:tc>
          <w:tcPr>
            <w:tcW w:w="70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Date</w:t>
            </w:r>
          </w:p>
        </w:tc>
        <w:tc>
          <w:tcPr>
            <w:tcW w:w="640" w:type="dxa"/>
            <w:vAlign w:val="bottom"/>
            <w:shd w:val="clear" w:color="auto" w:fill="53C072"/>
          </w:tcPr>
          <w:p>
            <w:pPr>
              <w:jc w:val="right"/>
              <w:ind w:right="15"/>
              <w:spacing w:after="0"/>
              <w:rPr>
                <w:sz w:val="20"/>
                <w:szCs w:val="20"/>
                <w:color w:val="auto"/>
              </w:rPr>
            </w:pPr>
            <w:r>
              <w:rPr>
                <w:rFonts w:ascii="Arial" w:cs="Arial" w:eastAsia="Arial" w:hAnsi="Arial"/>
                <w:sz w:val="13"/>
                <w:szCs w:val="13"/>
                <w:b w:val="1"/>
                <w:bCs w:val="1"/>
                <w:color w:val="FFFFFE"/>
              </w:rPr>
              <w:t>(g)</w:t>
            </w:r>
          </w:p>
        </w:tc>
        <w:tc>
          <w:tcPr>
            <w:tcW w:w="58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(h)</w:t>
            </w:r>
          </w:p>
        </w:tc>
        <w:tc>
          <w:tcPr>
            <w:tcW w:w="7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(i)</w:t>
            </w:r>
          </w:p>
        </w:tc>
        <w:tc>
          <w:tcPr>
            <w:tcW w:w="66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(j)</w:t>
            </w:r>
          </w:p>
        </w:tc>
        <w:tc>
          <w:tcPr>
            <w:tcW w:w="0" w:type="dxa"/>
            <w:vAlign w:val="bottom"/>
          </w:tcPr>
          <w:p>
            <w:pPr>
              <w:spacing w:after="0"/>
              <w:rPr>
                <w:sz w:val="1"/>
                <w:szCs w:val="1"/>
                <w:color w:val="auto"/>
              </w:rPr>
            </w:pPr>
          </w:p>
        </w:tc>
      </w:tr>
      <w:tr>
        <w:trPr>
          <w:trHeight w:val="280"/>
        </w:trPr>
        <w:tc>
          <w:tcPr>
            <w:tcW w:w="840" w:type="dxa"/>
            <w:vAlign w:val="bottom"/>
            <w:gridSpan w:val="2"/>
          </w:tcPr>
          <w:p>
            <w:pPr>
              <w:jc w:val="right"/>
              <w:spacing w:after="0"/>
              <w:rPr>
                <w:sz w:val="20"/>
                <w:szCs w:val="20"/>
                <w:color w:val="auto"/>
              </w:rPr>
            </w:pPr>
            <w:r>
              <w:rPr>
                <w:rFonts w:ascii="Arial" w:cs="Arial" w:eastAsia="Arial" w:hAnsi="Arial"/>
                <w:sz w:val="13"/>
                <w:szCs w:val="13"/>
                <w:color w:val="auto"/>
              </w:rPr>
              <w:t>7/11/2016</w:t>
            </w:r>
          </w:p>
        </w:tc>
        <w:tc>
          <w:tcPr>
            <w:tcW w:w="900" w:type="dxa"/>
            <w:vAlign w:val="bottom"/>
          </w:tcPr>
          <w:p>
            <w:pPr>
              <w:jc w:val="right"/>
              <w:spacing w:after="0"/>
              <w:rPr>
                <w:sz w:val="20"/>
                <w:szCs w:val="20"/>
                <w:color w:val="auto"/>
              </w:rPr>
            </w:pPr>
            <w:r>
              <w:rPr>
                <w:rFonts w:ascii="Arial" w:cs="Arial" w:eastAsia="Arial" w:hAnsi="Arial"/>
                <w:sz w:val="13"/>
                <w:szCs w:val="13"/>
                <w:color w:val="auto"/>
              </w:rPr>
              <w:t>98,619</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38.80</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7/10/2026</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84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1/01/2017</w:t>
            </w:r>
          </w:p>
        </w:tc>
        <w:tc>
          <w:tcPr>
            <w:tcW w:w="900" w:type="dxa"/>
            <w:vAlign w:val="bottom"/>
          </w:tcPr>
          <w:p>
            <w:pPr>
              <w:jc w:val="right"/>
              <w:spacing w:after="0" w:line="146" w:lineRule="exact"/>
              <w:rPr>
                <w:sz w:val="20"/>
                <w:szCs w:val="20"/>
                <w:color w:val="auto"/>
              </w:rPr>
            </w:pPr>
            <w:r>
              <w:rPr>
                <w:rFonts w:ascii="Arial" w:cs="Arial" w:eastAsia="Arial" w:hAnsi="Arial"/>
                <w:sz w:val="13"/>
                <w:szCs w:val="13"/>
                <w:color w:val="auto"/>
              </w:rPr>
              <w:t>68,931</w:t>
            </w:r>
          </w:p>
        </w:tc>
        <w:tc>
          <w:tcPr>
            <w:tcW w:w="1000" w:type="dxa"/>
            <w:vAlign w:val="bottom"/>
          </w:tcPr>
          <w:p>
            <w:pPr>
              <w:jc w:val="right"/>
              <w:spacing w:after="0" w:line="146" w:lineRule="exact"/>
              <w:rPr>
                <w:sz w:val="20"/>
                <w:szCs w:val="20"/>
                <w:color w:val="auto"/>
              </w:rPr>
            </w:pPr>
            <w:r>
              <w:rPr>
                <w:rFonts w:ascii="Arial" w:cs="Arial" w:eastAsia="Arial" w:hAnsi="Arial"/>
                <w:sz w:val="13"/>
                <w:szCs w:val="13"/>
                <w:color w:val="auto"/>
              </w:rPr>
              <w:t>22,977</w:t>
            </w: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47.61</w:t>
            </w:r>
          </w:p>
        </w:tc>
        <w:tc>
          <w:tcPr>
            <w:tcW w:w="78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12/31/2026</w:t>
            </w:r>
          </w:p>
        </w:tc>
        <w:tc>
          <w:tcPr>
            <w:tcW w:w="7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15"/>
              <w:spacing w:after="0" w:line="146"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84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8/10/2017</w:t>
            </w:r>
          </w:p>
        </w:tc>
        <w:tc>
          <w:tcPr>
            <w:tcW w:w="900" w:type="dxa"/>
            <w:vAlign w:val="bottom"/>
          </w:tcPr>
          <w:p>
            <w:pPr>
              <w:jc w:val="right"/>
              <w:spacing w:after="0" w:line="146" w:lineRule="exact"/>
              <w:rPr>
                <w:sz w:val="20"/>
                <w:szCs w:val="20"/>
                <w:color w:val="auto"/>
              </w:rPr>
            </w:pPr>
            <w:r>
              <w:rPr>
                <w:rFonts w:ascii="Arial" w:cs="Arial" w:eastAsia="Arial" w:hAnsi="Arial"/>
                <w:sz w:val="13"/>
                <w:szCs w:val="13"/>
                <w:color w:val="auto"/>
              </w:rPr>
              <w:t>56,974</w:t>
            </w:r>
          </w:p>
        </w:tc>
        <w:tc>
          <w:tcPr>
            <w:tcW w:w="1000" w:type="dxa"/>
            <w:vAlign w:val="bottom"/>
          </w:tcPr>
          <w:p>
            <w:pPr>
              <w:jc w:val="right"/>
              <w:spacing w:after="0" w:line="146" w:lineRule="exact"/>
              <w:rPr>
                <w:sz w:val="20"/>
                <w:szCs w:val="20"/>
                <w:color w:val="auto"/>
              </w:rPr>
            </w:pPr>
            <w:r>
              <w:rPr>
                <w:rFonts w:ascii="Arial" w:cs="Arial" w:eastAsia="Arial" w:hAnsi="Arial"/>
                <w:sz w:val="13"/>
                <w:szCs w:val="13"/>
                <w:color w:val="auto"/>
              </w:rPr>
              <w:t>56,974</w:t>
            </w: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36.80</w:t>
            </w:r>
          </w:p>
        </w:tc>
        <w:tc>
          <w:tcPr>
            <w:tcW w:w="78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8/09/2027</w:t>
            </w:r>
          </w:p>
        </w:tc>
        <w:tc>
          <w:tcPr>
            <w:tcW w:w="700" w:type="dxa"/>
            <w:vAlign w:val="bottom"/>
          </w:tcPr>
          <w:p>
            <w:pPr>
              <w:jc w:val="right"/>
              <w:spacing w:after="0" w:line="146" w:lineRule="exact"/>
              <w:rPr>
                <w:sz w:val="20"/>
                <w:szCs w:val="20"/>
                <w:color w:val="auto"/>
              </w:rPr>
            </w:pPr>
            <w:r>
              <w:rPr>
                <w:rFonts w:ascii="Arial" w:cs="Arial" w:eastAsia="Arial" w:hAnsi="Arial"/>
                <w:sz w:val="13"/>
                <w:szCs w:val="13"/>
                <w:color w:val="auto"/>
              </w:rPr>
              <w:t>8/10/2017</w:t>
            </w:r>
          </w:p>
        </w:tc>
        <w:tc>
          <w:tcPr>
            <w:tcW w:w="640" w:type="dxa"/>
            <w:vAlign w:val="bottom"/>
          </w:tcPr>
          <w:p>
            <w:pPr>
              <w:jc w:val="right"/>
              <w:ind w:right="15"/>
              <w:spacing w:after="0" w:line="146" w:lineRule="exact"/>
              <w:rPr>
                <w:sz w:val="20"/>
                <w:szCs w:val="20"/>
                <w:color w:val="auto"/>
              </w:rPr>
            </w:pPr>
            <w:r>
              <w:rPr>
                <w:rFonts w:ascii="Arial" w:cs="Arial" w:eastAsia="Arial" w:hAnsi="Arial"/>
                <w:sz w:val="13"/>
                <w:szCs w:val="13"/>
                <w:color w:val="auto"/>
              </w:rPr>
              <w:t>8,492</w:t>
            </w:r>
          </w:p>
        </w:tc>
        <w:tc>
          <w:tcPr>
            <w:tcW w:w="580" w:type="dxa"/>
            <w:vAlign w:val="bottom"/>
          </w:tcPr>
          <w:p>
            <w:pPr>
              <w:jc w:val="right"/>
              <w:spacing w:after="0" w:line="146" w:lineRule="exact"/>
              <w:rPr>
                <w:sz w:val="20"/>
                <w:szCs w:val="20"/>
                <w:color w:val="auto"/>
              </w:rPr>
            </w:pPr>
            <w:r>
              <w:rPr>
                <w:rFonts w:ascii="Arial" w:cs="Arial" w:eastAsia="Arial" w:hAnsi="Arial"/>
                <w:sz w:val="13"/>
                <w:szCs w:val="13"/>
                <w:color w:val="auto"/>
              </w:rPr>
              <w:t>221,132</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84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8/28/2018</w:t>
            </w:r>
          </w:p>
        </w:tc>
        <w:tc>
          <w:tcPr>
            <w:tcW w:w="900" w:type="dxa"/>
            <w:vAlign w:val="bottom"/>
          </w:tcPr>
          <w:p>
            <w:pPr>
              <w:jc w:val="right"/>
              <w:spacing w:after="0" w:line="146" w:lineRule="exact"/>
              <w:rPr>
                <w:sz w:val="20"/>
                <w:szCs w:val="20"/>
                <w:color w:val="auto"/>
              </w:rPr>
            </w:pPr>
            <w:r>
              <w:rPr>
                <w:rFonts w:ascii="Arial" w:cs="Arial" w:eastAsia="Arial" w:hAnsi="Arial"/>
                <w:sz w:val="13"/>
                <w:szCs w:val="13"/>
                <w:color w:val="auto"/>
              </w:rPr>
              <w:t>28,792</w:t>
            </w:r>
          </w:p>
        </w:tc>
        <w:tc>
          <w:tcPr>
            <w:tcW w:w="1000" w:type="dxa"/>
            <w:vAlign w:val="bottom"/>
          </w:tcPr>
          <w:p>
            <w:pPr>
              <w:jc w:val="right"/>
              <w:spacing w:after="0" w:line="146" w:lineRule="exact"/>
              <w:rPr>
                <w:sz w:val="20"/>
                <w:szCs w:val="20"/>
                <w:color w:val="auto"/>
              </w:rPr>
            </w:pPr>
            <w:r>
              <w:rPr>
                <w:rFonts w:ascii="Arial" w:cs="Arial" w:eastAsia="Arial" w:hAnsi="Arial"/>
                <w:sz w:val="13"/>
                <w:szCs w:val="13"/>
                <w:color w:val="auto"/>
              </w:rPr>
              <w:t>86,376</w:t>
            </w: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48.62</w:t>
            </w:r>
          </w:p>
        </w:tc>
        <w:tc>
          <w:tcPr>
            <w:tcW w:w="78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8/27/2028</w:t>
            </w:r>
          </w:p>
        </w:tc>
        <w:tc>
          <w:tcPr>
            <w:tcW w:w="700" w:type="dxa"/>
            <w:vAlign w:val="bottom"/>
          </w:tcPr>
          <w:p>
            <w:pPr>
              <w:jc w:val="right"/>
              <w:spacing w:after="0" w:line="146" w:lineRule="exact"/>
              <w:rPr>
                <w:sz w:val="20"/>
                <w:szCs w:val="20"/>
                <w:color w:val="auto"/>
              </w:rPr>
            </w:pPr>
            <w:r>
              <w:rPr>
                <w:rFonts w:ascii="Arial" w:cs="Arial" w:eastAsia="Arial" w:hAnsi="Arial"/>
                <w:sz w:val="13"/>
                <w:szCs w:val="13"/>
                <w:color w:val="auto"/>
              </w:rPr>
              <w:t>8/28/2018</w:t>
            </w:r>
          </w:p>
        </w:tc>
        <w:tc>
          <w:tcPr>
            <w:tcW w:w="640" w:type="dxa"/>
            <w:vAlign w:val="bottom"/>
          </w:tcPr>
          <w:p>
            <w:pPr>
              <w:jc w:val="right"/>
              <w:ind w:right="15"/>
              <w:spacing w:after="0" w:line="146" w:lineRule="exact"/>
              <w:rPr>
                <w:sz w:val="20"/>
                <w:szCs w:val="20"/>
                <w:color w:val="auto"/>
              </w:rPr>
            </w:pPr>
            <w:r>
              <w:rPr>
                <w:rFonts w:ascii="Arial" w:cs="Arial" w:eastAsia="Arial" w:hAnsi="Arial"/>
                <w:sz w:val="13"/>
                <w:szCs w:val="13"/>
                <w:color w:val="auto"/>
              </w:rPr>
              <w:t>16,712</w:t>
            </w:r>
          </w:p>
        </w:tc>
        <w:tc>
          <w:tcPr>
            <w:tcW w:w="580" w:type="dxa"/>
            <w:vAlign w:val="bottom"/>
          </w:tcPr>
          <w:p>
            <w:pPr>
              <w:jc w:val="right"/>
              <w:spacing w:after="0" w:line="146" w:lineRule="exact"/>
              <w:rPr>
                <w:sz w:val="20"/>
                <w:szCs w:val="20"/>
                <w:color w:val="auto"/>
              </w:rPr>
            </w:pPr>
            <w:r>
              <w:rPr>
                <w:rFonts w:ascii="Arial" w:cs="Arial" w:eastAsia="Arial" w:hAnsi="Arial"/>
                <w:sz w:val="13"/>
                <w:szCs w:val="13"/>
                <w:color w:val="auto"/>
              </w:rPr>
              <w:t>435,180</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66,846</w:t>
            </w: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1,740,670</w:t>
            </w:r>
          </w:p>
        </w:tc>
        <w:tc>
          <w:tcPr>
            <w:tcW w:w="0" w:type="dxa"/>
            <w:vAlign w:val="bottom"/>
          </w:tcPr>
          <w:p>
            <w:pPr>
              <w:spacing w:after="0"/>
              <w:rPr>
                <w:sz w:val="1"/>
                <w:szCs w:val="1"/>
                <w:color w:val="auto"/>
              </w:rPr>
            </w:pPr>
          </w:p>
        </w:tc>
      </w:tr>
      <w:tr>
        <w:trPr>
          <w:trHeight w:val="155"/>
        </w:trPr>
        <w:tc>
          <w:tcPr>
            <w:tcW w:w="840" w:type="dxa"/>
            <w:vAlign w:val="bottom"/>
            <w:gridSpan w:val="2"/>
          </w:tcPr>
          <w:p>
            <w:pPr>
              <w:jc w:val="right"/>
              <w:spacing w:after="0"/>
              <w:rPr>
                <w:sz w:val="20"/>
                <w:szCs w:val="20"/>
                <w:color w:val="auto"/>
              </w:rPr>
            </w:pPr>
            <w:r>
              <w:rPr>
                <w:rFonts w:ascii="Arial" w:cs="Arial" w:eastAsia="Arial" w:hAnsi="Arial"/>
                <w:sz w:val="13"/>
                <w:szCs w:val="13"/>
                <w:color w:val="auto"/>
              </w:rPr>
              <w:t>8/14/2019</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153,592</w:t>
            </w:r>
          </w:p>
        </w:tc>
        <w:tc>
          <w:tcPr>
            <w:tcW w:w="660" w:type="dxa"/>
            <w:vAlign w:val="bottom"/>
          </w:tcPr>
          <w:p>
            <w:pPr>
              <w:jc w:val="right"/>
              <w:spacing w:after="0"/>
              <w:rPr>
                <w:sz w:val="20"/>
                <w:szCs w:val="20"/>
                <w:color w:val="auto"/>
              </w:rPr>
            </w:pPr>
            <w:r>
              <w:rPr>
                <w:rFonts w:ascii="Arial" w:cs="Arial" w:eastAsia="Arial" w:hAnsi="Arial"/>
                <w:sz w:val="13"/>
                <w:szCs w:val="13"/>
                <w:color w:val="auto"/>
              </w:rPr>
              <w:t>39.72</w:t>
            </w: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8/13/2029</w:t>
            </w:r>
          </w:p>
        </w:tc>
        <w:tc>
          <w:tcPr>
            <w:tcW w:w="700" w:type="dxa"/>
            <w:vAlign w:val="bottom"/>
          </w:tcPr>
          <w:p>
            <w:pPr>
              <w:jc w:val="right"/>
              <w:spacing w:after="0"/>
              <w:rPr>
                <w:sz w:val="20"/>
                <w:szCs w:val="20"/>
                <w:color w:val="auto"/>
              </w:rPr>
            </w:pPr>
            <w:r>
              <w:rPr>
                <w:rFonts w:ascii="Arial" w:cs="Arial" w:eastAsia="Arial" w:hAnsi="Arial"/>
                <w:sz w:val="13"/>
                <w:szCs w:val="13"/>
                <w:color w:val="auto"/>
              </w:rPr>
              <w:t>8/14/2019</w:t>
            </w:r>
          </w:p>
        </w:tc>
        <w:tc>
          <w:tcPr>
            <w:tcW w:w="640" w:type="dxa"/>
            <w:vAlign w:val="bottom"/>
          </w:tcPr>
          <w:p>
            <w:pPr>
              <w:jc w:val="right"/>
              <w:ind w:right="15"/>
              <w:spacing w:after="0"/>
              <w:rPr>
                <w:sz w:val="20"/>
                <w:szCs w:val="20"/>
                <w:color w:val="auto"/>
              </w:rPr>
            </w:pPr>
            <w:r>
              <w:rPr>
                <w:rFonts w:ascii="Arial" w:cs="Arial" w:eastAsia="Arial" w:hAnsi="Arial"/>
                <w:sz w:val="13"/>
                <w:szCs w:val="13"/>
                <w:color w:val="auto"/>
              </w:rPr>
              <w:t>30,684</w:t>
            </w:r>
          </w:p>
        </w:tc>
        <w:tc>
          <w:tcPr>
            <w:tcW w:w="580" w:type="dxa"/>
            <w:vAlign w:val="bottom"/>
          </w:tcPr>
          <w:p>
            <w:pPr>
              <w:jc w:val="right"/>
              <w:spacing w:after="0"/>
              <w:rPr>
                <w:sz w:val="20"/>
                <w:szCs w:val="20"/>
                <w:color w:val="auto"/>
              </w:rPr>
            </w:pPr>
            <w:r>
              <w:rPr>
                <w:rFonts w:ascii="Arial" w:cs="Arial" w:eastAsia="Arial" w:hAnsi="Arial"/>
                <w:sz w:val="13"/>
                <w:szCs w:val="13"/>
                <w:color w:val="auto"/>
              </w:rPr>
              <w:t>799,011</w:t>
            </w:r>
          </w:p>
        </w:tc>
        <w:tc>
          <w:tcPr>
            <w:tcW w:w="740" w:type="dxa"/>
            <w:vAlign w:val="bottom"/>
          </w:tcPr>
          <w:p>
            <w:pPr>
              <w:jc w:val="right"/>
              <w:spacing w:after="0"/>
              <w:rPr>
                <w:sz w:val="20"/>
                <w:szCs w:val="20"/>
                <w:color w:val="auto"/>
              </w:rPr>
            </w:pPr>
            <w:r>
              <w:rPr>
                <w:rFonts w:ascii="Arial" w:cs="Arial" w:eastAsia="Arial" w:hAnsi="Arial"/>
                <w:sz w:val="13"/>
                <w:szCs w:val="13"/>
                <w:color w:val="auto"/>
              </w:rPr>
              <w:t>81,822</w:t>
            </w:r>
          </w:p>
        </w:tc>
        <w:tc>
          <w:tcPr>
            <w:tcW w:w="660" w:type="dxa"/>
            <w:vAlign w:val="bottom"/>
          </w:tcPr>
          <w:p>
            <w:pPr>
              <w:jc w:val="right"/>
              <w:spacing w:after="0"/>
              <w:rPr>
                <w:sz w:val="20"/>
                <w:szCs w:val="20"/>
                <w:color w:val="auto"/>
              </w:rPr>
            </w:pPr>
            <w:r>
              <w:rPr>
                <w:rFonts w:ascii="Arial" w:cs="Arial" w:eastAsia="Arial" w:hAnsi="Arial"/>
                <w:sz w:val="13"/>
                <w:szCs w:val="13"/>
                <w:color w:val="auto"/>
              </w:rPr>
              <w:t>2,130,645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-2225675</wp:posOffset>
            </wp:positionV>
            <wp:extent cx="5265420" cy="1672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265420" cy="16725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900" w:space="240"/>
            <w:col w:w="9120"/>
          </w:cols>
          <w:pgMar w:left="320" w:top="122" w:right="319" w:bottom="1440" w:gutter="0" w:footer="0" w:header="0"/>
          <w:type w:val="continuous"/>
        </w:sectPr>
      </w:pPr>
    </w:p>
    <w:tbl>
      <w:tblPr>
        <w:tblLayout w:type="fixed"/>
        <w:tblInd w:w="1340" w:type="dxa"/>
        <w:tblCellMar>
          <w:top w:w="0" w:type="dxa"/>
          <w:left w:w="0" w:type="dxa"/>
          <w:bottom w:w="0" w:type="dxa"/>
          <w:right w:w="0" w:type="dxa"/>
        </w:tblCellMar>
      </w:tblPr>
      <w:tr>
        <w:trPr>
          <w:trHeight w:val="136"/>
        </w:trPr>
        <w:tc>
          <w:tcPr>
            <w:tcW w:w="800" w:type="dxa"/>
            <w:vAlign w:val="bottom"/>
            <w:shd w:val="clear" w:color="auto" w:fill="E8F5EA"/>
          </w:tcPr>
          <w:p>
            <w:pPr>
              <w:spacing w:after="0" w:line="136" w:lineRule="exact"/>
              <w:rPr>
                <w:sz w:val="20"/>
                <w:szCs w:val="20"/>
                <w:color w:val="auto"/>
              </w:rPr>
            </w:pPr>
            <w:r>
              <w:rPr>
                <w:rFonts w:ascii="Arial" w:cs="Arial" w:eastAsia="Arial" w:hAnsi="Arial"/>
                <w:sz w:val="13"/>
                <w:szCs w:val="13"/>
                <w:color w:val="auto"/>
              </w:rPr>
              <w:t>Thomas</w:t>
            </w:r>
          </w:p>
        </w:tc>
        <w:tc>
          <w:tcPr>
            <w:tcW w:w="840" w:type="dxa"/>
            <w:vAlign w:val="bottom"/>
            <w:shd w:val="clear" w:color="auto" w:fill="E8F5EA"/>
          </w:tcPr>
          <w:p>
            <w:pPr>
              <w:spacing w:after="0"/>
              <w:rPr>
                <w:sz w:val="11"/>
                <w:szCs w:val="11"/>
                <w:color w:val="auto"/>
              </w:rPr>
            </w:pPr>
          </w:p>
        </w:tc>
        <w:tc>
          <w:tcPr>
            <w:tcW w:w="1140" w:type="dxa"/>
            <w:vAlign w:val="bottom"/>
            <w:shd w:val="clear" w:color="auto" w:fill="E8F5EA"/>
          </w:tcPr>
          <w:p>
            <w:pPr>
              <w:spacing w:after="0"/>
              <w:rPr>
                <w:sz w:val="11"/>
                <w:szCs w:val="11"/>
                <w:color w:val="auto"/>
              </w:rPr>
            </w:pPr>
          </w:p>
        </w:tc>
        <w:tc>
          <w:tcPr>
            <w:tcW w:w="860" w:type="dxa"/>
            <w:vAlign w:val="bottom"/>
            <w:shd w:val="clear" w:color="auto" w:fill="E8F5EA"/>
          </w:tcPr>
          <w:p>
            <w:pPr>
              <w:spacing w:after="0"/>
              <w:rPr>
                <w:sz w:val="11"/>
                <w:szCs w:val="11"/>
                <w:color w:val="auto"/>
              </w:rPr>
            </w:pPr>
          </w:p>
        </w:tc>
        <w:tc>
          <w:tcPr>
            <w:tcW w:w="560" w:type="dxa"/>
            <w:vAlign w:val="bottom"/>
            <w:shd w:val="clear" w:color="auto" w:fill="E8F5EA"/>
          </w:tcPr>
          <w:p>
            <w:pPr>
              <w:spacing w:after="0"/>
              <w:rPr>
                <w:sz w:val="11"/>
                <w:szCs w:val="11"/>
                <w:color w:val="auto"/>
              </w:rPr>
            </w:pPr>
          </w:p>
        </w:tc>
        <w:tc>
          <w:tcPr>
            <w:tcW w:w="780" w:type="dxa"/>
            <w:vAlign w:val="bottom"/>
            <w:shd w:val="clear" w:color="auto" w:fill="E8F5EA"/>
          </w:tcPr>
          <w:p>
            <w:pPr>
              <w:spacing w:after="0"/>
              <w:rPr>
                <w:sz w:val="11"/>
                <w:szCs w:val="11"/>
                <w:color w:val="auto"/>
              </w:rPr>
            </w:pPr>
          </w:p>
        </w:tc>
        <w:tc>
          <w:tcPr>
            <w:tcW w:w="760" w:type="dxa"/>
            <w:vAlign w:val="bottom"/>
            <w:shd w:val="clear" w:color="auto" w:fill="E8F5EA"/>
          </w:tcPr>
          <w:p>
            <w:pPr>
              <w:spacing w:after="0"/>
              <w:rPr>
                <w:sz w:val="11"/>
                <w:szCs w:val="11"/>
                <w:color w:val="auto"/>
              </w:rPr>
            </w:pPr>
          </w:p>
        </w:tc>
        <w:tc>
          <w:tcPr>
            <w:tcW w:w="580" w:type="dxa"/>
            <w:vAlign w:val="bottom"/>
            <w:shd w:val="clear" w:color="auto" w:fill="E8F5EA"/>
          </w:tcPr>
          <w:p>
            <w:pPr>
              <w:spacing w:after="0"/>
              <w:rPr>
                <w:sz w:val="11"/>
                <w:szCs w:val="11"/>
                <w:color w:val="auto"/>
              </w:rPr>
            </w:pPr>
          </w:p>
        </w:tc>
        <w:tc>
          <w:tcPr>
            <w:tcW w:w="700" w:type="dxa"/>
            <w:vAlign w:val="bottom"/>
            <w:shd w:val="clear" w:color="auto" w:fill="E8F5EA"/>
          </w:tcPr>
          <w:p>
            <w:pPr>
              <w:spacing w:after="0"/>
              <w:rPr>
                <w:sz w:val="11"/>
                <w:szCs w:val="11"/>
                <w:color w:val="auto"/>
              </w:rPr>
            </w:pPr>
          </w:p>
        </w:tc>
        <w:tc>
          <w:tcPr>
            <w:tcW w:w="680" w:type="dxa"/>
            <w:vAlign w:val="bottom"/>
            <w:shd w:val="clear" w:color="auto" w:fill="E8F5EA"/>
          </w:tcPr>
          <w:p>
            <w:pPr>
              <w:spacing w:after="0"/>
              <w:rPr>
                <w:sz w:val="11"/>
                <w:szCs w:val="11"/>
                <w:color w:val="auto"/>
              </w:rPr>
            </w:pPr>
          </w:p>
        </w:tc>
        <w:tc>
          <w:tcPr>
            <w:tcW w:w="600" w:type="dxa"/>
            <w:vAlign w:val="bottom"/>
            <w:shd w:val="clear" w:color="auto" w:fill="E8F5EA"/>
          </w:tcPr>
          <w:p>
            <w:pPr>
              <w:spacing w:after="0"/>
              <w:rPr>
                <w:sz w:val="11"/>
                <w:szCs w:val="11"/>
                <w:color w:val="auto"/>
              </w:rPr>
            </w:pPr>
          </w:p>
        </w:tc>
      </w:tr>
      <w:tr>
        <w:trPr>
          <w:trHeight w:val="157"/>
        </w:trPr>
        <w:tc>
          <w:tcPr>
            <w:tcW w:w="800" w:type="dxa"/>
            <w:vAlign w:val="bottom"/>
            <w:shd w:val="clear" w:color="auto" w:fill="E8F5EA"/>
          </w:tcPr>
          <w:p>
            <w:pPr>
              <w:spacing w:after="0"/>
              <w:rPr>
                <w:sz w:val="20"/>
                <w:szCs w:val="20"/>
                <w:color w:val="auto"/>
              </w:rPr>
            </w:pPr>
            <w:r>
              <w:rPr>
                <w:rFonts w:ascii="Arial" w:cs="Arial" w:eastAsia="Arial" w:hAnsi="Arial"/>
                <w:sz w:val="13"/>
                <w:szCs w:val="13"/>
                <w:color w:val="auto"/>
              </w:rPr>
              <w:t>Liguori</w:t>
            </w:r>
          </w:p>
        </w:tc>
        <w:tc>
          <w:tcPr>
            <w:tcW w:w="840" w:type="dxa"/>
            <w:vAlign w:val="bottom"/>
            <w:shd w:val="clear" w:color="auto" w:fill="E8F5EA"/>
          </w:tcPr>
          <w:p>
            <w:pPr>
              <w:jc w:val="right"/>
              <w:spacing w:after="0"/>
              <w:rPr>
                <w:sz w:val="20"/>
                <w:szCs w:val="20"/>
                <w:color w:val="auto"/>
              </w:rPr>
            </w:pPr>
            <w:r>
              <w:rPr>
                <w:rFonts w:ascii="Arial" w:cs="Arial" w:eastAsia="Arial" w:hAnsi="Arial"/>
                <w:sz w:val="13"/>
                <w:szCs w:val="13"/>
                <w:color w:val="auto"/>
              </w:rPr>
              <w:t>1/29/2018</w:t>
            </w:r>
          </w:p>
        </w:tc>
        <w:tc>
          <w:tcPr>
            <w:tcW w:w="1140" w:type="dxa"/>
            <w:vAlign w:val="bottom"/>
            <w:shd w:val="clear" w:color="auto" w:fill="E8F5EA"/>
          </w:tcPr>
          <w:p>
            <w:pPr>
              <w:jc w:val="right"/>
              <w:ind w:right="235"/>
              <w:spacing w:after="0"/>
              <w:rPr>
                <w:sz w:val="20"/>
                <w:szCs w:val="20"/>
                <w:color w:val="auto"/>
              </w:rPr>
            </w:pPr>
            <w:r>
              <w:rPr>
                <w:rFonts w:ascii="Arial" w:cs="Arial" w:eastAsia="Arial" w:hAnsi="Arial"/>
                <w:sz w:val="13"/>
                <w:szCs w:val="13"/>
                <w:color w:val="auto"/>
              </w:rPr>
              <w:t>5,016</w:t>
            </w:r>
          </w:p>
        </w:tc>
        <w:tc>
          <w:tcPr>
            <w:tcW w:w="860" w:type="dxa"/>
            <w:vAlign w:val="bottom"/>
            <w:shd w:val="clear" w:color="auto" w:fill="E8F5EA"/>
          </w:tcPr>
          <w:p>
            <w:pPr>
              <w:jc w:val="right"/>
              <w:ind w:right="95"/>
              <w:spacing w:after="0"/>
              <w:rPr>
                <w:sz w:val="20"/>
                <w:szCs w:val="20"/>
                <w:color w:val="auto"/>
              </w:rPr>
            </w:pPr>
            <w:r>
              <w:rPr>
                <w:rFonts w:ascii="Arial" w:cs="Arial" w:eastAsia="Arial" w:hAnsi="Arial"/>
                <w:sz w:val="13"/>
                <w:szCs w:val="13"/>
                <w:color w:val="auto"/>
              </w:rPr>
              <w:t>5,016</w:t>
            </w:r>
          </w:p>
        </w:tc>
        <w:tc>
          <w:tcPr>
            <w:tcW w:w="560" w:type="dxa"/>
            <w:vAlign w:val="bottom"/>
            <w:shd w:val="clear" w:color="auto" w:fill="E8F5EA"/>
          </w:tcPr>
          <w:p>
            <w:pPr>
              <w:jc w:val="right"/>
              <w:spacing w:after="0"/>
              <w:rPr>
                <w:sz w:val="20"/>
                <w:szCs w:val="20"/>
                <w:color w:val="auto"/>
              </w:rPr>
            </w:pPr>
            <w:r>
              <w:rPr>
                <w:rFonts w:ascii="Arial" w:cs="Arial" w:eastAsia="Arial" w:hAnsi="Arial"/>
                <w:sz w:val="13"/>
                <w:szCs w:val="13"/>
                <w:color w:val="auto"/>
              </w:rPr>
              <w:t>43.47</w:t>
            </w:r>
          </w:p>
        </w:tc>
        <w:tc>
          <w:tcPr>
            <w:tcW w:w="780" w:type="dxa"/>
            <w:vAlign w:val="bottom"/>
            <w:shd w:val="clear" w:color="auto" w:fill="E8F5EA"/>
          </w:tcPr>
          <w:p>
            <w:pPr>
              <w:jc w:val="right"/>
              <w:spacing w:after="0"/>
              <w:rPr>
                <w:sz w:val="20"/>
                <w:szCs w:val="20"/>
                <w:color w:val="auto"/>
              </w:rPr>
            </w:pPr>
            <w:r>
              <w:rPr>
                <w:rFonts w:ascii="Arial" w:cs="Arial" w:eastAsia="Arial" w:hAnsi="Arial"/>
                <w:sz w:val="13"/>
                <w:szCs w:val="13"/>
                <w:color w:val="auto"/>
              </w:rPr>
              <w:t>1/28/2028</w:t>
            </w:r>
          </w:p>
        </w:tc>
        <w:tc>
          <w:tcPr>
            <w:tcW w:w="760" w:type="dxa"/>
            <w:vAlign w:val="bottom"/>
            <w:shd w:val="clear" w:color="auto" w:fill="E8F5EA"/>
          </w:tcPr>
          <w:p>
            <w:pPr>
              <w:jc w:val="right"/>
              <w:ind w:right="55"/>
              <w:spacing w:after="0"/>
              <w:rPr>
                <w:sz w:val="20"/>
                <w:szCs w:val="20"/>
                <w:color w:val="auto"/>
              </w:rPr>
            </w:pPr>
            <w:r>
              <w:rPr>
                <w:rFonts w:ascii="Arial" w:cs="Arial" w:eastAsia="Arial" w:hAnsi="Arial"/>
                <w:sz w:val="13"/>
                <w:szCs w:val="13"/>
                <w:color w:val="auto"/>
              </w:rPr>
              <w:t>1/29/2018</w:t>
            </w:r>
          </w:p>
        </w:tc>
        <w:tc>
          <w:tcPr>
            <w:tcW w:w="580" w:type="dxa"/>
            <w:vAlign w:val="bottom"/>
            <w:shd w:val="clear" w:color="auto" w:fill="E8F5EA"/>
          </w:tcPr>
          <w:p>
            <w:pPr>
              <w:jc w:val="right"/>
              <w:ind w:right="15"/>
              <w:spacing w:after="0"/>
              <w:rPr>
                <w:sz w:val="20"/>
                <w:szCs w:val="20"/>
                <w:color w:val="auto"/>
              </w:rPr>
            </w:pPr>
            <w:r>
              <w:rPr>
                <w:rFonts w:ascii="Arial" w:cs="Arial" w:eastAsia="Arial" w:hAnsi="Arial"/>
                <w:sz w:val="13"/>
                <w:szCs w:val="13"/>
                <w:color w:val="auto"/>
              </w:rPr>
              <w:t>34,792</w:t>
            </w:r>
          </w:p>
        </w:tc>
        <w:tc>
          <w:tcPr>
            <w:tcW w:w="700" w:type="dxa"/>
            <w:vAlign w:val="bottom"/>
            <w:shd w:val="clear" w:color="auto" w:fill="E8F5EA"/>
          </w:tcPr>
          <w:p>
            <w:pPr>
              <w:jc w:val="right"/>
              <w:ind w:right="115"/>
              <w:spacing w:after="0"/>
              <w:rPr>
                <w:sz w:val="20"/>
                <w:szCs w:val="20"/>
                <w:color w:val="auto"/>
              </w:rPr>
            </w:pPr>
            <w:r>
              <w:rPr>
                <w:rFonts w:ascii="Arial" w:cs="Arial" w:eastAsia="Arial" w:hAnsi="Arial"/>
                <w:sz w:val="13"/>
                <w:szCs w:val="13"/>
                <w:color w:val="auto"/>
              </w:rPr>
              <w:t>905,984</w:t>
            </w:r>
          </w:p>
        </w:tc>
        <w:tc>
          <w:tcPr>
            <w:tcW w:w="680" w:type="dxa"/>
            <w:vAlign w:val="bottom"/>
            <w:shd w:val="clear" w:color="auto" w:fill="E8F5EA"/>
          </w:tcPr>
          <w:p>
            <w:pPr>
              <w:jc w:val="right"/>
              <w:ind w:right="55"/>
              <w:spacing w:after="0"/>
              <w:rPr>
                <w:sz w:val="20"/>
                <w:szCs w:val="20"/>
                <w:color w:val="auto"/>
              </w:rPr>
            </w:pPr>
            <w:r>
              <w:rPr>
                <w:rFonts w:ascii="Arial" w:cs="Arial" w:eastAsia="Arial" w:hAnsi="Arial"/>
                <w:sz w:val="13"/>
                <w:szCs w:val="13"/>
                <w:color w:val="auto"/>
              </w:rPr>
              <w:t>—</w:t>
            </w:r>
          </w:p>
        </w:tc>
        <w:tc>
          <w:tcPr>
            <w:tcW w:w="600" w:type="dxa"/>
            <w:vAlign w:val="bottom"/>
            <w:shd w:val="clear" w:color="auto" w:fill="E8F5EA"/>
          </w:tcPr>
          <w:p>
            <w:pPr>
              <w:jc w:val="right"/>
              <w:spacing w:after="0"/>
              <w:rPr>
                <w:sz w:val="20"/>
                <w:szCs w:val="20"/>
                <w:color w:val="auto"/>
              </w:rPr>
            </w:pPr>
            <w:r>
              <w:rPr>
                <w:rFonts w:ascii="Arial" w:cs="Arial" w:eastAsia="Arial" w:hAnsi="Arial"/>
                <w:sz w:val="13"/>
                <w:szCs w:val="13"/>
                <w:color w:val="auto"/>
              </w:rPr>
              <w:t>—</w:t>
            </w:r>
          </w:p>
        </w:tc>
      </w:tr>
      <w:tr>
        <w:trPr>
          <w:trHeight w:val="146"/>
        </w:trPr>
        <w:tc>
          <w:tcPr>
            <w:tcW w:w="800" w:type="dxa"/>
            <w:vAlign w:val="bottom"/>
            <w:shd w:val="clear" w:color="auto" w:fill="E8F5EA"/>
          </w:tcPr>
          <w:p>
            <w:pPr>
              <w:spacing w:after="0"/>
              <w:rPr>
                <w:sz w:val="12"/>
                <w:szCs w:val="12"/>
                <w:color w:val="auto"/>
              </w:rPr>
            </w:pPr>
          </w:p>
        </w:tc>
        <w:tc>
          <w:tcPr>
            <w:tcW w:w="84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8/28/2018</w:t>
            </w:r>
          </w:p>
        </w:tc>
        <w:tc>
          <w:tcPr>
            <w:tcW w:w="1140" w:type="dxa"/>
            <w:vAlign w:val="bottom"/>
            <w:shd w:val="clear" w:color="auto" w:fill="E8F5EA"/>
          </w:tcPr>
          <w:p>
            <w:pPr>
              <w:jc w:val="right"/>
              <w:ind w:right="235"/>
              <w:spacing w:after="0" w:line="146" w:lineRule="exact"/>
              <w:rPr>
                <w:sz w:val="20"/>
                <w:szCs w:val="20"/>
                <w:color w:val="auto"/>
              </w:rPr>
            </w:pPr>
            <w:r>
              <w:rPr>
                <w:rFonts w:ascii="Arial" w:cs="Arial" w:eastAsia="Arial" w:hAnsi="Arial"/>
                <w:sz w:val="13"/>
                <w:szCs w:val="13"/>
                <w:color w:val="auto"/>
              </w:rPr>
              <w:t>5,537</w:t>
            </w:r>
          </w:p>
        </w:tc>
        <w:tc>
          <w:tcPr>
            <w:tcW w:w="860" w:type="dxa"/>
            <w:vAlign w:val="bottom"/>
            <w:shd w:val="clear" w:color="auto" w:fill="E8F5EA"/>
          </w:tcPr>
          <w:p>
            <w:pPr>
              <w:jc w:val="right"/>
              <w:ind w:right="95"/>
              <w:spacing w:after="0" w:line="146" w:lineRule="exact"/>
              <w:rPr>
                <w:sz w:val="20"/>
                <w:szCs w:val="20"/>
                <w:color w:val="auto"/>
              </w:rPr>
            </w:pPr>
            <w:r>
              <w:rPr>
                <w:rFonts w:ascii="Arial" w:cs="Arial" w:eastAsia="Arial" w:hAnsi="Arial"/>
                <w:sz w:val="13"/>
                <w:szCs w:val="13"/>
                <w:color w:val="auto"/>
              </w:rPr>
              <w:t>16,611</w:t>
            </w:r>
          </w:p>
        </w:tc>
        <w:tc>
          <w:tcPr>
            <w:tcW w:w="56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48.62</w:t>
            </w:r>
          </w:p>
        </w:tc>
        <w:tc>
          <w:tcPr>
            <w:tcW w:w="78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8/27/2028</w:t>
            </w:r>
          </w:p>
        </w:tc>
        <w:tc>
          <w:tcPr>
            <w:tcW w:w="760" w:type="dxa"/>
            <w:vAlign w:val="bottom"/>
            <w:shd w:val="clear" w:color="auto" w:fill="E8F5EA"/>
          </w:tcPr>
          <w:p>
            <w:pPr>
              <w:jc w:val="right"/>
              <w:ind w:right="55"/>
              <w:spacing w:after="0" w:line="146" w:lineRule="exact"/>
              <w:rPr>
                <w:sz w:val="20"/>
                <w:szCs w:val="20"/>
                <w:color w:val="auto"/>
              </w:rPr>
            </w:pPr>
            <w:r>
              <w:rPr>
                <w:rFonts w:ascii="Arial" w:cs="Arial" w:eastAsia="Arial" w:hAnsi="Arial"/>
                <w:sz w:val="13"/>
                <w:szCs w:val="13"/>
                <w:color w:val="auto"/>
              </w:rPr>
              <w:t>8/28/2018</w:t>
            </w:r>
          </w:p>
        </w:tc>
        <w:tc>
          <w:tcPr>
            <w:tcW w:w="580" w:type="dxa"/>
            <w:vAlign w:val="bottom"/>
            <w:shd w:val="clear" w:color="auto" w:fill="E8F5EA"/>
          </w:tcPr>
          <w:p>
            <w:pPr>
              <w:jc w:val="right"/>
              <w:ind w:right="15"/>
              <w:spacing w:after="0" w:line="146" w:lineRule="exact"/>
              <w:rPr>
                <w:sz w:val="20"/>
                <w:szCs w:val="20"/>
                <w:color w:val="auto"/>
              </w:rPr>
            </w:pPr>
            <w:r>
              <w:rPr>
                <w:rFonts w:ascii="Arial" w:cs="Arial" w:eastAsia="Arial" w:hAnsi="Arial"/>
                <w:sz w:val="13"/>
                <w:szCs w:val="13"/>
                <w:color w:val="auto"/>
              </w:rPr>
              <w:t>3,214</w:t>
            </w:r>
          </w:p>
        </w:tc>
        <w:tc>
          <w:tcPr>
            <w:tcW w:w="700" w:type="dxa"/>
            <w:vAlign w:val="bottom"/>
            <w:shd w:val="clear" w:color="auto" w:fill="E8F5EA"/>
          </w:tcPr>
          <w:p>
            <w:pPr>
              <w:jc w:val="right"/>
              <w:ind w:right="115"/>
              <w:spacing w:after="0" w:line="146" w:lineRule="exact"/>
              <w:rPr>
                <w:sz w:val="20"/>
                <w:szCs w:val="20"/>
                <w:color w:val="auto"/>
              </w:rPr>
            </w:pPr>
            <w:r>
              <w:rPr>
                <w:rFonts w:ascii="Arial" w:cs="Arial" w:eastAsia="Arial" w:hAnsi="Arial"/>
                <w:sz w:val="13"/>
                <w:szCs w:val="13"/>
                <w:color w:val="auto"/>
              </w:rPr>
              <w:t>83,693</w:t>
            </w:r>
          </w:p>
        </w:tc>
        <w:tc>
          <w:tcPr>
            <w:tcW w:w="680" w:type="dxa"/>
            <w:vAlign w:val="bottom"/>
            <w:shd w:val="clear" w:color="auto" w:fill="E8F5EA"/>
          </w:tcPr>
          <w:p>
            <w:pPr>
              <w:jc w:val="right"/>
              <w:ind w:right="55"/>
              <w:spacing w:after="0" w:line="146" w:lineRule="exact"/>
              <w:rPr>
                <w:sz w:val="20"/>
                <w:szCs w:val="20"/>
                <w:color w:val="auto"/>
              </w:rPr>
            </w:pPr>
            <w:r>
              <w:rPr>
                <w:rFonts w:ascii="Arial" w:cs="Arial" w:eastAsia="Arial" w:hAnsi="Arial"/>
                <w:sz w:val="13"/>
                <w:szCs w:val="13"/>
                <w:color w:val="auto"/>
              </w:rPr>
              <w:t>12,855</w:t>
            </w:r>
          </w:p>
        </w:tc>
        <w:tc>
          <w:tcPr>
            <w:tcW w:w="60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334,744</w:t>
            </w:r>
          </w:p>
        </w:tc>
      </w:tr>
      <w:tr>
        <w:trPr>
          <w:trHeight w:val="146"/>
        </w:trPr>
        <w:tc>
          <w:tcPr>
            <w:tcW w:w="800" w:type="dxa"/>
            <w:vAlign w:val="bottom"/>
            <w:shd w:val="clear" w:color="auto" w:fill="E8F5EA"/>
          </w:tcPr>
          <w:p>
            <w:pPr>
              <w:spacing w:after="0"/>
              <w:rPr>
                <w:sz w:val="12"/>
                <w:szCs w:val="12"/>
                <w:color w:val="auto"/>
              </w:rPr>
            </w:pPr>
          </w:p>
        </w:tc>
        <w:tc>
          <w:tcPr>
            <w:tcW w:w="84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8/14/2019</w:t>
            </w:r>
          </w:p>
        </w:tc>
        <w:tc>
          <w:tcPr>
            <w:tcW w:w="1140" w:type="dxa"/>
            <w:vAlign w:val="bottom"/>
            <w:shd w:val="clear" w:color="auto" w:fill="E8F5EA"/>
          </w:tcPr>
          <w:p>
            <w:pPr>
              <w:jc w:val="right"/>
              <w:ind w:right="235"/>
              <w:spacing w:after="0" w:line="146" w:lineRule="exact"/>
              <w:rPr>
                <w:sz w:val="20"/>
                <w:szCs w:val="20"/>
                <w:color w:val="auto"/>
              </w:rPr>
            </w:pPr>
            <w:r>
              <w:rPr>
                <w:rFonts w:ascii="Arial" w:cs="Arial" w:eastAsia="Arial" w:hAnsi="Arial"/>
                <w:sz w:val="13"/>
                <w:szCs w:val="13"/>
                <w:color w:val="auto"/>
              </w:rPr>
              <w:t>—</w:t>
            </w:r>
          </w:p>
        </w:tc>
        <w:tc>
          <w:tcPr>
            <w:tcW w:w="860" w:type="dxa"/>
            <w:vAlign w:val="bottom"/>
            <w:shd w:val="clear" w:color="auto" w:fill="E8F5EA"/>
          </w:tcPr>
          <w:p>
            <w:pPr>
              <w:jc w:val="right"/>
              <w:ind w:right="95"/>
              <w:spacing w:after="0" w:line="146" w:lineRule="exact"/>
              <w:rPr>
                <w:sz w:val="20"/>
                <w:szCs w:val="20"/>
                <w:color w:val="auto"/>
              </w:rPr>
            </w:pPr>
            <w:r>
              <w:rPr>
                <w:rFonts w:ascii="Arial" w:cs="Arial" w:eastAsia="Arial" w:hAnsi="Arial"/>
                <w:sz w:val="13"/>
                <w:szCs w:val="13"/>
                <w:color w:val="auto"/>
              </w:rPr>
              <w:t>35,444</w:t>
            </w:r>
          </w:p>
        </w:tc>
        <w:tc>
          <w:tcPr>
            <w:tcW w:w="56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39.72</w:t>
            </w:r>
          </w:p>
        </w:tc>
        <w:tc>
          <w:tcPr>
            <w:tcW w:w="78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8/13/2029</w:t>
            </w:r>
          </w:p>
        </w:tc>
        <w:tc>
          <w:tcPr>
            <w:tcW w:w="760" w:type="dxa"/>
            <w:vAlign w:val="bottom"/>
            <w:shd w:val="clear" w:color="auto" w:fill="E8F5EA"/>
          </w:tcPr>
          <w:p>
            <w:pPr>
              <w:jc w:val="right"/>
              <w:ind w:right="55"/>
              <w:spacing w:after="0" w:line="146" w:lineRule="exact"/>
              <w:rPr>
                <w:sz w:val="20"/>
                <w:szCs w:val="20"/>
                <w:color w:val="auto"/>
              </w:rPr>
            </w:pPr>
            <w:r>
              <w:rPr>
                <w:rFonts w:ascii="Arial" w:cs="Arial" w:eastAsia="Arial" w:hAnsi="Arial"/>
                <w:sz w:val="13"/>
                <w:szCs w:val="13"/>
                <w:color w:val="auto"/>
              </w:rPr>
              <w:t>8/14/2019</w:t>
            </w:r>
          </w:p>
        </w:tc>
        <w:tc>
          <w:tcPr>
            <w:tcW w:w="580" w:type="dxa"/>
            <w:vAlign w:val="bottom"/>
            <w:shd w:val="clear" w:color="auto" w:fill="E8F5EA"/>
          </w:tcPr>
          <w:p>
            <w:pPr>
              <w:jc w:val="right"/>
              <w:ind w:right="15"/>
              <w:spacing w:after="0" w:line="146" w:lineRule="exact"/>
              <w:rPr>
                <w:sz w:val="20"/>
                <w:szCs w:val="20"/>
                <w:color w:val="auto"/>
              </w:rPr>
            </w:pPr>
            <w:r>
              <w:rPr>
                <w:rFonts w:ascii="Arial" w:cs="Arial" w:eastAsia="Arial" w:hAnsi="Arial"/>
                <w:sz w:val="13"/>
                <w:szCs w:val="13"/>
                <w:color w:val="auto"/>
              </w:rPr>
              <w:t>7,080</w:t>
            </w:r>
          </w:p>
        </w:tc>
        <w:tc>
          <w:tcPr>
            <w:tcW w:w="700" w:type="dxa"/>
            <w:vAlign w:val="bottom"/>
            <w:shd w:val="clear" w:color="auto" w:fill="E8F5EA"/>
          </w:tcPr>
          <w:p>
            <w:pPr>
              <w:jc w:val="right"/>
              <w:ind w:right="115"/>
              <w:spacing w:after="0" w:line="146" w:lineRule="exact"/>
              <w:rPr>
                <w:sz w:val="20"/>
                <w:szCs w:val="20"/>
                <w:color w:val="auto"/>
              </w:rPr>
            </w:pPr>
            <w:r>
              <w:rPr>
                <w:rFonts w:ascii="Arial" w:cs="Arial" w:eastAsia="Arial" w:hAnsi="Arial"/>
                <w:sz w:val="13"/>
                <w:szCs w:val="13"/>
                <w:color w:val="auto"/>
              </w:rPr>
              <w:t>184,363</w:t>
            </w:r>
          </w:p>
        </w:tc>
        <w:tc>
          <w:tcPr>
            <w:tcW w:w="680" w:type="dxa"/>
            <w:vAlign w:val="bottom"/>
            <w:shd w:val="clear" w:color="auto" w:fill="E8F5EA"/>
          </w:tcPr>
          <w:p>
            <w:pPr>
              <w:jc w:val="right"/>
              <w:ind w:right="55"/>
              <w:spacing w:after="0" w:line="146" w:lineRule="exact"/>
              <w:rPr>
                <w:sz w:val="20"/>
                <w:szCs w:val="20"/>
                <w:color w:val="auto"/>
              </w:rPr>
            </w:pPr>
            <w:r>
              <w:rPr>
                <w:rFonts w:ascii="Arial" w:cs="Arial" w:eastAsia="Arial" w:hAnsi="Arial"/>
                <w:sz w:val="13"/>
                <w:szCs w:val="13"/>
                <w:color w:val="auto"/>
              </w:rPr>
              <w:t>18,882</w:t>
            </w:r>
          </w:p>
        </w:tc>
        <w:tc>
          <w:tcPr>
            <w:tcW w:w="60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491,687</w:t>
            </w:r>
          </w:p>
        </w:tc>
      </w:tr>
      <w:tr>
        <w:trPr>
          <w:trHeight w:val="134"/>
        </w:trPr>
        <w:tc>
          <w:tcPr>
            <w:tcW w:w="800" w:type="dxa"/>
            <w:vAlign w:val="bottom"/>
          </w:tcPr>
          <w:p>
            <w:pPr>
              <w:spacing w:after="0" w:line="134" w:lineRule="exact"/>
              <w:rPr>
                <w:sz w:val="20"/>
                <w:szCs w:val="20"/>
                <w:color w:val="auto"/>
              </w:rPr>
            </w:pPr>
            <w:r>
              <w:rPr>
                <w:rFonts w:ascii="Arial" w:cs="Arial" w:eastAsia="Arial" w:hAnsi="Arial"/>
                <w:sz w:val="13"/>
                <w:szCs w:val="13"/>
                <w:color w:val="auto"/>
              </w:rPr>
              <w:t>Peter G.</w:t>
            </w: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46"/>
        </w:trPr>
        <w:tc>
          <w:tcPr>
            <w:tcW w:w="800" w:type="dxa"/>
            <w:vAlign w:val="bottom"/>
          </w:tcPr>
          <w:p>
            <w:pPr>
              <w:spacing w:after="0" w:line="146" w:lineRule="exact"/>
              <w:rPr>
                <w:sz w:val="20"/>
                <w:szCs w:val="20"/>
                <w:color w:val="auto"/>
              </w:rPr>
            </w:pPr>
            <w:r>
              <w:rPr>
                <w:rFonts w:ascii="Arial" w:cs="Arial" w:eastAsia="Arial" w:hAnsi="Arial"/>
                <w:sz w:val="13"/>
                <w:szCs w:val="13"/>
                <w:color w:val="auto"/>
              </w:rPr>
              <w:t>Bartolotta</w:t>
            </w: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10/24/2016</w:t>
            </w:r>
          </w:p>
        </w:tc>
        <w:tc>
          <w:tcPr>
            <w:tcW w:w="1140" w:type="dxa"/>
            <w:vAlign w:val="bottom"/>
          </w:tcPr>
          <w:p>
            <w:pPr>
              <w:jc w:val="right"/>
              <w:ind w:right="235"/>
              <w:spacing w:after="0" w:line="146" w:lineRule="exact"/>
              <w:rPr>
                <w:sz w:val="20"/>
                <w:szCs w:val="20"/>
                <w:color w:val="auto"/>
              </w:rPr>
            </w:pPr>
            <w:r>
              <w:rPr>
                <w:rFonts w:ascii="Arial" w:cs="Arial" w:eastAsia="Arial" w:hAnsi="Arial"/>
                <w:sz w:val="13"/>
                <w:szCs w:val="13"/>
                <w:color w:val="auto"/>
              </w:rPr>
              <w:t>8,088</w:t>
            </w:r>
          </w:p>
        </w:tc>
        <w:tc>
          <w:tcPr>
            <w:tcW w:w="8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2,696</w:t>
            </w:r>
          </w:p>
        </w:tc>
        <w:tc>
          <w:tcPr>
            <w:tcW w:w="560" w:type="dxa"/>
            <w:vAlign w:val="bottom"/>
          </w:tcPr>
          <w:p>
            <w:pPr>
              <w:jc w:val="right"/>
              <w:spacing w:after="0" w:line="146" w:lineRule="exact"/>
              <w:rPr>
                <w:sz w:val="20"/>
                <w:szCs w:val="20"/>
                <w:color w:val="auto"/>
              </w:rPr>
            </w:pPr>
            <w:r>
              <w:rPr>
                <w:rFonts w:ascii="Arial" w:cs="Arial" w:eastAsia="Arial" w:hAnsi="Arial"/>
                <w:sz w:val="13"/>
                <w:szCs w:val="13"/>
                <w:color w:val="auto"/>
              </w:rPr>
              <w:t>42.59</w:t>
            </w:r>
          </w:p>
        </w:tc>
        <w:tc>
          <w:tcPr>
            <w:tcW w:w="780" w:type="dxa"/>
            <w:vAlign w:val="bottom"/>
          </w:tcPr>
          <w:p>
            <w:pPr>
              <w:jc w:val="right"/>
              <w:spacing w:after="0" w:line="146" w:lineRule="exact"/>
              <w:rPr>
                <w:sz w:val="20"/>
                <w:szCs w:val="20"/>
                <w:color w:val="auto"/>
              </w:rPr>
            </w:pPr>
            <w:r>
              <w:rPr>
                <w:rFonts w:ascii="Arial" w:cs="Arial" w:eastAsia="Arial" w:hAnsi="Arial"/>
                <w:sz w:val="13"/>
                <w:szCs w:val="13"/>
                <w:color w:val="auto"/>
              </w:rPr>
              <w:t>10/23/2026</w:t>
            </w:r>
          </w:p>
        </w:tc>
        <w:tc>
          <w:tcPr>
            <w:tcW w:w="760" w:type="dxa"/>
            <w:vAlign w:val="bottom"/>
          </w:tcPr>
          <w:p>
            <w:pPr>
              <w:jc w:val="right"/>
              <w:ind w:right="55"/>
              <w:spacing w:after="0" w:line="146" w:lineRule="exact"/>
              <w:rPr>
                <w:sz w:val="20"/>
                <w:szCs w:val="20"/>
                <w:color w:val="auto"/>
              </w:rPr>
            </w:pPr>
            <w:r>
              <w:rPr>
                <w:rFonts w:ascii="Arial" w:cs="Arial" w:eastAsia="Arial" w:hAnsi="Arial"/>
                <w:sz w:val="13"/>
                <w:szCs w:val="13"/>
                <w:color w:val="auto"/>
              </w:rPr>
              <w:t>—</w:t>
            </w:r>
          </w:p>
        </w:tc>
        <w:tc>
          <w:tcPr>
            <w:tcW w:w="580" w:type="dxa"/>
            <w:vAlign w:val="bottom"/>
          </w:tcPr>
          <w:p>
            <w:pPr>
              <w:jc w:val="right"/>
              <w:ind w:right="15"/>
              <w:spacing w:after="0" w:line="146"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55"/>
              <w:spacing w:after="0" w:line="146"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r>
      <w:tr>
        <w:trPr>
          <w:trHeight w:val="146"/>
        </w:trPr>
        <w:tc>
          <w:tcPr>
            <w:tcW w:w="800" w:type="dxa"/>
            <w:vAlign w:val="bottom"/>
          </w:tcPr>
          <w:p>
            <w:pPr>
              <w:spacing w:after="0"/>
              <w:rPr>
                <w:sz w:val="12"/>
                <w:szCs w:val="12"/>
                <w:color w:val="auto"/>
              </w:rPr>
            </w:pP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8/10/2017</w:t>
            </w:r>
          </w:p>
        </w:tc>
        <w:tc>
          <w:tcPr>
            <w:tcW w:w="1140" w:type="dxa"/>
            <w:vAlign w:val="bottom"/>
          </w:tcPr>
          <w:p>
            <w:pPr>
              <w:jc w:val="right"/>
              <w:ind w:right="235"/>
              <w:spacing w:after="0" w:line="146" w:lineRule="exact"/>
              <w:rPr>
                <w:sz w:val="20"/>
                <w:szCs w:val="20"/>
                <w:color w:val="auto"/>
              </w:rPr>
            </w:pPr>
            <w:r>
              <w:rPr>
                <w:rFonts w:ascii="Arial" w:cs="Arial" w:eastAsia="Arial" w:hAnsi="Arial"/>
                <w:sz w:val="13"/>
                <w:szCs w:val="13"/>
                <w:color w:val="auto"/>
              </w:rPr>
              <w:t>12,534</w:t>
            </w:r>
          </w:p>
        </w:tc>
        <w:tc>
          <w:tcPr>
            <w:tcW w:w="8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12,534</w:t>
            </w:r>
          </w:p>
        </w:tc>
        <w:tc>
          <w:tcPr>
            <w:tcW w:w="560" w:type="dxa"/>
            <w:vAlign w:val="bottom"/>
          </w:tcPr>
          <w:p>
            <w:pPr>
              <w:jc w:val="right"/>
              <w:spacing w:after="0" w:line="146" w:lineRule="exact"/>
              <w:rPr>
                <w:sz w:val="20"/>
                <w:szCs w:val="20"/>
                <w:color w:val="auto"/>
              </w:rPr>
            </w:pPr>
            <w:r>
              <w:rPr>
                <w:rFonts w:ascii="Arial" w:cs="Arial" w:eastAsia="Arial" w:hAnsi="Arial"/>
                <w:sz w:val="13"/>
                <w:szCs w:val="13"/>
                <w:color w:val="auto"/>
              </w:rPr>
              <w:t>36.80</w:t>
            </w:r>
          </w:p>
        </w:tc>
        <w:tc>
          <w:tcPr>
            <w:tcW w:w="780" w:type="dxa"/>
            <w:vAlign w:val="bottom"/>
          </w:tcPr>
          <w:p>
            <w:pPr>
              <w:jc w:val="right"/>
              <w:spacing w:after="0" w:line="146" w:lineRule="exact"/>
              <w:rPr>
                <w:sz w:val="20"/>
                <w:szCs w:val="20"/>
                <w:color w:val="auto"/>
              </w:rPr>
            </w:pPr>
            <w:r>
              <w:rPr>
                <w:rFonts w:ascii="Arial" w:cs="Arial" w:eastAsia="Arial" w:hAnsi="Arial"/>
                <w:sz w:val="13"/>
                <w:szCs w:val="13"/>
                <w:color w:val="auto"/>
              </w:rPr>
              <w:t>8/09/2027</w:t>
            </w:r>
          </w:p>
        </w:tc>
        <w:tc>
          <w:tcPr>
            <w:tcW w:w="760" w:type="dxa"/>
            <w:vAlign w:val="bottom"/>
          </w:tcPr>
          <w:p>
            <w:pPr>
              <w:jc w:val="right"/>
              <w:ind w:right="55"/>
              <w:spacing w:after="0" w:line="146" w:lineRule="exact"/>
              <w:rPr>
                <w:sz w:val="20"/>
                <w:szCs w:val="20"/>
                <w:color w:val="auto"/>
              </w:rPr>
            </w:pPr>
            <w:r>
              <w:rPr>
                <w:rFonts w:ascii="Arial" w:cs="Arial" w:eastAsia="Arial" w:hAnsi="Arial"/>
                <w:sz w:val="13"/>
                <w:szCs w:val="13"/>
                <w:color w:val="auto"/>
              </w:rPr>
              <w:t>8/10/2017</w:t>
            </w:r>
          </w:p>
        </w:tc>
        <w:tc>
          <w:tcPr>
            <w:tcW w:w="580" w:type="dxa"/>
            <w:vAlign w:val="bottom"/>
          </w:tcPr>
          <w:p>
            <w:pPr>
              <w:jc w:val="right"/>
              <w:ind w:right="15"/>
              <w:spacing w:after="0" w:line="146" w:lineRule="exact"/>
              <w:rPr>
                <w:sz w:val="20"/>
                <w:szCs w:val="20"/>
                <w:color w:val="auto"/>
              </w:rPr>
            </w:pPr>
            <w:r>
              <w:rPr>
                <w:rFonts w:ascii="Arial" w:cs="Arial" w:eastAsia="Arial" w:hAnsi="Arial"/>
                <w:sz w:val="13"/>
                <w:szCs w:val="13"/>
                <w:color w:val="auto"/>
              </w:rPr>
              <w:t>1,868</w:t>
            </w:r>
          </w:p>
        </w:tc>
        <w:tc>
          <w:tcPr>
            <w:tcW w:w="70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48,643</w:t>
            </w:r>
          </w:p>
        </w:tc>
        <w:tc>
          <w:tcPr>
            <w:tcW w:w="680" w:type="dxa"/>
            <w:vAlign w:val="bottom"/>
          </w:tcPr>
          <w:p>
            <w:pPr>
              <w:jc w:val="right"/>
              <w:ind w:right="55"/>
              <w:spacing w:after="0" w:line="146"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r>
      <w:tr>
        <w:trPr>
          <w:trHeight w:val="146"/>
        </w:trPr>
        <w:tc>
          <w:tcPr>
            <w:tcW w:w="800" w:type="dxa"/>
            <w:vAlign w:val="bottom"/>
          </w:tcPr>
          <w:p>
            <w:pPr>
              <w:spacing w:after="0"/>
              <w:rPr>
                <w:sz w:val="12"/>
                <w:szCs w:val="12"/>
                <w:color w:val="auto"/>
              </w:rPr>
            </w:pP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8/28/2018</w:t>
            </w:r>
          </w:p>
        </w:tc>
        <w:tc>
          <w:tcPr>
            <w:tcW w:w="1140" w:type="dxa"/>
            <w:vAlign w:val="bottom"/>
          </w:tcPr>
          <w:p>
            <w:pPr>
              <w:jc w:val="right"/>
              <w:ind w:right="235"/>
              <w:spacing w:after="0" w:line="146" w:lineRule="exact"/>
              <w:rPr>
                <w:sz w:val="20"/>
                <w:szCs w:val="20"/>
                <w:color w:val="auto"/>
              </w:rPr>
            </w:pPr>
            <w:r>
              <w:rPr>
                <w:rFonts w:ascii="Arial" w:cs="Arial" w:eastAsia="Arial" w:hAnsi="Arial"/>
                <w:sz w:val="13"/>
                <w:szCs w:val="13"/>
                <w:color w:val="auto"/>
              </w:rPr>
              <w:t>4,872</w:t>
            </w:r>
          </w:p>
        </w:tc>
        <w:tc>
          <w:tcPr>
            <w:tcW w:w="8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14,616</w:t>
            </w:r>
          </w:p>
        </w:tc>
        <w:tc>
          <w:tcPr>
            <w:tcW w:w="560" w:type="dxa"/>
            <w:vAlign w:val="bottom"/>
          </w:tcPr>
          <w:p>
            <w:pPr>
              <w:jc w:val="right"/>
              <w:spacing w:after="0" w:line="146" w:lineRule="exact"/>
              <w:rPr>
                <w:sz w:val="20"/>
                <w:szCs w:val="20"/>
                <w:color w:val="auto"/>
              </w:rPr>
            </w:pPr>
            <w:r>
              <w:rPr>
                <w:rFonts w:ascii="Arial" w:cs="Arial" w:eastAsia="Arial" w:hAnsi="Arial"/>
                <w:sz w:val="13"/>
                <w:szCs w:val="13"/>
                <w:color w:val="auto"/>
              </w:rPr>
              <w:t>48.62</w:t>
            </w:r>
          </w:p>
        </w:tc>
        <w:tc>
          <w:tcPr>
            <w:tcW w:w="780" w:type="dxa"/>
            <w:vAlign w:val="bottom"/>
          </w:tcPr>
          <w:p>
            <w:pPr>
              <w:jc w:val="right"/>
              <w:spacing w:after="0" w:line="146" w:lineRule="exact"/>
              <w:rPr>
                <w:sz w:val="20"/>
                <w:szCs w:val="20"/>
                <w:color w:val="auto"/>
              </w:rPr>
            </w:pPr>
            <w:r>
              <w:rPr>
                <w:rFonts w:ascii="Arial" w:cs="Arial" w:eastAsia="Arial" w:hAnsi="Arial"/>
                <w:sz w:val="13"/>
                <w:szCs w:val="13"/>
                <w:color w:val="auto"/>
              </w:rPr>
              <w:t>8/27/2028</w:t>
            </w:r>
          </w:p>
        </w:tc>
        <w:tc>
          <w:tcPr>
            <w:tcW w:w="760" w:type="dxa"/>
            <w:vAlign w:val="bottom"/>
          </w:tcPr>
          <w:p>
            <w:pPr>
              <w:jc w:val="right"/>
              <w:ind w:right="55"/>
              <w:spacing w:after="0" w:line="146" w:lineRule="exact"/>
              <w:rPr>
                <w:sz w:val="20"/>
                <w:szCs w:val="20"/>
                <w:color w:val="auto"/>
              </w:rPr>
            </w:pPr>
            <w:r>
              <w:rPr>
                <w:rFonts w:ascii="Arial" w:cs="Arial" w:eastAsia="Arial" w:hAnsi="Arial"/>
                <w:sz w:val="13"/>
                <w:szCs w:val="13"/>
                <w:color w:val="auto"/>
              </w:rPr>
              <w:t>8/28/2018</w:t>
            </w:r>
          </w:p>
        </w:tc>
        <w:tc>
          <w:tcPr>
            <w:tcW w:w="580" w:type="dxa"/>
            <w:vAlign w:val="bottom"/>
          </w:tcPr>
          <w:p>
            <w:pPr>
              <w:jc w:val="right"/>
              <w:ind w:right="15"/>
              <w:spacing w:after="0" w:line="146" w:lineRule="exact"/>
              <w:rPr>
                <w:sz w:val="20"/>
                <w:szCs w:val="20"/>
                <w:color w:val="auto"/>
              </w:rPr>
            </w:pPr>
            <w:r>
              <w:rPr>
                <w:rFonts w:ascii="Arial" w:cs="Arial" w:eastAsia="Arial" w:hAnsi="Arial"/>
                <w:sz w:val="13"/>
                <w:szCs w:val="13"/>
                <w:color w:val="auto"/>
              </w:rPr>
              <w:t>2,828</w:t>
            </w:r>
          </w:p>
        </w:tc>
        <w:tc>
          <w:tcPr>
            <w:tcW w:w="70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73,641</w:t>
            </w:r>
          </w:p>
        </w:tc>
        <w:tc>
          <w:tcPr>
            <w:tcW w:w="680" w:type="dxa"/>
            <w:vAlign w:val="bottom"/>
          </w:tcPr>
          <w:p>
            <w:pPr>
              <w:jc w:val="right"/>
              <w:ind w:right="55"/>
              <w:spacing w:after="0" w:line="146" w:lineRule="exact"/>
              <w:rPr>
                <w:sz w:val="20"/>
                <w:szCs w:val="20"/>
                <w:color w:val="auto"/>
              </w:rPr>
            </w:pPr>
            <w:r>
              <w:rPr>
                <w:rFonts w:ascii="Arial" w:cs="Arial" w:eastAsia="Arial" w:hAnsi="Arial"/>
                <w:sz w:val="13"/>
                <w:szCs w:val="13"/>
                <w:color w:val="auto"/>
              </w:rPr>
              <w:t>11,313</w:t>
            </w:r>
          </w:p>
        </w:tc>
        <w:tc>
          <w:tcPr>
            <w:tcW w:w="600" w:type="dxa"/>
            <w:vAlign w:val="bottom"/>
          </w:tcPr>
          <w:p>
            <w:pPr>
              <w:jc w:val="right"/>
              <w:spacing w:after="0" w:line="146" w:lineRule="exact"/>
              <w:rPr>
                <w:sz w:val="20"/>
                <w:szCs w:val="20"/>
                <w:color w:val="auto"/>
              </w:rPr>
            </w:pPr>
            <w:r>
              <w:rPr>
                <w:rFonts w:ascii="Arial" w:cs="Arial" w:eastAsia="Arial" w:hAnsi="Arial"/>
                <w:sz w:val="13"/>
                <w:szCs w:val="13"/>
                <w:color w:val="auto"/>
              </w:rPr>
              <w:t>294,591</w:t>
            </w:r>
          </w:p>
        </w:tc>
      </w:tr>
      <w:tr>
        <w:trPr>
          <w:trHeight w:val="157"/>
        </w:trPr>
        <w:tc>
          <w:tcPr>
            <w:tcW w:w="8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8/14/2019</w:t>
            </w:r>
          </w:p>
        </w:tc>
        <w:tc>
          <w:tcPr>
            <w:tcW w:w="1140" w:type="dxa"/>
            <w:vAlign w:val="bottom"/>
          </w:tcPr>
          <w:p>
            <w:pPr>
              <w:jc w:val="right"/>
              <w:ind w:right="235"/>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95"/>
              <w:spacing w:after="0"/>
              <w:rPr>
                <w:sz w:val="20"/>
                <w:szCs w:val="20"/>
                <w:color w:val="auto"/>
              </w:rPr>
            </w:pPr>
            <w:r>
              <w:rPr>
                <w:rFonts w:ascii="Arial" w:cs="Arial" w:eastAsia="Arial" w:hAnsi="Arial"/>
                <w:sz w:val="13"/>
                <w:szCs w:val="13"/>
                <w:color w:val="auto"/>
              </w:rPr>
              <w:t>25,992</w:t>
            </w:r>
          </w:p>
        </w:tc>
        <w:tc>
          <w:tcPr>
            <w:tcW w:w="560" w:type="dxa"/>
            <w:vAlign w:val="bottom"/>
          </w:tcPr>
          <w:p>
            <w:pPr>
              <w:jc w:val="right"/>
              <w:spacing w:after="0"/>
              <w:rPr>
                <w:sz w:val="20"/>
                <w:szCs w:val="20"/>
                <w:color w:val="auto"/>
              </w:rPr>
            </w:pPr>
            <w:r>
              <w:rPr>
                <w:rFonts w:ascii="Arial" w:cs="Arial" w:eastAsia="Arial" w:hAnsi="Arial"/>
                <w:sz w:val="13"/>
                <w:szCs w:val="13"/>
                <w:color w:val="auto"/>
              </w:rPr>
              <w:t>39.72</w:t>
            </w:r>
          </w:p>
        </w:tc>
        <w:tc>
          <w:tcPr>
            <w:tcW w:w="780" w:type="dxa"/>
            <w:vAlign w:val="bottom"/>
          </w:tcPr>
          <w:p>
            <w:pPr>
              <w:jc w:val="right"/>
              <w:spacing w:after="0"/>
              <w:rPr>
                <w:sz w:val="20"/>
                <w:szCs w:val="20"/>
                <w:color w:val="auto"/>
              </w:rPr>
            </w:pPr>
            <w:r>
              <w:rPr>
                <w:rFonts w:ascii="Arial" w:cs="Arial" w:eastAsia="Arial" w:hAnsi="Arial"/>
                <w:sz w:val="13"/>
                <w:szCs w:val="13"/>
                <w:color w:val="auto"/>
              </w:rPr>
              <w:t>8/13/2029</w:t>
            </w:r>
          </w:p>
        </w:tc>
        <w:tc>
          <w:tcPr>
            <w:tcW w:w="760" w:type="dxa"/>
            <w:vAlign w:val="bottom"/>
          </w:tcPr>
          <w:p>
            <w:pPr>
              <w:jc w:val="right"/>
              <w:ind w:right="55"/>
              <w:spacing w:after="0"/>
              <w:rPr>
                <w:sz w:val="20"/>
                <w:szCs w:val="20"/>
                <w:color w:val="auto"/>
              </w:rPr>
            </w:pPr>
            <w:r>
              <w:rPr>
                <w:rFonts w:ascii="Arial" w:cs="Arial" w:eastAsia="Arial" w:hAnsi="Arial"/>
                <w:sz w:val="13"/>
                <w:szCs w:val="13"/>
                <w:color w:val="auto"/>
              </w:rPr>
              <w:t>8/14/2019</w:t>
            </w:r>
          </w:p>
        </w:tc>
        <w:tc>
          <w:tcPr>
            <w:tcW w:w="580" w:type="dxa"/>
            <w:vAlign w:val="bottom"/>
          </w:tcPr>
          <w:p>
            <w:pPr>
              <w:jc w:val="right"/>
              <w:ind w:right="15"/>
              <w:spacing w:after="0"/>
              <w:rPr>
                <w:sz w:val="20"/>
                <w:szCs w:val="20"/>
                <w:color w:val="auto"/>
              </w:rPr>
            </w:pPr>
            <w:r>
              <w:rPr>
                <w:rFonts w:ascii="Arial" w:cs="Arial" w:eastAsia="Arial" w:hAnsi="Arial"/>
                <w:sz w:val="13"/>
                <w:szCs w:val="13"/>
                <w:color w:val="auto"/>
              </w:rPr>
              <w:t>5,193</w:t>
            </w:r>
          </w:p>
        </w:tc>
        <w:tc>
          <w:tcPr>
            <w:tcW w:w="700" w:type="dxa"/>
            <w:vAlign w:val="bottom"/>
          </w:tcPr>
          <w:p>
            <w:pPr>
              <w:jc w:val="right"/>
              <w:ind w:right="115"/>
              <w:spacing w:after="0"/>
              <w:rPr>
                <w:sz w:val="20"/>
                <w:szCs w:val="20"/>
                <w:color w:val="auto"/>
              </w:rPr>
            </w:pPr>
            <w:r>
              <w:rPr>
                <w:rFonts w:ascii="Arial" w:cs="Arial" w:eastAsia="Arial" w:hAnsi="Arial"/>
                <w:sz w:val="13"/>
                <w:szCs w:val="13"/>
                <w:color w:val="auto"/>
              </w:rPr>
              <w:t>135,226</w:t>
            </w:r>
          </w:p>
        </w:tc>
        <w:tc>
          <w:tcPr>
            <w:tcW w:w="680" w:type="dxa"/>
            <w:vAlign w:val="bottom"/>
          </w:tcPr>
          <w:p>
            <w:pPr>
              <w:jc w:val="right"/>
              <w:ind w:right="55"/>
              <w:spacing w:after="0"/>
              <w:rPr>
                <w:sz w:val="20"/>
                <w:szCs w:val="20"/>
                <w:color w:val="auto"/>
              </w:rPr>
            </w:pPr>
            <w:r>
              <w:rPr>
                <w:rFonts w:ascii="Arial" w:cs="Arial" w:eastAsia="Arial" w:hAnsi="Arial"/>
                <w:sz w:val="13"/>
                <w:szCs w:val="13"/>
                <w:color w:val="auto"/>
              </w:rPr>
              <w:t>13,848</w:t>
            </w:r>
          </w:p>
        </w:tc>
        <w:tc>
          <w:tcPr>
            <w:tcW w:w="600" w:type="dxa"/>
            <w:vAlign w:val="bottom"/>
          </w:tcPr>
          <w:p>
            <w:pPr>
              <w:jc w:val="right"/>
              <w:spacing w:after="0"/>
              <w:rPr>
                <w:sz w:val="20"/>
                <w:szCs w:val="20"/>
                <w:color w:val="auto"/>
              </w:rPr>
            </w:pPr>
            <w:r>
              <w:rPr>
                <w:rFonts w:ascii="Arial" w:cs="Arial" w:eastAsia="Arial" w:hAnsi="Arial"/>
                <w:sz w:val="13"/>
                <w:szCs w:val="13"/>
                <w:color w:val="auto"/>
              </w:rPr>
              <w:t>360,602</w:t>
            </w:r>
          </w:p>
        </w:tc>
      </w:tr>
      <w:tr>
        <w:trPr>
          <w:trHeight w:val="134"/>
        </w:trPr>
        <w:tc>
          <w:tcPr>
            <w:tcW w:w="800" w:type="dxa"/>
            <w:vAlign w:val="bottom"/>
            <w:shd w:val="clear" w:color="auto" w:fill="E8F5EA"/>
          </w:tcPr>
          <w:p>
            <w:pPr>
              <w:spacing w:after="0" w:line="134" w:lineRule="exact"/>
              <w:rPr>
                <w:sz w:val="20"/>
                <w:szCs w:val="20"/>
                <w:color w:val="auto"/>
              </w:rPr>
            </w:pPr>
            <w:r>
              <w:rPr>
                <w:rFonts w:ascii="Arial" w:cs="Arial" w:eastAsia="Arial" w:hAnsi="Arial"/>
                <w:sz w:val="13"/>
                <w:szCs w:val="13"/>
                <w:color w:val="auto"/>
              </w:rPr>
              <w:t>Philip R.</w:t>
            </w:r>
          </w:p>
        </w:tc>
        <w:tc>
          <w:tcPr>
            <w:tcW w:w="840" w:type="dxa"/>
            <w:vAlign w:val="bottom"/>
            <w:shd w:val="clear" w:color="auto" w:fill="E8F5EA"/>
          </w:tcPr>
          <w:p>
            <w:pPr>
              <w:spacing w:after="0"/>
              <w:rPr>
                <w:sz w:val="11"/>
                <w:szCs w:val="11"/>
                <w:color w:val="auto"/>
              </w:rPr>
            </w:pPr>
          </w:p>
        </w:tc>
        <w:tc>
          <w:tcPr>
            <w:tcW w:w="1140" w:type="dxa"/>
            <w:vAlign w:val="bottom"/>
            <w:shd w:val="clear" w:color="auto" w:fill="E8F5EA"/>
          </w:tcPr>
          <w:p>
            <w:pPr>
              <w:spacing w:after="0"/>
              <w:rPr>
                <w:sz w:val="11"/>
                <w:szCs w:val="11"/>
                <w:color w:val="auto"/>
              </w:rPr>
            </w:pPr>
          </w:p>
        </w:tc>
        <w:tc>
          <w:tcPr>
            <w:tcW w:w="860" w:type="dxa"/>
            <w:vAlign w:val="bottom"/>
            <w:shd w:val="clear" w:color="auto" w:fill="E8F5EA"/>
          </w:tcPr>
          <w:p>
            <w:pPr>
              <w:spacing w:after="0"/>
              <w:rPr>
                <w:sz w:val="11"/>
                <w:szCs w:val="11"/>
                <w:color w:val="auto"/>
              </w:rPr>
            </w:pPr>
          </w:p>
        </w:tc>
        <w:tc>
          <w:tcPr>
            <w:tcW w:w="560" w:type="dxa"/>
            <w:vAlign w:val="bottom"/>
            <w:shd w:val="clear" w:color="auto" w:fill="E8F5EA"/>
          </w:tcPr>
          <w:p>
            <w:pPr>
              <w:spacing w:after="0"/>
              <w:rPr>
                <w:sz w:val="11"/>
                <w:szCs w:val="11"/>
                <w:color w:val="auto"/>
              </w:rPr>
            </w:pPr>
          </w:p>
        </w:tc>
        <w:tc>
          <w:tcPr>
            <w:tcW w:w="780" w:type="dxa"/>
            <w:vAlign w:val="bottom"/>
            <w:shd w:val="clear" w:color="auto" w:fill="E8F5EA"/>
          </w:tcPr>
          <w:p>
            <w:pPr>
              <w:spacing w:after="0"/>
              <w:rPr>
                <w:sz w:val="11"/>
                <w:szCs w:val="11"/>
                <w:color w:val="auto"/>
              </w:rPr>
            </w:pPr>
          </w:p>
        </w:tc>
        <w:tc>
          <w:tcPr>
            <w:tcW w:w="760" w:type="dxa"/>
            <w:vAlign w:val="bottom"/>
            <w:shd w:val="clear" w:color="auto" w:fill="E8F5EA"/>
          </w:tcPr>
          <w:p>
            <w:pPr>
              <w:spacing w:after="0"/>
              <w:rPr>
                <w:sz w:val="11"/>
                <w:szCs w:val="11"/>
                <w:color w:val="auto"/>
              </w:rPr>
            </w:pPr>
          </w:p>
        </w:tc>
        <w:tc>
          <w:tcPr>
            <w:tcW w:w="580" w:type="dxa"/>
            <w:vAlign w:val="bottom"/>
            <w:shd w:val="clear" w:color="auto" w:fill="E8F5EA"/>
          </w:tcPr>
          <w:p>
            <w:pPr>
              <w:spacing w:after="0"/>
              <w:rPr>
                <w:sz w:val="11"/>
                <w:szCs w:val="11"/>
                <w:color w:val="auto"/>
              </w:rPr>
            </w:pPr>
          </w:p>
        </w:tc>
        <w:tc>
          <w:tcPr>
            <w:tcW w:w="700" w:type="dxa"/>
            <w:vAlign w:val="bottom"/>
            <w:shd w:val="clear" w:color="auto" w:fill="E8F5EA"/>
          </w:tcPr>
          <w:p>
            <w:pPr>
              <w:spacing w:after="0"/>
              <w:rPr>
                <w:sz w:val="11"/>
                <w:szCs w:val="11"/>
                <w:color w:val="auto"/>
              </w:rPr>
            </w:pPr>
          </w:p>
        </w:tc>
        <w:tc>
          <w:tcPr>
            <w:tcW w:w="680" w:type="dxa"/>
            <w:vAlign w:val="bottom"/>
            <w:shd w:val="clear" w:color="auto" w:fill="E8F5EA"/>
          </w:tcPr>
          <w:p>
            <w:pPr>
              <w:spacing w:after="0"/>
              <w:rPr>
                <w:sz w:val="11"/>
                <w:szCs w:val="11"/>
                <w:color w:val="auto"/>
              </w:rPr>
            </w:pPr>
          </w:p>
        </w:tc>
        <w:tc>
          <w:tcPr>
            <w:tcW w:w="600" w:type="dxa"/>
            <w:vAlign w:val="bottom"/>
            <w:shd w:val="clear" w:color="auto" w:fill="E8F5EA"/>
          </w:tcPr>
          <w:p>
            <w:pPr>
              <w:spacing w:after="0"/>
              <w:rPr>
                <w:sz w:val="11"/>
                <w:szCs w:val="11"/>
                <w:color w:val="auto"/>
              </w:rPr>
            </w:pPr>
          </w:p>
        </w:tc>
      </w:tr>
      <w:tr>
        <w:trPr>
          <w:trHeight w:val="157"/>
        </w:trPr>
        <w:tc>
          <w:tcPr>
            <w:tcW w:w="800" w:type="dxa"/>
            <w:vAlign w:val="bottom"/>
            <w:shd w:val="clear" w:color="auto" w:fill="E8F5EA"/>
          </w:tcPr>
          <w:p>
            <w:pPr>
              <w:spacing w:after="0"/>
              <w:rPr>
                <w:sz w:val="20"/>
                <w:szCs w:val="20"/>
                <w:color w:val="auto"/>
              </w:rPr>
            </w:pPr>
            <w:r>
              <w:rPr>
                <w:rFonts w:ascii="Arial" w:cs="Arial" w:eastAsia="Arial" w:hAnsi="Arial"/>
                <w:sz w:val="13"/>
                <w:szCs w:val="13"/>
                <w:color w:val="auto"/>
              </w:rPr>
              <w:t>Gallagher</w:t>
            </w:r>
          </w:p>
        </w:tc>
        <w:tc>
          <w:tcPr>
            <w:tcW w:w="840" w:type="dxa"/>
            <w:vAlign w:val="bottom"/>
            <w:shd w:val="clear" w:color="auto" w:fill="E8F5EA"/>
          </w:tcPr>
          <w:p>
            <w:pPr>
              <w:jc w:val="right"/>
              <w:spacing w:after="0"/>
              <w:rPr>
                <w:sz w:val="20"/>
                <w:szCs w:val="20"/>
                <w:color w:val="auto"/>
              </w:rPr>
            </w:pPr>
            <w:r>
              <w:rPr>
                <w:rFonts w:ascii="Arial" w:cs="Arial" w:eastAsia="Arial" w:hAnsi="Arial"/>
                <w:sz w:val="13"/>
                <w:szCs w:val="13"/>
                <w:color w:val="auto"/>
              </w:rPr>
              <w:t>8/11/2011</w:t>
            </w:r>
          </w:p>
        </w:tc>
        <w:tc>
          <w:tcPr>
            <w:tcW w:w="1140" w:type="dxa"/>
            <w:vAlign w:val="bottom"/>
            <w:shd w:val="clear" w:color="auto" w:fill="E8F5EA"/>
          </w:tcPr>
          <w:p>
            <w:pPr>
              <w:jc w:val="right"/>
              <w:ind w:right="235"/>
              <w:spacing w:after="0"/>
              <w:rPr>
                <w:sz w:val="20"/>
                <w:szCs w:val="20"/>
                <w:color w:val="auto"/>
              </w:rPr>
            </w:pPr>
            <w:r>
              <w:rPr>
                <w:rFonts w:ascii="Arial" w:cs="Arial" w:eastAsia="Arial" w:hAnsi="Arial"/>
                <w:sz w:val="13"/>
                <w:szCs w:val="13"/>
                <w:color w:val="auto"/>
              </w:rPr>
              <w:t>21,152</w:t>
            </w:r>
          </w:p>
        </w:tc>
        <w:tc>
          <w:tcPr>
            <w:tcW w:w="860" w:type="dxa"/>
            <w:vAlign w:val="bottom"/>
            <w:shd w:val="clear" w:color="auto" w:fill="E8F5EA"/>
          </w:tcPr>
          <w:p>
            <w:pPr>
              <w:jc w:val="right"/>
              <w:ind w:right="95"/>
              <w:spacing w:after="0"/>
              <w:rPr>
                <w:sz w:val="20"/>
                <w:szCs w:val="20"/>
                <w:color w:val="auto"/>
              </w:rPr>
            </w:pPr>
            <w:r>
              <w:rPr>
                <w:rFonts w:ascii="Arial" w:cs="Arial" w:eastAsia="Arial" w:hAnsi="Arial"/>
                <w:sz w:val="13"/>
                <w:szCs w:val="13"/>
                <w:color w:val="auto"/>
              </w:rPr>
              <w:t>—</w:t>
            </w:r>
          </w:p>
        </w:tc>
        <w:tc>
          <w:tcPr>
            <w:tcW w:w="560" w:type="dxa"/>
            <w:vAlign w:val="bottom"/>
            <w:shd w:val="clear" w:color="auto" w:fill="E8F5EA"/>
          </w:tcPr>
          <w:p>
            <w:pPr>
              <w:jc w:val="right"/>
              <w:spacing w:after="0"/>
              <w:rPr>
                <w:sz w:val="20"/>
                <w:szCs w:val="20"/>
                <w:color w:val="auto"/>
              </w:rPr>
            </w:pPr>
            <w:r>
              <w:rPr>
                <w:rFonts w:ascii="Arial" w:cs="Arial" w:eastAsia="Arial" w:hAnsi="Arial"/>
                <w:sz w:val="13"/>
                <w:szCs w:val="13"/>
                <w:color w:val="auto"/>
              </w:rPr>
              <w:t>27.94</w:t>
            </w:r>
          </w:p>
        </w:tc>
        <w:tc>
          <w:tcPr>
            <w:tcW w:w="780" w:type="dxa"/>
            <w:vAlign w:val="bottom"/>
            <w:shd w:val="clear" w:color="auto" w:fill="E8F5EA"/>
          </w:tcPr>
          <w:p>
            <w:pPr>
              <w:jc w:val="right"/>
              <w:spacing w:after="0"/>
              <w:rPr>
                <w:sz w:val="20"/>
                <w:szCs w:val="20"/>
                <w:color w:val="auto"/>
              </w:rPr>
            </w:pPr>
            <w:r>
              <w:rPr>
                <w:rFonts w:ascii="Arial" w:cs="Arial" w:eastAsia="Arial" w:hAnsi="Arial"/>
                <w:sz w:val="13"/>
                <w:szCs w:val="13"/>
                <w:color w:val="auto"/>
              </w:rPr>
              <w:t>8/10/2021</w:t>
            </w:r>
          </w:p>
        </w:tc>
        <w:tc>
          <w:tcPr>
            <w:tcW w:w="760" w:type="dxa"/>
            <w:vAlign w:val="bottom"/>
            <w:shd w:val="clear" w:color="auto" w:fill="E8F5EA"/>
          </w:tcPr>
          <w:p>
            <w:pPr>
              <w:jc w:val="right"/>
              <w:ind w:right="55"/>
              <w:spacing w:after="0"/>
              <w:rPr>
                <w:sz w:val="20"/>
                <w:szCs w:val="20"/>
                <w:color w:val="auto"/>
              </w:rPr>
            </w:pPr>
            <w:r>
              <w:rPr>
                <w:rFonts w:ascii="Arial" w:cs="Arial" w:eastAsia="Arial" w:hAnsi="Arial"/>
                <w:sz w:val="13"/>
                <w:szCs w:val="13"/>
                <w:color w:val="auto"/>
              </w:rPr>
              <w:t>—</w:t>
            </w:r>
          </w:p>
        </w:tc>
        <w:tc>
          <w:tcPr>
            <w:tcW w:w="580" w:type="dxa"/>
            <w:vAlign w:val="bottom"/>
            <w:shd w:val="clear" w:color="auto" w:fill="E8F5EA"/>
          </w:tcPr>
          <w:p>
            <w:pPr>
              <w:jc w:val="right"/>
              <w:ind w:right="15"/>
              <w:spacing w:after="0"/>
              <w:rPr>
                <w:sz w:val="20"/>
                <w:szCs w:val="20"/>
                <w:color w:val="auto"/>
              </w:rPr>
            </w:pPr>
            <w:r>
              <w:rPr>
                <w:rFonts w:ascii="Arial" w:cs="Arial" w:eastAsia="Arial" w:hAnsi="Arial"/>
                <w:sz w:val="13"/>
                <w:szCs w:val="13"/>
                <w:color w:val="auto"/>
              </w:rPr>
              <w:t>—</w:t>
            </w:r>
          </w:p>
        </w:tc>
        <w:tc>
          <w:tcPr>
            <w:tcW w:w="700" w:type="dxa"/>
            <w:vAlign w:val="bottom"/>
            <w:shd w:val="clear" w:color="auto" w:fill="E8F5EA"/>
          </w:tcPr>
          <w:p>
            <w:pPr>
              <w:jc w:val="right"/>
              <w:ind w:right="115"/>
              <w:spacing w:after="0"/>
              <w:rPr>
                <w:sz w:val="20"/>
                <w:szCs w:val="20"/>
                <w:color w:val="auto"/>
              </w:rPr>
            </w:pPr>
            <w:r>
              <w:rPr>
                <w:rFonts w:ascii="Arial" w:cs="Arial" w:eastAsia="Arial" w:hAnsi="Arial"/>
                <w:sz w:val="13"/>
                <w:szCs w:val="13"/>
                <w:color w:val="auto"/>
              </w:rPr>
              <w:t>—</w:t>
            </w:r>
          </w:p>
        </w:tc>
        <w:tc>
          <w:tcPr>
            <w:tcW w:w="680" w:type="dxa"/>
            <w:vAlign w:val="bottom"/>
            <w:shd w:val="clear" w:color="auto" w:fill="E8F5EA"/>
          </w:tcPr>
          <w:p>
            <w:pPr>
              <w:jc w:val="right"/>
              <w:ind w:right="55"/>
              <w:spacing w:after="0"/>
              <w:rPr>
                <w:sz w:val="20"/>
                <w:szCs w:val="20"/>
                <w:color w:val="auto"/>
              </w:rPr>
            </w:pPr>
            <w:r>
              <w:rPr>
                <w:rFonts w:ascii="Arial" w:cs="Arial" w:eastAsia="Arial" w:hAnsi="Arial"/>
                <w:sz w:val="13"/>
                <w:szCs w:val="13"/>
                <w:color w:val="auto"/>
              </w:rPr>
              <w:t>—</w:t>
            </w:r>
          </w:p>
        </w:tc>
        <w:tc>
          <w:tcPr>
            <w:tcW w:w="600" w:type="dxa"/>
            <w:vAlign w:val="bottom"/>
            <w:shd w:val="clear" w:color="auto" w:fill="E8F5EA"/>
          </w:tcPr>
          <w:p>
            <w:pPr>
              <w:jc w:val="right"/>
              <w:spacing w:after="0"/>
              <w:rPr>
                <w:sz w:val="20"/>
                <w:szCs w:val="20"/>
                <w:color w:val="auto"/>
              </w:rPr>
            </w:pPr>
            <w:r>
              <w:rPr>
                <w:rFonts w:ascii="Arial" w:cs="Arial" w:eastAsia="Arial" w:hAnsi="Arial"/>
                <w:sz w:val="13"/>
                <w:szCs w:val="13"/>
                <w:color w:val="auto"/>
              </w:rPr>
              <w:t>—</w:t>
            </w:r>
          </w:p>
        </w:tc>
      </w:tr>
      <w:tr>
        <w:trPr>
          <w:trHeight w:val="146"/>
        </w:trPr>
        <w:tc>
          <w:tcPr>
            <w:tcW w:w="800" w:type="dxa"/>
            <w:vAlign w:val="bottom"/>
            <w:shd w:val="clear" w:color="auto" w:fill="E8F5EA"/>
          </w:tcPr>
          <w:p>
            <w:pPr>
              <w:spacing w:after="0"/>
              <w:rPr>
                <w:sz w:val="12"/>
                <w:szCs w:val="12"/>
                <w:color w:val="auto"/>
              </w:rPr>
            </w:pPr>
          </w:p>
        </w:tc>
        <w:tc>
          <w:tcPr>
            <w:tcW w:w="84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8/09/2012</w:t>
            </w:r>
          </w:p>
        </w:tc>
        <w:tc>
          <w:tcPr>
            <w:tcW w:w="1140" w:type="dxa"/>
            <w:vAlign w:val="bottom"/>
            <w:shd w:val="clear" w:color="auto" w:fill="E8F5EA"/>
          </w:tcPr>
          <w:p>
            <w:pPr>
              <w:jc w:val="right"/>
              <w:ind w:right="235"/>
              <w:spacing w:after="0" w:line="146" w:lineRule="exact"/>
              <w:rPr>
                <w:sz w:val="20"/>
                <w:szCs w:val="20"/>
                <w:color w:val="auto"/>
              </w:rPr>
            </w:pPr>
            <w:r>
              <w:rPr>
                <w:rFonts w:ascii="Arial" w:cs="Arial" w:eastAsia="Arial" w:hAnsi="Arial"/>
                <w:sz w:val="13"/>
                <w:szCs w:val="13"/>
                <w:color w:val="auto"/>
              </w:rPr>
              <w:t>23,128</w:t>
            </w:r>
          </w:p>
        </w:tc>
        <w:tc>
          <w:tcPr>
            <w:tcW w:w="860" w:type="dxa"/>
            <w:vAlign w:val="bottom"/>
            <w:shd w:val="clear" w:color="auto" w:fill="E8F5EA"/>
          </w:tcPr>
          <w:p>
            <w:pPr>
              <w:jc w:val="right"/>
              <w:ind w:right="95"/>
              <w:spacing w:after="0" w:line="146" w:lineRule="exact"/>
              <w:rPr>
                <w:sz w:val="20"/>
                <w:szCs w:val="20"/>
                <w:color w:val="auto"/>
              </w:rPr>
            </w:pPr>
            <w:r>
              <w:rPr>
                <w:rFonts w:ascii="Arial" w:cs="Arial" w:eastAsia="Arial" w:hAnsi="Arial"/>
                <w:sz w:val="13"/>
                <w:szCs w:val="13"/>
                <w:color w:val="auto"/>
              </w:rPr>
              <w:t>—</w:t>
            </w:r>
          </w:p>
        </w:tc>
        <w:tc>
          <w:tcPr>
            <w:tcW w:w="56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32.43</w:t>
            </w:r>
          </w:p>
        </w:tc>
        <w:tc>
          <w:tcPr>
            <w:tcW w:w="78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8/08/2022</w:t>
            </w:r>
          </w:p>
        </w:tc>
        <w:tc>
          <w:tcPr>
            <w:tcW w:w="760" w:type="dxa"/>
            <w:vAlign w:val="bottom"/>
            <w:shd w:val="clear" w:color="auto" w:fill="E8F5EA"/>
          </w:tcPr>
          <w:p>
            <w:pPr>
              <w:jc w:val="right"/>
              <w:ind w:right="55"/>
              <w:spacing w:after="0" w:line="146" w:lineRule="exact"/>
              <w:rPr>
                <w:sz w:val="20"/>
                <w:szCs w:val="20"/>
                <w:color w:val="auto"/>
              </w:rPr>
            </w:pPr>
            <w:r>
              <w:rPr>
                <w:rFonts w:ascii="Arial" w:cs="Arial" w:eastAsia="Arial" w:hAnsi="Arial"/>
                <w:sz w:val="13"/>
                <w:szCs w:val="13"/>
                <w:color w:val="auto"/>
              </w:rPr>
              <w:t>—</w:t>
            </w:r>
          </w:p>
        </w:tc>
        <w:tc>
          <w:tcPr>
            <w:tcW w:w="580" w:type="dxa"/>
            <w:vAlign w:val="bottom"/>
            <w:shd w:val="clear" w:color="auto" w:fill="E8F5EA"/>
          </w:tcPr>
          <w:p>
            <w:pPr>
              <w:jc w:val="right"/>
              <w:ind w:right="15"/>
              <w:spacing w:after="0" w:line="146" w:lineRule="exact"/>
              <w:rPr>
                <w:sz w:val="20"/>
                <w:szCs w:val="20"/>
                <w:color w:val="auto"/>
              </w:rPr>
            </w:pPr>
            <w:r>
              <w:rPr>
                <w:rFonts w:ascii="Arial" w:cs="Arial" w:eastAsia="Arial" w:hAnsi="Arial"/>
                <w:sz w:val="13"/>
                <w:szCs w:val="13"/>
                <w:color w:val="auto"/>
              </w:rPr>
              <w:t>—</w:t>
            </w:r>
          </w:p>
        </w:tc>
        <w:tc>
          <w:tcPr>
            <w:tcW w:w="700" w:type="dxa"/>
            <w:vAlign w:val="bottom"/>
            <w:shd w:val="clear" w:color="auto" w:fill="E8F5EA"/>
          </w:tcPr>
          <w:p>
            <w:pPr>
              <w:jc w:val="right"/>
              <w:ind w:right="115"/>
              <w:spacing w:after="0" w:line="146" w:lineRule="exact"/>
              <w:rPr>
                <w:sz w:val="20"/>
                <w:szCs w:val="20"/>
                <w:color w:val="auto"/>
              </w:rPr>
            </w:pPr>
            <w:r>
              <w:rPr>
                <w:rFonts w:ascii="Arial" w:cs="Arial" w:eastAsia="Arial" w:hAnsi="Arial"/>
                <w:sz w:val="13"/>
                <w:szCs w:val="13"/>
                <w:color w:val="auto"/>
              </w:rPr>
              <w:t>—</w:t>
            </w:r>
          </w:p>
        </w:tc>
        <w:tc>
          <w:tcPr>
            <w:tcW w:w="680" w:type="dxa"/>
            <w:vAlign w:val="bottom"/>
            <w:shd w:val="clear" w:color="auto" w:fill="E8F5EA"/>
          </w:tcPr>
          <w:p>
            <w:pPr>
              <w:jc w:val="right"/>
              <w:ind w:right="55"/>
              <w:spacing w:after="0" w:line="146" w:lineRule="exact"/>
              <w:rPr>
                <w:sz w:val="20"/>
                <w:szCs w:val="20"/>
                <w:color w:val="auto"/>
              </w:rPr>
            </w:pPr>
            <w:r>
              <w:rPr>
                <w:rFonts w:ascii="Arial" w:cs="Arial" w:eastAsia="Arial" w:hAnsi="Arial"/>
                <w:sz w:val="13"/>
                <w:szCs w:val="13"/>
                <w:color w:val="auto"/>
              </w:rPr>
              <w:t>—</w:t>
            </w:r>
          </w:p>
        </w:tc>
        <w:tc>
          <w:tcPr>
            <w:tcW w:w="60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w:t>
            </w:r>
          </w:p>
        </w:tc>
      </w:tr>
      <w:tr>
        <w:trPr>
          <w:trHeight w:val="146"/>
        </w:trPr>
        <w:tc>
          <w:tcPr>
            <w:tcW w:w="800" w:type="dxa"/>
            <w:vAlign w:val="bottom"/>
            <w:shd w:val="clear" w:color="auto" w:fill="E8F5EA"/>
          </w:tcPr>
          <w:p>
            <w:pPr>
              <w:spacing w:after="0"/>
              <w:rPr>
                <w:sz w:val="12"/>
                <w:szCs w:val="12"/>
                <w:color w:val="auto"/>
              </w:rPr>
            </w:pPr>
          </w:p>
        </w:tc>
        <w:tc>
          <w:tcPr>
            <w:tcW w:w="84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8/08/2013</w:t>
            </w:r>
          </w:p>
        </w:tc>
        <w:tc>
          <w:tcPr>
            <w:tcW w:w="1140" w:type="dxa"/>
            <w:vAlign w:val="bottom"/>
            <w:shd w:val="clear" w:color="auto" w:fill="E8F5EA"/>
          </w:tcPr>
          <w:p>
            <w:pPr>
              <w:jc w:val="right"/>
              <w:ind w:right="235"/>
              <w:spacing w:after="0" w:line="146" w:lineRule="exact"/>
              <w:rPr>
                <w:sz w:val="20"/>
                <w:szCs w:val="20"/>
                <w:color w:val="auto"/>
              </w:rPr>
            </w:pPr>
            <w:r>
              <w:rPr>
                <w:rFonts w:ascii="Arial" w:cs="Arial" w:eastAsia="Arial" w:hAnsi="Arial"/>
                <w:sz w:val="13"/>
                <w:szCs w:val="13"/>
                <w:color w:val="auto"/>
              </w:rPr>
              <w:t>32,740</w:t>
            </w:r>
          </w:p>
        </w:tc>
        <w:tc>
          <w:tcPr>
            <w:tcW w:w="860" w:type="dxa"/>
            <w:vAlign w:val="bottom"/>
            <w:shd w:val="clear" w:color="auto" w:fill="E8F5EA"/>
          </w:tcPr>
          <w:p>
            <w:pPr>
              <w:jc w:val="right"/>
              <w:ind w:right="95"/>
              <w:spacing w:after="0" w:line="146" w:lineRule="exact"/>
              <w:rPr>
                <w:sz w:val="20"/>
                <w:szCs w:val="20"/>
                <w:color w:val="auto"/>
              </w:rPr>
            </w:pPr>
            <w:r>
              <w:rPr>
                <w:rFonts w:ascii="Arial" w:cs="Arial" w:eastAsia="Arial" w:hAnsi="Arial"/>
                <w:sz w:val="13"/>
                <w:szCs w:val="13"/>
                <w:color w:val="auto"/>
              </w:rPr>
              <w:t>—</w:t>
            </w:r>
          </w:p>
        </w:tc>
        <w:tc>
          <w:tcPr>
            <w:tcW w:w="56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39.04</w:t>
            </w:r>
          </w:p>
        </w:tc>
        <w:tc>
          <w:tcPr>
            <w:tcW w:w="78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8/07/2023</w:t>
            </w:r>
          </w:p>
        </w:tc>
        <w:tc>
          <w:tcPr>
            <w:tcW w:w="760" w:type="dxa"/>
            <w:vAlign w:val="bottom"/>
            <w:shd w:val="clear" w:color="auto" w:fill="E8F5EA"/>
          </w:tcPr>
          <w:p>
            <w:pPr>
              <w:jc w:val="right"/>
              <w:ind w:right="55"/>
              <w:spacing w:after="0" w:line="146" w:lineRule="exact"/>
              <w:rPr>
                <w:sz w:val="20"/>
                <w:szCs w:val="20"/>
                <w:color w:val="auto"/>
              </w:rPr>
            </w:pPr>
            <w:r>
              <w:rPr>
                <w:rFonts w:ascii="Arial" w:cs="Arial" w:eastAsia="Arial" w:hAnsi="Arial"/>
                <w:sz w:val="13"/>
                <w:szCs w:val="13"/>
                <w:color w:val="auto"/>
              </w:rPr>
              <w:t>—</w:t>
            </w:r>
          </w:p>
        </w:tc>
        <w:tc>
          <w:tcPr>
            <w:tcW w:w="580" w:type="dxa"/>
            <w:vAlign w:val="bottom"/>
            <w:shd w:val="clear" w:color="auto" w:fill="E8F5EA"/>
          </w:tcPr>
          <w:p>
            <w:pPr>
              <w:jc w:val="right"/>
              <w:ind w:right="15"/>
              <w:spacing w:after="0" w:line="146" w:lineRule="exact"/>
              <w:rPr>
                <w:sz w:val="20"/>
                <w:szCs w:val="20"/>
                <w:color w:val="auto"/>
              </w:rPr>
            </w:pPr>
            <w:r>
              <w:rPr>
                <w:rFonts w:ascii="Arial" w:cs="Arial" w:eastAsia="Arial" w:hAnsi="Arial"/>
                <w:sz w:val="13"/>
                <w:szCs w:val="13"/>
                <w:color w:val="auto"/>
              </w:rPr>
              <w:t>—</w:t>
            </w:r>
          </w:p>
        </w:tc>
        <w:tc>
          <w:tcPr>
            <w:tcW w:w="700" w:type="dxa"/>
            <w:vAlign w:val="bottom"/>
            <w:shd w:val="clear" w:color="auto" w:fill="E8F5EA"/>
          </w:tcPr>
          <w:p>
            <w:pPr>
              <w:jc w:val="right"/>
              <w:ind w:right="115"/>
              <w:spacing w:after="0" w:line="146" w:lineRule="exact"/>
              <w:rPr>
                <w:sz w:val="20"/>
                <w:szCs w:val="20"/>
                <w:color w:val="auto"/>
              </w:rPr>
            </w:pPr>
            <w:r>
              <w:rPr>
                <w:rFonts w:ascii="Arial" w:cs="Arial" w:eastAsia="Arial" w:hAnsi="Arial"/>
                <w:sz w:val="13"/>
                <w:szCs w:val="13"/>
                <w:color w:val="auto"/>
              </w:rPr>
              <w:t>—</w:t>
            </w:r>
          </w:p>
        </w:tc>
        <w:tc>
          <w:tcPr>
            <w:tcW w:w="680" w:type="dxa"/>
            <w:vAlign w:val="bottom"/>
            <w:shd w:val="clear" w:color="auto" w:fill="E8F5EA"/>
          </w:tcPr>
          <w:p>
            <w:pPr>
              <w:jc w:val="right"/>
              <w:ind w:right="55"/>
              <w:spacing w:after="0" w:line="146" w:lineRule="exact"/>
              <w:rPr>
                <w:sz w:val="20"/>
                <w:szCs w:val="20"/>
                <w:color w:val="auto"/>
              </w:rPr>
            </w:pPr>
            <w:r>
              <w:rPr>
                <w:rFonts w:ascii="Arial" w:cs="Arial" w:eastAsia="Arial" w:hAnsi="Arial"/>
                <w:sz w:val="13"/>
                <w:szCs w:val="13"/>
                <w:color w:val="auto"/>
              </w:rPr>
              <w:t>—</w:t>
            </w:r>
          </w:p>
        </w:tc>
        <w:tc>
          <w:tcPr>
            <w:tcW w:w="60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w:t>
            </w:r>
          </w:p>
        </w:tc>
      </w:tr>
      <w:tr>
        <w:trPr>
          <w:trHeight w:val="146"/>
        </w:trPr>
        <w:tc>
          <w:tcPr>
            <w:tcW w:w="800" w:type="dxa"/>
            <w:vAlign w:val="bottom"/>
            <w:shd w:val="clear" w:color="auto" w:fill="E8F5EA"/>
          </w:tcPr>
          <w:p>
            <w:pPr>
              <w:spacing w:after="0"/>
              <w:rPr>
                <w:sz w:val="12"/>
                <w:szCs w:val="12"/>
                <w:color w:val="auto"/>
              </w:rPr>
            </w:pPr>
          </w:p>
        </w:tc>
        <w:tc>
          <w:tcPr>
            <w:tcW w:w="84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8/07/2014</w:t>
            </w:r>
          </w:p>
        </w:tc>
        <w:tc>
          <w:tcPr>
            <w:tcW w:w="1140" w:type="dxa"/>
            <w:vAlign w:val="bottom"/>
            <w:shd w:val="clear" w:color="auto" w:fill="E8F5EA"/>
          </w:tcPr>
          <w:p>
            <w:pPr>
              <w:jc w:val="right"/>
              <w:ind w:right="235"/>
              <w:spacing w:after="0" w:line="146" w:lineRule="exact"/>
              <w:rPr>
                <w:sz w:val="20"/>
                <w:szCs w:val="20"/>
                <w:color w:val="auto"/>
              </w:rPr>
            </w:pPr>
            <w:r>
              <w:rPr>
                <w:rFonts w:ascii="Arial" w:cs="Arial" w:eastAsia="Arial" w:hAnsi="Arial"/>
                <w:sz w:val="13"/>
                <w:szCs w:val="13"/>
                <w:color w:val="auto"/>
              </w:rPr>
              <w:t>19,532</w:t>
            </w:r>
          </w:p>
        </w:tc>
        <w:tc>
          <w:tcPr>
            <w:tcW w:w="860" w:type="dxa"/>
            <w:vAlign w:val="bottom"/>
            <w:shd w:val="clear" w:color="auto" w:fill="E8F5EA"/>
          </w:tcPr>
          <w:p>
            <w:pPr>
              <w:jc w:val="right"/>
              <w:ind w:right="95"/>
              <w:spacing w:after="0" w:line="146" w:lineRule="exact"/>
              <w:rPr>
                <w:sz w:val="20"/>
                <w:szCs w:val="20"/>
                <w:color w:val="auto"/>
              </w:rPr>
            </w:pPr>
            <w:r>
              <w:rPr>
                <w:rFonts w:ascii="Arial" w:cs="Arial" w:eastAsia="Arial" w:hAnsi="Arial"/>
                <w:sz w:val="13"/>
                <w:szCs w:val="13"/>
                <w:color w:val="auto"/>
              </w:rPr>
              <w:t>—</w:t>
            </w:r>
          </w:p>
        </w:tc>
        <w:tc>
          <w:tcPr>
            <w:tcW w:w="56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40.88</w:t>
            </w:r>
          </w:p>
        </w:tc>
        <w:tc>
          <w:tcPr>
            <w:tcW w:w="78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8/06/2024</w:t>
            </w:r>
          </w:p>
        </w:tc>
        <w:tc>
          <w:tcPr>
            <w:tcW w:w="760" w:type="dxa"/>
            <w:vAlign w:val="bottom"/>
            <w:shd w:val="clear" w:color="auto" w:fill="E8F5EA"/>
          </w:tcPr>
          <w:p>
            <w:pPr>
              <w:jc w:val="right"/>
              <w:ind w:right="55"/>
              <w:spacing w:after="0" w:line="146" w:lineRule="exact"/>
              <w:rPr>
                <w:sz w:val="20"/>
                <w:szCs w:val="20"/>
                <w:color w:val="auto"/>
              </w:rPr>
            </w:pPr>
            <w:r>
              <w:rPr>
                <w:rFonts w:ascii="Arial" w:cs="Arial" w:eastAsia="Arial" w:hAnsi="Arial"/>
                <w:sz w:val="13"/>
                <w:szCs w:val="13"/>
                <w:color w:val="auto"/>
              </w:rPr>
              <w:t>—</w:t>
            </w:r>
          </w:p>
        </w:tc>
        <w:tc>
          <w:tcPr>
            <w:tcW w:w="580" w:type="dxa"/>
            <w:vAlign w:val="bottom"/>
            <w:shd w:val="clear" w:color="auto" w:fill="E8F5EA"/>
          </w:tcPr>
          <w:p>
            <w:pPr>
              <w:jc w:val="right"/>
              <w:ind w:right="15"/>
              <w:spacing w:after="0" w:line="146" w:lineRule="exact"/>
              <w:rPr>
                <w:sz w:val="20"/>
                <w:szCs w:val="20"/>
                <w:color w:val="auto"/>
              </w:rPr>
            </w:pPr>
            <w:r>
              <w:rPr>
                <w:rFonts w:ascii="Arial" w:cs="Arial" w:eastAsia="Arial" w:hAnsi="Arial"/>
                <w:sz w:val="13"/>
                <w:szCs w:val="13"/>
                <w:color w:val="auto"/>
              </w:rPr>
              <w:t>—</w:t>
            </w:r>
          </w:p>
        </w:tc>
        <w:tc>
          <w:tcPr>
            <w:tcW w:w="700" w:type="dxa"/>
            <w:vAlign w:val="bottom"/>
            <w:shd w:val="clear" w:color="auto" w:fill="E8F5EA"/>
          </w:tcPr>
          <w:p>
            <w:pPr>
              <w:jc w:val="right"/>
              <w:ind w:right="115"/>
              <w:spacing w:after="0" w:line="146" w:lineRule="exact"/>
              <w:rPr>
                <w:sz w:val="20"/>
                <w:szCs w:val="20"/>
                <w:color w:val="auto"/>
              </w:rPr>
            </w:pPr>
            <w:r>
              <w:rPr>
                <w:rFonts w:ascii="Arial" w:cs="Arial" w:eastAsia="Arial" w:hAnsi="Arial"/>
                <w:sz w:val="13"/>
                <w:szCs w:val="13"/>
                <w:color w:val="auto"/>
              </w:rPr>
              <w:t>—</w:t>
            </w:r>
          </w:p>
        </w:tc>
        <w:tc>
          <w:tcPr>
            <w:tcW w:w="680" w:type="dxa"/>
            <w:vAlign w:val="bottom"/>
            <w:shd w:val="clear" w:color="auto" w:fill="E8F5EA"/>
          </w:tcPr>
          <w:p>
            <w:pPr>
              <w:jc w:val="right"/>
              <w:ind w:right="55"/>
              <w:spacing w:after="0" w:line="146" w:lineRule="exact"/>
              <w:rPr>
                <w:sz w:val="20"/>
                <w:szCs w:val="20"/>
                <w:color w:val="auto"/>
              </w:rPr>
            </w:pPr>
            <w:r>
              <w:rPr>
                <w:rFonts w:ascii="Arial" w:cs="Arial" w:eastAsia="Arial" w:hAnsi="Arial"/>
                <w:sz w:val="13"/>
                <w:szCs w:val="13"/>
                <w:color w:val="auto"/>
              </w:rPr>
              <w:t>—</w:t>
            </w:r>
          </w:p>
        </w:tc>
        <w:tc>
          <w:tcPr>
            <w:tcW w:w="60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w:t>
            </w:r>
          </w:p>
        </w:tc>
      </w:tr>
      <w:tr>
        <w:trPr>
          <w:trHeight w:val="146"/>
        </w:trPr>
        <w:tc>
          <w:tcPr>
            <w:tcW w:w="800" w:type="dxa"/>
            <w:vAlign w:val="bottom"/>
            <w:shd w:val="clear" w:color="auto" w:fill="E8F5EA"/>
          </w:tcPr>
          <w:p>
            <w:pPr>
              <w:spacing w:after="0"/>
              <w:rPr>
                <w:sz w:val="12"/>
                <w:szCs w:val="12"/>
                <w:color w:val="auto"/>
              </w:rPr>
            </w:pPr>
          </w:p>
        </w:tc>
        <w:tc>
          <w:tcPr>
            <w:tcW w:w="84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8/10/2017</w:t>
            </w:r>
          </w:p>
        </w:tc>
        <w:tc>
          <w:tcPr>
            <w:tcW w:w="1140" w:type="dxa"/>
            <w:vAlign w:val="bottom"/>
            <w:shd w:val="clear" w:color="auto" w:fill="E8F5EA"/>
          </w:tcPr>
          <w:p>
            <w:pPr>
              <w:jc w:val="right"/>
              <w:ind w:right="235"/>
              <w:spacing w:after="0" w:line="146" w:lineRule="exact"/>
              <w:rPr>
                <w:sz w:val="20"/>
                <w:szCs w:val="20"/>
                <w:color w:val="auto"/>
              </w:rPr>
            </w:pPr>
            <w:r>
              <w:rPr>
                <w:rFonts w:ascii="Arial" w:cs="Arial" w:eastAsia="Arial" w:hAnsi="Arial"/>
                <w:sz w:val="13"/>
                <w:szCs w:val="13"/>
                <w:color w:val="auto"/>
              </w:rPr>
              <w:t>12,534</w:t>
            </w:r>
          </w:p>
        </w:tc>
        <w:tc>
          <w:tcPr>
            <w:tcW w:w="860" w:type="dxa"/>
            <w:vAlign w:val="bottom"/>
            <w:shd w:val="clear" w:color="auto" w:fill="E8F5EA"/>
          </w:tcPr>
          <w:p>
            <w:pPr>
              <w:jc w:val="right"/>
              <w:ind w:right="95"/>
              <w:spacing w:after="0" w:line="146" w:lineRule="exact"/>
              <w:rPr>
                <w:sz w:val="20"/>
                <w:szCs w:val="20"/>
                <w:color w:val="auto"/>
              </w:rPr>
            </w:pPr>
            <w:r>
              <w:rPr>
                <w:rFonts w:ascii="Arial" w:cs="Arial" w:eastAsia="Arial" w:hAnsi="Arial"/>
                <w:sz w:val="13"/>
                <w:szCs w:val="13"/>
                <w:color w:val="auto"/>
              </w:rPr>
              <w:t>12,534</w:t>
            </w:r>
          </w:p>
        </w:tc>
        <w:tc>
          <w:tcPr>
            <w:tcW w:w="56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36.80</w:t>
            </w:r>
          </w:p>
        </w:tc>
        <w:tc>
          <w:tcPr>
            <w:tcW w:w="78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8/09/2027</w:t>
            </w:r>
          </w:p>
        </w:tc>
        <w:tc>
          <w:tcPr>
            <w:tcW w:w="760" w:type="dxa"/>
            <w:vAlign w:val="bottom"/>
            <w:shd w:val="clear" w:color="auto" w:fill="E8F5EA"/>
          </w:tcPr>
          <w:p>
            <w:pPr>
              <w:jc w:val="right"/>
              <w:ind w:right="55"/>
              <w:spacing w:after="0" w:line="146" w:lineRule="exact"/>
              <w:rPr>
                <w:sz w:val="20"/>
                <w:szCs w:val="20"/>
                <w:color w:val="auto"/>
              </w:rPr>
            </w:pPr>
            <w:r>
              <w:rPr>
                <w:rFonts w:ascii="Arial" w:cs="Arial" w:eastAsia="Arial" w:hAnsi="Arial"/>
                <w:sz w:val="13"/>
                <w:szCs w:val="13"/>
                <w:color w:val="auto"/>
              </w:rPr>
              <w:t>8/10/2017</w:t>
            </w:r>
          </w:p>
        </w:tc>
        <w:tc>
          <w:tcPr>
            <w:tcW w:w="580" w:type="dxa"/>
            <w:vAlign w:val="bottom"/>
            <w:shd w:val="clear" w:color="auto" w:fill="E8F5EA"/>
          </w:tcPr>
          <w:p>
            <w:pPr>
              <w:jc w:val="right"/>
              <w:ind w:right="15"/>
              <w:spacing w:after="0" w:line="146" w:lineRule="exact"/>
              <w:rPr>
                <w:sz w:val="20"/>
                <w:szCs w:val="20"/>
                <w:color w:val="auto"/>
              </w:rPr>
            </w:pPr>
            <w:r>
              <w:rPr>
                <w:rFonts w:ascii="Arial" w:cs="Arial" w:eastAsia="Arial" w:hAnsi="Arial"/>
                <w:sz w:val="13"/>
                <w:szCs w:val="13"/>
                <w:color w:val="auto"/>
              </w:rPr>
              <w:t>1,868</w:t>
            </w:r>
          </w:p>
        </w:tc>
        <w:tc>
          <w:tcPr>
            <w:tcW w:w="700" w:type="dxa"/>
            <w:vAlign w:val="bottom"/>
            <w:shd w:val="clear" w:color="auto" w:fill="E8F5EA"/>
          </w:tcPr>
          <w:p>
            <w:pPr>
              <w:jc w:val="right"/>
              <w:ind w:right="115"/>
              <w:spacing w:after="0" w:line="146" w:lineRule="exact"/>
              <w:rPr>
                <w:sz w:val="20"/>
                <w:szCs w:val="20"/>
                <w:color w:val="auto"/>
              </w:rPr>
            </w:pPr>
            <w:r>
              <w:rPr>
                <w:rFonts w:ascii="Arial" w:cs="Arial" w:eastAsia="Arial" w:hAnsi="Arial"/>
                <w:sz w:val="13"/>
                <w:szCs w:val="13"/>
                <w:color w:val="auto"/>
              </w:rPr>
              <w:t>48,643</w:t>
            </w:r>
          </w:p>
        </w:tc>
        <w:tc>
          <w:tcPr>
            <w:tcW w:w="680" w:type="dxa"/>
            <w:vAlign w:val="bottom"/>
            <w:shd w:val="clear" w:color="auto" w:fill="E8F5EA"/>
          </w:tcPr>
          <w:p>
            <w:pPr>
              <w:jc w:val="right"/>
              <w:ind w:right="55"/>
              <w:spacing w:after="0" w:line="146" w:lineRule="exact"/>
              <w:rPr>
                <w:sz w:val="20"/>
                <w:szCs w:val="20"/>
                <w:color w:val="auto"/>
              </w:rPr>
            </w:pPr>
            <w:r>
              <w:rPr>
                <w:rFonts w:ascii="Arial" w:cs="Arial" w:eastAsia="Arial" w:hAnsi="Arial"/>
                <w:sz w:val="13"/>
                <w:szCs w:val="13"/>
                <w:color w:val="auto"/>
              </w:rPr>
              <w:t>—</w:t>
            </w:r>
          </w:p>
        </w:tc>
        <w:tc>
          <w:tcPr>
            <w:tcW w:w="60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w:t>
            </w:r>
          </w:p>
        </w:tc>
      </w:tr>
      <w:tr>
        <w:trPr>
          <w:trHeight w:val="146"/>
        </w:trPr>
        <w:tc>
          <w:tcPr>
            <w:tcW w:w="800" w:type="dxa"/>
            <w:vAlign w:val="bottom"/>
            <w:shd w:val="clear" w:color="auto" w:fill="E8F5EA"/>
          </w:tcPr>
          <w:p>
            <w:pPr>
              <w:spacing w:after="0"/>
              <w:rPr>
                <w:sz w:val="12"/>
                <w:szCs w:val="12"/>
                <w:color w:val="auto"/>
              </w:rPr>
            </w:pPr>
          </w:p>
        </w:tc>
        <w:tc>
          <w:tcPr>
            <w:tcW w:w="84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8/28/2018</w:t>
            </w:r>
          </w:p>
        </w:tc>
        <w:tc>
          <w:tcPr>
            <w:tcW w:w="1140" w:type="dxa"/>
            <w:vAlign w:val="bottom"/>
            <w:shd w:val="clear" w:color="auto" w:fill="E8F5EA"/>
          </w:tcPr>
          <w:p>
            <w:pPr>
              <w:jc w:val="right"/>
              <w:ind w:right="235"/>
              <w:spacing w:after="0" w:line="146" w:lineRule="exact"/>
              <w:rPr>
                <w:sz w:val="20"/>
                <w:szCs w:val="20"/>
                <w:color w:val="auto"/>
              </w:rPr>
            </w:pPr>
            <w:r>
              <w:rPr>
                <w:rFonts w:ascii="Arial" w:cs="Arial" w:eastAsia="Arial" w:hAnsi="Arial"/>
                <w:sz w:val="13"/>
                <w:szCs w:val="13"/>
                <w:color w:val="auto"/>
              </w:rPr>
              <w:t>5,980</w:t>
            </w:r>
          </w:p>
        </w:tc>
        <w:tc>
          <w:tcPr>
            <w:tcW w:w="860" w:type="dxa"/>
            <w:vAlign w:val="bottom"/>
            <w:shd w:val="clear" w:color="auto" w:fill="E8F5EA"/>
          </w:tcPr>
          <w:p>
            <w:pPr>
              <w:jc w:val="right"/>
              <w:ind w:right="95"/>
              <w:spacing w:after="0" w:line="146" w:lineRule="exact"/>
              <w:rPr>
                <w:sz w:val="20"/>
                <w:szCs w:val="20"/>
                <w:color w:val="auto"/>
              </w:rPr>
            </w:pPr>
            <w:r>
              <w:rPr>
                <w:rFonts w:ascii="Arial" w:cs="Arial" w:eastAsia="Arial" w:hAnsi="Arial"/>
                <w:sz w:val="13"/>
                <w:szCs w:val="13"/>
                <w:color w:val="auto"/>
              </w:rPr>
              <w:t>17,940</w:t>
            </w:r>
          </w:p>
        </w:tc>
        <w:tc>
          <w:tcPr>
            <w:tcW w:w="56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48.62</w:t>
            </w:r>
          </w:p>
        </w:tc>
        <w:tc>
          <w:tcPr>
            <w:tcW w:w="78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8/27/2028</w:t>
            </w:r>
          </w:p>
        </w:tc>
        <w:tc>
          <w:tcPr>
            <w:tcW w:w="760" w:type="dxa"/>
            <w:vAlign w:val="bottom"/>
            <w:shd w:val="clear" w:color="auto" w:fill="E8F5EA"/>
          </w:tcPr>
          <w:p>
            <w:pPr>
              <w:jc w:val="right"/>
              <w:ind w:right="55"/>
              <w:spacing w:after="0" w:line="146" w:lineRule="exact"/>
              <w:rPr>
                <w:sz w:val="20"/>
                <w:szCs w:val="20"/>
                <w:color w:val="auto"/>
              </w:rPr>
            </w:pPr>
            <w:r>
              <w:rPr>
                <w:rFonts w:ascii="Arial" w:cs="Arial" w:eastAsia="Arial" w:hAnsi="Arial"/>
                <w:sz w:val="13"/>
                <w:szCs w:val="13"/>
                <w:color w:val="auto"/>
              </w:rPr>
              <w:t>8/28/2018</w:t>
            </w:r>
          </w:p>
        </w:tc>
        <w:tc>
          <w:tcPr>
            <w:tcW w:w="580" w:type="dxa"/>
            <w:vAlign w:val="bottom"/>
            <w:shd w:val="clear" w:color="auto" w:fill="E8F5EA"/>
          </w:tcPr>
          <w:p>
            <w:pPr>
              <w:jc w:val="right"/>
              <w:ind w:right="15"/>
              <w:spacing w:after="0" w:line="146" w:lineRule="exact"/>
              <w:rPr>
                <w:sz w:val="20"/>
                <w:szCs w:val="20"/>
                <w:color w:val="auto"/>
              </w:rPr>
            </w:pPr>
            <w:r>
              <w:rPr>
                <w:rFonts w:ascii="Arial" w:cs="Arial" w:eastAsia="Arial" w:hAnsi="Arial"/>
                <w:sz w:val="13"/>
                <w:szCs w:val="13"/>
                <w:color w:val="auto"/>
              </w:rPr>
              <w:t>3,470</w:t>
            </w:r>
          </w:p>
        </w:tc>
        <w:tc>
          <w:tcPr>
            <w:tcW w:w="700" w:type="dxa"/>
            <w:vAlign w:val="bottom"/>
            <w:shd w:val="clear" w:color="auto" w:fill="E8F5EA"/>
          </w:tcPr>
          <w:p>
            <w:pPr>
              <w:jc w:val="right"/>
              <w:ind w:right="115"/>
              <w:spacing w:after="0" w:line="146" w:lineRule="exact"/>
              <w:rPr>
                <w:sz w:val="20"/>
                <w:szCs w:val="20"/>
                <w:color w:val="auto"/>
              </w:rPr>
            </w:pPr>
            <w:r>
              <w:rPr>
                <w:rFonts w:ascii="Arial" w:cs="Arial" w:eastAsia="Arial" w:hAnsi="Arial"/>
                <w:sz w:val="13"/>
                <w:szCs w:val="13"/>
                <w:color w:val="auto"/>
              </w:rPr>
              <w:t>90,359</w:t>
            </w:r>
          </w:p>
        </w:tc>
        <w:tc>
          <w:tcPr>
            <w:tcW w:w="680" w:type="dxa"/>
            <w:vAlign w:val="bottom"/>
            <w:shd w:val="clear" w:color="auto" w:fill="E8F5EA"/>
          </w:tcPr>
          <w:p>
            <w:pPr>
              <w:jc w:val="right"/>
              <w:ind w:right="55"/>
              <w:spacing w:after="0" w:line="146" w:lineRule="exact"/>
              <w:rPr>
                <w:sz w:val="20"/>
                <w:szCs w:val="20"/>
                <w:color w:val="auto"/>
              </w:rPr>
            </w:pPr>
            <w:r>
              <w:rPr>
                <w:rFonts w:ascii="Arial" w:cs="Arial" w:eastAsia="Arial" w:hAnsi="Arial"/>
                <w:sz w:val="13"/>
                <w:szCs w:val="13"/>
                <w:color w:val="auto"/>
              </w:rPr>
              <w:t>13,884</w:t>
            </w:r>
          </w:p>
        </w:tc>
        <w:tc>
          <w:tcPr>
            <w:tcW w:w="60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361,539</w:t>
            </w:r>
          </w:p>
        </w:tc>
      </w:tr>
      <w:tr>
        <w:trPr>
          <w:trHeight w:val="146"/>
        </w:trPr>
        <w:tc>
          <w:tcPr>
            <w:tcW w:w="800" w:type="dxa"/>
            <w:vAlign w:val="bottom"/>
            <w:shd w:val="clear" w:color="auto" w:fill="E8F5EA"/>
          </w:tcPr>
          <w:p>
            <w:pPr>
              <w:spacing w:after="0"/>
              <w:rPr>
                <w:sz w:val="12"/>
                <w:szCs w:val="12"/>
                <w:color w:val="auto"/>
              </w:rPr>
            </w:pPr>
          </w:p>
        </w:tc>
        <w:tc>
          <w:tcPr>
            <w:tcW w:w="84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8/14/2019</w:t>
            </w:r>
          </w:p>
        </w:tc>
        <w:tc>
          <w:tcPr>
            <w:tcW w:w="1140" w:type="dxa"/>
            <w:vAlign w:val="bottom"/>
            <w:shd w:val="clear" w:color="auto" w:fill="E8F5EA"/>
          </w:tcPr>
          <w:p>
            <w:pPr>
              <w:jc w:val="right"/>
              <w:ind w:right="235"/>
              <w:spacing w:after="0" w:line="146" w:lineRule="exact"/>
              <w:rPr>
                <w:sz w:val="20"/>
                <w:szCs w:val="20"/>
                <w:color w:val="auto"/>
              </w:rPr>
            </w:pPr>
            <w:r>
              <w:rPr>
                <w:rFonts w:ascii="Arial" w:cs="Arial" w:eastAsia="Arial" w:hAnsi="Arial"/>
                <w:sz w:val="13"/>
                <w:szCs w:val="13"/>
                <w:color w:val="auto"/>
              </w:rPr>
              <w:t>—</w:t>
            </w:r>
          </w:p>
        </w:tc>
        <w:tc>
          <w:tcPr>
            <w:tcW w:w="860" w:type="dxa"/>
            <w:vAlign w:val="bottom"/>
            <w:shd w:val="clear" w:color="auto" w:fill="E8F5EA"/>
          </w:tcPr>
          <w:p>
            <w:pPr>
              <w:jc w:val="right"/>
              <w:ind w:right="95"/>
              <w:spacing w:after="0" w:line="146" w:lineRule="exact"/>
              <w:rPr>
                <w:sz w:val="20"/>
                <w:szCs w:val="20"/>
                <w:color w:val="auto"/>
              </w:rPr>
            </w:pPr>
            <w:r>
              <w:rPr>
                <w:rFonts w:ascii="Arial" w:cs="Arial" w:eastAsia="Arial" w:hAnsi="Arial"/>
                <w:sz w:val="13"/>
                <w:szCs w:val="13"/>
                <w:color w:val="auto"/>
              </w:rPr>
              <w:t>31,900</w:t>
            </w:r>
          </w:p>
        </w:tc>
        <w:tc>
          <w:tcPr>
            <w:tcW w:w="56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39.72</w:t>
            </w:r>
          </w:p>
        </w:tc>
        <w:tc>
          <w:tcPr>
            <w:tcW w:w="78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8/13/2029</w:t>
            </w:r>
          </w:p>
        </w:tc>
        <w:tc>
          <w:tcPr>
            <w:tcW w:w="760" w:type="dxa"/>
            <w:vAlign w:val="bottom"/>
            <w:shd w:val="clear" w:color="auto" w:fill="E8F5EA"/>
          </w:tcPr>
          <w:p>
            <w:pPr>
              <w:jc w:val="right"/>
              <w:ind w:right="55"/>
              <w:spacing w:after="0" w:line="146" w:lineRule="exact"/>
              <w:rPr>
                <w:sz w:val="20"/>
                <w:szCs w:val="20"/>
                <w:color w:val="auto"/>
              </w:rPr>
            </w:pPr>
            <w:r>
              <w:rPr>
                <w:rFonts w:ascii="Arial" w:cs="Arial" w:eastAsia="Arial" w:hAnsi="Arial"/>
                <w:sz w:val="13"/>
                <w:szCs w:val="13"/>
                <w:color w:val="auto"/>
              </w:rPr>
              <w:t>8/14/2019</w:t>
            </w:r>
          </w:p>
        </w:tc>
        <w:tc>
          <w:tcPr>
            <w:tcW w:w="580" w:type="dxa"/>
            <w:vAlign w:val="bottom"/>
            <w:shd w:val="clear" w:color="auto" w:fill="E8F5EA"/>
          </w:tcPr>
          <w:p>
            <w:pPr>
              <w:jc w:val="right"/>
              <w:ind w:right="15"/>
              <w:spacing w:after="0" w:line="146" w:lineRule="exact"/>
              <w:rPr>
                <w:sz w:val="20"/>
                <w:szCs w:val="20"/>
                <w:color w:val="auto"/>
              </w:rPr>
            </w:pPr>
            <w:r>
              <w:rPr>
                <w:rFonts w:ascii="Arial" w:cs="Arial" w:eastAsia="Arial" w:hAnsi="Arial"/>
                <w:sz w:val="13"/>
                <w:szCs w:val="13"/>
                <w:color w:val="auto"/>
              </w:rPr>
              <w:t>6,372</w:t>
            </w:r>
          </w:p>
        </w:tc>
        <w:tc>
          <w:tcPr>
            <w:tcW w:w="700" w:type="dxa"/>
            <w:vAlign w:val="bottom"/>
            <w:shd w:val="clear" w:color="auto" w:fill="E8F5EA"/>
          </w:tcPr>
          <w:p>
            <w:pPr>
              <w:jc w:val="right"/>
              <w:ind w:right="115"/>
              <w:spacing w:after="0" w:line="146" w:lineRule="exact"/>
              <w:rPr>
                <w:sz w:val="20"/>
                <w:szCs w:val="20"/>
                <w:color w:val="auto"/>
              </w:rPr>
            </w:pPr>
            <w:r>
              <w:rPr>
                <w:rFonts w:ascii="Arial" w:cs="Arial" w:eastAsia="Arial" w:hAnsi="Arial"/>
                <w:sz w:val="13"/>
                <w:szCs w:val="13"/>
                <w:color w:val="auto"/>
              </w:rPr>
              <w:t>165,927</w:t>
            </w:r>
          </w:p>
        </w:tc>
        <w:tc>
          <w:tcPr>
            <w:tcW w:w="680" w:type="dxa"/>
            <w:vAlign w:val="bottom"/>
            <w:shd w:val="clear" w:color="auto" w:fill="E8F5EA"/>
          </w:tcPr>
          <w:p>
            <w:pPr>
              <w:jc w:val="right"/>
              <w:ind w:right="55"/>
              <w:spacing w:after="0" w:line="146" w:lineRule="exact"/>
              <w:rPr>
                <w:sz w:val="20"/>
                <w:szCs w:val="20"/>
                <w:color w:val="auto"/>
              </w:rPr>
            </w:pPr>
            <w:r>
              <w:rPr>
                <w:rFonts w:ascii="Arial" w:cs="Arial" w:eastAsia="Arial" w:hAnsi="Arial"/>
                <w:sz w:val="13"/>
                <w:szCs w:val="13"/>
                <w:color w:val="auto"/>
              </w:rPr>
              <w:t>16,995</w:t>
            </w:r>
          </w:p>
        </w:tc>
        <w:tc>
          <w:tcPr>
            <w:tcW w:w="60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442,550</w:t>
            </w:r>
          </w:p>
        </w:tc>
      </w:tr>
      <w:tr>
        <w:trPr>
          <w:trHeight w:val="134"/>
        </w:trPr>
        <w:tc>
          <w:tcPr>
            <w:tcW w:w="800" w:type="dxa"/>
            <w:vAlign w:val="bottom"/>
          </w:tcPr>
          <w:p>
            <w:pPr>
              <w:spacing w:after="0" w:line="134" w:lineRule="exact"/>
              <w:rPr>
                <w:sz w:val="20"/>
                <w:szCs w:val="20"/>
                <w:color w:val="auto"/>
              </w:rPr>
            </w:pPr>
            <w:r>
              <w:rPr>
                <w:rFonts w:ascii="Arial" w:cs="Arial" w:eastAsia="Arial" w:hAnsi="Arial"/>
                <w:sz w:val="13"/>
                <w:szCs w:val="13"/>
                <w:color w:val="auto"/>
              </w:rPr>
              <w:t>MaryAnn G.</w:t>
            </w: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46"/>
        </w:trPr>
        <w:tc>
          <w:tcPr>
            <w:tcW w:w="800" w:type="dxa"/>
            <w:vAlign w:val="bottom"/>
          </w:tcPr>
          <w:p>
            <w:pPr>
              <w:spacing w:after="0" w:line="146" w:lineRule="exact"/>
              <w:rPr>
                <w:sz w:val="20"/>
                <w:szCs w:val="20"/>
                <w:color w:val="auto"/>
              </w:rPr>
            </w:pPr>
            <w:r>
              <w:rPr>
                <w:rFonts w:ascii="Arial" w:cs="Arial" w:eastAsia="Arial" w:hAnsi="Arial"/>
                <w:sz w:val="13"/>
                <w:szCs w:val="13"/>
                <w:color w:val="auto"/>
              </w:rPr>
              <w:t>Miller</w:t>
            </w: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8/11/2011</w:t>
            </w:r>
          </w:p>
        </w:tc>
        <w:tc>
          <w:tcPr>
            <w:tcW w:w="1140" w:type="dxa"/>
            <w:vAlign w:val="bottom"/>
          </w:tcPr>
          <w:p>
            <w:pPr>
              <w:jc w:val="right"/>
              <w:ind w:right="235"/>
              <w:spacing w:after="0" w:line="146" w:lineRule="exact"/>
              <w:rPr>
                <w:sz w:val="20"/>
                <w:szCs w:val="20"/>
                <w:color w:val="auto"/>
              </w:rPr>
            </w:pPr>
            <w:r>
              <w:rPr>
                <w:rFonts w:ascii="Arial" w:cs="Arial" w:eastAsia="Arial" w:hAnsi="Arial"/>
                <w:sz w:val="13"/>
                <w:szCs w:val="13"/>
                <w:color w:val="auto"/>
              </w:rPr>
              <w:t>14,104</w:t>
            </w:r>
          </w:p>
        </w:tc>
        <w:tc>
          <w:tcPr>
            <w:tcW w:w="8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6" w:lineRule="exact"/>
              <w:rPr>
                <w:sz w:val="20"/>
                <w:szCs w:val="20"/>
                <w:color w:val="auto"/>
              </w:rPr>
            </w:pPr>
            <w:r>
              <w:rPr>
                <w:rFonts w:ascii="Arial" w:cs="Arial" w:eastAsia="Arial" w:hAnsi="Arial"/>
                <w:sz w:val="13"/>
                <w:szCs w:val="13"/>
                <w:color w:val="auto"/>
              </w:rPr>
              <w:t>27.94</w:t>
            </w:r>
          </w:p>
        </w:tc>
        <w:tc>
          <w:tcPr>
            <w:tcW w:w="780" w:type="dxa"/>
            <w:vAlign w:val="bottom"/>
          </w:tcPr>
          <w:p>
            <w:pPr>
              <w:jc w:val="right"/>
              <w:spacing w:after="0" w:line="146" w:lineRule="exact"/>
              <w:rPr>
                <w:sz w:val="20"/>
                <w:szCs w:val="20"/>
                <w:color w:val="auto"/>
              </w:rPr>
            </w:pPr>
            <w:r>
              <w:rPr>
                <w:rFonts w:ascii="Arial" w:cs="Arial" w:eastAsia="Arial" w:hAnsi="Arial"/>
                <w:sz w:val="13"/>
                <w:szCs w:val="13"/>
                <w:color w:val="auto"/>
              </w:rPr>
              <w:t>8/10/2021</w:t>
            </w:r>
          </w:p>
        </w:tc>
        <w:tc>
          <w:tcPr>
            <w:tcW w:w="760" w:type="dxa"/>
            <w:vAlign w:val="bottom"/>
          </w:tcPr>
          <w:p>
            <w:pPr>
              <w:jc w:val="right"/>
              <w:ind w:right="55"/>
              <w:spacing w:after="0" w:line="146" w:lineRule="exact"/>
              <w:rPr>
                <w:sz w:val="20"/>
                <w:szCs w:val="20"/>
                <w:color w:val="auto"/>
              </w:rPr>
            </w:pPr>
            <w:r>
              <w:rPr>
                <w:rFonts w:ascii="Arial" w:cs="Arial" w:eastAsia="Arial" w:hAnsi="Arial"/>
                <w:sz w:val="13"/>
                <w:szCs w:val="13"/>
                <w:color w:val="auto"/>
              </w:rPr>
              <w:t>—</w:t>
            </w:r>
          </w:p>
        </w:tc>
        <w:tc>
          <w:tcPr>
            <w:tcW w:w="580" w:type="dxa"/>
            <w:vAlign w:val="bottom"/>
          </w:tcPr>
          <w:p>
            <w:pPr>
              <w:jc w:val="right"/>
              <w:ind w:right="15"/>
              <w:spacing w:after="0" w:line="146"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55"/>
              <w:spacing w:after="0" w:line="146"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r>
      <w:tr>
        <w:trPr>
          <w:trHeight w:val="146"/>
        </w:trPr>
        <w:tc>
          <w:tcPr>
            <w:tcW w:w="800" w:type="dxa"/>
            <w:vAlign w:val="bottom"/>
          </w:tcPr>
          <w:p>
            <w:pPr>
              <w:spacing w:after="0"/>
              <w:rPr>
                <w:sz w:val="12"/>
                <w:szCs w:val="12"/>
                <w:color w:val="auto"/>
              </w:rPr>
            </w:pP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8/09/2012</w:t>
            </w:r>
          </w:p>
        </w:tc>
        <w:tc>
          <w:tcPr>
            <w:tcW w:w="1140" w:type="dxa"/>
            <w:vAlign w:val="bottom"/>
          </w:tcPr>
          <w:p>
            <w:pPr>
              <w:jc w:val="right"/>
              <w:ind w:right="235"/>
              <w:spacing w:after="0" w:line="146" w:lineRule="exact"/>
              <w:rPr>
                <w:sz w:val="20"/>
                <w:szCs w:val="20"/>
                <w:color w:val="auto"/>
              </w:rPr>
            </w:pPr>
            <w:r>
              <w:rPr>
                <w:rFonts w:ascii="Arial" w:cs="Arial" w:eastAsia="Arial" w:hAnsi="Arial"/>
                <w:sz w:val="13"/>
                <w:szCs w:val="13"/>
                <w:color w:val="auto"/>
              </w:rPr>
              <w:t>17,620</w:t>
            </w:r>
          </w:p>
        </w:tc>
        <w:tc>
          <w:tcPr>
            <w:tcW w:w="8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6" w:lineRule="exact"/>
              <w:rPr>
                <w:sz w:val="20"/>
                <w:szCs w:val="20"/>
                <w:color w:val="auto"/>
              </w:rPr>
            </w:pPr>
            <w:r>
              <w:rPr>
                <w:rFonts w:ascii="Arial" w:cs="Arial" w:eastAsia="Arial" w:hAnsi="Arial"/>
                <w:sz w:val="13"/>
                <w:szCs w:val="13"/>
                <w:color w:val="auto"/>
              </w:rPr>
              <w:t>32.43</w:t>
            </w:r>
          </w:p>
        </w:tc>
        <w:tc>
          <w:tcPr>
            <w:tcW w:w="780" w:type="dxa"/>
            <w:vAlign w:val="bottom"/>
          </w:tcPr>
          <w:p>
            <w:pPr>
              <w:jc w:val="right"/>
              <w:spacing w:after="0" w:line="146" w:lineRule="exact"/>
              <w:rPr>
                <w:sz w:val="20"/>
                <w:szCs w:val="20"/>
                <w:color w:val="auto"/>
              </w:rPr>
            </w:pPr>
            <w:r>
              <w:rPr>
                <w:rFonts w:ascii="Arial" w:cs="Arial" w:eastAsia="Arial" w:hAnsi="Arial"/>
                <w:sz w:val="13"/>
                <w:szCs w:val="13"/>
                <w:color w:val="auto"/>
              </w:rPr>
              <w:t>8/08/2022</w:t>
            </w:r>
          </w:p>
        </w:tc>
        <w:tc>
          <w:tcPr>
            <w:tcW w:w="760" w:type="dxa"/>
            <w:vAlign w:val="bottom"/>
          </w:tcPr>
          <w:p>
            <w:pPr>
              <w:jc w:val="right"/>
              <w:ind w:right="55"/>
              <w:spacing w:after="0" w:line="146" w:lineRule="exact"/>
              <w:rPr>
                <w:sz w:val="20"/>
                <w:szCs w:val="20"/>
                <w:color w:val="auto"/>
              </w:rPr>
            </w:pPr>
            <w:r>
              <w:rPr>
                <w:rFonts w:ascii="Arial" w:cs="Arial" w:eastAsia="Arial" w:hAnsi="Arial"/>
                <w:sz w:val="13"/>
                <w:szCs w:val="13"/>
                <w:color w:val="auto"/>
              </w:rPr>
              <w:t>—</w:t>
            </w:r>
          </w:p>
        </w:tc>
        <w:tc>
          <w:tcPr>
            <w:tcW w:w="580" w:type="dxa"/>
            <w:vAlign w:val="bottom"/>
          </w:tcPr>
          <w:p>
            <w:pPr>
              <w:jc w:val="right"/>
              <w:ind w:right="15"/>
              <w:spacing w:after="0" w:line="146"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55"/>
              <w:spacing w:after="0" w:line="146"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r>
      <w:tr>
        <w:trPr>
          <w:trHeight w:val="146"/>
        </w:trPr>
        <w:tc>
          <w:tcPr>
            <w:tcW w:w="800" w:type="dxa"/>
            <w:vAlign w:val="bottom"/>
          </w:tcPr>
          <w:p>
            <w:pPr>
              <w:spacing w:after="0"/>
              <w:rPr>
                <w:sz w:val="12"/>
                <w:szCs w:val="12"/>
                <w:color w:val="auto"/>
              </w:rPr>
            </w:pP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8/08/2013</w:t>
            </w:r>
          </w:p>
        </w:tc>
        <w:tc>
          <w:tcPr>
            <w:tcW w:w="1140" w:type="dxa"/>
            <w:vAlign w:val="bottom"/>
          </w:tcPr>
          <w:p>
            <w:pPr>
              <w:jc w:val="right"/>
              <w:ind w:right="235"/>
              <w:spacing w:after="0" w:line="146" w:lineRule="exact"/>
              <w:rPr>
                <w:sz w:val="20"/>
                <w:szCs w:val="20"/>
                <w:color w:val="auto"/>
              </w:rPr>
            </w:pPr>
            <w:r>
              <w:rPr>
                <w:rFonts w:ascii="Arial" w:cs="Arial" w:eastAsia="Arial" w:hAnsi="Arial"/>
                <w:sz w:val="13"/>
                <w:szCs w:val="13"/>
                <w:color w:val="auto"/>
              </w:rPr>
              <w:t>15,124</w:t>
            </w:r>
          </w:p>
        </w:tc>
        <w:tc>
          <w:tcPr>
            <w:tcW w:w="8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6" w:lineRule="exact"/>
              <w:rPr>
                <w:sz w:val="20"/>
                <w:szCs w:val="20"/>
                <w:color w:val="auto"/>
              </w:rPr>
            </w:pPr>
            <w:r>
              <w:rPr>
                <w:rFonts w:ascii="Arial" w:cs="Arial" w:eastAsia="Arial" w:hAnsi="Arial"/>
                <w:sz w:val="13"/>
                <w:szCs w:val="13"/>
                <w:color w:val="auto"/>
              </w:rPr>
              <w:t>39.04</w:t>
            </w:r>
          </w:p>
        </w:tc>
        <w:tc>
          <w:tcPr>
            <w:tcW w:w="780" w:type="dxa"/>
            <w:vAlign w:val="bottom"/>
          </w:tcPr>
          <w:p>
            <w:pPr>
              <w:jc w:val="right"/>
              <w:spacing w:after="0" w:line="146" w:lineRule="exact"/>
              <w:rPr>
                <w:sz w:val="20"/>
                <w:szCs w:val="20"/>
                <w:color w:val="auto"/>
              </w:rPr>
            </w:pPr>
            <w:r>
              <w:rPr>
                <w:rFonts w:ascii="Arial" w:cs="Arial" w:eastAsia="Arial" w:hAnsi="Arial"/>
                <w:sz w:val="13"/>
                <w:szCs w:val="13"/>
                <w:color w:val="auto"/>
              </w:rPr>
              <w:t>8/07/2023</w:t>
            </w:r>
          </w:p>
        </w:tc>
        <w:tc>
          <w:tcPr>
            <w:tcW w:w="760" w:type="dxa"/>
            <w:vAlign w:val="bottom"/>
          </w:tcPr>
          <w:p>
            <w:pPr>
              <w:jc w:val="right"/>
              <w:ind w:right="55"/>
              <w:spacing w:after="0" w:line="146" w:lineRule="exact"/>
              <w:rPr>
                <w:sz w:val="20"/>
                <w:szCs w:val="20"/>
                <w:color w:val="auto"/>
              </w:rPr>
            </w:pPr>
            <w:r>
              <w:rPr>
                <w:rFonts w:ascii="Arial" w:cs="Arial" w:eastAsia="Arial" w:hAnsi="Arial"/>
                <w:sz w:val="13"/>
                <w:szCs w:val="13"/>
                <w:color w:val="auto"/>
              </w:rPr>
              <w:t>—</w:t>
            </w:r>
          </w:p>
        </w:tc>
        <w:tc>
          <w:tcPr>
            <w:tcW w:w="580" w:type="dxa"/>
            <w:vAlign w:val="bottom"/>
          </w:tcPr>
          <w:p>
            <w:pPr>
              <w:jc w:val="right"/>
              <w:ind w:right="15"/>
              <w:spacing w:after="0" w:line="146"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55"/>
              <w:spacing w:after="0" w:line="146"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r>
      <w:tr>
        <w:trPr>
          <w:trHeight w:val="146"/>
        </w:trPr>
        <w:tc>
          <w:tcPr>
            <w:tcW w:w="800" w:type="dxa"/>
            <w:vAlign w:val="bottom"/>
          </w:tcPr>
          <w:p>
            <w:pPr>
              <w:spacing w:after="0"/>
              <w:rPr>
                <w:sz w:val="12"/>
                <w:szCs w:val="12"/>
                <w:color w:val="auto"/>
              </w:rPr>
            </w:pP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8/07/2014</w:t>
            </w:r>
          </w:p>
        </w:tc>
        <w:tc>
          <w:tcPr>
            <w:tcW w:w="1140" w:type="dxa"/>
            <w:vAlign w:val="bottom"/>
          </w:tcPr>
          <w:p>
            <w:pPr>
              <w:jc w:val="right"/>
              <w:ind w:right="235"/>
              <w:spacing w:after="0" w:line="146" w:lineRule="exact"/>
              <w:rPr>
                <w:sz w:val="20"/>
                <w:szCs w:val="20"/>
                <w:color w:val="auto"/>
              </w:rPr>
            </w:pPr>
            <w:r>
              <w:rPr>
                <w:rFonts w:ascii="Arial" w:cs="Arial" w:eastAsia="Arial" w:hAnsi="Arial"/>
                <w:sz w:val="13"/>
                <w:szCs w:val="13"/>
                <w:color w:val="auto"/>
              </w:rPr>
              <w:t>16,136</w:t>
            </w:r>
          </w:p>
        </w:tc>
        <w:tc>
          <w:tcPr>
            <w:tcW w:w="8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6" w:lineRule="exact"/>
              <w:rPr>
                <w:sz w:val="20"/>
                <w:szCs w:val="20"/>
                <w:color w:val="auto"/>
              </w:rPr>
            </w:pPr>
            <w:r>
              <w:rPr>
                <w:rFonts w:ascii="Arial" w:cs="Arial" w:eastAsia="Arial" w:hAnsi="Arial"/>
                <w:sz w:val="13"/>
                <w:szCs w:val="13"/>
                <w:color w:val="auto"/>
              </w:rPr>
              <w:t>40.88</w:t>
            </w:r>
          </w:p>
        </w:tc>
        <w:tc>
          <w:tcPr>
            <w:tcW w:w="780" w:type="dxa"/>
            <w:vAlign w:val="bottom"/>
          </w:tcPr>
          <w:p>
            <w:pPr>
              <w:jc w:val="right"/>
              <w:spacing w:after="0" w:line="146" w:lineRule="exact"/>
              <w:rPr>
                <w:sz w:val="20"/>
                <w:szCs w:val="20"/>
                <w:color w:val="auto"/>
              </w:rPr>
            </w:pPr>
            <w:r>
              <w:rPr>
                <w:rFonts w:ascii="Arial" w:cs="Arial" w:eastAsia="Arial" w:hAnsi="Arial"/>
                <w:sz w:val="13"/>
                <w:szCs w:val="13"/>
                <w:color w:val="auto"/>
              </w:rPr>
              <w:t>8/06/2024</w:t>
            </w:r>
          </w:p>
        </w:tc>
        <w:tc>
          <w:tcPr>
            <w:tcW w:w="760" w:type="dxa"/>
            <w:vAlign w:val="bottom"/>
          </w:tcPr>
          <w:p>
            <w:pPr>
              <w:jc w:val="right"/>
              <w:ind w:right="55"/>
              <w:spacing w:after="0" w:line="146" w:lineRule="exact"/>
              <w:rPr>
                <w:sz w:val="20"/>
                <w:szCs w:val="20"/>
                <w:color w:val="auto"/>
              </w:rPr>
            </w:pPr>
            <w:r>
              <w:rPr>
                <w:rFonts w:ascii="Arial" w:cs="Arial" w:eastAsia="Arial" w:hAnsi="Arial"/>
                <w:sz w:val="13"/>
                <w:szCs w:val="13"/>
                <w:color w:val="auto"/>
              </w:rPr>
              <w:t>—</w:t>
            </w:r>
          </w:p>
        </w:tc>
        <w:tc>
          <w:tcPr>
            <w:tcW w:w="580" w:type="dxa"/>
            <w:vAlign w:val="bottom"/>
          </w:tcPr>
          <w:p>
            <w:pPr>
              <w:jc w:val="right"/>
              <w:ind w:right="15"/>
              <w:spacing w:after="0" w:line="146"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55"/>
              <w:spacing w:after="0" w:line="146"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r>
      <w:tr>
        <w:trPr>
          <w:trHeight w:val="146"/>
        </w:trPr>
        <w:tc>
          <w:tcPr>
            <w:tcW w:w="800" w:type="dxa"/>
            <w:vAlign w:val="bottom"/>
          </w:tcPr>
          <w:p>
            <w:pPr>
              <w:spacing w:after="0"/>
              <w:rPr>
                <w:sz w:val="12"/>
                <w:szCs w:val="12"/>
                <w:color w:val="auto"/>
              </w:rPr>
            </w:pP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8/13/2015</w:t>
            </w:r>
          </w:p>
        </w:tc>
        <w:tc>
          <w:tcPr>
            <w:tcW w:w="1140" w:type="dxa"/>
            <w:vAlign w:val="bottom"/>
          </w:tcPr>
          <w:p>
            <w:pPr>
              <w:jc w:val="right"/>
              <w:ind w:right="235"/>
              <w:spacing w:after="0" w:line="146" w:lineRule="exact"/>
              <w:rPr>
                <w:sz w:val="20"/>
                <w:szCs w:val="20"/>
                <w:color w:val="auto"/>
              </w:rPr>
            </w:pPr>
            <w:r>
              <w:rPr>
                <w:rFonts w:ascii="Arial" w:cs="Arial" w:eastAsia="Arial" w:hAnsi="Arial"/>
                <w:sz w:val="13"/>
                <w:szCs w:val="13"/>
                <w:color w:val="auto"/>
              </w:rPr>
              <w:t>22,004</w:t>
            </w:r>
          </w:p>
        </w:tc>
        <w:tc>
          <w:tcPr>
            <w:tcW w:w="8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6" w:lineRule="exact"/>
              <w:rPr>
                <w:sz w:val="20"/>
                <w:szCs w:val="20"/>
                <w:color w:val="auto"/>
              </w:rPr>
            </w:pPr>
            <w:r>
              <w:rPr>
                <w:rFonts w:ascii="Arial" w:cs="Arial" w:eastAsia="Arial" w:hAnsi="Arial"/>
                <w:sz w:val="13"/>
                <w:szCs w:val="13"/>
                <w:color w:val="auto"/>
              </w:rPr>
              <w:t>42.67</w:t>
            </w:r>
          </w:p>
        </w:tc>
        <w:tc>
          <w:tcPr>
            <w:tcW w:w="780" w:type="dxa"/>
            <w:vAlign w:val="bottom"/>
          </w:tcPr>
          <w:p>
            <w:pPr>
              <w:jc w:val="right"/>
              <w:spacing w:after="0" w:line="146" w:lineRule="exact"/>
              <w:rPr>
                <w:sz w:val="20"/>
                <w:szCs w:val="20"/>
                <w:color w:val="auto"/>
              </w:rPr>
            </w:pPr>
            <w:r>
              <w:rPr>
                <w:rFonts w:ascii="Arial" w:cs="Arial" w:eastAsia="Arial" w:hAnsi="Arial"/>
                <w:sz w:val="13"/>
                <w:szCs w:val="13"/>
                <w:color w:val="auto"/>
              </w:rPr>
              <w:t>8/12/2025</w:t>
            </w:r>
          </w:p>
        </w:tc>
        <w:tc>
          <w:tcPr>
            <w:tcW w:w="760" w:type="dxa"/>
            <w:vAlign w:val="bottom"/>
          </w:tcPr>
          <w:p>
            <w:pPr>
              <w:jc w:val="right"/>
              <w:ind w:right="55"/>
              <w:spacing w:after="0" w:line="146" w:lineRule="exact"/>
              <w:rPr>
                <w:sz w:val="20"/>
                <w:szCs w:val="20"/>
                <w:color w:val="auto"/>
              </w:rPr>
            </w:pPr>
            <w:r>
              <w:rPr>
                <w:rFonts w:ascii="Arial" w:cs="Arial" w:eastAsia="Arial" w:hAnsi="Arial"/>
                <w:sz w:val="13"/>
                <w:szCs w:val="13"/>
                <w:color w:val="auto"/>
              </w:rPr>
              <w:t>—</w:t>
            </w:r>
          </w:p>
        </w:tc>
        <w:tc>
          <w:tcPr>
            <w:tcW w:w="580" w:type="dxa"/>
            <w:vAlign w:val="bottom"/>
          </w:tcPr>
          <w:p>
            <w:pPr>
              <w:jc w:val="right"/>
              <w:ind w:right="15"/>
              <w:spacing w:after="0" w:line="146"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55"/>
              <w:spacing w:after="0" w:line="146"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r>
      <w:tr>
        <w:trPr>
          <w:trHeight w:val="146"/>
        </w:trPr>
        <w:tc>
          <w:tcPr>
            <w:tcW w:w="800" w:type="dxa"/>
            <w:vAlign w:val="bottom"/>
          </w:tcPr>
          <w:p>
            <w:pPr>
              <w:spacing w:after="0"/>
              <w:rPr>
                <w:sz w:val="12"/>
                <w:szCs w:val="12"/>
                <w:color w:val="auto"/>
              </w:rPr>
            </w:pP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8/11/2016</w:t>
            </w:r>
          </w:p>
        </w:tc>
        <w:tc>
          <w:tcPr>
            <w:tcW w:w="1140" w:type="dxa"/>
            <w:vAlign w:val="bottom"/>
          </w:tcPr>
          <w:p>
            <w:pPr>
              <w:jc w:val="right"/>
              <w:ind w:right="235"/>
              <w:spacing w:after="0" w:line="146" w:lineRule="exact"/>
              <w:rPr>
                <w:sz w:val="20"/>
                <w:szCs w:val="20"/>
                <w:color w:val="auto"/>
              </w:rPr>
            </w:pPr>
            <w:r>
              <w:rPr>
                <w:rFonts w:ascii="Arial" w:cs="Arial" w:eastAsia="Arial" w:hAnsi="Arial"/>
                <w:sz w:val="13"/>
                <w:szCs w:val="13"/>
                <w:color w:val="auto"/>
              </w:rPr>
              <w:t>14,934</w:t>
            </w:r>
          </w:p>
        </w:tc>
        <w:tc>
          <w:tcPr>
            <w:tcW w:w="8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4,978</w:t>
            </w:r>
          </w:p>
        </w:tc>
        <w:tc>
          <w:tcPr>
            <w:tcW w:w="560" w:type="dxa"/>
            <w:vAlign w:val="bottom"/>
          </w:tcPr>
          <w:p>
            <w:pPr>
              <w:jc w:val="right"/>
              <w:spacing w:after="0" w:line="146" w:lineRule="exact"/>
              <w:rPr>
                <w:sz w:val="20"/>
                <w:szCs w:val="20"/>
                <w:color w:val="auto"/>
              </w:rPr>
            </w:pPr>
            <w:r>
              <w:rPr>
                <w:rFonts w:ascii="Arial" w:cs="Arial" w:eastAsia="Arial" w:hAnsi="Arial"/>
                <w:sz w:val="13"/>
                <w:szCs w:val="13"/>
                <w:color w:val="auto"/>
              </w:rPr>
              <w:t>41.30</w:t>
            </w:r>
          </w:p>
        </w:tc>
        <w:tc>
          <w:tcPr>
            <w:tcW w:w="780" w:type="dxa"/>
            <w:vAlign w:val="bottom"/>
          </w:tcPr>
          <w:p>
            <w:pPr>
              <w:jc w:val="right"/>
              <w:spacing w:after="0" w:line="146" w:lineRule="exact"/>
              <w:rPr>
                <w:sz w:val="20"/>
                <w:szCs w:val="20"/>
                <w:color w:val="auto"/>
              </w:rPr>
            </w:pPr>
            <w:r>
              <w:rPr>
                <w:rFonts w:ascii="Arial" w:cs="Arial" w:eastAsia="Arial" w:hAnsi="Arial"/>
                <w:sz w:val="13"/>
                <w:szCs w:val="13"/>
                <w:color w:val="auto"/>
              </w:rPr>
              <w:t>8/10/2026</w:t>
            </w:r>
          </w:p>
        </w:tc>
        <w:tc>
          <w:tcPr>
            <w:tcW w:w="760" w:type="dxa"/>
            <w:vAlign w:val="bottom"/>
          </w:tcPr>
          <w:p>
            <w:pPr>
              <w:jc w:val="right"/>
              <w:ind w:right="55"/>
              <w:spacing w:after="0" w:line="146" w:lineRule="exact"/>
              <w:rPr>
                <w:sz w:val="20"/>
                <w:szCs w:val="20"/>
                <w:color w:val="auto"/>
              </w:rPr>
            </w:pPr>
            <w:r>
              <w:rPr>
                <w:rFonts w:ascii="Arial" w:cs="Arial" w:eastAsia="Arial" w:hAnsi="Arial"/>
                <w:sz w:val="13"/>
                <w:szCs w:val="13"/>
                <w:color w:val="auto"/>
              </w:rPr>
              <w:t>—</w:t>
            </w:r>
          </w:p>
        </w:tc>
        <w:tc>
          <w:tcPr>
            <w:tcW w:w="580" w:type="dxa"/>
            <w:vAlign w:val="bottom"/>
          </w:tcPr>
          <w:p>
            <w:pPr>
              <w:jc w:val="right"/>
              <w:ind w:right="15"/>
              <w:spacing w:after="0" w:line="146"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55"/>
              <w:spacing w:after="0" w:line="146"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r>
      <w:tr>
        <w:trPr>
          <w:trHeight w:val="146"/>
        </w:trPr>
        <w:tc>
          <w:tcPr>
            <w:tcW w:w="800" w:type="dxa"/>
            <w:vAlign w:val="bottom"/>
          </w:tcPr>
          <w:p>
            <w:pPr>
              <w:spacing w:after="0"/>
              <w:rPr>
                <w:sz w:val="12"/>
                <w:szCs w:val="12"/>
                <w:color w:val="auto"/>
              </w:rPr>
            </w:pP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8/10/2017</w:t>
            </w:r>
          </w:p>
        </w:tc>
        <w:tc>
          <w:tcPr>
            <w:tcW w:w="1140" w:type="dxa"/>
            <w:vAlign w:val="bottom"/>
          </w:tcPr>
          <w:p>
            <w:pPr>
              <w:jc w:val="right"/>
              <w:ind w:right="235"/>
              <w:spacing w:after="0" w:line="146" w:lineRule="exact"/>
              <w:rPr>
                <w:sz w:val="20"/>
                <w:szCs w:val="20"/>
                <w:color w:val="auto"/>
              </w:rPr>
            </w:pPr>
            <w:r>
              <w:rPr>
                <w:rFonts w:ascii="Arial" w:cs="Arial" w:eastAsia="Arial" w:hAnsi="Arial"/>
                <w:sz w:val="13"/>
                <w:szCs w:val="13"/>
                <w:color w:val="auto"/>
              </w:rPr>
              <w:t>11,964</w:t>
            </w:r>
          </w:p>
        </w:tc>
        <w:tc>
          <w:tcPr>
            <w:tcW w:w="8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11,964</w:t>
            </w:r>
          </w:p>
        </w:tc>
        <w:tc>
          <w:tcPr>
            <w:tcW w:w="560" w:type="dxa"/>
            <w:vAlign w:val="bottom"/>
          </w:tcPr>
          <w:p>
            <w:pPr>
              <w:jc w:val="right"/>
              <w:spacing w:after="0" w:line="146" w:lineRule="exact"/>
              <w:rPr>
                <w:sz w:val="20"/>
                <w:szCs w:val="20"/>
                <w:color w:val="auto"/>
              </w:rPr>
            </w:pPr>
            <w:r>
              <w:rPr>
                <w:rFonts w:ascii="Arial" w:cs="Arial" w:eastAsia="Arial" w:hAnsi="Arial"/>
                <w:sz w:val="13"/>
                <w:szCs w:val="13"/>
                <w:color w:val="auto"/>
              </w:rPr>
              <w:t>36.80</w:t>
            </w:r>
          </w:p>
        </w:tc>
        <w:tc>
          <w:tcPr>
            <w:tcW w:w="780" w:type="dxa"/>
            <w:vAlign w:val="bottom"/>
          </w:tcPr>
          <w:p>
            <w:pPr>
              <w:jc w:val="right"/>
              <w:spacing w:after="0" w:line="146" w:lineRule="exact"/>
              <w:rPr>
                <w:sz w:val="20"/>
                <w:szCs w:val="20"/>
                <w:color w:val="auto"/>
              </w:rPr>
            </w:pPr>
            <w:r>
              <w:rPr>
                <w:rFonts w:ascii="Arial" w:cs="Arial" w:eastAsia="Arial" w:hAnsi="Arial"/>
                <w:sz w:val="13"/>
                <w:szCs w:val="13"/>
                <w:color w:val="auto"/>
              </w:rPr>
              <w:t>8/09/2027</w:t>
            </w:r>
          </w:p>
        </w:tc>
        <w:tc>
          <w:tcPr>
            <w:tcW w:w="760" w:type="dxa"/>
            <w:vAlign w:val="bottom"/>
          </w:tcPr>
          <w:p>
            <w:pPr>
              <w:jc w:val="right"/>
              <w:ind w:right="55"/>
              <w:spacing w:after="0" w:line="146" w:lineRule="exact"/>
              <w:rPr>
                <w:sz w:val="20"/>
                <w:szCs w:val="20"/>
                <w:color w:val="auto"/>
              </w:rPr>
            </w:pPr>
            <w:r>
              <w:rPr>
                <w:rFonts w:ascii="Arial" w:cs="Arial" w:eastAsia="Arial" w:hAnsi="Arial"/>
                <w:sz w:val="13"/>
                <w:szCs w:val="13"/>
                <w:color w:val="auto"/>
              </w:rPr>
              <w:t>8/10/2017</w:t>
            </w:r>
          </w:p>
        </w:tc>
        <w:tc>
          <w:tcPr>
            <w:tcW w:w="580" w:type="dxa"/>
            <w:vAlign w:val="bottom"/>
          </w:tcPr>
          <w:p>
            <w:pPr>
              <w:jc w:val="right"/>
              <w:ind w:right="15"/>
              <w:spacing w:after="0" w:line="146" w:lineRule="exact"/>
              <w:rPr>
                <w:sz w:val="20"/>
                <w:szCs w:val="20"/>
                <w:color w:val="auto"/>
              </w:rPr>
            </w:pPr>
            <w:r>
              <w:rPr>
                <w:rFonts w:ascii="Arial" w:cs="Arial" w:eastAsia="Arial" w:hAnsi="Arial"/>
                <w:sz w:val="13"/>
                <w:szCs w:val="13"/>
                <w:color w:val="auto"/>
              </w:rPr>
              <w:t>1,783</w:t>
            </w:r>
          </w:p>
        </w:tc>
        <w:tc>
          <w:tcPr>
            <w:tcW w:w="70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46,429</w:t>
            </w:r>
          </w:p>
        </w:tc>
        <w:tc>
          <w:tcPr>
            <w:tcW w:w="680" w:type="dxa"/>
            <w:vAlign w:val="bottom"/>
          </w:tcPr>
          <w:p>
            <w:pPr>
              <w:jc w:val="right"/>
              <w:ind w:right="55"/>
              <w:spacing w:after="0" w:line="146"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r>
      <w:tr>
        <w:trPr>
          <w:trHeight w:val="146"/>
        </w:trPr>
        <w:tc>
          <w:tcPr>
            <w:tcW w:w="800" w:type="dxa"/>
            <w:vAlign w:val="bottom"/>
          </w:tcPr>
          <w:p>
            <w:pPr>
              <w:spacing w:after="0"/>
              <w:rPr>
                <w:sz w:val="12"/>
                <w:szCs w:val="12"/>
                <w:color w:val="auto"/>
              </w:rPr>
            </w:pP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8/28/2018</w:t>
            </w:r>
          </w:p>
        </w:tc>
        <w:tc>
          <w:tcPr>
            <w:tcW w:w="1140" w:type="dxa"/>
            <w:vAlign w:val="bottom"/>
          </w:tcPr>
          <w:p>
            <w:pPr>
              <w:jc w:val="right"/>
              <w:ind w:right="235"/>
              <w:spacing w:after="0" w:line="146" w:lineRule="exact"/>
              <w:rPr>
                <w:sz w:val="20"/>
                <w:szCs w:val="20"/>
                <w:color w:val="auto"/>
              </w:rPr>
            </w:pPr>
            <w:r>
              <w:rPr>
                <w:rFonts w:ascii="Arial" w:cs="Arial" w:eastAsia="Arial" w:hAnsi="Arial"/>
                <w:sz w:val="13"/>
                <w:szCs w:val="13"/>
                <w:color w:val="auto"/>
              </w:rPr>
              <w:t>5,426</w:t>
            </w:r>
          </w:p>
        </w:tc>
        <w:tc>
          <w:tcPr>
            <w:tcW w:w="860" w:type="dxa"/>
            <w:vAlign w:val="bottom"/>
          </w:tcPr>
          <w:p>
            <w:pPr>
              <w:jc w:val="right"/>
              <w:ind w:right="95"/>
              <w:spacing w:after="0" w:line="146" w:lineRule="exact"/>
              <w:rPr>
                <w:sz w:val="20"/>
                <w:szCs w:val="20"/>
                <w:color w:val="auto"/>
              </w:rPr>
            </w:pPr>
            <w:r>
              <w:rPr>
                <w:rFonts w:ascii="Arial" w:cs="Arial" w:eastAsia="Arial" w:hAnsi="Arial"/>
                <w:sz w:val="13"/>
                <w:szCs w:val="13"/>
                <w:color w:val="auto"/>
              </w:rPr>
              <w:t>16,278</w:t>
            </w:r>
          </w:p>
        </w:tc>
        <w:tc>
          <w:tcPr>
            <w:tcW w:w="560" w:type="dxa"/>
            <w:vAlign w:val="bottom"/>
          </w:tcPr>
          <w:p>
            <w:pPr>
              <w:jc w:val="right"/>
              <w:spacing w:after="0" w:line="146" w:lineRule="exact"/>
              <w:rPr>
                <w:sz w:val="20"/>
                <w:szCs w:val="20"/>
                <w:color w:val="auto"/>
              </w:rPr>
            </w:pPr>
            <w:r>
              <w:rPr>
                <w:rFonts w:ascii="Arial" w:cs="Arial" w:eastAsia="Arial" w:hAnsi="Arial"/>
                <w:sz w:val="13"/>
                <w:szCs w:val="13"/>
                <w:color w:val="auto"/>
              </w:rPr>
              <w:t>48.62</w:t>
            </w:r>
          </w:p>
        </w:tc>
        <w:tc>
          <w:tcPr>
            <w:tcW w:w="780" w:type="dxa"/>
            <w:vAlign w:val="bottom"/>
          </w:tcPr>
          <w:p>
            <w:pPr>
              <w:jc w:val="right"/>
              <w:spacing w:after="0" w:line="146" w:lineRule="exact"/>
              <w:rPr>
                <w:sz w:val="20"/>
                <w:szCs w:val="20"/>
                <w:color w:val="auto"/>
              </w:rPr>
            </w:pPr>
            <w:r>
              <w:rPr>
                <w:rFonts w:ascii="Arial" w:cs="Arial" w:eastAsia="Arial" w:hAnsi="Arial"/>
                <w:sz w:val="13"/>
                <w:szCs w:val="13"/>
                <w:color w:val="auto"/>
              </w:rPr>
              <w:t>8/27/2028</w:t>
            </w:r>
          </w:p>
        </w:tc>
        <w:tc>
          <w:tcPr>
            <w:tcW w:w="760" w:type="dxa"/>
            <w:vAlign w:val="bottom"/>
          </w:tcPr>
          <w:p>
            <w:pPr>
              <w:jc w:val="right"/>
              <w:ind w:right="55"/>
              <w:spacing w:after="0" w:line="146" w:lineRule="exact"/>
              <w:rPr>
                <w:sz w:val="20"/>
                <w:szCs w:val="20"/>
                <w:color w:val="auto"/>
              </w:rPr>
            </w:pPr>
            <w:r>
              <w:rPr>
                <w:rFonts w:ascii="Arial" w:cs="Arial" w:eastAsia="Arial" w:hAnsi="Arial"/>
                <w:sz w:val="13"/>
                <w:szCs w:val="13"/>
                <w:color w:val="auto"/>
              </w:rPr>
              <w:t>8/28/2018</w:t>
            </w:r>
          </w:p>
        </w:tc>
        <w:tc>
          <w:tcPr>
            <w:tcW w:w="580" w:type="dxa"/>
            <w:vAlign w:val="bottom"/>
          </w:tcPr>
          <w:p>
            <w:pPr>
              <w:jc w:val="right"/>
              <w:ind w:right="15"/>
              <w:spacing w:after="0" w:line="146" w:lineRule="exact"/>
              <w:rPr>
                <w:sz w:val="20"/>
                <w:szCs w:val="20"/>
                <w:color w:val="auto"/>
              </w:rPr>
            </w:pPr>
            <w:r>
              <w:rPr>
                <w:rFonts w:ascii="Arial" w:cs="Arial" w:eastAsia="Arial" w:hAnsi="Arial"/>
                <w:sz w:val="13"/>
                <w:szCs w:val="13"/>
                <w:color w:val="auto"/>
              </w:rPr>
              <w:t>3,150</w:t>
            </w:r>
          </w:p>
        </w:tc>
        <w:tc>
          <w:tcPr>
            <w:tcW w:w="700" w:type="dxa"/>
            <w:vAlign w:val="bottom"/>
          </w:tcPr>
          <w:p>
            <w:pPr>
              <w:jc w:val="right"/>
              <w:ind w:right="115"/>
              <w:spacing w:after="0" w:line="146" w:lineRule="exact"/>
              <w:rPr>
                <w:sz w:val="20"/>
                <w:szCs w:val="20"/>
                <w:color w:val="auto"/>
              </w:rPr>
            </w:pPr>
            <w:r>
              <w:rPr>
                <w:rFonts w:ascii="Arial" w:cs="Arial" w:eastAsia="Arial" w:hAnsi="Arial"/>
                <w:sz w:val="13"/>
                <w:szCs w:val="13"/>
                <w:color w:val="auto"/>
              </w:rPr>
              <w:t>82,026</w:t>
            </w:r>
          </w:p>
        </w:tc>
        <w:tc>
          <w:tcPr>
            <w:tcW w:w="680" w:type="dxa"/>
            <w:vAlign w:val="bottom"/>
          </w:tcPr>
          <w:p>
            <w:pPr>
              <w:jc w:val="right"/>
              <w:ind w:right="55"/>
              <w:spacing w:after="0" w:line="146" w:lineRule="exact"/>
              <w:rPr>
                <w:sz w:val="20"/>
                <w:szCs w:val="20"/>
                <w:color w:val="auto"/>
              </w:rPr>
            </w:pPr>
            <w:r>
              <w:rPr>
                <w:rFonts w:ascii="Arial" w:cs="Arial" w:eastAsia="Arial" w:hAnsi="Arial"/>
                <w:sz w:val="13"/>
                <w:szCs w:val="13"/>
                <w:color w:val="auto"/>
              </w:rPr>
              <w:t>12,597</w:t>
            </w:r>
          </w:p>
        </w:tc>
        <w:tc>
          <w:tcPr>
            <w:tcW w:w="600" w:type="dxa"/>
            <w:vAlign w:val="bottom"/>
          </w:tcPr>
          <w:p>
            <w:pPr>
              <w:jc w:val="right"/>
              <w:spacing w:after="0" w:line="146" w:lineRule="exact"/>
              <w:rPr>
                <w:sz w:val="20"/>
                <w:szCs w:val="20"/>
                <w:color w:val="auto"/>
              </w:rPr>
            </w:pPr>
            <w:r>
              <w:rPr>
                <w:rFonts w:ascii="Arial" w:cs="Arial" w:eastAsia="Arial" w:hAnsi="Arial"/>
                <w:sz w:val="13"/>
                <w:szCs w:val="13"/>
                <w:color w:val="auto"/>
              </w:rPr>
              <w:t>328,026</w:t>
            </w:r>
          </w:p>
        </w:tc>
      </w:tr>
      <w:tr>
        <w:trPr>
          <w:trHeight w:val="157"/>
        </w:trPr>
        <w:tc>
          <w:tcPr>
            <w:tcW w:w="8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8/14/2019</w:t>
            </w:r>
          </w:p>
        </w:tc>
        <w:tc>
          <w:tcPr>
            <w:tcW w:w="1140" w:type="dxa"/>
            <w:vAlign w:val="bottom"/>
          </w:tcPr>
          <w:p>
            <w:pPr>
              <w:jc w:val="right"/>
              <w:ind w:right="235"/>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95"/>
              <w:spacing w:after="0"/>
              <w:rPr>
                <w:sz w:val="20"/>
                <w:szCs w:val="20"/>
                <w:color w:val="auto"/>
              </w:rPr>
            </w:pPr>
            <w:r>
              <w:rPr>
                <w:rFonts w:ascii="Arial" w:cs="Arial" w:eastAsia="Arial" w:hAnsi="Arial"/>
                <w:sz w:val="13"/>
                <w:szCs w:val="13"/>
                <w:color w:val="auto"/>
              </w:rPr>
              <w:t>28,948</w:t>
            </w:r>
          </w:p>
        </w:tc>
        <w:tc>
          <w:tcPr>
            <w:tcW w:w="560" w:type="dxa"/>
            <w:vAlign w:val="bottom"/>
          </w:tcPr>
          <w:p>
            <w:pPr>
              <w:jc w:val="right"/>
              <w:spacing w:after="0"/>
              <w:rPr>
                <w:sz w:val="20"/>
                <w:szCs w:val="20"/>
                <w:color w:val="auto"/>
              </w:rPr>
            </w:pPr>
            <w:r>
              <w:rPr>
                <w:rFonts w:ascii="Arial" w:cs="Arial" w:eastAsia="Arial" w:hAnsi="Arial"/>
                <w:sz w:val="13"/>
                <w:szCs w:val="13"/>
                <w:color w:val="auto"/>
              </w:rPr>
              <w:t>39.72</w:t>
            </w:r>
          </w:p>
        </w:tc>
        <w:tc>
          <w:tcPr>
            <w:tcW w:w="780" w:type="dxa"/>
            <w:vAlign w:val="bottom"/>
          </w:tcPr>
          <w:p>
            <w:pPr>
              <w:jc w:val="right"/>
              <w:spacing w:after="0"/>
              <w:rPr>
                <w:sz w:val="20"/>
                <w:szCs w:val="20"/>
                <w:color w:val="auto"/>
              </w:rPr>
            </w:pPr>
            <w:r>
              <w:rPr>
                <w:rFonts w:ascii="Arial" w:cs="Arial" w:eastAsia="Arial" w:hAnsi="Arial"/>
                <w:sz w:val="13"/>
                <w:szCs w:val="13"/>
                <w:color w:val="auto"/>
              </w:rPr>
              <w:t>8/13/2029</w:t>
            </w:r>
          </w:p>
        </w:tc>
        <w:tc>
          <w:tcPr>
            <w:tcW w:w="760" w:type="dxa"/>
            <w:vAlign w:val="bottom"/>
          </w:tcPr>
          <w:p>
            <w:pPr>
              <w:jc w:val="right"/>
              <w:ind w:right="55"/>
              <w:spacing w:after="0"/>
              <w:rPr>
                <w:sz w:val="20"/>
                <w:szCs w:val="20"/>
                <w:color w:val="auto"/>
              </w:rPr>
            </w:pPr>
            <w:r>
              <w:rPr>
                <w:rFonts w:ascii="Arial" w:cs="Arial" w:eastAsia="Arial" w:hAnsi="Arial"/>
                <w:sz w:val="13"/>
                <w:szCs w:val="13"/>
                <w:color w:val="auto"/>
              </w:rPr>
              <w:t>8/14/2019</w:t>
            </w:r>
          </w:p>
        </w:tc>
        <w:tc>
          <w:tcPr>
            <w:tcW w:w="580" w:type="dxa"/>
            <w:vAlign w:val="bottom"/>
          </w:tcPr>
          <w:p>
            <w:pPr>
              <w:jc w:val="right"/>
              <w:ind w:right="15"/>
              <w:spacing w:after="0"/>
              <w:rPr>
                <w:sz w:val="20"/>
                <w:szCs w:val="20"/>
                <w:color w:val="auto"/>
              </w:rPr>
            </w:pPr>
            <w:r>
              <w:rPr>
                <w:rFonts w:ascii="Arial" w:cs="Arial" w:eastAsia="Arial" w:hAnsi="Arial"/>
                <w:sz w:val="13"/>
                <w:szCs w:val="13"/>
                <w:color w:val="auto"/>
              </w:rPr>
              <w:t>5,784</w:t>
            </w:r>
          </w:p>
        </w:tc>
        <w:tc>
          <w:tcPr>
            <w:tcW w:w="700" w:type="dxa"/>
            <w:vAlign w:val="bottom"/>
          </w:tcPr>
          <w:p>
            <w:pPr>
              <w:jc w:val="right"/>
              <w:ind w:right="115"/>
              <w:spacing w:after="0"/>
              <w:rPr>
                <w:sz w:val="20"/>
                <w:szCs w:val="20"/>
                <w:color w:val="auto"/>
              </w:rPr>
            </w:pPr>
            <w:r>
              <w:rPr>
                <w:rFonts w:ascii="Arial" w:cs="Arial" w:eastAsia="Arial" w:hAnsi="Arial"/>
                <w:sz w:val="13"/>
                <w:szCs w:val="13"/>
                <w:color w:val="auto"/>
              </w:rPr>
              <w:t>150,615</w:t>
            </w:r>
          </w:p>
        </w:tc>
        <w:tc>
          <w:tcPr>
            <w:tcW w:w="680" w:type="dxa"/>
            <w:vAlign w:val="bottom"/>
          </w:tcPr>
          <w:p>
            <w:pPr>
              <w:jc w:val="right"/>
              <w:ind w:right="55"/>
              <w:spacing w:after="0"/>
              <w:rPr>
                <w:sz w:val="20"/>
                <w:szCs w:val="20"/>
                <w:color w:val="auto"/>
              </w:rPr>
            </w:pPr>
            <w:r>
              <w:rPr>
                <w:rFonts w:ascii="Arial" w:cs="Arial" w:eastAsia="Arial" w:hAnsi="Arial"/>
                <w:sz w:val="13"/>
                <w:szCs w:val="13"/>
                <w:color w:val="auto"/>
              </w:rPr>
              <w:t>15,420</w:t>
            </w:r>
          </w:p>
        </w:tc>
        <w:tc>
          <w:tcPr>
            <w:tcW w:w="600" w:type="dxa"/>
            <w:vAlign w:val="bottom"/>
          </w:tcPr>
          <w:p>
            <w:pPr>
              <w:jc w:val="right"/>
              <w:spacing w:after="0"/>
              <w:rPr>
                <w:sz w:val="20"/>
                <w:szCs w:val="20"/>
                <w:color w:val="auto"/>
              </w:rPr>
            </w:pPr>
            <w:r>
              <w:rPr>
                <w:rFonts w:ascii="Arial" w:cs="Arial" w:eastAsia="Arial" w:hAnsi="Arial"/>
                <w:sz w:val="13"/>
                <w:szCs w:val="13"/>
                <w:color w:val="auto"/>
              </w:rPr>
              <w:t>401,537</w:t>
            </w:r>
          </w:p>
        </w:tc>
      </w:tr>
      <w:tr>
        <w:trPr>
          <w:trHeight w:val="134"/>
        </w:trPr>
        <w:tc>
          <w:tcPr>
            <w:tcW w:w="800" w:type="dxa"/>
            <w:vAlign w:val="bottom"/>
            <w:shd w:val="clear" w:color="auto" w:fill="E8F5EA"/>
          </w:tcPr>
          <w:p>
            <w:pPr>
              <w:spacing w:after="0" w:line="134" w:lineRule="exact"/>
              <w:rPr>
                <w:sz w:val="20"/>
                <w:szCs w:val="20"/>
                <w:color w:val="auto"/>
              </w:rPr>
            </w:pPr>
            <w:r>
              <w:rPr>
                <w:rFonts w:ascii="Arial" w:cs="Arial" w:eastAsia="Arial" w:hAnsi="Arial"/>
                <w:sz w:val="13"/>
                <w:szCs w:val="13"/>
                <w:color w:val="auto"/>
              </w:rPr>
              <w:t>Michael J.</w:t>
            </w:r>
          </w:p>
        </w:tc>
        <w:tc>
          <w:tcPr>
            <w:tcW w:w="840" w:type="dxa"/>
            <w:vAlign w:val="bottom"/>
            <w:shd w:val="clear" w:color="auto" w:fill="E8F5EA"/>
          </w:tcPr>
          <w:p>
            <w:pPr>
              <w:spacing w:after="0"/>
              <w:rPr>
                <w:sz w:val="11"/>
                <w:szCs w:val="11"/>
                <w:color w:val="auto"/>
              </w:rPr>
            </w:pPr>
          </w:p>
        </w:tc>
        <w:tc>
          <w:tcPr>
            <w:tcW w:w="1140" w:type="dxa"/>
            <w:vAlign w:val="bottom"/>
            <w:shd w:val="clear" w:color="auto" w:fill="E8F5EA"/>
          </w:tcPr>
          <w:p>
            <w:pPr>
              <w:spacing w:after="0"/>
              <w:rPr>
                <w:sz w:val="11"/>
                <w:szCs w:val="11"/>
                <w:color w:val="auto"/>
              </w:rPr>
            </w:pPr>
          </w:p>
        </w:tc>
        <w:tc>
          <w:tcPr>
            <w:tcW w:w="860" w:type="dxa"/>
            <w:vAlign w:val="bottom"/>
            <w:shd w:val="clear" w:color="auto" w:fill="E8F5EA"/>
          </w:tcPr>
          <w:p>
            <w:pPr>
              <w:spacing w:after="0"/>
              <w:rPr>
                <w:sz w:val="11"/>
                <w:szCs w:val="11"/>
                <w:color w:val="auto"/>
              </w:rPr>
            </w:pPr>
          </w:p>
        </w:tc>
        <w:tc>
          <w:tcPr>
            <w:tcW w:w="560" w:type="dxa"/>
            <w:vAlign w:val="bottom"/>
            <w:shd w:val="clear" w:color="auto" w:fill="E8F5EA"/>
          </w:tcPr>
          <w:p>
            <w:pPr>
              <w:spacing w:after="0"/>
              <w:rPr>
                <w:sz w:val="11"/>
                <w:szCs w:val="11"/>
                <w:color w:val="auto"/>
              </w:rPr>
            </w:pPr>
          </w:p>
        </w:tc>
        <w:tc>
          <w:tcPr>
            <w:tcW w:w="780" w:type="dxa"/>
            <w:vAlign w:val="bottom"/>
            <w:shd w:val="clear" w:color="auto" w:fill="E8F5EA"/>
          </w:tcPr>
          <w:p>
            <w:pPr>
              <w:spacing w:after="0"/>
              <w:rPr>
                <w:sz w:val="11"/>
                <w:szCs w:val="11"/>
                <w:color w:val="auto"/>
              </w:rPr>
            </w:pPr>
          </w:p>
        </w:tc>
        <w:tc>
          <w:tcPr>
            <w:tcW w:w="760" w:type="dxa"/>
            <w:vAlign w:val="bottom"/>
            <w:shd w:val="clear" w:color="auto" w:fill="E8F5EA"/>
          </w:tcPr>
          <w:p>
            <w:pPr>
              <w:spacing w:after="0"/>
              <w:rPr>
                <w:sz w:val="11"/>
                <w:szCs w:val="11"/>
                <w:color w:val="auto"/>
              </w:rPr>
            </w:pPr>
          </w:p>
        </w:tc>
        <w:tc>
          <w:tcPr>
            <w:tcW w:w="580" w:type="dxa"/>
            <w:vAlign w:val="bottom"/>
            <w:shd w:val="clear" w:color="auto" w:fill="E8F5EA"/>
          </w:tcPr>
          <w:p>
            <w:pPr>
              <w:spacing w:after="0"/>
              <w:rPr>
                <w:sz w:val="11"/>
                <w:szCs w:val="11"/>
                <w:color w:val="auto"/>
              </w:rPr>
            </w:pPr>
          </w:p>
        </w:tc>
        <w:tc>
          <w:tcPr>
            <w:tcW w:w="700" w:type="dxa"/>
            <w:vAlign w:val="bottom"/>
            <w:shd w:val="clear" w:color="auto" w:fill="E8F5EA"/>
          </w:tcPr>
          <w:p>
            <w:pPr>
              <w:spacing w:after="0"/>
              <w:rPr>
                <w:sz w:val="11"/>
                <w:szCs w:val="11"/>
                <w:color w:val="auto"/>
              </w:rPr>
            </w:pPr>
          </w:p>
        </w:tc>
        <w:tc>
          <w:tcPr>
            <w:tcW w:w="680" w:type="dxa"/>
            <w:vAlign w:val="bottom"/>
            <w:shd w:val="clear" w:color="auto" w:fill="E8F5EA"/>
          </w:tcPr>
          <w:p>
            <w:pPr>
              <w:spacing w:after="0"/>
              <w:rPr>
                <w:sz w:val="11"/>
                <w:szCs w:val="11"/>
                <w:color w:val="auto"/>
              </w:rPr>
            </w:pPr>
          </w:p>
        </w:tc>
        <w:tc>
          <w:tcPr>
            <w:tcW w:w="600" w:type="dxa"/>
            <w:vAlign w:val="bottom"/>
            <w:shd w:val="clear" w:color="auto" w:fill="E8F5EA"/>
          </w:tcPr>
          <w:p>
            <w:pPr>
              <w:spacing w:after="0"/>
              <w:rPr>
                <w:sz w:val="11"/>
                <w:szCs w:val="11"/>
                <w:color w:val="auto"/>
              </w:rPr>
            </w:pPr>
          </w:p>
        </w:tc>
      </w:tr>
      <w:tr>
        <w:trPr>
          <w:trHeight w:val="157"/>
        </w:trPr>
        <w:tc>
          <w:tcPr>
            <w:tcW w:w="800" w:type="dxa"/>
            <w:vAlign w:val="bottom"/>
            <w:shd w:val="clear" w:color="auto" w:fill="E8F5EA"/>
          </w:tcPr>
          <w:p>
            <w:pPr>
              <w:spacing w:after="0"/>
              <w:rPr>
                <w:sz w:val="20"/>
                <w:szCs w:val="20"/>
                <w:color w:val="auto"/>
              </w:rPr>
            </w:pPr>
            <w:r>
              <w:rPr>
                <w:rFonts w:ascii="Arial" w:cs="Arial" w:eastAsia="Arial" w:hAnsi="Arial"/>
                <w:sz w:val="13"/>
                <w:szCs w:val="13"/>
                <w:color w:val="auto"/>
              </w:rPr>
              <w:t>O'Neill</w:t>
            </w:r>
          </w:p>
        </w:tc>
        <w:tc>
          <w:tcPr>
            <w:tcW w:w="840" w:type="dxa"/>
            <w:vAlign w:val="bottom"/>
            <w:shd w:val="clear" w:color="auto" w:fill="E8F5EA"/>
          </w:tcPr>
          <w:p>
            <w:pPr>
              <w:jc w:val="right"/>
              <w:spacing w:after="0"/>
              <w:rPr>
                <w:sz w:val="20"/>
                <w:szCs w:val="20"/>
                <w:color w:val="auto"/>
              </w:rPr>
            </w:pPr>
            <w:r>
              <w:rPr>
                <w:rFonts w:ascii="Arial" w:cs="Arial" w:eastAsia="Arial" w:hAnsi="Arial"/>
                <w:sz w:val="13"/>
                <w:szCs w:val="13"/>
                <w:color w:val="auto"/>
              </w:rPr>
              <w:t>9/27/2016</w:t>
            </w:r>
          </w:p>
        </w:tc>
        <w:tc>
          <w:tcPr>
            <w:tcW w:w="1140" w:type="dxa"/>
            <w:vAlign w:val="bottom"/>
            <w:shd w:val="clear" w:color="auto" w:fill="E8F5EA"/>
          </w:tcPr>
          <w:p>
            <w:pPr>
              <w:jc w:val="right"/>
              <w:ind w:right="235"/>
              <w:spacing w:after="0"/>
              <w:rPr>
                <w:sz w:val="20"/>
                <w:szCs w:val="20"/>
                <w:color w:val="auto"/>
              </w:rPr>
            </w:pPr>
            <w:r>
              <w:rPr>
                <w:rFonts w:ascii="Arial" w:cs="Arial" w:eastAsia="Arial" w:hAnsi="Arial"/>
                <w:sz w:val="13"/>
                <w:szCs w:val="13"/>
                <w:color w:val="auto"/>
              </w:rPr>
              <w:t>7,413</w:t>
            </w:r>
          </w:p>
        </w:tc>
        <w:tc>
          <w:tcPr>
            <w:tcW w:w="860" w:type="dxa"/>
            <w:vAlign w:val="bottom"/>
            <w:shd w:val="clear" w:color="auto" w:fill="E8F5EA"/>
          </w:tcPr>
          <w:p>
            <w:pPr>
              <w:jc w:val="right"/>
              <w:ind w:right="95"/>
              <w:spacing w:after="0"/>
              <w:rPr>
                <w:sz w:val="20"/>
                <w:szCs w:val="20"/>
                <w:color w:val="auto"/>
              </w:rPr>
            </w:pPr>
            <w:r>
              <w:rPr>
                <w:rFonts w:ascii="Arial" w:cs="Arial" w:eastAsia="Arial" w:hAnsi="Arial"/>
                <w:sz w:val="13"/>
                <w:szCs w:val="13"/>
                <w:color w:val="auto"/>
              </w:rPr>
              <w:t>2,471</w:t>
            </w:r>
          </w:p>
        </w:tc>
        <w:tc>
          <w:tcPr>
            <w:tcW w:w="560" w:type="dxa"/>
            <w:vAlign w:val="bottom"/>
            <w:shd w:val="clear" w:color="auto" w:fill="E8F5EA"/>
          </w:tcPr>
          <w:p>
            <w:pPr>
              <w:jc w:val="right"/>
              <w:spacing w:after="0"/>
              <w:rPr>
                <w:sz w:val="20"/>
                <w:szCs w:val="20"/>
                <w:color w:val="auto"/>
              </w:rPr>
            </w:pPr>
            <w:r>
              <w:rPr>
                <w:rFonts w:ascii="Arial" w:cs="Arial" w:eastAsia="Arial" w:hAnsi="Arial"/>
                <w:sz w:val="13"/>
                <w:szCs w:val="13"/>
                <w:color w:val="auto"/>
              </w:rPr>
              <w:t>40.48</w:t>
            </w:r>
          </w:p>
        </w:tc>
        <w:tc>
          <w:tcPr>
            <w:tcW w:w="780" w:type="dxa"/>
            <w:vAlign w:val="bottom"/>
            <w:shd w:val="clear" w:color="auto" w:fill="E8F5EA"/>
          </w:tcPr>
          <w:p>
            <w:pPr>
              <w:jc w:val="right"/>
              <w:spacing w:after="0"/>
              <w:rPr>
                <w:sz w:val="20"/>
                <w:szCs w:val="20"/>
                <w:color w:val="auto"/>
              </w:rPr>
            </w:pPr>
            <w:r>
              <w:rPr>
                <w:rFonts w:ascii="Arial" w:cs="Arial" w:eastAsia="Arial" w:hAnsi="Arial"/>
                <w:sz w:val="13"/>
                <w:szCs w:val="13"/>
                <w:color w:val="auto"/>
              </w:rPr>
              <w:t>3/31/2025</w:t>
            </w:r>
          </w:p>
        </w:tc>
        <w:tc>
          <w:tcPr>
            <w:tcW w:w="760" w:type="dxa"/>
            <w:vAlign w:val="bottom"/>
            <w:shd w:val="clear" w:color="auto" w:fill="E8F5EA"/>
          </w:tcPr>
          <w:p>
            <w:pPr>
              <w:jc w:val="right"/>
              <w:ind w:right="55"/>
              <w:spacing w:after="0"/>
              <w:rPr>
                <w:sz w:val="20"/>
                <w:szCs w:val="20"/>
                <w:color w:val="auto"/>
              </w:rPr>
            </w:pPr>
            <w:r>
              <w:rPr>
                <w:rFonts w:ascii="Arial" w:cs="Arial" w:eastAsia="Arial" w:hAnsi="Arial"/>
                <w:sz w:val="13"/>
                <w:szCs w:val="13"/>
                <w:color w:val="auto"/>
              </w:rPr>
              <w:t>—</w:t>
            </w:r>
          </w:p>
        </w:tc>
        <w:tc>
          <w:tcPr>
            <w:tcW w:w="580" w:type="dxa"/>
            <w:vAlign w:val="bottom"/>
            <w:shd w:val="clear" w:color="auto" w:fill="E8F5EA"/>
          </w:tcPr>
          <w:p>
            <w:pPr>
              <w:jc w:val="right"/>
              <w:ind w:right="15"/>
              <w:spacing w:after="0"/>
              <w:rPr>
                <w:sz w:val="20"/>
                <w:szCs w:val="20"/>
                <w:color w:val="auto"/>
              </w:rPr>
            </w:pPr>
            <w:r>
              <w:rPr>
                <w:rFonts w:ascii="Arial" w:cs="Arial" w:eastAsia="Arial" w:hAnsi="Arial"/>
                <w:sz w:val="13"/>
                <w:szCs w:val="13"/>
                <w:color w:val="auto"/>
              </w:rPr>
              <w:t>—</w:t>
            </w:r>
          </w:p>
        </w:tc>
        <w:tc>
          <w:tcPr>
            <w:tcW w:w="700" w:type="dxa"/>
            <w:vAlign w:val="bottom"/>
            <w:shd w:val="clear" w:color="auto" w:fill="E8F5EA"/>
          </w:tcPr>
          <w:p>
            <w:pPr>
              <w:jc w:val="right"/>
              <w:ind w:right="115"/>
              <w:spacing w:after="0"/>
              <w:rPr>
                <w:sz w:val="20"/>
                <w:szCs w:val="20"/>
                <w:color w:val="auto"/>
              </w:rPr>
            </w:pPr>
            <w:r>
              <w:rPr>
                <w:rFonts w:ascii="Arial" w:cs="Arial" w:eastAsia="Arial" w:hAnsi="Arial"/>
                <w:sz w:val="13"/>
                <w:szCs w:val="13"/>
                <w:color w:val="auto"/>
              </w:rPr>
              <w:t>—</w:t>
            </w:r>
          </w:p>
        </w:tc>
        <w:tc>
          <w:tcPr>
            <w:tcW w:w="680" w:type="dxa"/>
            <w:vAlign w:val="bottom"/>
            <w:shd w:val="clear" w:color="auto" w:fill="E8F5EA"/>
          </w:tcPr>
          <w:p>
            <w:pPr>
              <w:jc w:val="right"/>
              <w:ind w:right="55"/>
              <w:spacing w:after="0"/>
              <w:rPr>
                <w:sz w:val="20"/>
                <w:szCs w:val="20"/>
                <w:color w:val="auto"/>
              </w:rPr>
            </w:pPr>
            <w:r>
              <w:rPr>
                <w:rFonts w:ascii="Arial" w:cs="Arial" w:eastAsia="Arial" w:hAnsi="Arial"/>
                <w:sz w:val="13"/>
                <w:szCs w:val="13"/>
                <w:color w:val="auto"/>
              </w:rPr>
              <w:t>—</w:t>
            </w:r>
          </w:p>
        </w:tc>
        <w:tc>
          <w:tcPr>
            <w:tcW w:w="600" w:type="dxa"/>
            <w:vAlign w:val="bottom"/>
            <w:shd w:val="clear" w:color="auto" w:fill="E8F5EA"/>
          </w:tcPr>
          <w:p>
            <w:pPr>
              <w:jc w:val="right"/>
              <w:spacing w:after="0"/>
              <w:rPr>
                <w:sz w:val="20"/>
                <w:szCs w:val="20"/>
                <w:color w:val="auto"/>
              </w:rPr>
            </w:pPr>
            <w:r>
              <w:rPr>
                <w:rFonts w:ascii="Arial" w:cs="Arial" w:eastAsia="Arial" w:hAnsi="Arial"/>
                <w:sz w:val="13"/>
                <w:szCs w:val="13"/>
                <w:color w:val="auto"/>
              </w:rPr>
              <w:t>—</w:t>
            </w:r>
          </w:p>
        </w:tc>
      </w:tr>
      <w:tr>
        <w:trPr>
          <w:trHeight w:val="146"/>
        </w:trPr>
        <w:tc>
          <w:tcPr>
            <w:tcW w:w="800" w:type="dxa"/>
            <w:vAlign w:val="bottom"/>
            <w:shd w:val="clear" w:color="auto" w:fill="E8F5EA"/>
          </w:tcPr>
          <w:p>
            <w:pPr>
              <w:spacing w:after="0"/>
              <w:rPr>
                <w:sz w:val="12"/>
                <w:szCs w:val="12"/>
                <w:color w:val="auto"/>
              </w:rPr>
            </w:pPr>
          </w:p>
        </w:tc>
        <w:tc>
          <w:tcPr>
            <w:tcW w:w="84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8/10/2017</w:t>
            </w:r>
          </w:p>
        </w:tc>
        <w:tc>
          <w:tcPr>
            <w:tcW w:w="1140" w:type="dxa"/>
            <w:vAlign w:val="bottom"/>
            <w:shd w:val="clear" w:color="auto" w:fill="E8F5EA"/>
          </w:tcPr>
          <w:p>
            <w:pPr>
              <w:jc w:val="right"/>
              <w:ind w:right="235"/>
              <w:spacing w:after="0" w:line="146" w:lineRule="exact"/>
              <w:rPr>
                <w:sz w:val="20"/>
                <w:szCs w:val="20"/>
                <w:color w:val="auto"/>
              </w:rPr>
            </w:pPr>
            <w:r>
              <w:rPr>
                <w:rFonts w:ascii="Arial" w:cs="Arial" w:eastAsia="Arial" w:hAnsi="Arial"/>
                <w:sz w:val="13"/>
                <w:szCs w:val="13"/>
                <w:color w:val="auto"/>
              </w:rPr>
              <w:t>10,824</w:t>
            </w:r>
          </w:p>
        </w:tc>
        <w:tc>
          <w:tcPr>
            <w:tcW w:w="860" w:type="dxa"/>
            <w:vAlign w:val="bottom"/>
            <w:shd w:val="clear" w:color="auto" w:fill="E8F5EA"/>
          </w:tcPr>
          <w:p>
            <w:pPr>
              <w:jc w:val="right"/>
              <w:ind w:right="95"/>
              <w:spacing w:after="0" w:line="146" w:lineRule="exact"/>
              <w:rPr>
                <w:sz w:val="20"/>
                <w:szCs w:val="20"/>
                <w:color w:val="auto"/>
              </w:rPr>
            </w:pPr>
            <w:r>
              <w:rPr>
                <w:rFonts w:ascii="Arial" w:cs="Arial" w:eastAsia="Arial" w:hAnsi="Arial"/>
                <w:sz w:val="13"/>
                <w:szCs w:val="13"/>
                <w:color w:val="auto"/>
              </w:rPr>
              <w:t>10,824</w:t>
            </w:r>
          </w:p>
        </w:tc>
        <w:tc>
          <w:tcPr>
            <w:tcW w:w="56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36.80</w:t>
            </w:r>
          </w:p>
        </w:tc>
        <w:tc>
          <w:tcPr>
            <w:tcW w:w="78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3/31/2025</w:t>
            </w:r>
          </w:p>
        </w:tc>
        <w:tc>
          <w:tcPr>
            <w:tcW w:w="760" w:type="dxa"/>
            <w:vAlign w:val="bottom"/>
            <w:shd w:val="clear" w:color="auto" w:fill="E8F5EA"/>
          </w:tcPr>
          <w:p>
            <w:pPr>
              <w:jc w:val="right"/>
              <w:ind w:right="55"/>
              <w:spacing w:after="0" w:line="146" w:lineRule="exact"/>
              <w:rPr>
                <w:sz w:val="20"/>
                <w:szCs w:val="20"/>
                <w:color w:val="auto"/>
              </w:rPr>
            </w:pPr>
            <w:r>
              <w:rPr>
                <w:rFonts w:ascii="Arial" w:cs="Arial" w:eastAsia="Arial" w:hAnsi="Arial"/>
                <w:sz w:val="13"/>
                <w:szCs w:val="13"/>
                <w:color w:val="auto"/>
              </w:rPr>
              <w:t>8/10/2017</w:t>
            </w:r>
          </w:p>
        </w:tc>
        <w:tc>
          <w:tcPr>
            <w:tcW w:w="580" w:type="dxa"/>
            <w:vAlign w:val="bottom"/>
            <w:shd w:val="clear" w:color="auto" w:fill="E8F5EA"/>
          </w:tcPr>
          <w:p>
            <w:pPr>
              <w:jc w:val="right"/>
              <w:ind w:right="15"/>
              <w:spacing w:after="0" w:line="146" w:lineRule="exact"/>
              <w:rPr>
                <w:sz w:val="20"/>
                <w:szCs w:val="20"/>
                <w:color w:val="auto"/>
              </w:rPr>
            </w:pPr>
            <w:r>
              <w:rPr>
                <w:rFonts w:ascii="Arial" w:cs="Arial" w:eastAsia="Arial" w:hAnsi="Arial"/>
                <w:sz w:val="13"/>
                <w:szCs w:val="13"/>
                <w:color w:val="auto"/>
              </w:rPr>
              <w:t>1,613</w:t>
            </w:r>
          </w:p>
        </w:tc>
        <w:tc>
          <w:tcPr>
            <w:tcW w:w="700" w:type="dxa"/>
            <w:vAlign w:val="bottom"/>
            <w:shd w:val="clear" w:color="auto" w:fill="E8F5EA"/>
          </w:tcPr>
          <w:p>
            <w:pPr>
              <w:jc w:val="right"/>
              <w:ind w:right="115"/>
              <w:spacing w:after="0" w:line="146" w:lineRule="exact"/>
              <w:rPr>
                <w:sz w:val="20"/>
                <w:szCs w:val="20"/>
                <w:color w:val="auto"/>
              </w:rPr>
            </w:pPr>
            <w:r>
              <w:rPr>
                <w:rFonts w:ascii="Arial" w:cs="Arial" w:eastAsia="Arial" w:hAnsi="Arial"/>
                <w:sz w:val="13"/>
                <w:szCs w:val="13"/>
                <w:color w:val="auto"/>
              </w:rPr>
              <w:t>42,003</w:t>
            </w:r>
          </w:p>
        </w:tc>
        <w:tc>
          <w:tcPr>
            <w:tcW w:w="680" w:type="dxa"/>
            <w:vAlign w:val="bottom"/>
            <w:shd w:val="clear" w:color="auto" w:fill="E8F5EA"/>
          </w:tcPr>
          <w:p>
            <w:pPr>
              <w:jc w:val="right"/>
              <w:ind w:right="55"/>
              <w:spacing w:after="0" w:line="146" w:lineRule="exact"/>
              <w:rPr>
                <w:sz w:val="20"/>
                <w:szCs w:val="20"/>
                <w:color w:val="auto"/>
              </w:rPr>
            </w:pPr>
            <w:r>
              <w:rPr>
                <w:rFonts w:ascii="Arial" w:cs="Arial" w:eastAsia="Arial" w:hAnsi="Arial"/>
                <w:sz w:val="13"/>
                <w:szCs w:val="13"/>
                <w:color w:val="auto"/>
              </w:rPr>
              <w:t>—</w:t>
            </w:r>
          </w:p>
        </w:tc>
        <w:tc>
          <w:tcPr>
            <w:tcW w:w="60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w:t>
            </w:r>
          </w:p>
        </w:tc>
      </w:tr>
      <w:tr>
        <w:trPr>
          <w:trHeight w:val="146"/>
        </w:trPr>
        <w:tc>
          <w:tcPr>
            <w:tcW w:w="800" w:type="dxa"/>
            <w:vAlign w:val="bottom"/>
            <w:shd w:val="clear" w:color="auto" w:fill="E8F5EA"/>
          </w:tcPr>
          <w:p>
            <w:pPr>
              <w:spacing w:after="0"/>
              <w:rPr>
                <w:sz w:val="12"/>
                <w:szCs w:val="12"/>
                <w:color w:val="auto"/>
              </w:rPr>
            </w:pPr>
          </w:p>
        </w:tc>
        <w:tc>
          <w:tcPr>
            <w:tcW w:w="84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8/28/2018</w:t>
            </w:r>
          </w:p>
        </w:tc>
        <w:tc>
          <w:tcPr>
            <w:tcW w:w="1140" w:type="dxa"/>
            <w:vAlign w:val="bottom"/>
            <w:shd w:val="clear" w:color="auto" w:fill="E8F5EA"/>
          </w:tcPr>
          <w:p>
            <w:pPr>
              <w:jc w:val="right"/>
              <w:ind w:right="235"/>
              <w:spacing w:after="0" w:line="146" w:lineRule="exact"/>
              <w:rPr>
                <w:sz w:val="20"/>
                <w:szCs w:val="20"/>
                <w:color w:val="auto"/>
              </w:rPr>
            </w:pPr>
            <w:r>
              <w:rPr>
                <w:rFonts w:ascii="Arial" w:cs="Arial" w:eastAsia="Arial" w:hAnsi="Arial"/>
                <w:sz w:val="13"/>
                <w:szCs w:val="13"/>
                <w:color w:val="auto"/>
              </w:rPr>
              <w:t>4,651</w:t>
            </w:r>
          </w:p>
        </w:tc>
        <w:tc>
          <w:tcPr>
            <w:tcW w:w="860" w:type="dxa"/>
            <w:vAlign w:val="bottom"/>
            <w:shd w:val="clear" w:color="auto" w:fill="E8F5EA"/>
          </w:tcPr>
          <w:p>
            <w:pPr>
              <w:jc w:val="right"/>
              <w:ind w:right="95"/>
              <w:spacing w:after="0" w:line="146" w:lineRule="exact"/>
              <w:rPr>
                <w:sz w:val="20"/>
                <w:szCs w:val="20"/>
                <w:color w:val="auto"/>
              </w:rPr>
            </w:pPr>
            <w:r>
              <w:rPr>
                <w:rFonts w:ascii="Arial" w:cs="Arial" w:eastAsia="Arial" w:hAnsi="Arial"/>
                <w:sz w:val="13"/>
                <w:szCs w:val="13"/>
                <w:color w:val="auto"/>
              </w:rPr>
              <w:t>13,953</w:t>
            </w:r>
          </w:p>
        </w:tc>
        <w:tc>
          <w:tcPr>
            <w:tcW w:w="56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48.62</w:t>
            </w:r>
          </w:p>
        </w:tc>
        <w:tc>
          <w:tcPr>
            <w:tcW w:w="78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3/31/2025</w:t>
            </w:r>
          </w:p>
        </w:tc>
        <w:tc>
          <w:tcPr>
            <w:tcW w:w="760" w:type="dxa"/>
            <w:vAlign w:val="bottom"/>
            <w:shd w:val="clear" w:color="auto" w:fill="E8F5EA"/>
          </w:tcPr>
          <w:p>
            <w:pPr>
              <w:jc w:val="right"/>
              <w:ind w:right="55"/>
              <w:spacing w:after="0" w:line="146" w:lineRule="exact"/>
              <w:rPr>
                <w:sz w:val="20"/>
                <w:szCs w:val="20"/>
                <w:color w:val="auto"/>
              </w:rPr>
            </w:pPr>
            <w:r>
              <w:rPr>
                <w:rFonts w:ascii="Arial" w:cs="Arial" w:eastAsia="Arial" w:hAnsi="Arial"/>
                <w:sz w:val="13"/>
                <w:szCs w:val="13"/>
                <w:color w:val="auto"/>
              </w:rPr>
              <w:t>8/28/2018</w:t>
            </w:r>
          </w:p>
        </w:tc>
        <w:tc>
          <w:tcPr>
            <w:tcW w:w="580" w:type="dxa"/>
            <w:vAlign w:val="bottom"/>
            <w:shd w:val="clear" w:color="auto" w:fill="E8F5EA"/>
          </w:tcPr>
          <w:p>
            <w:pPr>
              <w:jc w:val="right"/>
              <w:ind w:right="15"/>
              <w:spacing w:after="0" w:line="146" w:lineRule="exact"/>
              <w:rPr>
                <w:sz w:val="20"/>
                <w:szCs w:val="20"/>
                <w:color w:val="auto"/>
              </w:rPr>
            </w:pPr>
            <w:r>
              <w:rPr>
                <w:rFonts w:ascii="Arial" w:cs="Arial" w:eastAsia="Arial" w:hAnsi="Arial"/>
                <w:sz w:val="13"/>
                <w:szCs w:val="13"/>
                <w:color w:val="auto"/>
              </w:rPr>
              <w:t>2,700</w:t>
            </w:r>
          </w:p>
        </w:tc>
        <w:tc>
          <w:tcPr>
            <w:tcW w:w="700" w:type="dxa"/>
            <w:vAlign w:val="bottom"/>
            <w:shd w:val="clear" w:color="auto" w:fill="E8F5EA"/>
          </w:tcPr>
          <w:p>
            <w:pPr>
              <w:jc w:val="right"/>
              <w:ind w:right="115"/>
              <w:spacing w:after="0" w:line="146" w:lineRule="exact"/>
              <w:rPr>
                <w:sz w:val="20"/>
                <w:szCs w:val="20"/>
                <w:color w:val="auto"/>
              </w:rPr>
            </w:pPr>
            <w:r>
              <w:rPr>
                <w:rFonts w:ascii="Arial" w:cs="Arial" w:eastAsia="Arial" w:hAnsi="Arial"/>
                <w:sz w:val="13"/>
                <w:szCs w:val="13"/>
                <w:color w:val="auto"/>
              </w:rPr>
              <w:t>70,308</w:t>
            </w:r>
          </w:p>
        </w:tc>
        <w:tc>
          <w:tcPr>
            <w:tcW w:w="680" w:type="dxa"/>
            <w:vAlign w:val="bottom"/>
            <w:shd w:val="clear" w:color="auto" w:fill="E8F5EA"/>
          </w:tcPr>
          <w:p>
            <w:pPr>
              <w:jc w:val="right"/>
              <w:ind w:right="55"/>
              <w:spacing w:after="0" w:line="146" w:lineRule="exact"/>
              <w:rPr>
                <w:sz w:val="20"/>
                <w:szCs w:val="20"/>
                <w:color w:val="auto"/>
              </w:rPr>
            </w:pPr>
            <w:r>
              <w:rPr>
                <w:rFonts w:ascii="Arial" w:cs="Arial" w:eastAsia="Arial" w:hAnsi="Arial"/>
                <w:sz w:val="13"/>
                <w:szCs w:val="13"/>
                <w:color w:val="auto"/>
              </w:rPr>
              <w:t>10,797</w:t>
            </w:r>
          </w:p>
        </w:tc>
        <w:tc>
          <w:tcPr>
            <w:tcW w:w="600" w:type="dxa"/>
            <w:vAlign w:val="bottom"/>
            <w:shd w:val="clear" w:color="auto" w:fill="E8F5EA"/>
          </w:tcPr>
          <w:p>
            <w:pPr>
              <w:jc w:val="right"/>
              <w:spacing w:after="0" w:line="146" w:lineRule="exact"/>
              <w:rPr>
                <w:sz w:val="20"/>
                <w:szCs w:val="20"/>
                <w:color w:val="auto"/>
              </w:rPr>
            </w:pPr>
            <w:r>
              <w:rPr>
                <w:rFonts w:ascii="Arial" w:cs="Arial" w:eastAsia="Arial" w:hAnsi="Arial"/>
                <w:sz w:val="13"/>
                <w:szCs w:val="13"/>
                <w:color w:val="auto"/>
              </w:rPr>
              <w:t>281,154</w:t>
            </w:r>
          </w:p>
        </w:tc>
      </w:tr>
      <w:tr>
        <w:trPr>
          <w:trHeight w:val="162"/>
        </w:trPr>
        <w:tc>
          <w:tcPr>
            <w:tcW w:w="800" w:type="dxa"/>
            <w:vAlign w:val="bottom"/>
            <w:tcBorders>
              <w:bottom w:val="single" w:sz="8" w:color="53C072"/>
            </w:tcBorders>
            <w:shd w:val="clear" w:color="auto" w:fill="E8F5EA"/>
          </w:tcPr>
          <w:p>
            <w:pPr>
              <w:spacing w:after="0"/>
              <w:rPr>
                <w:sz w:val="14"/>
                <w:szCs w:val="14"/>
                <w:color w:val="auto"/>
              </w:rPr>
            </w:pPr>
          </w:p>
        </w:tc>
        <w:tc>
          <w:tcPr>
            <w:tcW w:w="840" w:type="dxa"/>
            <w:vAlign w:val="bottom"/>
            <w:tcBorders>
              <w:bottom w:val="single" w:sz="8" w:color="53C072"/>
            </w:tcBorders>
            <w:shd w:val="clear" w:color="auto" w:fill="E8F5EA"/>
          </w:tcPr>
          <w:p>
            <w:pPr>
              <w:jc w:val="right"/>
              <w:spacing w:after="0" w:line="146" w:lineRule="exact"/>
              <w:rPr>
                <w:sz w:val="20"/>
                <w:szCs w:val="20"/>
                <w:color w:val="auto"/>
              </w:rPr>
            </w:pPr>
            <w:r>
              <w:rPr>
                <w:rFonts w:ascii="Arial" w:cs="Arial" w:eastAsia="Arial" w:hAnsi="Arial"/>
                <w:sz w:val="13"/>
                <w:szCs w:val="13"/>
                <w:color w:val="auto"/>
              </w:rPr>
              <w:t>8/14/2019</w:t>
            </w:r>
          </w:p>
        </w:tc>
        <w:tc>
          <w:tcPr>
            <w:tcW w:w="1140" w:type="dxa"/>
            <w:vAlign w:val="bottom"/>
            <w:tcBorders>
              <w:bottom w:val="single" w:sz="8" w:color="53C072"/>
            </w:tcBorders>
            <w:shd w:val="clear" w:color="auto" w:fill="E8F5EA"/>
          </w:tcPr>
          <w:p>
            <w:pPr>
              <w:jc w:val="right"/>
              <w:ind w:right="235"/>
              <w:spacing w:after="0" w:line="146"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53C072"/>
            </w:tcBorders>
            <w:shd w:val="clear" w:color="auto" w:fill="E8F5EA"/>
          </w:tcPr>
          <w:p>
            <w:pPr>
              <w:jc w:val="right"/>
              <w:ind w:right="95"/>
              <w:spacing w:after="0" w:line="146" w:lineRule="exact"/>
              <w:rPr>
                <w:sz w:val="20"/>
                <w:szCs w:val="20"/>
                <w:color w:val="auto"/>
              </w:rPr>
            </w:pPr>
            <w:r>
              <w:rPr>
                <w:rFonts w:ascii="Arial" w:cs="Arial" w:eastAsia="Arial" w:hAnsi="Arial"/>
                <w:sz w:val="13"/>
                <w:szCs w:val="13"/>
                <w:color w:val="auto"/>
              </w:rPr>
              <w:t>24,812</w:t>
            </w:r>
          </w:p>
        </w:tc>
        <w:tc>
          <w:tcPr>
            <w:tcW w:w="560" w:type="dxa"/>
            <w:vAlign w:val="bottom"/>
            <w:tcBorders>
              <w:bottom w:val="single" w:sz="8" w:color="53C072"/>
            </w:tcBorders>
            <w:shd w:val="clear" w:color="auto" w:fill="E8F5EA"/>
          </w:tcPr>
          <w:p>
            <w:pPr>
              <w:jc w:val="right"/>
              <w:spacing w:after="0" w:line="146" w:lineRule="exact"/>
              <w:rPr>
                <w:sz w:val="20"/>
                <w:szCs w:val="20"/>
                <w:color w:val="auto"/>
              </w:rPr>
            </w:pPr>
            <w:r>
              <w:rPr>
                <w:rFonts w:ascii="Arial" w:cs="Arial" w:eastAsia="Arial" w:hAnsi="Arial"/>
                <w:sz w:val="13"/>
                <w:szCs w:val="13"/>
                <w:color w:val="auto"/>
              </w:rPr>
              <w:t>39.72</w:t>
            </w:r>
          </w:p>
        </w:tc>
        <w:tc>
          <w:tcPr>
            <w:tcW w:w="780" w:type="dxa"/>
            <w:vAlign w:val="bottom"/>
            <w:tcBorders>
              <w:bottom w:val="single" w:sz="8" w:color="53C072"/>
            </w:tcBorders>
            <w:shd w:val="clear" w:color="auto" w:fill="E8F5EA"/>
          </w:tcPr>
          <w:p>
            <w:pPr>
              <w:jc w:val="right"/>
              <w:spacing w:after="0" w:line="146" w:lineRule="exact"/>
              <w:rPr>
                <w:sz w:val="20"/>
                <w:szCs w:val="20"/>
                <w:color w:val="auto"/>
              </w:rPr>
            </w:pPr>
            <w:r>
              <w:rPr>
                <w:rFonts w:ascii="Arial" w:cs="Arial" w:eastAsia="Arial" w:hAnsi="Arial"/>
                <w:sz w:val="13"/>
                <w:szCs w:val="13"/>
                <w:color w:val="auto"/>
              </w:rPr>
              <w:t>3/31/2025</w:t>
            </w:r>
          </w:p>
        </w:tc>
        <w:tc>
          <w:tcPr>
            <w:tcW w:w="760" w:type="dxa"/>
            <w:vAlign w:val="bottom"/>
            <w:tcBorders>
              <w:bottom w:val="single" w:sz="8" w:color="53C072"/>
            </w:tcBorders>
            <w:shd w:val="clear" w:color="auto" w:fill="E8F5EA"/>
          </w:tcPr>
          <w:p>
            <w:pPr>
              <w:jc w:val="right"/>
              <w:ind w:right="55"/>
              <w:spacing w:after="0" w:line="146" w:lineRule="exact"/>
              <w:rPr>
                <w:sz w:val="20"/>
                <w:szCs w:val="20"/>
                <w:color w:val="auto"/>
              </w:rPr>
            </w:pPr>
            <w:r>
              <w:rPr>
                <w:rFonts w:ascii="Arial" w:cs="Arial" w:eastAsia="Arial" w:hAnsi="Arial"/>
                <w:sz w:val="13"/>
                <w:szCs w:val="13"/>
                <w:color w:val="auto"/>
              </w:rPr>
              <w:t>8/14/2019</w:t>
            </w:r>
          </w:p>
        </w:tc>
        <w:tc>
          <w:tcPr>
            <w:tcW w:w="580" w:type="dxa"/>
            <w:vAlign w:val="bottom"/>
            <w:tcBorders>
              <w:bottom w:val="single" w:sz="8" w:color="53C072"/>
            </w:tcBorders>
            <w:shd w:val="clear" w:color="auto" w:fill="E8F5EA"/>
          </w:tcPr>
          <w:p>
            <w:pPr>
              <w:jc w:val="right"/>
              <w:ind w:right="15"/>
              <w:spacing w:after="0" w:line="146" w:lineRule="exact"/>
              <w:rPr>
                <w:sz w:val="20"/>
                <w:szCs w:val="20"/>
                <w:color w:val="auto"/>
              </w:rPr>
            </w:pPr>
            <w:r>
              <w:rPr>
                <w:rFonts w:ascii="Arial" w:cs="Arial" w:eastAsia="Arial" w:hAnsi="Arial"/>
                <w:sz w:val="13"/>
                <w:szCs w:val="13"/>
                <w:color w:val="auto"/>
              </w:rPr>
              <w:t>4,956</w:t>
            </w:r>
          </w:p>
        </w:tc>
        <w:tc>
          <w:tcPr>
            <w:tcW w:w="700" w:type="dxa"/>
            <w:vAlign w:val="bottom"/>
            <w:tcBorders>
              <w:bottom w:val="single" w:sz="8" w:color="53C072"/>
            </w:tcBorders>
            <w:shd w:val="clear" w:color="auto" w:fill="E8F5EA"/>
          </w:tcPr>
          <w:p>
            <w:pPr>
              <w:jc w:val="right"/>
              <w:ind w:right="115"/>
              <w:spacing w:after="0" w:line="146" w:lineRule="exact"/>
              <w:rPr>
                <w:sz w:val="20"/>
                <w:szCs w:val="20"/>
                <w:color w:val="auto"/>
              </w:rPr>
            </w:pPr>
            <w:r>
              <w:rPr>
                <w:rFonts w:ascii="Arial" w:cs="Arial" w:eastAsia="Arial" w:hAnsi="Arial"/>
                <w:sz w:val="13"/>
                <w:szCs w:val="13"/>
                <w:color w:val="auto"/>
              </w:rPr>
              <w:t>129,054</w:t>
            </w:r>
          </w:p>
        </w:tc>
        <w:tc>
          <w:tcPr>
            <w:tcW w:w="680" w:type="dxa"/>
            <w:vAlign w:val="bottom"/>
            <w:tcBorders>
              <w:bottom w:val="single" w:sz="8" w:color="53C072"/>
            </w:tcBorders>
            <w:shd w:val="clear" w:color="auto" w:fill="E8F5EA"/>
          </w:tcPr>
          <w:p>
            <w:pPr>
              <w:jc w:val="right"/>
              <w:ind w:right="55"/>
              <w:spacing w:after="0" w:line="146" w:lineRule="exact"/>
              <w:rPr>
                <w:sz w:val="20"/>
                <w:szCs w:val="20"/>
                <w:color w:val="auto"/>
              </w:rPr>
            </w:pPr>
            <w:r>
              <w:rPr>
                <w:rFonts w:ascii="Arial" w:cs="Arial" w:eastAsia="Arial" w:hAnsi="Arial"/>
                <w:sz w:val="13"/>
                <w:szCs w:val="13"/>
                <w:color w:val="auto"/>
              </w:rPr>
              <w:t>13,218</w:t>
            </w:r>
          </w:p>
        </w:tc>
        <w:tc>
          <w:tcPr>
            <w:tcW w:w="600" w:type="dxa"/>
            <w:vAlign w:val="bottom"/>
            <w:tcBorders>
              <w:bottom w:val="single" w:sz="8" w:color="53C072"/>
            </w:tcBorders>
            <w:shd w:val="clear" w:color="auto" w:fill="E8F5EA"/>
          </w:tcPr>
          <w:p>
            <w:pPr>
              <w:jc w:val="right"/>
              <w:spacing w:after="0" w:line="146" w:lineRule="exact"/>
              <w:rPr>
                <w:sz w:val="20"/>
                <w:szCs w:val="20"/>
                <w:color w:val="auto"/>
              </w:rPr>
            </w:pPr>
            <w:r>
              <w:rPr>
                <w:rFonts w:ascii="Arial" w:cs="Arial" w:eastAsia="Arial" w:hAnsi="Arial"/>
                <w:sz w:val="13"/>
                <w:szCs w:val="13"/>
                <w:color w:val="auto"/>
              </w:rPr>
              <w:t>344,197</w:t>
            </w:r>
          </w:p>
        </w:tc>
      </w:tr>
    </w:tbl>
    <w:p>
      <w:pPr>
        <w:spacing w:after="0" w:line="148" w:lineRule="exact"/>
        <w:rPr>
          <w:sz w:val="20"/>
          <w:szCs w:val="20"/>
          <w:color w:val="auto"/>
        </w:rPr>
      </w:pPr>
    </w:p>
    <w:p>
      <w:pPr>
        <w:jc w:val="both"/>
        <w:ind w:left="10720"/>
        <w:spacing w:after="0"/>
        <w:tabs>
          <w:tab w:leader="none" w:pos="11060" w:val="left"/>
        </w:tabs>
        <w:rPr>
          <w:sz w:val="20"/>
          <w:szCs w:val="20"/>
          <w:color w:val="auto"/>
        </w:rPr>
      </w:pPr>
      <w:r>
        <w:rPr>
          <w:rFonts w:ascii="Arial" w:cs="Arial" w:eastAsia="Arial" w:hAnsi="Arial"/>
          <w:sz w:val="23"/>
          <w:szCs w:val="23"/>
          <w:b w:val="1"/>
          <w:bCs w:val="1"/>
          <w:color w:val="53C072"/>
        </w:rPr>
        <w:t>|</w:t>
      </w:r>
      <w:r>
        <w:rPr>
          <w:sz w:val="20"/>
          <w:szCs w:val="20"/>
          <w:color w:val="auto"/>
        </w:rPr>
        <w:tab/>
      </w: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7151370" cy="203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-130175</wp:posOffset>
            </wp:positionV>
            <wp:extent cx="1664970" cy="1231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type w:val="continuous"/>
        </w:sectPr>
      </w:pPr>
    </w:p>
    <w:bookmarkStart w:id="64" w:name="page65"/>
    <w:bookmarkEnd w:id="64"/>
    <w:tbl>
      <w:tblPr>
        <w:tblLayout w:type="fixed"/>
        <w:tblInd w:w="3" w:type="dxa"/>
        <w:tblCellMar>
          <w:top w:w="0" w:type="dxa"/>
          <w:left w:w="0" w:type="dxa"/>
          <w:bottom w:w="0" w:type="dxa"/>
          <w:right w:w="0" w:type="dxa"/>
        </w:tblCellMar>
      </w:tblPr>
      <w:tr>
        <w:trPr>
          <w:trHeight w:val="213"/>
        </w:trPr>
        <w:tc>
          <w:tcPr>
            <w:tcW w:w="522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6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22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6040" w:type="dxa"/>
            <w:vAlign w:val="bottom"/>
            <w:vMerge w:val="restart"/>
          </w:tcPr>
          <w:p>
            <w:pPr>
              <w:ind w:left="3980"/>
              <w:spacing w:after="0"/>
              <w:rPr>
                <w:sz w:val="20"/>
                <w:szCs w:val="20"/>
                <w:color w:val="auto"/>
              </w:rPr>
            </w:pPr>
            <w:r>
              <w:rPr>
                <w:rFonts w:ascii="Arial" w:cs="Arial" w:eastAsia="Arial" w:hAnsi="Arial"/>
                <w:sz w:val="13"/>
                <w:szCs w:val="13"/>
                <w:color w:val="auto"/>
                <w:w w:val="98"/>
              </w:rPr>
              <w:t>Compensation of Executive Officers</w:t>
            </w:r>
          </w:p>
        </w:tc>
        <w:tc>
          <w:tcPr>
            <w:tcW w:w="0" w:type="dxa"/>
            <w:vAlign w:val="bottom"/>
          </w:tcPr>
          <w:p>
            <w:pPr>
              <w:spacing w:after="0"/>
              <w:rPr>
                <w:sz w:val="1"/>
                <w:szCs w:val="1"/>
                <w:color w:val="auto"/>
              </w:rPr>
            </w:pPr>
          </w:p>
        </w:tc>
      </w:tr>
      <w:tr>
        <w:trPr>
          <w:trHeight w:val="102"/>
        </w:trPr>
        <w:tc>
          <w:tcPr>
            <w:tcW w:w="522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6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220" w:type="dxa"/>
            <w:vAlign w:val="bottom"/>
            <w:vMerge w:val="continue"/>
          </w:tcPr>
          <w:p>
            <w:pPr>
              <w:spacing w:after="0"/>
              <w:rPr>
                <w:sz w:val="7"/>
                <w:szCs w:val="7"/>
                <w:color w:val="auto"/>
              </w:rPr>
            </w:pPr>
          </w:p>
        </w:tc>
        <w:tc>
          <w:tcPr>
            <w:tcW w:w="6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483"/>
        <w:spacing w:after="0"/>
        <w:rPr>
          <w:sz w:val="20"/>
          <w:szCs w:val="20"/>
          <w:color w:val="auto"/>
        </w:rPr>
      </w:pPr>
      <w:r>
        <w:rPr>
          <w:rFonts w:ascii="Arial" w:cs="Arial" w:eastAsia="Arial" w:hAnsi="Arial"/>
          <w:sz w:val="16"/>
          <w:szCs w:val="16"/>
          <w:b w:val="1"/>
          <w:bCs w:val="1"/>
          <w:color w:val="auto"/>
        </w:rPr>
        <w:t>Vesting schedules:</w:t>
      </w:r>
    </w:p>
    <w:p>
      <w:pPr>
        <w:spacing w:after="0" w:line="194" w:lineRule="exact"/>
        <w:rPr>
          <w:sz w:val="20"/>
          <w:szCs w:val="20"/>
          <w:color w:val="auto"/>
        </w:rPr>
      </w:pPr>
    </w:p>
    <w:p>
      <w:pPr>
        <w:ind w:left="483" w:right="220" w:hanging="483"/>
        <w:spacing w:after="0" w:line="256" w:lineRule="auto"/>
        <w:tabs>
          <w:tab w:leader="none" w:pos="483" w:val="left"/>
        </w:tabs>
        <w:numPr>
          <w:ilvl w:val="0"/>
          <w:numId w:val="62"/>
        </w:numPr>
        <w:rPr>
          <w:rFonts w:ascii="Arial" w:cs="Arial" w:eastAsia="Arial" w:hAnsi="Arial"/>
          <w:sz w:val="16"/>
          <w:szCs w:val="16"/>
          <w:color w:val="53C072"/>
        </w:rPr>
      </w:pPr>
      <w:r>
        <w:rPr>
          <w:rFonts w:ascii="Arial" w:cs="Arial" w:eastAsia="Arial" w:hAnsi="Arial"/>
          <w:sz w:val="16"/>
          <w:szCs w:val="16"/>
          <w:color w:val="auto"/>
        </w:rPr>
        <w:t>Stock options vest in 25% annual increments on the first through fourth anniversaries of the grant date. Stock options typically expire the day before the tenth anniversary of the grant date. The stock option dated July 11, 2016 for Mr. Amelio vested 100% after 6 months. The stock options for Mr. O'Neill expire on the fifth anniversary of his termination date of March 31, 2020.</w:t>
      </w:r>
    </w:p>
    <w:p>
      <w:pPr>
        <w:spacing w:after="0" w:line="155" w:lineRule="exact"/>
        <w:rPr>
          <w:rFonts w:ascii="Arial" w:cs="Arial" w:eastAsia="Arial" w:hAnsi="Arial"/>
          <w:sz w:val="16"/>
          <w:szCs w:val="16"/>
          <w:color w:val="53C072"/>
        </w:rPr>
      </w:pPr>
    </w:p>
    <w:p>
      <w:pPr>
        <w:ind w:left="483" w:right="180" w:hanging="483"/>
        <w:spacing w:after="0" w:line="206" w:lineRule="auto"/>
        <w:tabs>
          <w:tab w:leader="none" w:pos="483" w:val="left"/>
        </w:tabs>
        <w:numPr>
          <w:ilvl w:val="0"/>
          <w:numId w:val="62"/>
        </w:numPr>
        <w:rPr>
          <w:rFonts w:ascii="Arial" w:cs="Arial" w:eastAsia="Arial" w:hAnsi="Arial"/>
          <w:sz w:val="32"/>
          <w:szCs w:val="32"/>
          <w:color w:val="53C072"/>
          <w:vertAlign w:val="superscript"/>
        </w:rPr>
      </w:pPr>
      <w:r>
        <w:rPr>
          <w:rFonts w:ascii="Arial" w:cs="Arial" w:eastAsia="Arial" w:hAnsi="Arial"/>
          <w:sz w:val="16"/>
          <w:szCs w:val="16"/>
          <w:color w:val="auto"/>
        </w:rPr>
        <w:t>RSUs vest in 25% increments commencing on the first business day in January following the grant date ("commencement date") and on the 1</w:t>
      </w:r>
      <w:r>
        <w:rPr>
          <w:rFonts w:ascii="Arial" w:cs="Arial" w:eastAsia="Arial" w:hAnsi="Arial"/>
          <w:sz w:val="26"/>
          <w:szCs w:val="26"/>
          <w:color w:val="auto"/>
          <w:vertAlign w:val="superscript"/>
        </w:rPr>
        <w:t>st</w:t>
      </w:r>
      <w:r>
        <w:rPr>
          <w:rFonts w:ascii="Arial" w:cs="Arial" w:eastAsia="Arial" w:hAnsi="Arial"/>
          <w:sz w:val="16"/>
          <w:szCs w:val="16"/>
          <w:color w:val="auto"/>
        </w:rPr>
        <w:t>,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and 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annual anniversary of the commencement date.</w:t>
      </w:r>
    </w:p>
    <w:p>
      <w:pPr>
        <w:spacing w:after="0" w:line="43" w:lineRule="exact"/>
        <w:rPr>
          <w:rFonts w:ascii="Arial" w:cs="Arial" w:eastAsia="Arial" w:hAnsi="Arial"/>
          <w:sz w:val="32"/>
          <w:szCs w:val="32"/>
          <w:color w:val="53C072"/>
          <w:vertAlign w:val="superscript"/>
        </w:rPr>
      </w:pPr>
    </w:p>
    <w:p>
      <w:pPr>
        <w:ind w:left="483" w:right="820" w:hanging="483"/>
        <w:spacing w:after="0" w:line="275" w:lineRule="auto"/>
        <w:tabs>
          <w:tab w:leader="none" w:pos="483" w:val="left"/>
        </w:tabs>
        <w:numPr>
          <w:ilvl w:val="0"/>
          <w:numId w:val="62"/>
        </w:numPr>
        <w:rPr>
          <w:rFonts w:ascii="Arial" w:cs="Arial" w:eastAsia="Arial" w:hAnsi="Arial"/>
          <w:sz w:val="16"/>
          <w:szCs w:val="16"/>
          <w:color w:val="53C072"/>
        </w:rPr>
      </w:pPr>
      <w:r>
        <w:rPr>
          <w:rFonts w:ascii="Arial" w:cs="Arial" w:eastAsia="Arial" w:hAnsi="Arial"/>
          <w:sz w:val="16"/>
          <w:szCs w:val="16"/>
          <w:color w:val="auto"/>
        </w:rPr>
        <w:t>PSUs vest, if at all, depending on whether vesting conditions are met, on the last day of the fiscal year coincident with the end of the three-year performance period.</w:t>
      </w:r>
    </w:p>
    <w:p>
      <w:pPr>
        <w:spacing w:after="0" w:line="124" w:lineRule="exact"/>
        <w:rPr>
          <w:rFonts w:ascii="Arial" w:cs="Arial" w:eastAsia="Arial" w:hAnsi="Arial"/>
          <w:sz w:val="16"/>
          <w:szCs w:val="16"/>
          <w:color w:val="53C072"/>
        </w:rPr>
      </w:pPr>
    </w:p>
    <w:p>
      <w:pPr>
        <w:ind w:left="483" w:hanging="483"/>
        <w:spacing w:after="0"/>
        <w:tabs>
          <w:tab w:leader="none" w:pos="483" w:val="left"/>
        </w:tabs>
        <w:numPr>
          <w:ilvl w:val="0"/>
          <w:numId w:val="62"/>
        </w:numPr>
        <w:rPr>
          <w:rFonts w:ascii="Arial" w:cs="Arial" w:eastAsia="Arial" w:hAnsi="Arial"/>
          <w:sz w:val="16"/>
          <w:szCs w:val="16"/>
          <w:color w:val="53C072"/>
        </w:rPr>
      </w:pPr>
      <w:r>
        <w:rPr>
          <w:rFonts w:ascii="Arial" w:cs="Arial" w:eastAsia="Arial" w:hAnsi="Arial"/>
          <w:sz w:val="16"/>
          <w:szCs w:val="16"/>
          <w:color w:val="auto"/>
        </w:rPr>
        <w:t>The outstanding equity awards for Mr. Amelio have been cancelled as of July 31, 2020, when he ceased to be the Chief Executive Officer.</w:t>
      </w:r>
    </w:p>
    <w:p>
      <w:pPr>
        <w:spacing w:after="0" w:line="192" w:lineRule="exact"/>
        <w:rPr>
          <w:rFonts w:ascii="Arial" w:cs="Arial" w:eastAsia="Arial" w:hAnsi="Arial"/>
          <w:sz w:val="16"/>
          <w:szCs w:val="16"/>
          <w:color w:val="53C072"/>
        </w:rPr>
      </w:pPr>
    </w:p>
    <w:p>
      <w:pPr>
        <w:ind w:left="483" w:hanging="483"/>
        <w:spacing w:after="0"/>
        <w:tabs>
          <w:tab w:leader="none" w:pos="483" w:val="left"/>
        </w:tabs>
        <w:numPr>
          <w:ilvl w:val="0"/>
          <w:numId w:val="62"/>
        </w:numPr>
        <w:rPr>
          <w:rFonts w:ascii="Arial" w:cs="Arial" w:eastAsia="Arial" w:hAnsi="Arial"/>
          <w:sz w:val="16"/>
          <w:szCs w:val="16"/>
          <w:color w:val="53C072"/>
        </w:rPr>
      </w:pPr>
      <w:r>
        <w:rPr>
          <w:rFonts w:ascii="Arial" w:cs="Arial" w:eastAsia="Arial" w:hAnsi="Arial"/>
          <w:sz w:val="16"/>
          <w:szCs w:val="16"/>
          <w:color w:val="auto"/>
        </w:rPr>
        <w:t>The outstanding equity awards for Mr. Bartolotta have been cancelled as of October 1, 2020, when he ceased to be an officer of the Company.</w:t>
      </w:r>
    </w:p>
    <w:p>
      <w:pPr>
        <w:spacing w:after="0" w:line="178"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53C072"/>
        </w:rPr>
        <w:t>OPTION EXERCISES AND STOCK VESTED</w:t>
      </w:r>
    </w:p>
    <w:p>
      <w:pPr>
        <w:spacing w:after="0" w:line="209" w:lineRule="exact"/>
        <w:rPr>
          <w:sz w:val="20"/>
          <w:szCs w:val="20"/>
          <w:color w:val="auto"/>
        </w:rPr>
      </w:pPr>
    </w:p>
    <w:p>
      <w:pPr>
        <w:ind w:left="3" w:right="120"/>
        <w:spacing w:after="0" w:line="256" w:lineRule="auto"/>
        <w:rPr>
          <w:sz w:val="20"/>
          <w:szCs w:val="20"/>
          <w:color w:val="auto"/>
        </w:rPr>
      </w:pPr>
      <w:r>
        <w:rPr>
          <w:rFonts w:ascii="Arial" w:cs="Arial" w:eastAsia="Arial" w:hAnsi="Arial"/>
          <w:sz w:val="16"/>
          <w:szCs w:val="16"/>
          <w:color w:val="auto"/>
        </w:rPr>
        <w:t>The following table provides information as to each of the NEOs: (1) stock option exercises during fiscal 2020, including the number of shares acquired upon exercise and the value realized, and (2) the number of shares acquired upon the vesting of stock awards in the form of RSUs and PSUs, and the value realized, each before payment of any applicable withholding tax.</w:t>
      </w:r>
    </w:p>
    <w:p>
      <w:pPr>
        <w:spacing w:after="0" w:line="165" w:lineRule="exact"/>
        <w:rPr>
          <w:sz w:val="20"/>
          <w:szCs w:val="20"/>
          <w:color w:val="auto"/>
        </w:rPr>
      </w:pPr>
    </w:p>
    <w:tbl>
      <w:tblPr>
        <w:tblLayout w:type="fixed"/>
        <w:tblInd w:w="1343" w:type="dxa"/>
        <w:tblCellMar>
          <w:top w:w="0" w:type="dxa"/>
          <w:left w:w="0" w:type="dxa"/>
          <w:bottom w:w="0" w:type="dxa"/>
          <w:right w:w="0" w:type="dxa"/>
        </w:tblCellMar>
      </w:tblPr>
      <w:tr>
        <w:trPr>
          <w:trHeight w:val="149"/>
        </w:trPr>
        <w:tc>
          <w:tcPr>
            <w:tcW w:w="4340" w:type="dxa"/>
            <w:vAlign w:val="bottom"/>
            <w:shd w:val="clear" w:color="auto" w:fill="53C072"/>
          </w:tcPr>
          <w:p>
            <w:pPr>
              <w:spacing w:after="0"/>
              <w:rPr>
                <w:sz w:val="13"/>
                <w:szCs w:val="13"/>
                <w:color w:val="auto"/>
              </w:rPr>
            </w:pPr>
          </w:p>
        </w:tc>
        <w:tc>
          <w:tcPr>
            <w:tcW w:w="140" w:type="dxa"/>
            <w:vAlign w:val="bottom"/>
            <w:shd w:val="clear" w:color="auto" w:fill="53C072"/>
          </w:tcPr>
          <w:p>
            <w:pPr>
              <w:spacing w:after="0"/>
              <w:rPr>
                <w:sz w:val="13"/>
                <w:szCs w:val="13"/>
                <w:color w:val="auto"/>
              </w:rPr>
            </w:pPr>
          </w:p>
        </w:tc>
        <w:tc>
          <w:tcPr>
            <w:tcW w:w="900" w:type="dxa"/>
            <w:vAlign w:val="bottom"/>
            <w:shd w:val="clear" w:color="auto" w:fill="53C072"/>
          </w:tcPr>
          <w:p>
            <w:pPr>
              <w:spacing w:after="0"/>
              <w:rPr>
                <w:sz w:val="13"/>
                <w:szCs w:val="13"/>
                <w:color w:val="auto"/>
              </w:rPr>
            </w:pPr>
          </w:p>
        </w:tc>
        <w:tc>
          <w:tcPr>
            <w:tcW w:w="1080" w:type="dxa"/>
            <w:vAlign w:val="bottom"/>
            <w:gridSpan w:val="2"/>
            <w:shd w:val="clear" w:color="auto" w:fill="53C072"/>
          </w:tcPr>
          <w:p>
            <w:pPr>
              <w:jc w:val="right"/>
              <w:ind w:right="140"/>
              <w:spacing w:after="0"/>
              <w:rPr>
                <w:sz w:val="20"/>
                <w:szCs w:val="20"/>
                <w:color w:val="auto"/>
              </w:rPr>
            </w:pPr>
            <w:r>
              <w:rPr>
                <w:rFonts w:ascii="Arial" w:cs="Arial" w:eastAsia="Arial" w:hAnsi="Arial"/>
                <w:sz w:val="13"/>
                <w:szCs w:val="13"/>
                <w:b w:val="1"/>
                <w:bCs w:val="1"/>
                <w:color w:val="FFFFFE"/>
                <w:w w:val="99"/>
              </w:rPr>
              <w:t>Option Awards</w:t>
            </w:r>
          </w:p>
        </w:tc>
        <w:tc>
          <w:tcPr>
            <w:tcW w:w="920" w:type="dxa"/>
            <w:vAlign w:val="bottom"/>
            <w:shd w:val="clear" w:color="auto" w:fill="53C072"/>
          </w:tcPr>
          <w:p>
            <w:pPr>
              <w:spacing w:after="0"/>
              <w:rPr>
                <w:sz w:val="13"/>
                <w:szCs w:val="13"/>
                <w:color w:val="auto"/>
              </w:rPr>
            </w:pPr>
          </w:p>
        </w:tc>
        <w:tc>
          <w:tcPr>
            <w:tcW w:w="92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Stock Awards</w:t>
            </w:r>
          </w:p>
        </w:tc>
        <w:tc>
          <w:tcPr>
            <w:tcW w:w="0" w:type="dxa"/>
            <w:vAlign w:val="bottom"/>
          </w:tcPr>
          <w:p>
            <w:pPr>
              <w:spacing w:after="0"/>
              <w:rPr>
                <w:sz w:val="1"/>
                <w:szCs w:val="1"/>
                <w:color w:val="auto"/>
              </w:rPr>
            </w:pPr>
          </w:p>
        </w:tc>
      </w:tr>
      <w:tr>
        <w:trPr>
          <w:trHeight w:val="124"/>
        </w:trPr>
        <w:tc>
          <w:tcPr>
            <w:tcW w:w="4340" w:type="dxa"/>
            <w:vAlign w:val="bottom"/>
            <w:tcBorders>
              <w:top w:val="single" w:sz="8" w:color="53C072"/>
            </w:tcBorders>
            <w:shd w:val="clear" w:color="auto" w:fill="53C072"/>
          </w:tcPr>
          <w:p>
            <w:pPr>
              <w:spacing w:after="0"/>
              <w:rPr>
                <w:sz w:val="10"/>
                <w:szCs w:val="10"/>
                <w:color w:val="auto"/>
              </w:rPr>
            </w:pPr>
          </w:p>
        </w:tc>
        <w:tc>
          <w:tcPr>
            <w:tcW w:w="140" w:type="dxa"/>
            <w:vAlign w:val="bottom"/>
            <w:tcBorders>
              <w:top w:val="single" w:sz="8" w:color="53C072"/>
            </w:tcBorders>
            <w:shd w:val="clear" w:color="auto" w:fill="53C072"/>
          </w:tcPr>
          <w:p>
            <w:pPr>
              <w:spacing w:after="0"/>
              <w:rPr>
                <w:sz w:val="10"/>
                <w:szCs w:val="10"/>
                <w:color w:val="auto"/>
              </w:rPr>
            </w:pPr>
          </w:p>
        </w:tc>
        <w:tc>
          <w:tcPr>
            <w:tcW w:w="900" w:type="dxa"/>
            <w:vAlign w:val="bottom"/>
            <w:tcBorders>
              <w:top w:val="single" w:sz="8" w:color="auto"/>
            </w:tcBorders>
            <w:shd w:val="clear" w:color="auto" w:fill="53C072"/>
          </w:tcPr>
          <w:p>
            <w:pPr>
              <w:jc w:val="right"/>
              <w:spacing w:after="0" w:line="124" w:lineRule="exact"/>
              <w:rPr>
                <w:sz w:val="20"/>
                <w:szCs w:val="20"/>
                <w:color w:val="auto"/>
              </w:rPr>
            </w:pPr>
            <w:r>
              <w:rPr>
                <w:rFonts w:ascii="Arial" w:cs="Arial" w:eastAsia="Arial" w:hAnsi="Arial"/>
                <w:sz w:val="13"/>
                <w:szCs w:val="13"/>
                <w:b w:val="1"/>
                <w:bCs w:val="1"/>
                <w:color w:val="FFFFFE"/>
              </w:rPr>
              <w:t>Number of</w:t>
            </w:r>
          </w:p>
        </w:tc>
        <w:tc>
          <w:tcPr>
            <w:tcW w:w="940" w:type="dxa"/>
            <w:vAlign w:val="bottom"/>
            <w:tcBorders>
              <w:top w:val="single" w:sz="8" w:color="auto"/>
            </w:tcBorders>
            <w:vMerge w:val="restart"/>
            <w:shd w:val="clear" w:color="auto" w:fill="53C072"/>
          </w:tcPr>
          <w:p>
            <w:pPr>
              <w:jc w:val="right"/>
              <w:spacing w:after="0"/>
              <w:rPr>
                <w:sz w:val="20"/>
                <w:szCs w:val="20"/>
                <w:color w:val="auto"/>
              </w:rPr>
            </w:pPr>
            <w:r>
              <w:rPr>
                <w:rFonts w:ascii="Arial" w:cs="Arial" w:eastAsia="Arial" w:hAnsi="Arial"/>
                <w:sz w:val="13"/>
                <w:szCs w:val="13"/>
                <w:b w:val="1"/>
                <w:bCs w:val="1"/>
                <w:color w:val="FFFFFE"/>
              </w:rPr>
              <w:t>Value</w:t>
            </w:r>
          </w:p>
        </w:tc>
        <w:tc>
          <w:tcPr>
            <w:tcW w:w="140" w:type="dxa"/>
            <w:vAlign w:val="bottom"/>
            <w:tcBorders>
              <w:top w:val="single" w:sz="8" w:color="53C072"/>
            </w:tcBorders>
            <w:shd w:val="clear" w:color="auto" w:fill="53C072"/>
          </w:tcPr>
          <w:p>
            <w:pPr>
              <w:spacing w:after="0"/>
              <w:rPr>
                <w:sz w:val="10"/>
                <w:szCs w:val="10"/>
                <w:color w:val="auto"/>
              </w:rPr>
            </w:pPr>
          </w:p>
        </w:tc>
        <w:tc>
          <w:tcPr>
            <w:tcW w:w="920" w:type="dxa"/>
            <w:vAlign w:val="bottom"/>
            <w:tcBorders>
              <w:top w:val="single" w:sz="8" w:color="auto"/>
            </w:tcBorders>
            <w:shd w:val="clear" w:color="auto" w:fill="53C072"/>
          </w:tcPr>
          <w:p>
            <w:pPr>
              <w:jc w:val="right"/>
              <w:spacing w:after="0" w:line="124" w:lineRule="exact"/>
              <w:rPr>
                <w:sz w:val="20"/>
                <w:szCs w:val="20"/>
                <w:color w:val="auto"/>
              </w:rPr>
            </w:pPr>
            <w:r>
              <w:rPr>
                <w:rFonts w:ascii="Arial" w:cs="Arial" w:eastAsia="Arial" w:hAnsi="Arial"/>
                <w:sz w:val="13"/>
                <w:szCs w:val="13"/>
                <w:b w:val="1"/>
                <w:bCs w:val="1"/>
                <w:color w:val="FFFFFE"/>
              </w:rPr>
              <w:t>Number of</w:t>
            </w:r>
          </w:p>
        </w:tc>
        <w:tc>
          <w:tcPr>
            <w:tcW w:w="920" w:type="dxa"/>
            <w:vAlign w:val="bottom"/>
            <w:tcBorders>
              <w:top w:val="single" w:sz="8" w:color="auto"/>
            </w:tcBorders>
            <w:vMerge w:val="restart"/>
            <w:shd w:val="clear" w:color="auto" w:fill="53C072"/>
          </w:tcPr>
          <w:p>
            <w:pPr>
              <w:jc w:val="right"/>
              <w:spacing w:after="0"/>
              <w:rPr>
                <w:sz w:val="20"/>
                <w:szCs w:val="20"/>
                <w:color w:val="auto"/>
              </w:rPr>
            </w:pPr>
            <w:r>
              <w:rPr>
                <w:rFonts w:ascii="Arial" w:cs="Arial" w:eastAsia="Arial" w:hAnsi="Arial"/>
                <w:sz w:val="13"/>
                <w:szCs w:val="13"/>
                <w:b w:val="1"/>
                <w:bCs w:val="1"/>
                <w:color w:val="FFFFFE"/>
              </w:rPr>
              <w:t>Value</w:t>
            </w:r>
          </w:p>
        </w:tc>
        <w:tc>
          <w:tcPr>
            <w:tcW w:w="0" w:type="dxa"/>
            <w:vAlign w:val="bottom"/>
          </w:tcPr>
          <w:p>
            <w:pPr>
              <w:spacing w:after="0"/>
              <w:rPr>
                <w:sz w:val="1"/>
                <w:szCs w:val="1"/>
                <w:color w:val="auto"/>
              </w:rPr>
            </w:pPr>
          </w:p>
        </w:tc>
      </w:tr>
      <w:tr>
        <w:trPr>
          <w:trHeight w:val="146"/>
        </w:trPr>
        <w:tc>
          <w:tcPr>
            <w:tcW w:w="4340" w:type="dxa"/>
            <w:vAlign w:val="bottom"/>
            <w:shd w:val="clear" w:color="auto" w:fill="53C072"/>
          </w:tcPr>
          <w:p>
            <w:pPr>
              <w:spacing w:after="0"/>
              <w:rPr>
                <w:sz w:val="12"/>
                <w:szCs w:val="12"/>
                <w:color w:val="auto"/>
              </w:rPr>
            </w:pPr>
          </w:p>
        </w:tc>
        <w:tc>
          <w:tcPr>
            <w:tcW w:w="140" w:type="dxa"/>
            <w:vAlign w:val="bottom"/>
            <w:shd w:val="clear" w:color="auto" w:fill="53C072"/>
          </w:tcPr>
          <w:p>
            <w:pPr>
              <w:spacing w:after="0"/>
              <w:rPr>
                <w:sz w:val="12"/>
                <w:szCs w:val="12"/>
                <w:color w:val="auto"/>
              </w:rPr>
            </w:pPr>
          </w:p>
        </w:tc>
        <w:tc>
          <w:tcPr>
            <w:tcW w:w="90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Shares</w:t>
            </w:r>
          </w:p>
        </w:tc>
        <w:tc>
          <w:tcPr>
            <w:tcW w:w="940" w:type="dxa"/>
            <w:vAlign w:val="bottom"/>
            <w:vMerge w:val="continue"/>
            <w:shd w:val="clear" w:color="auto" w:fill="53C072"/>
          </w:tcPr>
          <w:p>
            <w:pPr>
              <w:spacing w:after="0"/>
              <w:rPr>
                <w:sz w:val="12"/>
                <w:szCs w:val="12"/>
                <w:color w:val="auto"/>
              </w:rPr>
            </w:pPr>
          </w:p>
        </w:tc>
        <w:tc>
          <w:tcPr>
            <w:tcW w:w="140" w:type="dxa"/>
            <w:vAlign w:val="bottom"/>
            <w:shd w:val="clear" w:color="auto" w:fill="53C072"/>
          </w:tcPr>
          <w:p>
            <w:pPr>
              <w:spacing w:after="0"/>
              <w:rPr>
                <w:sz w:val="12"/>
                <w:szCs w:val="12"/>
                <w:color w:val="auto"/>
              </w:rPr>
            </w:pPr>
          </w:p>
        </w:tc>
        <w:tc>
          <w:tcPr>
            <w:tcW w:w="92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Shares</w:t>
            </w:r>
          </w:p>
        </w:tc>
        <w:tc>
          <w:tcPr>
            <w:tcW w:w="920" w:type="dxa"/>
            <w:vAlign w:val="bottom"/>
            <w:vMerge w:val="continue"/>
            <w:shd w:val="clear" w:color="auto" w:fill="53C072"/>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40" w:type="dxa"/>
            <w:vAlign w:val="bottom"/>
            <w:shd w:val="clear" w:color="auto" w:fill="53C072"/>
          </w:tcPr>
          <w:p>
            <w:pPr>
              <w:spacing w:after="0"/>
              <w:rPr>
                <w:sz w:val="12"/>
                <w:szCs w:val="12"/>
                <w:color w:val="auto"/>
              </w:rPr>
            </w:pPr>
          </w:p>
        </w:tc>
        <w:tc>
          <w:tcPr>
            <w:tcW w:w="140" w:type="dxa"/>
            <w:vAlign w:val="bottom"/>
            <w:shd w:val="clear" w:color="auto" w:fill="53C072"/>
          </w:tcPr>
          <w:p>
            <w:pPr>
              <w:spacing w:after="0"/>
              <w:rPr>
                <w:sz w:val="12"/>
                <w:szCs w:val="12"/>
                <w:color w:val="auto"/>
              </w:rPr>
            </w:pPr>
          </w:p>
        </w:tc>
        <w:tc>
          <w:tcPr>
            <w:tcW w:w="90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Acquired on</w:t>
            </w:r>
          </w:p>
        </w:tc>
        <w:tc>
          <w:tcPr>
            <w:tcW w:w="94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Realized on</w:t>
            </w:r>
          </w:p>
        </w:tc>
        <w:tc>
          <w:tcPr>
            <w:tcW w:w="140" w:type="dxa"/>
            <w:vAlign w:val="bottom"/>
            <w:shd w:val="clear" w:color="auto" w:fill="53C072"/>
          </w:tcPr>
          <w:p>
            <w:pPr>
              <w:spacing w:after="0"/>
              <w:rPr>
                <w:sz w:val="12"/>
                <w:szCs w:val="12"/>
                <w:color w:val="auto"/>
              </w:rPr>
            </w:pPr>
          </w:p>
        </w:tc>
        <w:tc>
          <w:tcPr>
            <w:tcW w:w="92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Acquired on</w:t>
            </w:r>
          </w:p>
        </w:tc>
        <w:tc>
          <w:tcPr>
            <w:tcW w:w="92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Realized on</w:t>
            </w:r>
          </w:p>
        </w:tc>
        <w:tc>
          <w:tcPr>
            <w:tcW w:w="0" w:type="dxa"/>
            <w:vAlign w:val="bottom"/>
          </w:tcPr>
          <w:p>
            <w:pPr>
              <w:spacing w:after="0"/>
              <w:rPr>
                <w:sz w:val="1"/>
                <w:szCs w:val="1"/>
                <w:color w:val="auto"/>
              </w:rPr>
            </w:pPr>
          </w:p>
        </w:tc>
      </w:tr>
      <w:tr>
        <w:trPr>
          <w:trHeight w:val="146"/>
        </w:trPr>
        <w:tc>
          <w:tcPr>
            <w:tcW w:w="4340" w:type="dxa"/>
            <w:vAlign w:val="bottom"/>
            <w:vMerge w:val="restart"/>
            <w:shd w:val="clear" w:color="auto" w:fill="53C072"/>
          </w:tcPr>
          <w:p>
            <w:pPr>
              <w:spacing w:after="0"/>
              <w:rPr>
                <w:sz w:val="20"/>
                <w:szCs w:val="20"/>
                <w:color w:val="auto"/>
              </w:rPr>
            </w:pPr>
            <w:r>
              <w:rPr>
                <w:rFonts w:ascii="Arial" w:cs="Arial" w:eastAsia="Arial" w:hAnsi="Arial"/>
                <w:sz w:val="13"/>
                <w:szCs w:val="13"/>
                <w:b w:val="1"/>
                <w:bCs w:val="1"/>
                <w:color w:val="FFFFFE"/>
              </w:rPr>
              <w:t>Name</w:t>
            </w:r>
          </w:p>
        </w:tc>
        <w:tc>
          <w:tcPr>
            <w:tcW w:w="140" w:type="dxa"/>
            <w:vAlign w:val="bottom"/>
            <w:shd w:val="clear" w:color="auto" w:fill="53C072"/>
          </w:tcPr>
          <w:p>
            <w:pPr>
              <w:spacing w:after="0"/>
              <w:rPr>
                <w:sz w:val="12"/>
                <w:szCs w:val="12"/>
                <w:color w:val="auto"/>
              </w:rPr>
            </w:pPr>
          </w:p>
        </w:tc>
        <w:tc>
          <w:tcPr>
            <w:tcW w:w="90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Exercise</w:t>
            </w:r>
          </w:p>
        </w:tc>
        <w:tc>
          <w:tcPr>
            <w:tcW w:w="94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Exercise</w:t>
            </w:r>
          </w:p>
        </w:tc>
        <w:tc>
          <w:tcPr>
            <w:tcW w:w="140" w:type="dxa"/>
            <w:vAlign w:val="bottom"/>
            <w:shd w:val="clear" w:color="auto" w:fill="53C072"/>
          </w:tcPr>
          <w:p>
            <w:pPr>
              <w:spacing w:after="0"/>
              <w:rPr>
                <w:sz w:val="12"/>
                <w:szCs w:val="12"/>
                <w:color w:val="auto"/>
              </w:rPr>
            </w:pPr>
          </w:p>
        </w:tc>
        <w:tc>
          <w:tcPr>
            <w:tcW w:w="92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Vesting</w:t>
            </w:r>
          </w:p>
        </w:tc>
        <w:tc>
          <w:tcPr>
            <w:tcW w:w="92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Vesting</w:t>
            </w:r>
          </w:p>
        </w:tc>
        <w:tc>
          <w:tcPr>
            <w:tcW w:w="0" w:type="dxa"/>
            <w:vAlign w:val="bottom"/>
          </w:tcPr>
          <w:p>
            <w:pPr>
              <w:spacing w:after="0"/>
              <w:rPr>
                <w:sz w:val="1"/>
                <w:szCs w:val="1"/>
                <w:color w:val="auto"/>
              </w:rPr>
            </w:pPr>
          </w:p>
        </w:tc>
      </w:tr>
      <w:tr>
        <w:trPr>
          <w:trHeight w:val="146"/>
        </w:trPr>
        <w:tc>
          <w:tcPr>
            <w:tcW w:w="4340" w:type="dxa"/>
            <w:vAlign w:val="bottom"/>
            <w:vMerge w:val="continue"/>
            <w:shd w:val="clear" w:color="auto" w:fill="53C072"/>
          </w:tcPr>
          <w:p>
            <w:pPr>
              <w:spacing w:after="0"/>
              <w:rPr>
                <w:sz w:val="12"/>
                <w:szCs w:val="12"/>
                <w:color w:val="auto"/>
              </w:rPr>
            </w:pPr>
          </w:p>
        </w:tc>
        <w:tc>
          <w:tcPr>
            <w:tcW w:w="140" w:type="dxa"/>
            <w:vAlign w:val="bottom"/>
            <w:shd w:val="clear" w:color="auto" w:fill="53C072"/>
          </w:tcPr>
          <w:p>
            <w:pPr>
              <w:spacing w:after="0"/>
              <w:rPr>
                <w:sz w:val="12"/>
                <w:szCs w:val="12"/>
                <w:color w:val="auto"/>
              </w:rPr>
            </w:pPr>
          </w:p>
        </w:tc>
        <w:tc>
          <w:tcPr>
            <w:tcW w:w="90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w:t>
            </w:r>
          </w:p>
        </w:tc>
        <w:tc>
          <w:tcPr>
            <w:tcW w:w="94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w:t>
            </w:r>
          </w:p>
        </w:tc>
        <w:tc>
          <w:tcPr>
            <w:tcW w:w="140" w:type="dxa"/>
            <w:vAlign w:val="bottom"/>
            <w:shd w:val="clear" w:color="auto" w:fill="53C072"/>
          </w:tcPr>
          <w:p>
            <w:pPr>
              <w:spacing w:after="0"/>
              <w:rPr>
                <w:sz w:val="12"/>
                <w:szCs w:val="12"/>
                <w:color w:val="auto"/>
              </w:rPr>
            </w:pPr>
          </w:p>
        </w:tc>
        <w:tc>
          <w:tcPr>
            <w:tcW w:w="92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w:t>
            </w:r>
          </w:p>
        </w:tc>
        <w:tc>
          <w:tcPr>
            <w:tcW w:w="92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w:t>
            </w:r>
          </w:p>
        </w:tc>
        <w:tc>
          <w:tcPr>
            <w:tcW w:w="0" w:type="dxa"/>
            <w:vAlign w:val="bottom"/>
          </w:tcPr>
          <w:p>
            <w:pPr>
              <w:spacing w:after="0"/>
              <w:rPr>
                <w:sz w:val="1"/>
                <w:szCs w:val="1"/>
                <w:color w:val="auto"/>
              </w:rPr>
            </w:pPr>
          </w:p>
        </w:tc>
      </w:tr>
      <w:tr>
        <w:trPr>
          <w:trHeight w:val="159"/>
        </w:trPr>
        <w:tc>
          <w:tcPr>
            <w:tcW w:w="4340" w:type="dxa"/>
            <w:vAlign w:val="bottom"/>
            <w:shd w:val="clear" w:color="auto" w:fill="53C072"/>
          </w:tcPr>
          <w:p>
            <w:pPr>
              <w:spacing w:after="0"/>
              <w:rPr>
                <w:sz w:val="20"/>
                <w:szCs w:val="20"/>
                <w:color w:val="auto"/>
              </w:rPr>
            </w:pPr>
            <w:r>
              <w:rPr>
                <w:rFonts w:ascii="Arial" w:cs="Arial" w:eastAsia="Arial" w:hAnsi="Arial"/>
                <w:sz w:val="13"/>
                <w:szCs w:val="13"/>
                <w:b w:val="1"/>
                <w:bCs w:val="1"/>
                <w:color w:val="FFFFFE"/>
              </w:rPr>
              <w:t>(a)</w:t>
            </w:r>
          </w:p>
        </w:tc>
        <w:tc>
          <w:tcPr>
            <w:tcW w:w="140" w:type="dxa"/>
            <w:vAlign w:val="bottom"/>
            <w:shd w:val="clear" w:color="auto" w:fill="53C072"/>
          </w:tcPr>
          <w:p>
            <w:pPr>
              <w:spacing w:after="0"/>
              <w:rPr>
                <w:sz w:val="13"/>
                <w:szCs w:val="13"/>
                <w:color w:val="auto"/>
              </w:rPr>
            </w:pPr>
          </w:p>
        </w:tc>
        <w:tc>
          <w:tcPr>
            <w:tcW w:w="90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(b)</w:t>
            </w:r>
          </w:p>
        </w:tc>
        <w:tc>
          <w:tcPr>
            <w:tcW w:w="9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(c)</w:t>
            </w:r>
          </w:p>
        </w:tc>
        <w:tc>
          <w:tcPr>
            <w:tcW w:w="140" w:type="dxa"/>
            <w:vAlign w:val="bottom"/>
            <w:shd w:val="clear" w:color="auto" w:fill="53C072"/>
          </w:tcPr>
          <w:p>
            <w:pPr>
              <w:spacing w:after="0"/>
              <w:rPr>
                <w:sz w:val="13"/>
                <w:szCs w:val="13"/>
                <w:color w:val="auto"/>
              </w:rPr>
            </w:pPr>
          </w:p>
        </w:tc>
        <w:tc>
          <w:tcPr>
            <w:tcW w:w="92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(d)</w:t>
            </w:r>
          </w:p>
        </w:tc>
        <w:tc>
          <w:tcPr>
            <w:tcW w:w="92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(e)</w:t>
            </w:r>
          </w:p>
        </w:tc>
        <w:tc>
          <w:tcPr>
            <w:tcW w:w="0" w:type="dxa"/>
            <w:vAlign w:val="bottom"/>
          </w:tcPr>
          <w:p>
            <w:pPr>
              <w:spacing w:after="0"/>
              <w:rPr>
                <w:sz w:val="1"/>
                <w:szCs w:val="1"/>
                <w:color w:val="auto"/>
              </w:rPr>
            </w:pPr>
          </w:p>
        </w:tc>
      </w:tr>
      <w:tr>
        <w:trPr>
          <w:trHeight w:val="182"/>
        </w:trPr>
        <w:tc>
          <w:tcPr>
            <w:tcW w:w="4340" w:type="dxa"/>
            <w:vAlign w:val="bottom"/>
          </w:tcPr>
          <w:p>
            <w:pPr>
              <w:spacing w:after="0" w:line="182" w:lineRule="exact"/>
              <w:rPr>
                <w:sz w:val="20"/>
                <w:szCs w:val="20"/>
                <w:color w:val="auto"/>
              </w:rPr>
            </w:pPr>
            <w:r>
              <w:rPr>
                <w:rFonts w:ascii="Arial" w:cs="Arial" w:eastAsia="Arial" w:hAnsi="Arial"/>
                <w:sz w:val="16"/>
                <w:szCs w:val="16"/>
                <w:color w:val="auto"/>
              </w:rPr>
              <w:t>William J. Amelio</w:t>
            </w:r>
          </w:p>
        </w:tc>
        <w:tc>
          <w:tcPr>
            <w:tcW w:w="14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6"/>
                <w:szCs w:val="16"/>
                <w:color w:val="auto"/>
              </w:rPr>
              <w:t>53,079</w:t>
            </w:r>
          </w:p>
        </w:tc>
        <w:tc>
          <w:tcPr>
            <w:tcW w:w="920" w:type="dxa"/>
            <w:vAlign w:val="bottom"/>
          </w:tcPr>
          <w:p>
            <w:pPr>
              <w:jc w:val="right"/>
              <w:spacing w:after="0" w:line="182" w:lineRule="exact"/>
              <w:rPr>
                <w:sz w:val="20"/>
                <w:szCs w:val="20"/>
                <w:color w:val="auto"/>
              </w:rPr>
            </w:pPr>
            <w:r>
              <w:rPr>
                <w:rFonts w:ascii="Arial" w:cs="Arial" w:eastAsia="Arial" w:hAnsi="Arial"/>
                <w:sz w:val="16"/>
                <w:szCs w:val="16"/>
                <w:color w:val="auto"/>
              </w:rPr>
              <w:t>2,029,966</w:t>
            </w:r>
          </w:p>
        </w:tc>
        <w:tc>
          <w:tcPr>
            <w:tcW w:w="0" w:type="dxa"/>
            <w:vAlign w:val="bottom"/>
          </w:tcPr>
          <w:p>
            <w:pPr>
              <w:spacing w:after="0"/>
              <w:rPr>
                <w:sz w:val="1"/>
                <w:szCs w:val="1"/>
                <w:color w:val="auto"/>
              </w:rPr>
            </w:pPr>
          </w:p>
        </w:tc>
      </w:tr>
      <w:tr>
        <w:trPr>
          <w:trHeight w:val="182"/>
        </w:trPr>
        <w:tc>
          <w:tcPr>
            <w:tcW w:w="4480" w:type="dxa"/>
            <w:vAlign w:val="bottom"/>
            <w:gridSpan w:val="2"/>
            <w:shd w:val="clear" w:color="auto" w:fill="E8F5EA"/>
          </w:tcPr>
          <w:p>
            <w:pPr>
              <w:spacing w:after="0" w:line="182" w:lineRule="exact"/>
              <w:rPr>
                <w:sz w:val="20"/>
                <w:szCs w:val="20"/>
                <w:color w:val="auto"/>
              </w:rPr>
            </w:pPr>
            <w:r>
              <w:rPr>
                <w:rFonts w:ascii="Arial" w:cs="Arial" w:eastAsia="Arial" w:hAnsi="Arial"/>
                <w:sz w:val="16"/>
                <w:szCs w:val="16"/>
                <w:color w:val="auto"/>
              </w:rPr>
              <w:t>Thomas Liguori</w:t>
            </w:r>
          </w:p>
        </w:tc>
        <w:tc>
          <w:tcPr>
            <w:tcW w:w="90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w:t>
            </w:r>
          </w:p>
        </w:tc>
        <w:tc>
          <w:tcPr>
            <w:tcW w:w="1080" w:type="dxa"/>
            <w:vAlign w:val="bottom"/>
            <w:gridSpan w:val="2"/>
            <w:shd w:val="clear" w:color="auto" w:fill="E8F5EA"/>
          </w:tcPr>
          <w:p>
            <w:pPr>
              <w:jc w:val="right"/>
              <w:ind w:right="140"/>
              <w:spacing w:after="0" w:line="182" w:lineRule="exact"/>
              <w:rPr>
                <w:sz w:val="20"/>
                <w:szCs w:val="20"/>
                <w:color w:val="auto"/>
              </w:rPr>
            </w:pPr>
            <w:r>
              <w:rPr>
                <w:rFonts w:ascii="Arial" w:cs="Arial" w:eastAsia="Arial" w:hAnsi="Arial"/>
                <w:sz w:val="16"/>
                <w:szCs w:val="16"/>
                <w:color w:val="auto"/>
              </w:rPr>
              <w:t>—</w:t>
            </w:r>
          </w:p>
        </w:tc>
        <w:tc>
          <w:tcPr>
            <w:tcW w:w="92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22,749</w:t>
            </w:r>
          </w:p>
        </w:tc>
        <w:tc>
          <w:tcPr>
            <w:tcW w:w="92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948,992</w:t>
            </w:r>
          </w:p>
        </w:tc>
        <w:tc>
          <w:tcPr>
            <w:tcW w:w="0" w:type="dxa"/>
            <w:vAlign w:val="bottom"/>
          </w:tcPr>
          <w:p>
            <w:pPr>
              <w:spacing w:after="0"/>
              <w:rPr>
                <w:sz w:val="1"/>
                <w:szCs w:val="1"/>
                <w:color w:val="auto"/>
              </w:rPr>
            </w:pPr>
          </w:p>
        </w:tc>
      </w:tr>
      <w:tr>
        <w:trPr>
          <w:trHeight w:val="182"/>
        </w:trPr>
        <w:tc>
          <w:tcPr>
            <w:tcW w:w="4480" w:type="dxa"/>
            <w:vAlign w:val="bottom"/>
            <w:gridSpan w:val="2"/>
          </w:tcPr>
          <w:p>
            <w:pPr>
              <w:spacing w:after="0" w:line="182" w:lineRule="exact"/>
              <w:rPr>
                <w:sz w:val="20"/>
                <w:szCs w:val="20"/>
                <w:color w:val="auto"/>
              </w:rPr>
            </w:pPr>
            <w:r>
              <w:rPr>
                <w:rFonts w:ascii="Arial" w:cs="Arial" w:eastAsia="Arial" w:hAnsi="Arial"/>
                <w:sz w:val="16"/>
                <w:szCs w:val="16"/>
                <w:color w:val="auto"/>
              </w:rPr>
              <w:t>Peter G. Bartolotta</w:t>
            </w:r>
          </w:p>
        </w:tc>
        <w:tc>
          <w:tcPr>
            <w:tcW w:w="90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line="182"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82" w:lineRule="exact"/>
              <w:rPr>
                <w:sz w:val="20"/>
                <w:szCs w:val="20"/>
                <w:color w:val="auto"/>
              </w:rPr>
            </w:pPr>
            <w:r>
              <w:rPr>
                <w:rFonts w:ascii="Arial" w:cs="Arial" w:eastAsia="Arial" w:hAnsi="Arial"/>
                <w:sz w:val="16"/>
                <w:szCs w:val="16"/>
                <w:color w:val="auto"/>
              </w:rPr>
              <w:t>9,422</w:t>
            </w:r>
          </w:p>
        </w:tc>
        <w:tc>
          <w:tcPr>
            <w:tcW w:w="920" w:type="dxa"/>
            <w:vAlign w:val="bottom"/>
          </w:tcPr>
          <w:p>
            <w:pPr>
              <w:jc w:val="right"/>
              <w:spacing w:after="0" w:line="182" w:lineRule="exact"/>
              <w:rPr>
                <w:sz w:val="20"/>
                <w:szCs w:val="20"/>
                <w:color w:val="auto"/>
              </w:rPr>
            </w:pPr>
            <w:r>
              <w:rPr>
                <w:rFonts w:ascii="Arial" w:cs="Arial" w:eastAsia="Arial" w:hAnsi="Arial"/>
                <w:sz w:val="16"/>
                <w:szCs w:val="16"/>
                <w:color w:val="auto"/>
              </w:rPr>
              <w:t>350,595</w:t>
            </w:r>
          </w:p>
        </w:tc>
        <w:tc>
          <w:tcPr>
            <w:tcW w:w="0" w:type="dxa"/>
            <w:vAlign w:val="bottom"/>
          </w:tcPr>
          <w:p>
            <w:pPr>
              <w:spacing w:after="0"/>
              <w:rPr>
                <w:sz w:val="1"/>
                <w:szCs w:val="1"/>
                <w:color w:val="auto"/>
              </w:rPr>
            </w:pPr>
          </w:p>
        </w:tc>
      </w:tr>
      <w:tr>
        <w:trPr>
          <w:trHeight w:val="182"/>
        </w:trPr>
        <w:tc>
          <w:tcPr>
            <w:tcW w:w="4480" w:type="dxa"/>
            <w:vAlign w:val="bottom"/>
            <w:gridSpan w:val="2"/>
            <w:shd w:val="clear" w:color="auto" w:fill="E8F5EA"/>
          </w:tcPr>
          <w:p>
            <w:pPr>
              <w:spacing w:after="0" w:line="182" w:lineRule="exact"/>
              <w:rPr>
                <w:sz w:val="20"/>
                <w:szCs w:val="20"/>
                <w:color w:val="auto"/>
              </w:rPr>
            </w:pPr>
            <w:r>
              <w:rPr>
                <w:rFonts w:ascii="Arial" w:cs="Arial" w:eastAsia="Arial" w:hAnsi="Arial"/>
                <w:sz w:val="16"/>
                <w:szCs w:val="16"/>
                <w:color w:val="auto"/>
              </w:rPr>
              <w:t>Philip R. Gallagher</w:t>
            </w:r>
          </w:p>
        </w:tc>
        <w:tc>
          <w:tcPr>
            <w:tcW w:w="90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24,184</w:t>
            </w:r>
          </w:p>
        </w:tc>
        <w:tc>
          <w:tcPr>
            <w:tcW w:w="1080" w:type="dxa"/>
            <w:vAlign w:val="bottom"/>
            <w:gridSpan w:val="2"/>
            <w:shd w:val="clear" w:color="auto" w:fill="E8F5EA"/>
          </w:tcPr>
          <w:p>
            <w:pPr>
              <w:jc w:val="right"/>
              <w:ind w:right="140"/>
              <w:spacing w:after="0" w:line="182" w:lineRule="exact"/>
              <w:rPr>
                <w:sz w:val="20"/>
                <w:szCs w:val="20"/>
                <w:color w:val="auto"/>
              </w:rPr>
            </w:pPr>
            <w:r>
              <w:rPr>
                <w:rFonts w:ascii="Arial" w:cs="Arial" w:eastAsia="Arial" w:hAnsi="Arial"/>
                <w:sz w:val="16"/>
                <w:szCs w:val="16"/>
                <w:color w:val="auto"/>
              </w:rPr>
              <w:t>472,234</w:t>
            </w:r>
          </w:p>
        </w:tc>
        <w:tc>
          <w:tcPr>
            <w:tcW w:w="92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9,329</w:t>
            </w:r>
          </w:p>
        </w:tc>
        <w:tc>
          <w:tcPr>
            <w:tcW w:w="92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346,636</w:t>
            </w:r>
          </w:p>
        </w:tc>
        <w:tc>
          <w:tcPr>
            <w:tcW w:w="0" w:type="dxa"/>
            <w:vAlign w:val="bottom"/>
          </w:tcPr>
          <w:p>
            <w:pPr>
              <w:spacing w:after="0"/>
              <w:rPr>
                <w:sz w:val="1"/>
                <w:szCs w:val="1"/>
                <w:color w:val="auto"/>
              </w:rPr>
            </w:pPr>
          </w:p>
        </w:tc>
      </w:tr>
      <w:tr>
        <w:trPr>
          <w:trHeight w:val="182"/>
        </w:trPr>
        <w:tc>
          <w:tcPr>
            <w:tcW w:w="4480" w:type="dxa"/>
            <w:vAlign w:val="bottom"/>
            <w:gridSpan w:val="2"/>
          </w:tcPr>
          <w:p>
            <w:pPr>
              <w:spacing w:after="0" w:line="182" w:lineRule="exact"/>
              <w:rPr>
                <w:sz w:val="20"/>
                <w:szCs w:val="20"/>
                <w:color w:val="auto"/>
              </w:rPr>
            </w:pPr>
            <w:r>
              <w:rPr>
                <w:rFonts w:ascii="Arial" w:cs="Arial" w:eastAsia="Arial" w:hAnsi="Arial"/>
                <w:sz w:val="16"/>
                <w:szCs w:val="16"/>
                <w:color w:val="auto"/>
              </w:rPr>
              <w:t>MaryAnn G. Miller</w:t>
            </w:r>
          </w:p>
        </w:tc>
        <w:tc>
          <w:tcPr>
            <w:tcW w:w="900" w:type="dxa"/>
            <w:vAlign w:val="bottom"/>
          </w:tcPr>
          <w:p>
            <w:pPr>
              <w:jc w:val="right"/>
              <w:spacing w:after="0" w:line="182" w:lineRule="exact"/>
              <w:rPr>
                <w:sz w:val="20"/>
                <w:szCs w:val="20"/>
                <w:color w:val="auto"/>
              </w:rPr>
            </w:pPr>
            <w:r>
              <w:rPr>
                <w:rFonts w:ascii="Arial" w:cs="Arial" w:eastAsia="Arial" w:hAnsi="Arial"/>
                <w:sz w:val="16"/>
                <w:szCs w:val="16"/>
                <w:color w:val="auto"/>
              </w:rPr>
              <w:t>11,456</w:t>
            </w:r>
          </w:p>
        </w:tc>
        <w:tc>
          <w:tcPr>
            <w:tcW w:w="1080" w:type="dxa"/>
            <w:vAlign w:val="bottom"/>
            <w:gridSpan w:val="2"/>
          </w:tcPr>
          <w:p>
            <w:pPr>
              <w:jc w:val="right"/>
              <w:ind w:right="140"/>
              <w:spacing w:after="0" w:line="182" w:lineRule="exact"/>
              <w:rPr>
                <w:sz w:val="20"/>
                <w:szCs w:val="20"/>
                <w:color w:val="auto"/>
              </w:rPr>
            </w:pPr>
            <w:r>
              <w:rPr>
                <w:rFonts w:ascii="Arial" w:cs="Arial" w:eastAsia="Arial" w:hAnsi="Arial"/>
                <w:sz w:val="16"/>
                <w:szCs w:val="16"/>
                <w:color w:val="auto"/>
              </w:rPr>
              <w:t>52,583</w:t>
            </w:r>
          </w:p>
        </w:tc>
        <w:tc>
          <w:tcPr>
            <w:tcW w:w="920" w:type="dxa"/>
            <w:vAlign w:val="bottom"/>
          </w:tcPr>
          <w:p>
            <w:pPr>
              <w:jc w:val="right"/>
              <w:spacing w:after="0" w:line="182" w:lineRule="exact"/>
              <w:rPr>
                <w:sz w:val="20"/>
                <w:szCs w:val="20"/>
                <w:color w:val="auto"/>
              </w:rPr>
            </w:pPr>
            <w:r>
              <w:rPr>
                <w:rFonts w:ascii="Arial" w:cs="Arial" w:eastAsia="Arial" w:hAnsi="Arial"/>
                <w:sz w:val="16"/>
                <w:szCs w:val="16"/>
                <w:color w:val="auto"/>
              </w:rPr>
              <w:t>10,202</w:t>
            </w:r>
          </w:p>
        </w:tc>
        <w:tc>
          <w:tcPr>
            <w:tcW w:w="920" w:type="dxa"/>
            <w:vAlign w:val="bottom"/>
          </w:tcPr>
          <w:p>
            <w:pPr>
              <w:jc w:val="right"/>
              <w:spacing w:after="0" w:line="182" w:lineRule="exact"/>
              <w:rPr>
                <w:sz w:val="20"/>
                <w:szCs w:val="20"/>
                <w:color w:val="auto"/>
              </w:rPr>
            </w:pPr>
            <w:r>
              <w:rPr>
                <w:rFonts w:ascii="Arial" w:cs="Arial" w:eastAsia="Arial" w:hAnsi="Arial"/>
                <w:sz w:val="16"/>
                <w:szCs w:val="16"/>
                <w:color w:val="auto"/>
              </w:rPr>
              <w:t>386,098</w:t>
            </w:r>
          </w:p>
        </w:tc>
        <w:tc>
          <w:tcPr>
            <w:tcW w:w="0" w:type="dxa"/>
            <w:vAlign w:val="bottom"/>
          </w:tcPr>
          <w:p>
            <w:pPr>
              <w:spacing w:after="0"/>
              <w:rPr>
                <w:sz w:val="1"/>
                <w:szCs w:val="1"/>
                <w:color w:val="auto"/>
              </w:rPr>
            </w:pPr>
          </w:p>
        </w:tc>
      </w:tr>
      <w:tr>
        <w:trPr>
          <w:trHeight w:val="199"/>
        </w:trPr>
        <w:tc>
          <w:tcPr>
            <w:tcW w:w="4480" w:type="dxa"/>
            <w:vAlign w:val="bottom"/>
            <w:tcBorders>
              <w:bottom w:val="single" w:sz="8" w:color="53C072"/>
            </w:tcBorders>
            <w:gridSpan w:val="2"/>
            <w:shd w:val="clear" w:color="auto" w:fill="E8F5EA"/>
          </w:tcPr>
          <w:p>
            <w:pPr>
              <w:spacing w:after="0" w:line="182" w:lineRule="exact"/>
              <w:rPr>
                <w:sz w:val="20"/>
                <w:szCs w:val="20"/>
                <w:color w:val="auto"/>
              </w:rPr>
            </w:pPr>
            <w:r>
              <w:rPr>
                <w:rFonts w:ascii="Arial" w:cs="Arial" w:eastAsia="Arial" w:hAnsi="Arial"/>
                <w:sz w:val="16"/>
                <w:szCs w:val="16"/>
                <w:color w:val="auto"/>
              </w:rPr>
              <w:t>Michael J. O'Neill</w:t>
            </w:r>
          </w:p>
        </w:tc>
        <w:tc>
          <w:tcPr>
            <w:tcW w:w="900" w:type="dxa"/>
            <w:vAlign w:val="bottom"/>
            <w:tcBorders>
              <w:bottom w:val="single" w:sz="8" w:color="53C072"/>
            </w:tcBorders>
            <w:shd w:val="clear" w:color="auto" w:fill="E8F5EA"/>
          </w:tcPr>
          <w:p>
            <w:pPr>
              <w:jc w:val="right"/>
              <w:spacing w:after="0" w:line="182"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53C072"/>
            </w:tcBorders>
            <w:gridSpan w:val="2"/>
            <w:shd w:val="clear" w:color="auto" w:fill="E8F5EA"/>
          </w:tcPr>
          <w:p>
            <w:pPr>
              <w:jc w:val="right"/>
              <w:ind w:right="140"/>
              <w:spacing w:after="0" w:line="182"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53C072"/>
            </w:tcBorders>
            <w:shd w:val="clear" w:color="auto" w:fill="E8F5EA"/>
          </w:tcPr>
          <w:p>
            <w:pPr>
              <w:jc w:val="right"/>
              <w:spacing w:after="0" w:line="182" w:lineRule="exact"/>
              <w:rPr>
                <w:sz w:val="20"/>
                <w:szCs w:val="20"/>
                <w:color w:val="auto"/>
              </w:rPr>
            </w:pPr>
            <w:r>
              <w:rPr>
                <w:rFonts w:ascii="Arial" w:cs="Arial" w:eastAsia="Arial" w:hAnsi="Arial"/>
                <w:sz w:val="16"/>
                <w:szCs w:val="16"/>
                <w:color w:val="auto"/>
              </w:rPr>
              <w:t>8,460</w:t>
            </w:r>
          </w:p>
        </w:tc>
        <w:tc>
          <w:tcPr>
            <w:tcW w:w="920" w:type="dxa"/>
            <w:vAlign w:val="bottom"/>
            <w:tcBorders>
              <w:bottom w:val="single" w:sz="8" w:color="53C072"/>
            </w:tcBorders>
            <w:shd w:val="clear" w:color="auto" w:fill="E8F5EA"/>
          </w:tcPr>
          <w:p>
            <w:pPr>
              <w:jc w:val="right"/>
              <w:spacing w:after="0" w:line="182" w:lineRule="exact"/>
              <w:rPr>
                <w:sz w:val="20"/>
                <w:szCs w:val="20"/>
                <w:color w:val="auto"/>
              </w:rPr>
            </w:pPr>
            <w:r>
              <w:rPr>
                <w:rFonts w:ascii="Arial" w:cs="Arial" w:eastAsia="Arial" w:hAnsi="Arial"/>
                <w:sz w:val="16"/>
                <w:szCs w:val="16"/>
                <w:color w:val="auto"/>
              </w:rPr>
              <w:t>316,513</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3" w:right="40"/>
        <w:spacing w:after="0" w:line="262" w:lineRule="auto"/>
        <w:rPr>
          <w:sz w:val="20"/>
          <w:szCs w:val="20"/>
          <w:color w:val="auto"/>
        </w:rPr>
      </w:pPr>
      <w:r>
        <w:rPr>
          <w:rFonts w:ascii="Arial" w:cs="Arial" w:eastAsia="Arial" w:hAnsi="Arial"/>
          <w:sz w:val="15"/>
          <w:szCs w:val="15"/>
          <w:color w:val="auto"/>
        </w:rPr>
        <w:t>The value realized on vesting of stock awards includes (i) RSUs that vested on January 2, 2020 and (ii) the PSUs that vested on June 27, 2020, which covered the fiscal 2018 — fiscal 2020 performance period. The shares and value realized with respect to the RSUs is as follows: Mr. Amelio — 36,702 shares and $1,562,403; Mr. Liguori — 21,363 shares and $909,422; Mr. Bartolotta — 5,820 shares and $247,758; Mr. Gallagher — 5,727 shares and $243,799; Ms. Miller —</w:t>
      </w:r>
    </w:p>
    <w:p>
      <w:pPr>
        <w:spacing w:after="0" w:line="1" w:lineRule="exact"/>
        <w:rPr>
          <w:sz w:val="20"/>
          <w:szCs w:val="20"/>
          <w:color w:val="auto"/>
        </w:rPr>
      </w:pPr>
    </w:p>
    <w:p>
      <w:pPr>
        <w:ind w:left="3" w:right="500"/>
        <w:spacing w:after="0" w:line="243" w:lineRule="auto"/>
        <w:rPr>
          <w:sz w:val="20"/>
          <w:szCs w:val="20"/>
          <w:color w:val="auto"/>
        </w:rPr>
      </w:pPr>
      <w:r>
        <w:rPr>
          <w:rFonts w:ascii="Arial" w:cs="Arial" w:eastAsia="Arial" w:hAnsi="Arial"/>
          <w:sz w:val="16"/>
          <w:szCs w:val="16"/>
          <w:color w:val="auto"/>
        </w:rPr>
        <w:t>6,764 shares and $287,943; and Mr. O'Neill — 5,348 shares and $227,665. The shares and value realized with respect to the PSUs issued is as follows: Mr. Amelio — 16,377 shares and $467,563; Mr. Liguori — 1,386 shares and $39,570; Mr. Bartolotta — 3,602 shares and $102,837; Mr. Gallagher — 3,602 shares and $102,837; Ms. Miller — 3,438 shares and $98,155; and Mr. O'Neill — 3,112 shares and $88,848.</w:t>
      </w:r>
    </w:p>
    <w:p>
      <w:pPr>
        <w:spacing w:after="0" w:line="172" w:lineRule="exact"/>
        <w:rPr>
          <w:sz w:val="20"/>
          <w:szCs w:val="20"/>
          <w:color w:val="auto"/>
        </w:rPr>
      </w:pPr>
    </w:p>
    <w:p>
      <w:pPr>
        <w:ind w:left="3"/>
        <w:spacing w:after="0"/>
        <w:tabs>
          <w:tab w:leader="none" w:pos="442" w:val="left"/>
        </w:tabs>
        <w:rPr>
          <w:sz w:val="20"/>
          <w:szCs w:val="20"/>
          <w:color w:val="auto"/>
        </w:rPr>
      </w:pPr>
      <w:r>
        <w:rPr>
          <w:rFonts w:ascii="Arial" w:cs="Arial" w:eastAsia="Arial" w:hAnsi="Arial"/>
          <w:sz w:val="16"/>
          <w:szCs w:val="16"/>
          <w:color w:val="auto"/>
        </w:rPr>
        <w:t>60</w:t>
      </w:r>
      <w:r>
        <w:rPr>
          <w:sz w:val="20"/>
          <w:szCs w:val="20"/>
          <w:color w:val="auto"/>
        </w:rPr>
        <w:tab/>
      </w:r>
      <w:r>
        <w:rPr>
          <w:rFonts w:ascii="Arial" w:cs="Arial" w:eastAsia="Arial" w:hAnsi="Arial"/>
          <w:sz w:val="23"/>
          <w:szCs w:val="23"/>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7151370" cy="203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-155575</wp:posOffset>
            </wp:positionV>
            <wp:extent cx="1664970" cy="1231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3"/>
          </w:cols>
          <w:pgMar w:left="317" w:top="122" w:right="31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13"/>
        </w:trPr>
        <w:tc>
          <w:tcPr>
            <w:tcW w:w="522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6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22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6040" w:type="dxa"/>
            <w:vAlign w:val="bottom"/>
            <w:vMerge w:val="restart"/>
          </w:tcPr>
          <w:p>
            <w:pPr>
              <w:ind w:left="3980"/>
              <w:spacing w:after="0"/>
              <w:rPr>
                <w:sz w:val="20"/>
                <w:szCs w:val="20"/>
                <w:color w:val="auto"/>
              </w:rPr>
            </w:pPr>
            <w:r>
              <w:rPr>
                <w:rFonts w:ascii="Arial" w:cs="Arial" w:eastAsia="Arial" w:hAnsi="Arial"/>
                <w:sz w:val="13"/>
                <w:szCs w:val="13"/>
                <w:color w:val="auto"/>
                <w:w w:val="98"/>
              </w:rPr>
              <w:t>Compensation of Executive Officers</w:t>
            </w:r>
          </w:p>
        </w:tc>
        <w:tc>
          <w:tcPr>
            <w:tcW w:w="0" w:type="dxa"/>
            <w:vAlign w:val="bottom"/>
          </w:tcPr>
          <w:p>
            <w:pPr>
              <w:spacing w:after="0"/>
              <w:rPr>
                <w:sz w:val="1"/>
                <w:szCs w:val="1"/>
                <w:color w:val="auto"/>
              </w:rPr>
            </w:pPr>
          </w:p>
        </w:tc>
      </w:tr>
      <w:tr>
        <w:trPr>
          <w:trHeight w:val="102"/>
        </w:trPr>
        <w:tc>
          <w:tcPr>
            <w:tcW w:w="522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6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220" w:type="dxa"/>
            <w:vAlign w:val="bottom"/>
            <w:vMerge w:val="continue"/>
          </w:tcPr>
          <w:p>
            <w:pPr>
              <w:spacing w:after="0"/>
              <w:rPr>
                <w:sz w:val="7"/>
                <w:szCs w:val="7"/>
                <w:color w:val="auto"/>
              </w:rPr>
            </w:pPr>
          </w:p>
        </w:tc>
        <w:tc>
          <w:tcPr>
            <w:tcW w:w="6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PENSION BENEFITS</w:t>
      </w:r>
    </w:p>
    <w:p>
      <w:pPr>
        <w:spacing w:after="0" w:line="209"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Further to the discussion of the retirement benefits in the CD&amp;A, the Company provides a retirement benefit under a tax-qualified retirement plan, or the Pension Plan, and a retirement benefit under nonqualified retirement plans.</w:t>
      </w:r>
    </w:p>
    <w:p>
      <w:pPr>
        <w:spacing w:after="0" w:line="137"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The Pension Plan is a type of tax-qualified defined benefit plan commonly referred to as a cash balance plan. A participant's benefit under the Pension Plan is based on the value of the participant's cash balance account, which is used for record keeping purposes and does not represent any assets of the Pension Plan segregated</w:t>
      </w:r>
    </w:p>
    <w:p>
      <w:pPr>
        <w:spacing w:after="0" w:line="152"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on behalf of a participant. In general, the Pension Plan defines annual earnings as a participant's base salary, commissions, royalties, annual cash incentive compensation and amounts deferred pursuant to plans described in Sections 125 or 401(k) (i.e., the 401(k) Plan) of the Code. Currently, the maximum amount of earnings on which benefits can be accrued is $285,000, which is the 2020 annual maximum established by the IRS. The Pension Plan offers participants distributions in the form of various monthly annuity payments and, in most cases, a lump sum distribution option is also available to participants who have terminated employment with the Company.</w:t>
      </w:r>
    </w:p>
    <w:p>
      <w:pPr>
        <w:spacing w:after="0" w:line="162"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 nonqualified retirement plans consist of the Restoration Plan and the SERP. The Restoration Plan is an excess benefit plan that provides retirement income to eligible U.S. employees whose Pension Plan benefit is limited by Code limits on compensation. The Restoration Plan uses the same eligibility, vesting, formula and distribution criteria (except in cases where Code section 409A applies) found in the Pension Plan, but without considering the Code-imposed limits on the Pension Plan. The excess benefit over the Code-imposed limits in the Pension Plan is paid from the Restoration Plan.</w:t>
      </w:r>
    </w:p>
    <w:p>
      <w:pPr>
        <w:spacing w:after="0" w:line="156" w:lineRule="exact"/>
        <w:rPr>
          <w:sz w:val="20"/>
          <w:szCs w:val="20"/>
          <w:color w:val="auto"/>
        </w:rPr>
      </w:pPr>
    </w:p>
    <w:p>
      <w:pPr>
        <w:ind w:right="160"/>
        <w:spacing w:after="0" w:line="243" w:lineRule="auto"/>
        <w:rPr>
          <w:sz w:val="20"/>
          <w:szCs w:val="20"/>
          <w:color w:val="auto"/>
        </w:rPr>
      </w:pPr>
      <w:r>
        <w:rPr>
          <w:rFonts w:ascii="Arial" w:cs="Arial" w:eastAsia="Arial" w:hAnsi="Arial"/>
          <w:sz w:val="16"/>
          <w:szCs w:val="16"/>
          <w:color w:val="auto"/>
        </w:rPr>
        <w:t>The SERP provides for: (1) payment of a death benefit to the designated beneficiary of each participating officer who dies while he or she is an employee of the Company in an amount equal to twice the yearly earnings (including salary and cash incentive compensation) of such officer; (2) a supplemental retirement benefit payable at age 65 (if the officer has satisfied certain age and service requirements) payable monthly for two years and in a lump sum thereafter to such officer or his or her beneficiary with the total benefit equaling the present value of ten years of payments in an amount not to exceed 36% of the officer's eligible compensation, which is defined as the average of the highest two of the last five years' cash compensation prior to termination; or (3) a supplemental early retirement benefit equal to the benefit described in (2) above, except that such amount is reduced for each month prior to age 65 that the participant begins to receive the benefit.</w:t>
      </w:r>
    </w:p>
    <w:p>
      <w:pPr>
        <w:spacing w:after="0" w:line="165" w:lineRule="exact"/>
        <w:rPr>
          <w:sz w:val="20"/>
          <w:szCs w:val="20"/>
          <w:color w:val="auto"/>
        </w:rPr>
      </w:pPr>
    </w:p>
    <w:p>
      <w:pPr>
        <w:jc w:val="both"/>
        <w:ind w:right="180"/>
        <w:spacing w:after="0" w:line="256" w:lineRule="auto"/>
        <w:rPr>
          <w:sz w:val="20"/>
          <w:szCs w:val="20"/>
          <w:color w:val="auto"/>
        </w:rPr>
      </w:pPr>
      <w:r>
        <w:rPr>
          <w:rFonts w:ascii="Arial" w:cs="Arial" w:eastAsia="Arial" w:hAnsi="Arial"/>
          <w:sz w:val="16"/>
          <w:szCs w:val="16"/>
          <w:color w:val="auto"/>
        </w:rPr>
        <w:t>As discussed in the CD&amp;A, the SERP was closed to new participants effective December 31, 2011, and the Restoration Plan was adopted effective January 1, 2012. Pursuant to the terms of both plans, any benefit payable under the Restoration Plan will reduce the benefit payable under the SERP. Thus, the maximum benefit payable to vested participants in both nonqualified plans will equal the benefit payable under the SERP.</w:t>
      </w:r>
    </w:p>
    <w:p>
      <w:pPr>
        <w:spacing w:after="0" w:line="152"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The table below shows the number of years of service credited to each such NEO, the actuarial present value of accumulated benefits payable to each of the NEOs as of the end of the fiscal year, and the payments made to each of the NEOs during the last fiscal year, if any. The present value of the</w:t>
      </w:r>
    </w:p>
    <w:p>
      <w:pPr>
        <w:spacing w:after="0" w:line="108" w:lineRule="exact"/>
        <w:rPr>
          <w:sz w:val="20"/>
          <w:szCs w:val="20"/>
          <w:color w:val="auto"/>
        </w:rPr>
      </w:pPr>
    </w:p>
    <w:p>
      <w:pPr>
        <w:jc w:val="both"/>
        <w:ind w:left="10720"/>
        <w:spacing w:after="0"/>
        <w:tabs>
          <w:tab w:leader="none" w:pos="11060" w:val="left"/>
        </w:tabs>
        <w:rPr>
          <w:sz w:val="20"/>
          <w:szCs w:val="20"/>
          <w:color w:val="auto"/>
        </w:rPr>
      </w:pPr>
      <w:r>
        <w:rPr>
          <w:rFonts w:ascii="Arial" w:cs="Arial" w:eastAsia="Arial" w:hAnsi="Arial"/>
          <w:sz w:val="23"/>
          <w:szCs w:val="23"/>
          <w:b w:val="1"/>
          <w:bCs w:val="1"/>
          <w:color w:val="53C072"/>
        </w:rPr>
        <w:t>|</w:t>
      </w:r>
      <w:r>
        <w:rPr>
          <w:sz w:val="20"/>
          <w:szCs w:val="20"/>
          <w:color w:val="auto"/>
        </w:rPr>
        <w:tab/>
      </w: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7151370" cy="203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-130175</wp:posOffset>
            </wp:positionV>
            <wp:extent cx="1664970" cy="1231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13"/>
        </w:trPr>
        <w:tc>
          <w:tcPr>
            <w:tcW w:w="522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6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22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6040" w:type="dxa"/>
            <w:vAlign w:val="bottom"/>
            <w:vMerge w:val="restart"/>
          </w:tcPr>
          <w:p>
            <w:pPr>
              <w:ind w:left="3980"/>
              <w:spacing w:after="0"/>
              <w:rPr>
                <w:sz w:val="20"/>
                <w:szCs w:val="20"/>
                <w:color w:val="auto"/>
              </w:rPr>
            </w:pPr>
            <w:r>
              <w:rPr>
                <w:rFonts w:ascii="Arial" w:cs="Arial" w:eastAsia="Arial" w:hAnsi="Arial"/>
                <w:sz w:val="13"/>
                <w:szCs w:val="13"/>
                <w:color w:val="auto"/>
                <w:w w:val="98"/>
              </w:rPr>
              <w:t>Compensation of Executive Officers</w:t>
            </w:r>
          </w:p>
        </w:tc>
        <w:tc>
          <w:tcPr>
            <w:tcW w:w="0" w:type="dxa"/>
            <w:vAlign w:val="bottom"/>
          </w:tcPr>
          <w:p>
            <w:pPr>
              <w:spacing w:after="0"/>
              <w:rPr>
                <w:sz w:val="1"/>
                <w:szCs w:val="1"/>
                <w:color w:val="auto"/>
              </w:rPr>
            </w:pPr>
          </w:p>
        </w:tc>
      </w:tr>
      <w:tr>
        <w:trPr>
          <w:trHeight w:val="102"/>
        </w:trPr>
        <w:tc>
          <w:tcPr>
            <w:tcW w:w="522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6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220" w:type="dxa"/>
            <w:vAlign w:val="bottom"/>
            <w:vMerge w:val="continue"/>
          </w:tcPr>
          <w:p>
            <w:pPr>
              <w:spacing w:after="0"/>
              <w:rPr>
                <w:sz w:val="7"/>
                <w:szCs w:val="7"/>
                <w:color w:val="auto"/>
              </w:rPr>
            </w:pPr>
          </w:p>
        </w:tc>
        <w:tc>
          <w:tcPr>
            <w:tcW w:w="6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accumulated benefit was determined using interest rate assumptions consistent with those used in the Company's financial statements.</w:t>
      </w:r>
    </w:p>
    <w:p>
      <w:pPr>
        <w:spacing w:after="0" w:line="192" w:lineRule="exact"/>
        <w:rPr>
          <w:sz w:val="20"/>
          <w:szCs w:val="20"/>
          <w:color w:val="auto"/>
        </w:rPr>
      </w:pPr>
    </w:p>
    <w:tbl>
      <w:tblPr>
        <w:tblLayout w:type="fixed"/>
        <w:tblInd w:w="1340" w:type="dxa"/>
        <w:tblCellMar>
          <w:top w:w="0" w:type="dxa"/>
          <w:left w:w="0" w:type="dxa"/>
          <w:bottom w:w="0" w:type="dxa"/>
          <w:right w:w="0" w:type="dxa"/>
        </w:tblCellMar>
      </w:tblPr>
      <w:tr>
        <w:trPr>
          <w:trHeight w:val="149"/>
        </w:trPr>
        <w:tc>
          <w:tcPr>
            <w:tcW w:w="2020" w:type="dxa"/>
            <w:vAlign w:val="bottom"/>
            <w:shd w:val="clear" w:color="auto" w:fill="53C072"/>
          </w:tcPr>
          <w:p>
            <w:pPr>
              <w:spacing w:after="0"/>
              <w:rPr>
                <w:sz w:val="13"/>
                <w:szCs w:val="13"/>
                <w:color w:val="auto"/>
              </w:rPr>
            </w:pPr>
          </w:p>
        </w:tc>
        <w:tc>
          <w:tcPr>
            <w:tcW w:w="2980" w:type="dxa"/>
            <w:vAlign w:val="bottom"/>
            <w:shd w:val="clear" w:color="auto" w:fill="53C072"/>
          </w:tcPr>
          <w:p>
            <w:pPr>
              <w:spacing w:after="0"/>
              <w:rPr>
                <w:sz w:val="13"/>
                <w:szCs w:val="13"/>
                <w:color w:val="auto"/>
              </w:rPr>
            </w:pPr>
          </w:p>
        </w:tc>
        <w:tc>
          <w:tcPr>
            <w:tcW w:w="1300" w:type="dxa"/>
            <w:vAlign w:val="bottom"/>
            <w:shd w:val="clear" w:color="auto" w:fill="53C072"/>
          </w:tcPr>
          <w:p>
            <w:pPr>
              <w:jc w:val="right"/>
              <w:ind w:right="66"/>
              <w:spacing w:after="0"/>
              <w:rPr>
                <w:sz w:val="20"/>
                <w:szCs w:val="20"/>
                <w:color w:val="auto"/>
              </w:rPr>
            </w:pPr>
            <w:r>
              <w:rPr>
                <w:rFonts w:ascii="Arial" w:cs="Arial" w:eastAsia="Arial" w:hAnsi="Arial"/>
                <w:sz w:val="13"/>
                <w:szCs w:val="13"/>
                <w:b w:val="1"/>
                <w:bCs w:val="1"/>
                <w:color w:val="FFFFFE"/>
              </w:rPr>
              <w:t>Number of</w:t>
            </w:r>
          </w:p>
        </w:tc>
        <w:tc>
          <w:tcPr>
            <w:tcW w:w="1140" w:type="dxa"/>
            <w:vAlign w:val="bottom"/>
            <w:shd w:val="clear" w:color="auto" w:fill="53C072"/>
          </w:tcPr>
          <w:p>
            <w:pPr>
              <w:jc w:val="right"/>
              <w:ind w:right="106"/>
              <w:spacing w:after="0"/>
              <w:rPr>
                <w:sz w:val="20"/>
                <w:szCs w:val="20"/>
                <w:color w:val="auto"/>
              </w:rPr>
            </w:pPr>
            <w:r>
              <w:rPr>
                <w:rFonts w:ascii="Arial" w:cs="Arial" w:eastAsia="Arial" w:hAnsi="Arial"/>
                <w:sz w:val="13"/>
                <w:szCs w:val="13"/>
                <w:b w:val="1"/>
                <w:bCs w:val="1"/>
                <w:color w:val="FFFFFE"/>
              </w:rPr>
              <w:t>Present</w:t>
            </w:r>
          </w:p>
        </w:tc>
        <w:tc>
          <w:tcPr>
            <w:tcW w:w="8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Payments</w:t>
            </w:r>
          </w:p>
        </w:tc>
        <w:tc>
          <w:tcPr>
            <w:tcW w:w="0" w:type="dxa"/>
            <w:vAlign w:val="bottom"/>
          </w:tcPr>
          <w:p>
            <w:pPr>
              <w:spacing w:after="0"/>
              <w:rPr>
                <w:sz w:val="1"/>
                <w:szCs w:val="1"/>
                <w:color w:val="auto"/>
              </w:rPr>
            </w:pPr>
          </w:p>
        </w:tc>
      </w:tr>
      <w:tr>
        <w:trPr>
          <w:trHeight w:val="146"/>
        </w:trPr>
        <w:tc>
          <w:tcPr>
            <w:tcW w:w="2020" w:type="dxa"/>
            <w:vAlign w:val="bottom"/>
            <w:shd w:val="clear" w:color="auto" w:fill="53C072"/>
          </w:tcPr>
          <w:p>
            <w:pPr>
              <w:spacing w:after="0"/>
              <w:rPr>
                <w:sz w:val="12"/>
                <w:szCs w:val="12"/>
                <w:color w:val="auto"/>
              </w:rPr>
            </w:pPr>
          </w:p>
        </w:tc>
        <w:tc>
          <w:tcPr>
            <w:tcW w:w="2980" w:type="dxa"/>
            <w:vAlign w:val="bottom"/>
            <w:shd w:val="clear" w:color="auto" w:fill="53C072"/>
          </w:tcPr>
          <w:p>
            <w:pPr>
              <w:spacing w:after="0"/>
              <w:rPr>
                <w:sz w:val="12"/>
                <w:szCs w:val="12"/>
                <w:color w:val="auto"/>
              </w:rPr>
            </w:pPr>
          </w:p>
        </w:tc>
        <w:tc>
          <w:tcPr>
            <w:tcW w:w="1300" w:type="dxa"/>
            <w:vAlign w:val="bottom"/>
            <w:shd w:val="clear" w:color="auto" w:fill="53C072"/>
          </w:tcPr>
          <w:p>
            <w:pPr>
              <w:jc w:val="right"/>
              <w:ind w:right="66"/>
              <w:spacing w:after="0" w:line="146" w:lineRule="exact"/>
              <w:rPr>
                <w:sz w:val="20"/>
                <w:szCs w:val="20"/>
                <w:color w:val="auto"/>
              </w:rPr>
            </w:pPr>
            <w:r>
              <w:rPr>
                <w:rFonts w:ascii="Arial" w:cs="Arial" w:eastAsia="Arial" w:hAnsi="Arial"/>
                <w:sz w:val="13"/>
                <w:szCs w:val="13"/>
                <w:b w:val="1"/>
                <w:bCs w:val="1"/>
                <w:color w:val="FFFFFE"/>
              </w:rPr>
              <w:t>Years</w:t>
            </w:r>
          </w:p>
        </w:tc>
        <w:tc>
          <w:tcPr>
            <w:tcW w:w="1140" w:type="dxa"/>
            <w:vAlign w:val="bottom"/>
            <w:shd w:val="clear" w:color="auto" w:fill="53C072"/>
          </w:tcPr>
          <w:p>
            <w:pPr>
              <w:jc w:val="right"/>
              <w:ind w:right="106"/>
              <w:spacing w:after="0" w:line="146" w:lineRule="exact"/>
              <w:rPr>
                <w:sz w:val="20"/>
                <w:szCs w:val="20"/>
                <w:color w:val="auto"/>
              </w:rPr>
            </w:pPr>
            <w:r>
              <w:rPr>
                <w:rFonts w:ascii="Arial" w:cs="Arial" w:eastAsia="Arial" w:hAnsi="Arial"/>
                <w:sz w:val="13"/>
                <w:szCs w:val="13"/>
                <w:b w:val="1"/>
                <w:bCs w:val="1"/>
                <w:color w:val="FFFFFE"/>
              </w:rPr>
              <w:t>Value of</w:t>
            </w:r>
          </w:p>
        </w:tc>
        <w:tc>
          <w:tcPr>
            <w:tcW w:w="84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During</w:t>
            </w:r>
          </w:p>
        </w:tc>
        <w:tc>
          <w:tcPr>
            <w:tcW w:w="0" w:type="dxa"/>
            <w:vAlign w:val="bottom"/>
          </w:tcPr>
          <w:p>
            <w:pPr>
              <w:spacing w:after="0"/>
              <w:rPr>
                <w:sz w:val="1"/>
                <w:szCs w:val="1"/>
                <w:color w:val="auto"/>
              </w:rPr>
            </w:pPr>
          </w:p>
        </w:tc>
      </w:tr>
      <w:tr>
        <w:trPr>
          <w:trHeight w:val="146"/>
        </w:trPr>
        <w:tc>
          <w:tcPr>
            <w:tcW w:w="2020" w:type="dxa"/>
            <w:vAlign w:val="bottom"/>
            <w:shd w:val="clear" w:color="auto" w:fill="53C072"/>
          </w:tcPr>
          <w:p>
            <w:pPr>
              <w:spacing w:after="0"/>
              <w:rPr>
                <w:sz w:val="12"/>
                <w:szCs w:val="12"/>
                <w:color w:val="auto"/>
              </w:rPr>
            </w:pPr>
          </w:p>
        </w:tc>
        <w:tc>
          <w:tcPr>
            <w:tcW w:w="2980" w:type="dxa"/>
            <w:vAlign w:val="bottom"/>
            <w:shd w:val="clear" w:color="auto" w:fill="53C072"/>
          </w:tcPr>
          <w:p>
            <w:pPr>
              <w:spacing w:after="0"/>
              <w:rPr>
                <w:sz w:val="12"/>
                <w:szCs w:val="12"/>
                <w:color w:val="auto"/>
              </w:rPr>
            </w:pPr>
          </w:p>
        </w:tc>
        <w:tc>
          <w:tcPr>
            <w:tcW w:w="1300" w:type="dxa"/>
            <w:vAlign w:val="bottom"/>
            <w:shd w:val="clear" w:color="auto" w:fill="53C072"/>
          </w:tcPr>
          <w:p>
            <w:pPr>
              <w:jc w:val="right"/>
              <w:ind w:right="66"/>
              <w:spacing w:after="0" w:line="146" w:lineRule="exact"/>
              <w:rPr>
                <w:sz w:val="20"/>
                <w:szCs w:val="20"/>
                <w:color w:val="auto"/>
              </w:rPr>
            </w:pPr>
            <w:r>
              <w:rPr>
                <w:rFonts w:ascii="Arial" w:cs="Arial" w:eastAsia="Arial" w:hAnsi="Arial"/>
                <w:sz w:val="13"/>
                <w:szCs w:val="13"/>
                <w:b w:val="1"/>
                <w:bCs w:val="1"/>
                <w:color w:val="FFFFFE"/>
              </w:rPr>
              <w:t>Credited</w:t>
            </w:r>
          </w:p>
        </w:tc>
        <w:tc>
          <w:tcPr>
            <w:tcW w:w="1140" w:type="dxa"/>
            <w:vAlign w:val="bottom"/>
            <w:shd w:val="clear" w:color="auto" w:fill="53C072"/>
          </w:tcPr>
          <w:p>
            <w:pPr>
              <w:jc w:val="right"/>
              <w:ind w:right="106"/>
              <w:spacing w:after="0" w:line="146" w:lineRule="exact"/>
              <w:rPr>
                <w:sz w:val="20"/>
                <w:szCs w:val="20"/>
                <w:color w:val="auto"/>
              </w:rPr>
            </w:pPr>
            <w:r>
              <w:rPr>
                <w:rFonts w:ascii="Arial" w:cs="Arial" w:eastAsia="Arial" w:hAnsi="Arial"/>
                <w:sz w:val="13"/>
                <w:szCs w:val="13"/>
                <w:b w:val="1"/>
                <w:bCs w:val="1"/>
                <w:color w:val="FFFFFE"/>
              </w:rPr>
              <w:t>Accumulated</w:t>
            </w:r>
          </w:p>
        </w:tc>
        <w:tc>
          <w:tcPr>
            <w:tcW w:w="84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Last</w:t>
            </w:r>
          </w:p>
        </w:tc>
        <w:tc>
          <w:tcPr>
            <w:tcW w:w="0" w:type="dxa"/>
            <w:vAlign w:val="bottom"/>
          </w:tcPr>
          <w:p>
            <w:pPr>
              <w:spacing w:after="0"/>
              <w:rPr>
                <w:sz w:val="1"/>
                <w:szCs w:val="1"/>
                <w:color w:val="auto"/>
              </w:rPr>
            </w:pPr>
          </w:p>
        </w:tc>
      </w:tr>
      <w:tr>
        <w:trPr>
          <w:trHeight w:val="146"/>
        </w:trPr>
        <w:tc>
          <w:tcPr>
            <w:tcW w:w="2020" w:type="dxa"/>
            <w:vAlign w:val="bottom"/>
            <w:vMerge w:val="restart"/>
            <w:shd w:val="clear" w:color="auto" w:fill="53C072"/>
          </w:tcPr>
          <w:p>
            <w:pPr>
              <w:spacing w:after="0"/>
              <w:rPr>
                <w:sz w:val="20"/>
                <w:szCs w:val="20"/>
                <w:color w:val="auto"/>
              </w:rPr>
            </w:pPr>
            <w:r>
              <w:rPr>
                <w:rFonts w:ascii="Arial" w:cs="Arial" w:eastAsia="Arial" w:hAnsi="Arial"/>
                <w:sz w:val="13"/>
                <w:szCs w:val="13"/>
                <w:b w:val="1"/>
                <w:bCs w:val="1"/>
                <w:color w:val="FFFFFE"/>
              </w:rPr>
              <w:t>Name</w:t>
            </w:r>
          </w:p>
        </w:tc>
        <w:tc>
          <w:tcPr>
            <w:tcW w:w="2980" w:type="dxa"/>
            <w:vAlign w:val="bottom"/>
            <w:vMerge w:val="restart"/>
            <w:shd w:val="clear" w:color="auto" w:fill="53C072"/>
          </w:tcPr>
          <w:p>
            <w:pPr>
              <w:ind w:left="160"/>
              <w:spacing w:after="0"/>
              <w:rPr>
                <w:sz w:val="20"/>
                <w:szCs w:val="20"/>
                <w:color w:val="auto"/>
              </w:rPr>
            </w:pPr>
            <w:r>
              <w:rPr>
                <w:rFonts w:ascii="Arial" w:cs="Arial" w:eastAsia="Arial" w:hAnsi="Arial"/>
                <w:sz w:val="13"/>
                <w:szCs w:val="13"/>
                <w:b w:val="1"/>
                <w:bCs w:val="1"/>
                <w:color w:val="FFFFFE"/>
              </w:rPr>
              <w:t>Plan Name</w:t>
            </w:r>
          </w:p>
        </w:tc>
        <w:tc>
          <w:tcPr>
            <w:tcW w:w="1300" w:type="dxa"/>
            <w:vAlign w:val="bottom"/>
            <w:shd w:val="clear" w:color="auto" w:fill="53C072"/>
          </w:tcPr>
          <w:p>
            <w:pPr>
              <w:jc w:val="right"/>
              <w:ind w:right="66"/>
              <w:spacing w:after="0" w:line="146" w:lineRule="exact"/>
              <w:rPr>
                <w:sz w:val="20"/>
                <w:szCs w:val="20"/>
                <w:color w:val="auto"/>
              </w:rPr>
            </w:pPr>
            <w:r>
              <w:rPr>
                <w:rFonts w:ascii="Arial" w:cs="Arial" w:eastAsia="Arial" w:hAnsi="Arial"/>
                <w:sz w:val="13"/>
                <w:szCs w:val="13"/>
                <w:b w:val="1"/>
                <w:bCs w:val="1"/>
                <w:color w:val="FFFFFE"/>
              </w:rPr>
              <w:t>Service</w:t>
            </w:r>
          </w:p>
        </w:tc>
        <w:tc>
          <w:tcPr>
            <w:tcW w:w="1140" w:type="dxa"/>
            <w:vAlign w:val="bottom"/>
            <w:shd w:val="clear" w:color="auto" w:fill="53C072"/>
          </w:tcPr>
          <w:p>
            <w:pPr>
              <w:jc w:val="right"/>
              <w:ind w:right="106"/>
              <w:spacing w:after="0" w:line="146" w:lineRule="exact"/>
              <w:rPr>
                <w:sz w:val="20"/>
                <w:szCs w:val="20"/>
                <w:color w:val="auto"/>
              </w:rPr>
            </w:pPr>
            <w:r>
              <w:rPr>
                <w:rFonts w:ascii="Arial" w:cs="Arial" w:eastAsia="Arial" w:hAnsi="Arial"/>
                <w:sz w:val="13"/>
                <w:szCs w:val="13"/>
                <w:b w:val="1"/>
                <w:bCs w:val="1"/>
                <w:color w:val="FFFFFE"/>
              </w:rPr>
              <w:t>Benefit</w:t>
            </w:r>
          </w:p>
        </w:tc>
        <w:tc>
          <w:tcPr>
            <w:tcW w:w="84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Fiscal Year</w:t>
            </w:r>
          </w:p>
        </w:tc>
        <w:tc>
          <w:tcPr>
            <w:tcW w:w="0" w:type="dxa"/>
            <w:vAlign w:val="bottom"/>
          </w:tcPr>
          <w:p>
            <w:pPr>
              <w:spacing w:after="0"/>
              <w:rPr>
                <w:sz w:val="1"/>
                <w:szCs w:val="1"/>
                <w:color w:val="auto"/>
              </w:rPr>
            </w:pPr>
          </w:p>
        </w:tc>
      </w:tr>
      <w:tr>
        <w:trPr>
          <w:trHeight w:val="146"/>
        </w:trPr>
        <w:tc>
          <w:tcPr>
            <w:tcW w:w="2020" w:type="dxa"/>
            <w:vAlign w:val="bottom"/>
            <w:vMerge w:val="continue"/>
            <w:shd w:val="clear" w:color="auto" w:fill="53C072"/>
          </w:tcPr>
          <w:p>
            <w:pPr>
              <w:spacing w:after="0"/>
              <w:rPr>
                <w:sz w:val="12"/>
                <w:szCs w:val="12"/>
                <w:color w:val="auto"/>
              </w:rPr>
            </w:pPr>
          </w:p>
        </w:tc>
        <w:tc>
          <w:tcPr>
            <w:tcW w:w="2980" w:type="dxa"/>
            <w:vAlign w:val="bottom"/>
            <w:vMerge w:val="continue"/>
            <w:shd w:val="clear" w:color="auto" w:fill="53C072"/>
          </w:tcPr>
          <w:p>
            <w:pPr>
              <w:spacing w:after="0"/>
              <w:rPr>
                <w:sz w:val="12"/>
                <w:szCs w:val="12"/>
                <w:color w:val="auto"/>
              </w:rPr>
            </w:pPr>
          </w:p>
        </w:tc>
        <w:tc>
          <w:tcPr>
            <w:tcW w:w="1300" w:type="dxa"/>
            <w:vAlign w:val="bottom"/>
            <w:shd w:val="clear" w:color="auto" w:fill="53C072"/>
          </w:tcPr>
          <w:p>
            <w:pPr>
              <w:jc w:val="right"/>
              <w:ind w:right="66"/>
              <w:spacing w:after="0" w:line="146" w:lineRule="exact"/>
              <w:rPr>
                <w:sz w:val="20"/>
                <w:szCs w:val="20"/>
                <w:color w:val="auto"/>
              </w:rPr>
            </w:pPr>
            <w:r>
              <w:rPr>
                <w:rFonts w:ascii="Arial" w:cs="Arial" w:eastAsia="Arial" w:hAnsi="Arial"/>
                <w:sz w:val="13"/>
                <w:szCs w:val="13"/>
                <w:b w:val="1"/>
                <w:bCs w:val="1"/>
                <w:color w:val="FFFFFE"/>
              </w:rPr>
              <w:t>(#)(1)</w:t>
            </w:r>
          </w:p>
        </w:tc>
        <w:tc>
          <w:tcPr>
            <w:tcW w:w="1140" w:type="dxa"/>
            <w:vAlign w:val="bottom"/>
            <w:shd w:val="clear" w:color="auto" w:fill="53C072"/>
          </w:tcPr>
          <w:p>
            <w:pPr>
              <w:jc w:val="right"/>
              <w:ind w:right="106"/>
              <w:spacing w:after="0" w:line="146" w:lineRule="exact"/>
              <w:rPr>
                <w:sz w:val="20"/>
                <w:szCs w:val="20"/>
                <w:color w:val="auto"/>
              </w:rPr>
            </w:pPr>
            <w:r>
              <w:rPr>
                <w:rFonts w:ascii="Arial" w:cs="Arial" w:eastAsia="Arial" w:hAnsi="Arial"/>
                <w:sz w:val="13"/>
                <w:szCs w:val="13"/>
                <w:b w:val="1"/>
                <w:bCs w:val="1"/>
                <w:color w:val="FFFFFE"/>
              </w:rPr>
              <w:t>($)</w:t>
            </w:r>
          </w:p>
        </w:tc>
        <w:tc>
          <w:tcPr>
            <w:tcW w:w="84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w:t>
            </w:r>
          </w:p>
        </w:tc>
        <w:tc>
          <w:tcPr>
            <w:tcW w:w="0" w:type="dxa"/>
            <w:vAlign w:val="bottom"/>
          </w:tcPr>
          <w:p>
            <w:pPr>
              <w:spacing w:after="0"/>
              <w:rPr>
                <w:sz w:val="1"/>
                <w:szCs w:val="1"/>
                <w:color w:val="auto"/>
              </w:rPr>
            </w:pPr>
          </w:p>
        </w:tc>
      </w:tr>
      <w:tr>
        <w:trPr>
          <w:trHeight w:val="159"/>
        </w:trPr>
        <w:tc>
          <w:tcPr>
            <w:tcW w:w="2020" w:type="dxa"/>
            <w:vAlign w:val="bottom"/>
            <w:shd w:val="clear" w:color="auto" w:fill="53C072"/>
          </w:tcPr>
          <w:p>
            <w:pPr>
              <w:spacing w:after="0"/>
              <w:rPr>
                <w:sz w:val="20"/>
                <w:szCs w:val="20"/>
                <w:color w:val="auto"/>
              </w:rPr>
            </w:pPr>
            <w:r>
              <w:rPr>
                <w:rFonts w:ascii="Arial" w:cs="Arial" w:eastAsia="Arial" w:hAnsi="Arial"/>
                <w:sz w:val="13"/>
                <w:szCs w:val="13"/>
                <w:b w:val="1"/>
                <w:bCs w:val="1"/>
                <w:color w:val="FFFFFE"/>
              </w:rPr>
              <w:t>(a)</w:t>
            </w:r>
          </w:p>
        </w:tc>
        <w:tc>
          <w:tcPr>
            <w:tcW w:w="2980" w:type="dxa"/>
            <w:vAlign w:val="bottom"/>
            <w:shd w:val="clear" w:color="auto" w:fill="53C072"/>
          </w:tcPr>
          <w:p>
            <w:pPr>
              <w:ind w:left="160"/>
              <w:spacing w:after="0"/>
              <w:rPr>
                <w:sz w:val="20"/>
                <w:szCs w:val="20"/>
                <w:color w:val="auto"/>
              </w:rPr>
            </w:pPr>
            <w:r>
              <w:rPr>
                <w:rFonts w:ascii="Arial" w:cs="Arial" w:eastAsia="Arial" w:hAnsi="Arial"/>
                <w:sz w:val="13"/>
                <w:szCs w:val="13"/>
                <w:b w:val="1"/>
                <w:bCs w:val="1"/>
                <w:color w:val="FFFFFE"/>
              </w:rPr>
              <w:t>(b)</w:t>
            </w:r>
          </w:p>
        </w:tc>
        <w:tc>
          <w:tcPr>
            <w:tcW w:w="1300" w:type="dxa"/>
            <w:vAlign w:val="bottom"/>
            <w:shd w:val="clear" w:color="auto" w:fill="53C072"/>
          </w:tcPr>
          <w:p>
            <w:pPr>
              <w:jc w:val="right"/>
              <w:ind w:right="66"/>
              <w:spacing w:after="0"/>
              <w:rPr>
                <w:sz w:val="20"/>
                <w:szCs w:val="20"/>
                <w:color w:val="auto"/>
              </w:rPr>
            </w:pPr>
            <w:r>
              <w:rPr>
                <w:rFonts w:ascii="Arial" w:cs="Arial" w:eastAsia="Arial" w:hAnsi="Arial"/>
                <w:sz w:val="13"/>
                <w:szCs w:val="13"/>
                <w:b w:val="1"/>
                <w:bCs w:val="1"/>
                <w:color w:val="FFFFFE"/>
              </w:rPr>
              <w:t>(c)</w:t>
            </w:r>
          </w:p>
        </w:tc>
        <w:tc>
          <w:tcPr>
            <w:tcW w:w="1140" w:type="dxa"/>
            <w:vAlign w:val="bottom"/>
            <w:shd w:val="clear" w:color="auto" w:fill="53C072"/>
          </w:tcPr>
          <w:p>
            <w:pPr>
              <w:jc w:val="right"/>
              <w:ind w:right="106"/>
              <w:spacing w:after="0"/>
              <w:rPr>
                <w:sz w:val="20"/>
                <w:szCs w:val="20"/>
                <w:color w:val="auto"/>
              </w:rPr>
            </w:pPr>
            <w:r>
              <w:rPr>
                <w:rFonts w:ascii="Arial" w:cs="Arial" w:eastAsia="Arial" w:hAnsi="Arial"/>
                <w:sz w:val="13"/>
                <w:szCs w:val="13"/>
                <w:b w:val="1"/>
                <w:bCs w:val="1"/>
                <w:color w:val="FFFFFE"/>
              </w:rPr>
              <w:t>(d)</w:t>
            </w:r>
          </w:p>
        </w:tc>
        <w:tc>
          <w:tcPr>
            <w:tcW w:w="8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(e)</w:t>
            </w:r>
          </w:p>
        </w:tc>
        <w:tc>
          <w:tcPr>
            <w:tcW w:w="0" w:type="dxa"/>
            <w:vAlign w:val="bottom"/>
          </w:tcPr>
          <w:p>
            <w:pPr>
              <w:spacing w:after="0"/>
              <w:rPr>
                <w:sz w:val="1"/>
                <w:szCs w:val="1"/>
                <w:color w:val="auto"/>
              </w:rPr>
            </w:pPr>
          </w:p>
        </w:tc>
      </w:tr>
      <w:tr>
        <w:trPr>
          <w:trHeight w:val="165"/>
        </w:trPr>
        <w:tc>
          <w:tcPr>
            <w:tcW w:w="2020" w:type="dxa"/>
            <w:vAlign w:val="bottom"/>
          </w:tcPr>
          <w:p>
            <w:pPr>
              <w:spacing w:after="0" w:line="165" w:lineRule="exact"/>
              <w:rPr>
                <w:sz w:val="20"/>
                <w:szCs w:val="20"/>
                <w:color w:val="auto"/>
              </w:rPr>
            </w:pPr>
            <w:r>
              <w:rPr>
                <w:rFonts w:ascii="Arial" w:cs="Arial" w:eastAsia="Arial" w:hAnsi="Arial"/>
                <w:sz w:val="16"/>
                <w:szCs w:val="16"/>
                <w:color w:val="auto"/>
              </w:rPr>
              <w:t>William J. Amelio</w:t>
            </w:r>
          </w:p>
        </w:tc>
        <w:tc>
          <w:tcPr>
            <w:tcW w:w="2980" w:type="dxa"/>
            <w:vAlign w:val="bottom"/>
          </w:tcPr>
          <w:p>
            <w:pPr>
              <w:ind w:left="160"/>
              <w:spacing w:after="0" w:line="165" w:lineRule="exact"/>
              <w:rPr>
                <w:sz w:val="20"/>
                <w:szCs w:val="20"/>
                <w:color w:val="auto"/>
              </w:rPr>
            </w:pPr>
            <w:r>
              <w:rPr>
                <w:rFonts w:ascii="Arial" w:cs="Arial" w:eastAsia="Arial" w:hAnsi="Arial"/>
                <w:sz w:val="16"/>
                <w:szCs w:val="16"/>
                <w:color w:val="auto"/>
              </w:rPr>
              <w:t>Pension Plan</w:t>
            </w:r>
          </w:p>
        </w:tc>
        <w:tc>
          <w:tcPr>
            <w:tcW w:w="1300" w:type="dxa"/>
            <w:vAlign w:val="bottom"/>
          </w:tcPr>
          <w:p>
            <w:pPr>
              <w:jc w:val="right"/>
              <w:ind w:right="66"/>
              <w:spacing w:after="0" w:line="165" w:lineRule="exact"/>
              <w:rPr>
                <w:sz w:val="20"/>
                <w:szCs w:val="20"/>
                <w:color w:val="auto"/>
              </w:rPr>
            </w:pPr>
            <w:r>
              <w:rPr>
                <w:rFonts w:ascii="Arial" w:cs="Arial" w:eastAsia="Arial" w:hAnsi="Arial"/>
                <w:sz w:val="16"/>
                <w:szCs w:val="16"/>
                <w:color w:val="auto"/>
              </w:rPr>
              <w:t>2.5</w:t>
            </w:r>
          </w:p>
        </w:tc>
        <w:tc>
          <w:tcPr>
            <w:tcW w:w="1140" w:type="dxa"/>
            <w:vAlign w:val="bottom"/>
          </w:tcPr>
          <w:p>
            <w:pPr>
              <w:jc w:val="right"/>
              <w:ind w:right="106"/>
              <w:spacing w:after="0" w:line="165" w:lineRule="exact"/>
              <w:rPr>
                <w:sz w:val="20"/>
                <w:szCs w:val="20"/>
                <w:color w:val="auto"/>
              </w:rPr>
            </w:pPr>
            <w:r>
              <w:rPr>
                <w:rFonts w:ascii="Arial" w:cs="Arial" w:eastAsia="Arial" w:hAnsi="Arial"/>
                <w:sz w:val="16"/>
                <w:szCs w:val="16"/>
                <w:color w:val="auto"/>
              </w:rPr>
              <w:t>65,105</w:t>
            </w:r>
          </w:p>
        </w:tc>
        <w:tc>
          <w:tcPr>
            <w:tcW w:w="840" w:type="dxa"/>
            <w:vAlign w:val="bottom"/>
          </w:tcPr>
          <w:p>
            <w:pPr>
              <w:jc w:val="right"/>
              <w:spacing w:after="0" w:line="16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20" w:type="dxa"/>
            <w:vAlign w:val="bottom"/>
          </w:tcPr>
          <w:p>
            <w:pPr>
              <w:spacing w:after="0"/>
              <w:rPr>
                <w:sz w:val="17"/>
                <w:szCs w:val="17"/>
                <w:color w:val="auto"/>
              </w:rPr>
            </w:pPr>
          </w:p>
        </w:tc>
        <w:tc>
          <w:tcPr>
            <w:tcW w:w="2980" w:type="dxa"/>
            <w:vAlign w:val="bottom"/>
          </w:tcPr>
          <w:p>
            <w:pPr>
              <w:ind w:left="160"/>
              <w:spacing w:after="0"/>
              <w:rPr>
                <w:sz w:val="20"/>
                <w:szCs w:val="20"/>
                <w:color w:val="auto"/>
              </w:rPr>
            </w:pPr>
            <w:r>
              <w:rPr>
                <w:rFonts w:ascii="Arial" w:cs="Arial" w:eastAsia="Arial" w:hAnsi="Arial"/>
                <w:sz w:val="16"/>
                <w:szCs w:val="16"/>
                <w:color w:val="auto"/>
              </w:rPr>
              <w:t>Restoration Plan</w:t>
            </w:r>
          </w:p>
        </w:tc>
        <w:tc>
          <w:tcPr>
            <w:tcW w:w="1300" w:type="dxa"/>
            <w:vAlign w:val="bottom"/>
          </w:tcPr>
          <w:p>
            <w:pPr>
              <w:jc w:val="right"/>
              <w:ind w:right="66"/>
              <w:spacing w:after="0"/>
              <w:rPr>
                <w:sz w:val="20"/>
                <w:szCs w:val="20"/>
                <w:color w:val="auto"/>
              </w:rPr>
            </w:pPr>
            <w:r>
              <w:rPr>
                <w:rFonts w:ascii="Arial" w:cs="Arial" w:eastAsia="Arial" w:hAnsi="Arial"/>
                <w:sz w:val="16"/>
                <w:szCs w:val="16"/>
                <w:color w:val="auto"/>
              </w:rPr>
              <w:t>2.5</w:t>
            </w:r>
          </w:p>
        </w:tc>
        <w:tc>
          <w:tcPr>
            <w:tcW w:w="1140" w:type="dxa"/>
            <w:vAlign w:val="bottom"/>
          </w:tcPr>
          <w:p>
            <w:pPr>
              <w:jc w:val="right"/>
              <w:ind w:right="106"/>
              <w:spacing w:after="0"/>
              <w:rPr>
                <w:sz w:val="20"/>
                <w:szCs w:val="20"/>
                <w:color w:val="auto"/>
              </w:rPr>
            </w:pPr>
            <w:r>
              <w:rPr>
                <w:rFonts w:ascii="Arial" w:cs="Arial" w:eastAsia="Arial" w:hAnsi="Arial"/>
                <w:sz w:val="16"/>
                <w:szCs w:val="16"/>
                <w:color w:val="auto"/>
              </w:rPr>
              <w:t>351,612</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2020" w:type="dxa"/>
            <w:vAlign w:val="bottom"/>
            <w:shd w:val="clear" w:color="auto" w:fill="E8F5EA"/>
          </w:tcPr>
          <w:p>
            <w:pPr>
              <w:spacing w:after="0" w:line="182" w:lineRule="exact"/>
              <w:rPr>
                <w:sz w:val="20"/>
                <w:szCs w:val="20"/>
                <w:color w:val="auto"/>
              </w:rPr>
            </w:pPr>
            <w:r>
              <w:rPr>
                <w:rFonts w:ascii="Arial" w:cs="Arial" w:eastAsia="Arial" w:hAnsi="Arial"/>
                <w:sz w:val="16"/>
                <w:szCs w:val="16"/>
                <w:color w:val="auto"/>
              </w:rPr>
              <w:t>Thomas Liguori</w:t>
            </w:r>
          </w:p>
        </w:tc>
        <w:tc>
          <w:tcPr>
            <w:tcW w:w="2980" w:type="dxa"/>
            <w:vAlign w:val="bottom"/>
            <w:shd w:val="clear" w:color="auto" w:fill="E8F5EA"/>
          </w:tcPr>
          <w:p>
            <w:pPr>
              <w:ind w:left="160"/>
              <w:spacing w:after="0" w:line="182" w:lineRule="exact"/>
              <w:rPr>
                <w:sz w:val="20"/>
                <w:szCs w:val="20"/>
                <w:color w:val="auto"/>
              </w:rPr>
            </w:pPr>
            <w:r>
              <w:rPr>
                <w:rFonts w:ascii="Arial" w:cs="Arial" w:eastAsia="Arial" w:hAnsi="Arial"/>
                <w:sz w:val="16"/>
                <w:szCs w:val="16"/>
                <w:color w:val="auto"/>
              </w:rPr>
              <w:t>Pension Plan</w:t>
            </w:r>
          </w:p>
        </w:tc>
        <w:tc>
          <w:tcPr>
            <w:tcW w:w="1300" w:type="dxa"/>
            <w:vAlign w:val="bottom"/>
            <w:shd w:val="clear" w:color="auto" w:fill="E8F5EA"/>
          </w:tcPr>
          <w:p>
            <w:pPr>
              <w:jc w:val="right"/>
              <w:ind w:right="66"/>
              <w:spacing w:after="0" w:line="182" w:lineRule="exact"/>
              <w:rPr>
                <w:sz w:val="20"/>
                <w:szCs w:val="20"/>
                <w:color w:val="auto"/>
              </w:rPr>
            </w:pPr>
            <w:r>
              <w:rPr>
                <w:rFonts w:ascii="Arial" w:cs="Arial" w:eastAsia="Arial" w:hAnsi="Arial"/>
                <w:sz w:val="16"/>
                <w:szCs w:val="16"/>
                <w:color w:val="auto"/>
              </w:rPr>
              <w:t>1.0</w:t>
            </w:r>
          </w:p>
        </w:tc>
        <w:tc>
          <w:tcPr>
            <w:tcW w:w="1140" w:type="dxa"/>
            <w:vAlign w:val="bottom"/>
            <w:shd w:val="clear" w:color="auto" w:fill="E8F5EA"/>
          </w:tcPr>
          <w:p>
            <w:pPr>
              <w:jc w:val="right"/>
              <w:ind w:right="106"/>
              <w:spacing w:after="0" w:line="182" w:lineRule="exact"/>
              <w:rPr>
                <w:sz w:val="20"/>
                <w:szCs w:val="20"/>
                <w:color w:val="auto"/>
              </w:rPr>
            </w:pPr>
            <w:r>
              <w:rPr>
                <w:rFonts w:ascii="Arial" w:cs="Arial" w:eastAsia="Arial" w:hAnsi="Arial"/>
                <w:sz w:val="16"/>
                <w:szCs w:val="16"/>
                <w:color w:val="auto"/>
              </w:rPr>
              <w:t>41,226</w:t>
            </w:r>
          </w:p>
        </w:tc>
        <w:tc>
          <w:tcPr>
            <w:tcW w:w="84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2020" w:type="dxa"/>
            <w:vAlign w:val="bottom"/>
            <w:shd w:val="clear" w:color="auto" w:fill="E8F5EA"/>
          </w:tcPr>
          <w:p>
            <w:pPr>
              <w:spacing w:after="0"/>
              <w:rPr>
                <w:sz w:val="15"/>
                <w:szCs w:val="15"/>
                <w:color w:val="auto"/>
              </w:rPr>
            </w:pPr>
          </w:p>
        </w:tc>
        <w:tc>
          <w:tcPr>
            <w:tcW w:w="2980" w:type="dxa"/>
            <w:vAlign w:val="bottom"/>
            <w:shd w:val="clear" w:color="auto" w:fill="E8F5EA"/>
          </w:tcPr>
          <w:p>
            <w:pPr>
              <w:ind w:left="160"/>
              <w:spacing w:after="0" w:line="182" w:lineRule="exact"/>
              <w:rPr>
                <w:sz w:val="20"/>
                <w:szCs w:val="20"/>
                <w:color w:val="auto"/>
              </w:rPr>
            </w:pPr>
            <w:r>
              <w:rPr>
                <w:rFonts w:ascii="Arial" w:cs="Arial" w:eastAsia="Arial" w:hAnsi="Arial"/>
                <w:sz w:val="16"/>
                <w:szCs w:val="16"/>
                <w:color w:val="auto"/>
              </w:rPr>
              <w:t>Restoration Plan</w:t>
            </w:r>
          </w:p>
        </w:tc>
        <w:tc>
          <w:tcPr>
            <w:tcW w:w="1300" w:type="dxa"/>
            <w:vAlign w:val="bottom"/>
            <w:shd w:val="clear" w:color="auto" w:fill="E8F5EA"/>
          </w:tcPr>
          <w:p>
            <w:pPr>
              <w:jc w:val="right"/>
              <w:ind w:right="66"/>
              <w:spacing w:after="0" w:line="182" w:lineRule="exact"/>
              <w:rPr>
                <w:sz w:val="20"/>
                <w:szCs w:val="20"/>
                <w:color w:val="auto"/>
              </w:rPr>
            </w:pPr>
            <w:r>
              <w:rPr>
                <w:rFonts w:ascii="Arial" w:cs="Arial" w:eastAsia="Arial" w:hAnsi="Arial"/>
                <w:sz w:val="16"/>
                <w:szCs w:val="16"/>
                <w:color w:val="auto"/>
              </w:rPr>
              <w:t>1.0</w:t>
            </w:r>
          </w:p>
        </w:tc>
        <w:tc>
          <w:tcPr>
            <w:tcW w:w="1140" w:type="dxa"/>
            <w:vAlign w:val="bottom"/>
            <w:shd w:val="clear" w:color="auto" w:fill="E8F5EA"/>
          </w:tcPr>
          <w:p>
            <w:pPr>
              <w:jc w:val="right"/>
              <w:ind w:right="106"/>
              <w:spacing w:after="0" w:line="182" w:lineRule="exact"/>
              <w:rPr>
                <w:sz w:val="20"/>
                <w:szCs w:val="20"/>
                <w:color w:val="auto"/>
              </w:rPr>
            </w:pPr>
            <w:r>
              <w:rPr>
                <w:rFonts w:ascii="Arial" w:cs="Arial" w:eastAsia="Arial" w:hAnsi="Arial"/>
                <w:sz w:val="16"/>
                <w:szCs w:val="16"/>
                <w:color w:val="auto"/>
              </w:rPr>
              <w:t>32,792</w:t>
            </w:r>
          </w:p>
        </w:tc>
        <w:tc>
          <w:tcPr>
            <w:tcW w:w="84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2020" w:type="dxa"/>
            <w:vAlign w:val="bottom"/>
          </w:tcPr>
          <w:p>
            <w:pPr>
              <w:spacing w:after="0" w:line="165" w:lineRule="exact"/>
              <w:rPr>
                <w:sz w:val="20"/>
                <w:szCs w:val="20"/>
                <w:color w:val="auto"/>
              </w:rPr>
            </w:pPr>
            <w:r>
              <w:rPr>
                <w:rFonts w:ascii="Arial" w:cs="Arial" w:eastAsia="Arial" w:hAnsi="Arial"/>
                <w:sz w:val="16"/>
                <w:szCs w:val="16"/>
                <w:color w:val="auto"/>
              </w:rPr>
              <w:t>Peter G. Bartolotta</w:t>
            </w:r>
          </w:p>
        </w:tc>
        <w:tc>
          <w:tcPr>
            <w:tcW w:w="2980" w:type="dxa"/>
            <w:vAlign w:val="bottom"/>
          </w:tcPr>
          <w:p>
            <w:pPr>
              <w:ind w:left="160"/>
              <w:spacing w:after="0" w:line="165" w:lineRule="exact"/>
              <w:rPr>
                <w:sz w:val="20"/>
                <w:szCs w:val="20"/>
                <w:color w:val="auto"/>
              </w:rPr>
            </w:pPr>
            <w:r>
              <w:rPr>
                <w:rFonts w:ascii="Arial" w:cs="Arial" w:eastAsia="Arial" w:hAnsi="Arial"/>
                <w:sz w:val="16"/>
                <w:szCs w:val="16"/>
                <w:color w:val="auto"/>
              </w:rPr>
              <w:t>Pension Plan</w:t>
            </w:r>
          </w:p>
        </w:tc>
        <w:tc>
          <w:tcPr>
            <w:tcW w:w="1300" w:type="dxa"/>
            <w:vAlign w:val="bottom"/>
          </w:tcPr>
          <w:p>
            <w:pPr>
              <w:jc w:val="right"/>
              <w:ind w:right="66"/>
              <w:spacing w:after="0" w:line="165" w:lineRule="exact"/>
              <w:rPr>
                <w:sz w:val="20"/>
                <w:szCs w:val="20"/>
                <w:color w:val="auto"/>
              </w:rPr>
            </w:pPr>
            <w:r>
              <w:rPr>
                <w:rFonts w:ascii="Arial" w:cs="Arial" w:eastAsia="Arial" w:hAnsi="Arial"/>
                <w:sz w:val="16"/>
                <w:szCs w:val="16"/>
                <w:color w:val="auto"/>
              </w:rPr>
              <w:t>2.5</w:t>
            </w:r>
          </w:p>
        </w:tc>
        <w:tc>
          <w:tcPr>
            <w:tcW w:w="1140" w:type="dxa"/>
            <w:vAlign w:val="bottom"/>
          </w:tcPr>
          <w:p>
            <w:pPr>
              <w:jc w:val="right"/>
              <w:ind w:right="106"/>
              <w:spacing w:after="0" w:line="165" w:lineRule="exact"/>
              <w:rPr>
                <w:sz w:val="20"/>
                <w:szCs w:val="20"/>
                <w:color w:val="auto"/>
              </w:rPr>
            </w:pPr>
            <w:r>
              <w:rPr>
                <w:rFonts w:ascii="Arial" w:cs="Arial" w:eastAsia="Arial" w:hAnsi="Arial"/>
                <w:sz w:val="16"/>
                <w:szCs w:val="16"/>
                <w:color w:val="auto"/>
              </w:rPr>
              <w:t>60,926</w:t>
            </w:r>
          </w:p>
        </w:tc>
        <w:tc>
          <w:tcPr>
            <w:tcW w:w="840" w:type="dxa"/>
            <w:vAlign w:val="bottom"/>
          </w:tcPr>
          <w:p>
            <w:pPr>
              <w:jc w:val="right"/>
              <w:spacing w:after="0" w:line="16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20" w:type="dxa"/>
            <w:vAlign w:val="bottom"/>
          </w:tcPr>
          <w:p>
            <w:pPr>
              <w:spacing w:after="0"/>
              <w:rPr>
                <w:sz w:val="17"/>
                <w:szCs w:val="17"/>
                <w:color w:val="auto"/>
              </w:rPr>
            </w:pPr>
          </w:p>
        </w:tc>
        <w:tc>
          <w:tcPr>
            <w:tcW w:w="2980" w:type="dxa"/>
            <w:vAlign w:val="bottom"/>
          </w:tcPr>
          <w:p>
            <w:pPr>
              <w:ind w:left="160"/>
              <w:spacing w:after="0"/>
              <w:rPr>
                <w:sz w:val="20"/>
                <w:szCs w:val="20"/>
                <w:color w:val="auto"/>
              </w:rPr>
            </w:pPr>
            <w:r>
              <w:rPr>
                <w:rFonts w:ascii="Arial" w:cs="Arial" w:eastAsia="Arial" w:hAnsi="Arial"/>
                <w:sz w:val="16"/>
                <w:szCs w:val="16"/>
                <w:color w:val="auto"/>
              </w:rPr>
              <w:t>Restoration Plan</w:t>
            </w:r>
          </w:p>
        </w:tc>
        <w:tc>
          <w:tcPr>
            <w:tcW w:w="1300" w:type="dxa"/>
            <w:vAlign w:val="bottom"/>
          </w:tcPr>
          <w:p>
            <w:pPr>
              <w:jc w:val="right"/>
              <w:ind w:right="66"/>
              <w:spacing w:after="0"/>
              <w:rPr>
                <w:sz w:val="20"/>
                <w:szCs w:val="20"/>
                <w:color w:val="auto"/>
              </w:rPr>
            </w:pPr>
            <w:r>
              <w:rPr>
                <w:rFonts w:ascii="Arial" w:cs="Arial" w:eastAsia="Arial" w:hAnsi="Arial"/>
                <w:sz w:val="16"/>
                <w:szCs w:val="16"/>
                <w:color w:val="auto"/>
              </w:rPr>
              <w:t>2.5</w:t>
            </w:r>
          </w:p>
        </w:tc>
        <w:tc>
          <w:tcPr>
            <w:tcW w:w="1140" w:type="dxa"/>
            <w:vAlign w:val="bottom"/>
          </w:tcPr>
          <w:p>
            <w:pPr>
              <w:jc w:val="right"/>
              <w:ind w:right="106"/>
              <w:spacing w:after="0"/>
              <w:rPr>
                <w:sz w:val="20"/>
                <w:szCs w:val="20"/>
                <w:color w:val="auto"/>
              </w:rPr>
            </w:pPr>
            <w:r>
              <w:rPr>
                <w:rFonts w:ascii="Arial" w:cs="Arial" w:eastAsia="Arial" w:hAnsi="Arial"/>
                <w:sz w:val="16"/>
                <w:szCs w:val="16"/>
                <w:color w:val="auto"/>
              </w:rPr>
              <w:t>122,086</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2020" w:type="dxa"/>
            <w:vAlign w:val="bottom"/>
            <w:shd w:val="clear" w:color="auto" w:fill="E8F5EA"/>
          </w:tcPr>
          <w:p>
            <w:pPr>
              <w:spacing w:after="0" w:line="182" w:lineRule="exact"/>
              <w:rPr>
                <w:sz w:val="20"/>
                <w:szCs w:val="20"/>
                <w:color w:val="auto"/>
              </w:rPr>
            </w:pPr>
            <w:r>
              <w:rPr>
                <w:rFonts w:ascii="Arial" w:cs="Arial" w:eastAsia="Arial" w:hAnsi="Arial"/>
                <w:sz w:val="16"/>
                <w:szCs w:val="16"/>
                <w:color w:val="auto"/>
              </w:rPr>
              <w:t>Philip R. Gallagher</w:t>
            </w:r>
          </w:p>
        </w:tc>
        <w:tc>
          <w:tcPr>
            <w:tcW w:w="2980" w:type="dxa"/>
            <w:vAlign w:val="bottom"/>
            <w:shd w:val="clear" w:color="auto" w:fill="E8F5EA"/>
          </w:tcPr>
          <w:p>
            <w:pPr>
              <w:ind w:left="160"/>
              <w:spacing w:after="0" w:line="182" w:lineRule="exact"/>
              <w:rPr>
                <w:sz w:val="20"/>
                <w:szCs w:val="20"/>
                <w:color w:val="auto"/>
              </w:rPr>
            </w:pPr>
            <w:r>
              <w:rPr>
                <w:rFonts w:ascii="Arial" w:cs="Arial" w:eastAsia="Arial" w:hAnsi="Arial"/>
                <w:sz w:val="16"/>
                <w:szCs w:val="16"/>
                <w:color w:val="auto"/>
              </w:rPr>
              <w:t>Pension Plan</w:t>
            </w:r>
          </w:p>
        </w:tc>
        <w:tc>
          <w:tcPr>
            <w:tcW w:w="1300" w:type="dxa"/>
            <w:vAlign w:val="bottom"/>
            <w:shd w:val="clear" w:color="auto" w:fill="E8F5EA"/>
          </w:tcPr>
          <w:p>
            <w:pPr>
              <w:jc w:val="right"/>
              <w:ind w:right="66"/>
              <w:spacing w:after="0" w:line="182" w:lineRule="exact"/>
              <w:rPr>
                <w:sz w:val="20"/>
                <w:szCs w:val="20"/>
                <w:color w:val="auto"/>
              </w:rPr>
            </w:pPr>
            <w:r>
              <w:rPr>
                <w:rFonts w:ascii="Arial" w:cs="Arial" w:eastAsia="Arial" w:hAnsi="Arial"/>
                <w:sz w:val="16"/>
                <w:szCs w:val="16"/>
                <w:color w:val="auto"/>
              </w:rPr>
              <w:t>35.6</w:t>
            </w:r>
          </w:p>
        </w:tc>
        <w:tc>
          <w:tcPr>
            <w:tcW w:w="1140" w:type="dxa"/>
            <w:vAlign w:val="bottom"/>
            <w:shd w:val="clear" w:color="auto" w:fill="E8F5EA"/>
          </w:tcPr>
          <w:p>
            <w:pPr>
              <w:jc w:val="right"/>
              <w:ind w:right="106"/>
              <w:spacing w:after="0" w:line="182" w:lineRule="exact"/>
              <w:rPr>
                <w:sz w:val="20"/>
                <w:szCs w:val="20"/>
                <w:color w:val="auto"/>
              </w:rPr>
            </w:pPr>
            <w:r>
              <w:rPr>
                <w:rFonts w:ascii="Arial" w:cs="Arial" w:eastAsia="Arial" w:hAnsi="Arial"/>
                <w:sz w:val="16"/>
                <w:szCs w:val="16"/>
                <w:color w:val="auto"/>
              </w:rPr>
              <w:t>80,386</w:t>
            </w:r>
          </w:p>
        </w:tc>
        <w:tc>
          <w:tcPr>
            <w:tcW w:w="84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2020" w:type="dxa"/>
            <w:vAlign w:val="bottom"/>
            <w:shd w:val="clear" w:color="auto" w:fill="E8F5EA"/>
          </w:tcPr>
          <w:p>
            <w:pPr>
              <w:spacing w:after="0"/>
              <w:rPr>
                <w:sz w:val="15"/>
                <w:szCs w:val="15"/>
                <w:color w:val="auto"/>
              </w:rPr>
            </w:pPr>
          </w:p>
        </w:tc>
        <w:tc>
          <w:tcPr>
            <w:tcW w:w="2980" w:type="dxa"/>
            <w:vAlign w:val="bottom"/>
            <w:shd w:val="clear" w:color="auto" w:fill="E8F5EA"/>
          </w:tcPr>
          <w:p>
            <w:pPr>
              <w:ind w:left="160"/>
              <w:spacing w:after="0" w:line="182" w:lineRule="exact"/>
              <w:rPr>
                <w:sz w:val="20"/>
                <w:szCs w:val="20"/>
                <w:color w:val="auto"/>
              </w:rPr>
            </w:pPr>
            <w:r>
              <w:rPr>
                <w:rFonts w:ascii="Arial" w:cs="Arial" w:eastAsia="Arial" w:hAnsi="Arial"/>
                <w:sz w:val="16"/>
                <w:szCs w:val="16"/>
                <w:color w:val="auto"/>
              </w:rPr>
              <w:t>Nonqualified Retirement Plans(2)</w:t>
            </w:r>
          </w:p>
        </w:tc>
        <w:tc>
          <w:tcPr>
            <w:tcW w:w="1300" w:type="dxa"/>
            <w:vAlign w:val="bottom"/>
            <w:shd w:val="clear" w:color="auto" w:fill="E8F5EA"/>
          </w:tcPr>
          <w:p>
            <w:pPr>
              <w:jc w:val="right"/>
              <w:ind w:right="66"/>
              <w:spacing w:after="0" w:line="182" w:lineRule="exact"/>
              <w:rPr>
                <w:sz w:val="20"/>
                <w:szCs w:val="20"/>
                <w:color w:val="auto"/>
              </w:rPr>
            </w:pPr>
            <w:r>
              <w:rPr>
                <w:rFonts w:ascii="Arial" w:cs="Arial" w:eastAsia="Arial" w:hAnsi="Arial"/>
                <w:sz w:val="16"/>
                <w:szCs w:val="16"/>
                <w:color w:val="auto"/>
              </w:rPr>
              <w:t>36.6</w:t>
            </w:r>
          </w:p>
        </w:tc>
        <w:tc>
          <w:tcPr>
            <w:tcW w:w="1140" w:type="dxa"/>
            <w:vAlign w:val="bottom"/>
            <w:shd w:val="clear" w:color="auto" w:fill="E8F5EA"/>
          </w:tcPr>
          <w:p>
            <w:pPr>
              <w:jc w:val="right"/>
              <w:ind w:right="106"/>
              <w:spacing w:after="0" w:line="182" w:lineRule="exact"/>
              <w:rPr>
                <w:sz w:val="20"/>
                <w:szCs w:val="20"/>
                <w:color w:val="auto"/>
              </w:rPr>
            </w:pPr>
            <w:r>
              <w:rPr>
                <w:rFonts w:ascii="Arial" w:cs="Arial" w:eastAsia="Arial" w:hAnsi="Arial"/>
                <w:sz w:val="16"/>
                <w:szCs w:val="16"/>
                <w:color w:val="auto"/>
              </w:rPr>
              <w:t>3,075,281</w:t>
            </w:r>
          </w:p>
        </w:tc>
        <w:tc>
          <w:tcPr>
            <w:tcW w:w="84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2020" w:type="dxa"/>
            <w:vAlign w:val="bottom"/>
          </w:tcPr>
          <w:p>
            <w:pPr>
              <w:spacing w:after="0" w:line="165" w:lineRule="exact"/>
              <w:rPr>
                <w:sz w:val="20"/>
                <w:szCs w:val="20"/>
                <w:color w:val="auto"/>
              </w:rPr>
            </w:pPr>
            <w:r>
              <w:rPr>
                <w:rFonts w:ascii="Arial" w:cs="Arial" w:eastAsia="Arial" w:hAnsi="Arial"/>
                <w:sz w:val="16"/>
                <w:szCs w:val="16"/>
                <w:color w:val="auto"/>
              </w:rPr>
              <w:t>MaryAnn G. Miller</w:t>
            </w:r>
          </w:p>
        </w:tc>
        <w:tc>
          <w:tcPr>
            <w:tcW w:w="2980" w:type="dxa"/>
            <w:vAlign w:val="bottom"/>
          </w:tcPr>
          <w:p>
            <w:pPr>
              <w:ind w:left="160"/>
              <w:spacing w:after="0" w:line="165" w:lineRule="exact"/>
              <w:rPr>
                <w:sz w:val="20"/>
                <w:szCs w:val="20"/>
                <w:color w:val="auto"/>
              </w:rPr>
            </w:pPr>
            <w:r>
              <w:rPr>
                <w:rFonts w:ascii="Arial" w:cs="Arial" w:eastAsia="Arial" w:hAnsi="Arial"/>
                <w:sz w:val="16"/>
                <w:szCs w:val="16"/>
                <w:color w:val="auto"/>
              </w:rPr>
              <w:t>Pension Plan</w:t>
            </w:r>
          </w:p>
        </w:tc>
        <w:tc>
          <w:tcPr>
            <w:tcW w:w="1300" w:type="dxa"/>
            <w:vAlign w:val="bottom"/>
          </w:tcPr>
          <w:p>
            <w:pPr>
              <w:jc w:val="right"/>
              <w:ind w:right="66"/>
              <w:spacing w:after="0" w:line="165" w:lineRule="exact"/>
              <w:rPr>
                <w:sz w:val="20"/>
                <w:szCs w:val="20"/>
                <w:color w:val="auto"/>
              </w:rPr>
            </w:pPr>
            <w:r>
              <w:rPr>
                <w:rFonts w:ascii="Arial" w:cs="Arial" w:eastAsia="Arial" w:hAnsi="Arial"/>
                <w:sz w:val="16"/>
                <w:szCs w:val="16"/>
                <w:color w:val="auto"/>
              </w:rPr>
              <w:t>12.5</w:t>
            </w:r>
          </w:p>
        </w:tc>
        <w:tc>
          <w:tcPr>
            <w:tcW w:w="1140" w:type="dxa"/>
            <w:vAlign w:val="bottom"/>
          </w:tcPr>
          <w:p>
            <w:pPr>
              <w:jc w:val="right"/>
              <w:ind w:right="106"/>
              <w:spacing w:after="0" w:line="165" w:lineRule="exact"/>
              <w:rPr>
                <w:sz w:val="20"/>
                <w:szCs w:val="20"/>
                <w:color w:val="auto"/>
              </w:rPr>
            </w:pPr>
            <w:r>
              <w:rPr>
                <w:rFonts w:ascii="Arial" w:cs="Arial" w:eastAsia="Arial" w:hAnsi="Arial"/>
                <w:sz w:val="16"/>
                <w:szCs w:val="16"/>
                <w:color w:val="auto"/>
              </w:rPr>
              <w:t>366,603</w:t>
            </w:r>
          </w:p>
        </w:tc>
        <w:tc>
          <w:tcPr>
            <w:tcW w:w="840" w:type="dxa"/>
            <w:vAlign w:val="bottom"/>
          </w:tcPr>
          <w:p>
            <w:pPr>
              <w:jc w:val="right"/>
              <w:spacing w:after="0" w:line="16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20" w:type="dxa"/>
            <w:vAlign w:val="bottom"/>
          </w:tcPr>
          <w:p>
            <w:pPr>
              <w:spacing w:after="0"/>
              <w:rPr>
                <w:sz w:val="17"/>
                <w:szCs w:val="17"/>
                <w:color w:val="auto"/>
              </w:rPr>
            </w:pPr>
          </w:p>
        </w:tc>
        <w:tc>
          <w:tcPr>
            <w:tcW w:w="2980" w:type="dxa"/>
            <w:vAlign w:val="bottom"/>
          </w:tcPr>
          <w:p>
            <w:pPr>
              <w:ind w:left="160"/>
              <w:spacing w:after="0"/>
              <w:rPr>
                <w:sz w:val="20"/>
                <w:szCs w:val="20"/>
                <w:color w:val="auto"/>
              </w:rPr>
            </w:pPr>
            <w:r>
              <w:rPr>
                <w:rFonts w:ascii="Arial" w:cs="Arial" w:eastAsia="Arial" w:hAnsi="Arial"/>
                <w:sz w:val="16"/>
                <w:szCs w:val="16"/>
                <w:color w:val="auto"/>
              </w:rPr>
              <w:t>Nonqualified Retirement Plans(2)</w:t>
            </w:r>
          </w:p>
        </w:tc>
        <w:tc>
          <w:tcPr>
            <w:tcW w:w="1300" w:type="dxa"/>
            <w:vAlign w:val="bottom"/>
          </w:tcPr>
          <w:p>
            <w:pPr>
              <w:jc w:val="right"/>
              <w:ind w:right="66"/>
              <w:spacing w:after="0"/>
              <w:rPr>
                <w:sz w:val="20"/>
                <w:szCs w:val="20"/>
                <w:color w:val="auto"/>
              </w:rPr>
            </w:pPr>
            <w:r>
              <w:rPr>
                <w:rFonts w:ascii="Arial" w:cs="Arial" w:eastAsia="Arial" w:hAnsi="Arial"/>
                <w:sz w:val="16"/>
                <w:szCs w:val="16"/>
                <w:color w:val="auto"/>
              </w:rPr>
              <w:t>10.7</w:t>
            </w:r>
          </w:p>
        </w:tc>
        <w:tc>
          <w:tcPr>
            <w:tcW w:w="1140" w:type="dxa"/>
            <w:vAlign w:val="bottom"/>
          </w:tcPr>
          <w:p>
            <w:pPr>
              <w:jc w:val="right"/>
              <w:ind w:right="106"/>
              <w:spacing w:after="0"/>
              <w:rPr>
                <w:sz w:val="20"/>
                <w:szCs w:val="20"/>
                <w:color w:val="auto"/>
              </w:rPr>
            </w:pPr>
            <w:r>
              <w:rPr>
                <w:rFonts w:ascii="Arial" w:cs="Arial" w:eastAsia="Arial" w:hAnsi="Arial"/>
                <w:sz w:val="16"/>
                <w:szCs w:val="16"/>
                <w:color w:val="auto"/>
              </w:rPr>
              <w:t>2,665,029</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2020" w:type="dxa"/>
            <w:vAlign w:val="bottom"/>
            <w:shd w:val="clear" w:color="auto" w:fill="E8F5EA"/>
          </w:tcPr>
          <w:p>
            <w:pPr>
              <w:spacing w:after="0" w:line="182" w:lineRule="exact"/>
              <w:rPr>
                <w:sz w:val="20"/>
                <w:szCs w:val="20"/>
                <w:color w:val="auto"/>
              </w:rPr>
            </w:pPr>
            <w:r>
              <w:rPr>
                <w:rFonts w:ascii="Arial" w:cs="Arial" w:eastAsia="Arial" w:hAnsi="Arial"/>
                <w:sz w:val="16"/>
                <w:szCs w:val="16"/>
                <w:color w:val="auto"/>
              </w:rPr>
              <w:t>Michael J. O'Neill</w:t>
            </w:r>
          </w:p>
        </w:tc>
        <w:tc>
          <w:tcPr>
            <w:tcW w:w="2980" w:type="dxa"/>
            <w:vAlign w:val="bottom"/>
            <w:shd w:val="clear" w:color="auto" w:fill="E8F5EA"/>
          </w:tcPr>
          <w:p>
            <w:pPr>
              <w:ind w:left="160"/>
              <w:spacing w:after="0" w:line="182" w:lineRule="exact"/>
              <w:rPr>
                <w:sz w:val="20"/>
                <w:szCs w:val="20"/>
                <w:color w:val="auto"/>
              </w:rPr>
            </w:pPr>
            <w:r>
              <w:rPr>
                <w:rFonts w:ascii="Arial" w:cs="Arial" w:eastAsia="Arial" w:hAnsi="Arial"/>
                <w:sz w:val="16"/>
                <w:szCs w:val="16"/>
                <w:color w:val="auto"/>
              </w:rPr>
              <w:t>Pension Plan</w:t>
            </w:r>
          </w:p>
        </w:tc>
        <w:tc>
          <w:tcPr>
            <w:tcW w:w="1300" w:type="dxa"/>
            <w:vAlign w:val="bottom"/>
            <w:shd w:val="clear" w:color="auto" w:fill="E8F5EA"/>
          </w:tcPr>
          <w:p>
            <w:pPr>
              <w:jc w:val="right"/>
              <w:ind w:right="66"/>
              <w:spacing w:after="0" w:line="182" w:lineRule="exact"/>
              <w:rPr>
                <w:sz w:val="20"/>
                <w:szCs w:val="20"/>
                <w:color w:val="auto"/>
              </w:rPr>
            </w:pPr>
            <w:r>
              <w:rPr>
                <w:rFonts w:ascii="Arial" w:cs="Arial" w:eastAsia="Arial" w:hAnsi="Arial"/>
                <w:sz w:val="16"/>
                <w:szCs w:val="16"/>
                <w:color w:val="auto"/>
              </w:rPr>
              <w:t>2.3</w:t>
            </w:r>
          </w:p>
        </w:tc>
        <w:tc>
          <w:tcPr>
            <w:tcW w:w="1140" w:type="dxa"/>
            <w:vAlign w:val="bottom"/>
            <w:shd w:val="clear" w:color="auto" w:fill="E8F5EA"/>
          </w:tcPr>
          <w:p>
            <w:pPr>
              <w:jc w:val="right"/>
              <w:ind w:right="106"/>
              <w:spacing w:after="0" w:line="182" w:lineRule="exact"/>
              <w:rPr>
                <w:sz w:val="20"/>
                <w:szCs w:val="20"/>
                <w:color w:val="auto"/>
              </w:rPr>
            </w:pPr>
            <w:r>
              <w:rPr>
                <w:rFonts w:ascii="Arial" w:cs="Arial" w:eastAsia="Arial" w:hAnsi="Arial"/>
                <w:sz w:val="16"/>
                <w:szCs w:val="16"/>
                <w:color w:val="auto"/>
              </w:rPr>
              <w:t>55,770</w:t>
            </w:r>
          </w:p>
        </w:tc>
        <w:tc>
          <w:tcPr>
            <w:tcW w:w="84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20" w:type="dxa"/>
            <w:vAlign w:val="bottom"/>
            <w:tcBorders>
              <w:bottom w:val="single" w:sz="8" w:color="53C072"/>
            </w:tcBorders>
            <w:shd w:val="clear" w:color="auto" w:fill="E8F5EA"/>
          </w:tcPr>
          <w:p>
            <w:pPr>
              <w:spacing w:after="0"/>
              <w:rPr>
                <w:sz w:val="17"/>
                <w:szCs w:val="17"/>
                <w:color w:val="auto"/>
              </w:rPr>
            </w:pPr>
          </w:p>
        </w:tc>
        <w:tc>
          <w:tcPr>
            <w:tcW w:w="2980" w:type="dxa"/>
            <w:vAlign w:val="bottom"/>
            <w:tcBorders>
              <w:bottom w:val="single" w:sz="8" w:color="53C072"/>
            </w:tcBorders>
            <w:shd w:val="clear" w:color="auto" w:fill="E8F5EA"/>
          </w:tcPr>
          <w:p>
            <w:pPr>
              <w:ind w:left="160"/>
              <w:spacing w:after="0" w:line="182" w:lineRule="exact"/>
              <w:rPr>
                <w:sz w:val="20"/>
                <w:szCs w:val="20"/>
                <w:color w:val="auto"/>
              </w:rPr>
            </w:pPr>
            <w:r>
              <w:rPr>
                <w:rFonts w:ascii="Arial" w:cs="Arial" w:eastAsia="Arial" w:hAnsi="Arial"/>
                <w:sz w:val="16"/>
                <w:szCs w:val="16"/>
                <w:color w:val="auto"/>
              </w:rPr>
              <w:t>Restoration Plan</w:t>
            </w:r>
          </w:p>
        </w:tc>
        <w:tc>
          <w:tcPr>
            <w:tcW w:w="1300" w:type="dxa"/>
            <w:vAlign w:val="bottom"/>
            <w:tcBorders>
              <w:bottom w:val="single" w:sz="8" w:color="53C072"/>
            </w:tcBorders>
            <w:shd w:val="clear" w:color="auto" w:fill="E8F5EA"/>
          </w:tcPr>
          <w:p>
            <w:pPr>
              <w:jc w:val="right"/>
              <w:ind w:right="66"/>
              <w:spacing w:after="0" w:line="182" w:lineRule="exact"/>
              <w:rPr>
                <w:sz w:val="20"/>
                <w:szCs w:val="20"/>
                <w:color w:val="auto"/>
              </w:rPr>
            </w:pPr>
            <w:r>
              <w:rPr>
                <w:rFonts w:ascii="Arial" w:cs="Arial" w:eastAsia="Arial" w:hAnsi="Arial"/>
                <w:sz w:val="16"/>
                <w:szCs w:val="16"/>
                <w:color w:val="auto"/>
              </w:rPr>
              <w:t>2.3</w:t>
            </w:r>
          </w:p>
        </w:tc>
        <w:tc>
          <w:tcPr>
            <w:tcW w:w="1140" w:type="dxa"/>
            <w:vAlign w:val="bottom"/>
            <w:tcBorders>
              <w:bottom w:val="single" w:sz="8" w:color="53C072"/>
            </w:tcBorders>
            <w:shd w:val="clear" w:color="auto" w:fill="E8F5EA"/>
          </w:tcPr>
          <w:p>
            <w:pPr>
              <w:jc w:val="right"/>
              <w:ind w:right="106"/>
              <w:spacing w:after="0" w:line="182" w:lineRule="exact"/>
              <w:rPr>
                <w:sz w:val="20"/>
                <w:szCs w:val="20"/>
                <w:color w:val="auto"/>
              </w:rPr>
            </w:pPr>
            <w:r>
              <w:rPr>
                <w:rFonts w:ascii="Arial" w:cs="Arial" w:eastAsia="Arial" w:hAnsi="Arial"/>
                <w:sz w:val="16"/>
                <w:szCs w:val="16"/>
                <w:color w:val="auto"/>
              </w:rPr>
              <w:t>99,735</w:t>
            </w:r>
          </w:p>
        </w:tc>
        <w:tc>
          <w:tcPr>
            <w:tcW w:w="840" w:type="dxa"/>
            <w:vAlign w:val="bottom"/>
            <w:tcBorders>
              <w:bottom w:val="single" w:sz="8" w:color="53C072"/>
            </w:tcBorders>
            <w:shd w:val="clear" w:color="auto" w:fill="E8F5EA"/>
          </w:tcPr>
          <w:p>
            <w:pPr>
              <w:jc w:val="right"/>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1840" w:right="60" w:hanging="492"/>
        <w:spacing w:after="0" w:line="256" w:lineRule="auto"/>
        <w:tabs>
          <w:tab w:leader="none" w:pos="18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Pursuant to the terms of the Pension Plan and Restoration Plan, an employee must wait until the next open period after his or her start date before being credited with any years of service. No participant is credited with any additional years of service under the Pension Plan, Restoration Plan or the SERP beyond their actual years of service.</w:t>
      </w:r>
    </w:p>
    <w:p>
      <w:pPr>
        <w:spacing w:after="0" w:line="151" w:lineRule="exact"/>
        <w:rPr>
          <w:rFonts w:ascii="Arial" w:cs="Arial" w:eastAsia="Arial" w:hAnsi="Arial"/>
          <w:sz w:val="16"/>
          <w:szCs w:val="16"/>
          <w:color w:val="auto"/>
        </w:rPr>
      </w:pPr>
    </w:p>
    <w:p>
      <w:pPr>
        <w:ind w:left="1840" w:hanging="492"/>
        <w:spacing w:after="0"/>
        <w:tabs>
          <w:tab w:leader="none" w:pos="18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Only Mr. Gallagher and Ms. Miller are participants in the SERP.</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NONQUALIFIED DEFERRED COMPENSATION</w:t>
      </w:r>
    </w:p>
    <w:p>
      <w:pPr>
        <w:spacing w:after="0" w:line="209"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The Company offers the Avnet Deferred Compensation Plan ("Elective Deferral Plan") for highly compensated U.S. based employees, defined as those earning $285,000 or more in target income, including all the NEOs. The Elective Deferral Plan allows these employees to contribute a portion of their income for retirement on a pre-tax basis, in addition to the amounts allowed under the Avnet 401(k) Plan. An Elective Deferral Plan participant may defer up to 50% of his or her salary and up to 100% of his or her incentive and bonus compensation earned during the plan year (regardless of when paid). Participants may choose from a selection of mutual funds and other investment vehicles in which the deferred amount is then deemed to be invested. Earnings on the amounts deferred are determined by the returns actually obtained through the "deemed investment" options and added to the account. As such, there are no "above-market" earnings. The deferred compensation and the amount earned are held under the Avnet Deferred Compensation Rabbi Trust, but are subject to the claims of general creditors of the Company. Also, the obligation to distribute the amounts according to the participants' designation is a general obligation of the Company. As discussed in the CD&amp;A, on February 6, 2020, the Elective Deferral Plan was amended to freeze future participation in the plan by not permitting new participants to enter the plan and not permitting existing participants to make new contributions to the plan effective for plan years beginning on or after March 1, 2020. None of the NEOs have elected to participate in the Elective Deferral</w:t>
      </w:r>
    </w:p>
    <w:p>
      <w:pPr>
        <w:spacing w:after="0" w:line="176"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62</w:t>
      </w:r>
      <w:r>
        <w:rPr>
          <w:sz w:val="20"/>
          <w:szCs w:val="20"/>
          <w:color w:val="auto"/>
        </w:rPr>
        <w:tab/>
      </w:r>
      <w:r>
        <w:rPr>
          <w:rFonts w:ascii="Arial" w:cs="Arial" w:eastAsia="Arial" w:hAnsi="Arial"/>
          <w:sz w:val="23"/>
          <w:szCs w:val="23"/>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7151370" cy="203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-155575</wp:posOffset>
            </wp:positionV>
            <wp:extent cx="1664970" cy="1231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13"/>
        </w:trPr>
        <w:tc>
          <w:tcPr>
            <w:tcW w:w="522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6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22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6040" w:type="dxa"/>
            <w:vAlign w:val="bottom"/>
            <w:vMerge w:val="restart"/>
          </w:tcPr>
          <w:p>
            <w:pPr>
              <w:ind w:left="3980"/>
              <w:spacing w:after="0"/>
              <w:rPr>
                <w:sz w:val="20"/>
                <w:szCs w:val="20"/>
                <w:color w:val="auto"/>
              </w:rPr>
            </w:pPr>
            <w:r>
              <w:rPr>
                <w:rFonts w:ascii="Arial" w:cs="Arial" w:eastAsia="Arial" w:hAnsi="Arial"/>
                <w:sz w:val="13"/>
                <w:szCs w:val="13"/>
                <w:color w:val="auto"/>
                <w:w w:val="98"/>
              </w:rPr>
              <w:t>Compensation of Executive Officers</w:t>
            </w:r>
          </w:p>
        </w:tc>
        <w:tc>
          <w:tcPr>
            <w:tcW w:w="0" w:type="dxa"/>
            <w:vAlign w:val="bottom"/>
          </w:tcPr>
          <w:p>
            <w:pPr>
              <w:spacing w:after="0"/>
              <w:rPr>
                <w:sz w:val="1"/>
                <w:szCs w:val="1"/>
                <w:color w:val="auto"/>
              </w:rPr>
            </w:pPr>
          </w:p>
        </w:tc>
      </w:tr>
      <w:tr>
        <w:trPr>
          <w:trHeight w:val="102"/>
        </w:trPr>
        <w:tc>
          <w:tcPr>
            <w:tcW w:w="522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6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220" w:type="dxa"/>
            <w:vAlign w:val="bottom"/>
            <w:vMerge w:val="continue"/>
          </w:tcPr>
          <w:p>
            <w:pPr>
              <w:spacing w:after="0"/>
              <w:rPr>
                <w:sz w:val="7"/>
                <w:szCs w:val="7"/>
                <w:color w:val="auto"/>
              </w:rPr>
            </w:pPr>
          </w:p>
        </w:tc>
        <w:tc>
          <w:tcPr>
            <w:tcW w:w="6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Plan in fiscal 2020. However, Mr. Gallagher is the only NEO who had elected to participate in prior fiscal years, whereby the table below provides information on his deferred compensation.</w:t>
      </w:r>
    </w:p>
    <w:p>
      <w:pPr>
        <w:spacing w:after="0" w:line="136" w:lineRule="exact"/>
        <w:rPr>
          <w:sz w:val="20"/>
          <w:szCs w:val="20"/>
          <w:color w:val="auto"/>
        </w:rPr>
      </w:pPr>
    </w:p>
    <w:tbl>
      <w:tblPr>
        <w:tblLayout w:type="fixed"/>
        <w:tblInd w:w="1340" w:type="dxa"/>
        <w:tblCellMar>
          <w:top w:w="0" w:type="dxa"/>
          <w:left w:w="0" w:type="dxa"/>
          <w:bottom w:w="0" w:type="dxa"/>
          <w:right w:w="0" w:type="dxa"/>
        </w:tblCellMar>
      </w:tblPr>
      <w:tr>
        <w:trPr>
          <w:trHeight w:val="149"/>
        </w:trPr>
        <w:tc>
          <w:tcPr>
            <w:tcW w:w="2280" w:type="dxa"/>
            <w:vAlign w:val="bottom"/>
            <w:shd w:val="clear" w:color="auto" w:fill="53C072"/>
          </w:tcPr>
          <w:p>
            <w:pPr>
              <w:spacing w:after="0"/>
              <w:rPr>
                <w:sz w:val="13"/>
                <w:szCs w:val="13"/>
                <w:color w:val="auto"/>
              </w:rPr>
            </w:pPr>
          </w:p>
        </w:tc>
        <w:tc>
          <w:tcPr>
            <w:tcW w:w="2080" w:type="dxa"/>
            <w:vAlign w:val="bottom"/>
            <w:vMerge w:val="restart"/>
            <w:shd w:val="clear" w:color="auto" w:fill="53C072"/>
          </w:tcPr>
          <w:p>
            <w:pPr>
              <w:jc w:val="right"/>
              <w:ind w:right="53"/>
              <w:spacing w:after="0"/>
              <w:rPr>
                <w:sz w:val="20"/>
                <w:szCs w:val="20"/>
                <w:color w:val="auto"/>
              </w:rPr>
            </w:pPr>
            <w:r>
              <w:rPr>
                <w:rFonts w:ascii="Arial" w:cs="Arial" w:eastAsia="Arial" w:hAnsi="Arial"/>
                <w:sz w:val="13"/>
                <w:szCs w:val="13"/>
                <w:b w:val="1"/>
                <w:bCs w:val="1"/>
                <w:color w:val="FFFFFE"/>
              </w:rPr>
              <w:t>Executive</w:t>
            </w:r>
          </w:p>
        </w:tc>
        <w:tc>
          <w:tcPr>
            <w:tcW w:w="1240" w:type="dxa"/>
            <w:vAlign w:val="bottom"/>
            <w:vMerge w:val="restart"/>
            <w:shd w:val="clear" w:color="auto" w:fill="53C072"/>
          </w:tcPr>
          <w:p>
            <w:pPr>
              <w:jc w:val="right"/>
              <w:ind w:right="53"/>
              <w:spacing w:after="0"/>
              <w:rPr>
                <w:sz w:val="20"/>
                <w:szCs w:val="20"/>
                <w:color w:val="auto"/>
              </w:rPr>
            </w:pPr>
            <w:r>
              <w:rPr>
                <w:rFonts w:ascii="Arial" w:cs="Arial" w:eastAsia="Arial" w:hAnsi="Arial"/>
                <w:sz w:val="13"/>
                <w:szCs w:val="13"/>
                <w:b w:val="1"/>
                <w:bCs w:val="1"/>
                <w:color w:val="FFFFFE"/>
              </w:rPr>
              <w:t>Registrant</w:t>
            </w:r>
          </w:p>
        </w:tc>
        <w:tc>
          <w:tcPr>
            <w:tcW w:w="880" w:type="dxa"/>
            <w:vAlign w:val="bottom"/>
            <w:shd w:val="clear" w:color="auto" w:fill="53C072"/>
          </w:tcPr>
          <w:p>
            <w:pPr>
              <w:jc w:val="right"/>
              <w:ind w:right="53"/>
              <w:spacing w:after="0"/>
              <w:rPr>
                <w:sz w:val="20"/>
                <w:szCs w:val="20"/>
                <w:color w:val="auto"/>
              </w:rPr>
            </w:pPr>
            <w:r>
              <w:rPr>
                <w:rFonts w:ascii="Arial" w:cs="Arial" w:eastAsia="Arial" w:hAnsi="Arial"/>
                <w:sz w:val="13"/>
                <w:szCs w:val="13"/>
                <w:b w:val="1"/>
                <w:bCs w:val="1"/>
                <w:color w:val="FFFFFE"/>
              </w:rPr>
              <w:t>Aggregate</w:t>
            </w:r>
          </w:p>
        </w:tc>
        <w:tc>
          <w:tcPr>
            <w:tcW w:w="1040" w:type="dxa"/>
            <w:vAlign w:val="bottom"/>
            <w:vMerge w:val="restart"/>
            <w:shd w:val="clear" w:color="auto" w:fill="53C072"/>
          </w:tcPr>
          <w:p>
            <w:pPr>
              <w:jc w:val="right"/>
              <w:ind w:right="53"/>
              <w:spacing w:after="0"/>
              <w:rPr>
                <w:sz w:val="20"/>
                <w:szCs w:val="20"/>
                <w:color w:val="auto"/>
              </w:rPr>
            </w:pPr>
            <w:r>
              <w:rPr>
                <w:rFonts w:ascii="Arial" w:cs="Arial" w:eastAsia="Arial" w:hAnsi="Arial"/>
                <w:sz w:val="13"/>
                <w:szCs w:val="13"/>
                <w:b w:val="1"/>
                <w:bCs w:val="1"/>
                <w:color w:val="FFFFFE"/>
              </w:rPr>
              <w:t>Aggregate</w:t>
            </w:r>
          </w:p>
        </w:tc>
        <w:tc>
          <w:tcPr>
            <w:tcW w:w="780" w:type="dxa"/>
            <w:vAlign w:val="bottom"/>
            <w:vMerge w:val="restart"/>
            <w:shd w:val="clear" w:color="auto" w:fill="53C072"/>
          </w:tcPr>
          <w:p>
            <w:pPr>
              <w:jc w:val="right"/>
              <w:spacing w:after="0"/>
              <w:rPr>
                <w:sz w:val="20"/>
                <w:szCs w:val="20"/>
                <w:color w:val="auto"/>
              </w:rPr>
            </w:pPr>
            <w:r>
              <w:rPr>
                <w:rFonts w:ascii="Arial" w:cs="Arial" w:eastAsia="Arial" w:hAnsi="Arial"/>
                <w:sz w:val="13"/>
                <w:szCs w:val="13"/>
                <w:b w:val="1"/>
                <w:bCs w:val="1"/>
                <w:color w:val="FFFFFE"/>
              </w:rPr>
              <w:t>Aggregate</w:t>
            </w:r>
          </w:p>
        </w:tc>
        <w:tc>
          <w:tcPr>
            <w:tcW w:w="0" w:type="dxa"/>
            <w:vAlign w:val="bottom"/>
          </w:tcPr>
          <w:p>
            <w:pPr>
              <w:spacing w:after="0"/>
              <w:rPr>
                <w:sz w:val="1"/>
                <w:szCs w:val="1"/>
                <w:color w:val="auto"/>
              </w:rPr>
            </w:pPr>
          </w:p>
        </w:tc>
      </w:tr>
      <w:tr>
        <w:trPr>
          <w:trHeight w:val="146"/>
        </w:trPr>
        <w:tc>
          <w:tcPr>
            <w:tcW w:w="2280" w:type="dxa"/>
            <w:vAlign w:val="bottom"/>
            <w:shd w:val="clear" w:color="auto" w:fill="53C072"/>
          </w:tcPr>
          <w:p>
            <w:pPr>
              <w:spacing w:after="0"/>
              <w:rPr>
                <w:sz w:val="12"/>
                <w:szCs w:val="12"/>
                <w:color w:val="auto"/>
              </w:rPr>
            </w:pPr>
          </w:p>
        </w:tc>
        <w:tc>
          <w:tcPr>
            <w:tcW w:w="2080" w:type="dxa"/>
            <w:vAlign w:val="bottom"/>
            <w:vMerge w:val="continue"/>
            <w:shd w:val="clear" w:color="auto" w:fill="53C072"/>
          </w:tcPr>
          <w:p>
            <w:pPr>
              <w:spacing w:after="0"/>
              <w:rPr>
                <w:sz w:val="12"/>
                <w:szCs w:val="12"/>
                <w:color w:val="auto"/>
              </w:rPr>
            </w:pPr>
          </w:p>
        </w:tc>
        <w:tc>
          <w:tcPr>
            <w:tcW w:w="1240" w:type="dxa"/>
            <w:vAlign w:val="bottom"/>
            <w:vMerge w:val="continue"/>
            <w:shd w:val="clear" w:color="auto" w:fill="53C072"/>
          </w:tcPr>
          <w:p>
            <w:pPr>
              <w:spacing w:after="0"/>
              <w:rPr>
                <w:sz w:val="12"/>
                <w:szCs w:val="12"/>
                <w:color w:val="auto"/>
              </w:rPr>
            </w:pPr>
          </w:p>
        </w:tc>
        <w:tc>
          <w:tcPr>
            <w:tcW w:w="880" w:type="dxa"/>
            <w:vAlign w:val="bottom"/>
            <w:shd w:val="clear" w:color="auto" w:fill="53C072"/>
          </w:tcPr>
          <w:p>
            <w:pPr>
              <w:jc w:val="right"/>
              <w:ind w:right="53"/>
              <w:spacing w:after="0" w:line="146" w:lineRule="exact"/>
              <w:rPr>
                <w:sz w:val="20"/>
                <w:szCs w:val="20"/>
                <w:color w:val="auto"/>
              </w:rPr>
            </w:pPr>
            <w:r>
              <w:rPr>
                <w:rFonts w:ascii="Arial" w:cs="Arial" w:eastAsia="Arial" w:hAnsi="Arial"/>
                <w:sz w:val="13"/>
                <w:szCs w:val="13"/>
                <w:b w:val="1"/>
                <w:bCs w:val="1"/>
                <w:color w:val="FFFFFE"/>
              </w:rPr>
              <w:t>Earnings/</w:t>
            </w:r>
          </w:p>
        </w:tc>
        <w:tc>
          <w:tcPr>
            <w:tcW w:w="1040" w:type="dxa"/>
            <w:vAlign w:val="bottom"/>
            <w:vMerge w:val="continue"/>
            <w:shd w:val="clear" w:color="auto" w:fill="53C072"/>
          </w:tcPr>
          <w:p>
            <w:pPr>
              <w:spacing w:after="0"/>
              <w:rPr>
                <w:sz w:val="12"/>
                <w:szCs w:val="12"/>
                <w:color w:val="auto"/>
              </w:rPr>
            </w:pPr>
          </w:p>
        </w:tc>
        <w:tc>
          <w:tcPr>
            <w:tcW w:w="780" w:type="dxa"/>
            <w:vAlign w:val="bottom"/>
            <w:vMerge w:val="continue"/>
            <w:shd w:val="clear" w:color="auto" w:fill="53C072"/>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80" w:type="dxa"/>
            <w:vAlign w:val="bottom"/>
            <w:shd w:val="clear" w:color="auto" w:fill="53C072"/>
          </w:tcPr>
          <w:p>
            <w:pPr>
              <w:spacing w:after="0"/>
              <w:rPr>
                <w:sz w:val="12"/>
                <w:szCs w:val="12"/>
                <w:color w:val="auto"/>
              </w:rPr>
            </w:pPr>
          </w:p>
        </w:tc>
        <w:tc>
          <w:tcPr>
            <w:tcW w:w="2080" w:type="dxa"/>
            <w:vAlign w:val="bottom"/>
            <w:shd w:val="clear" w:color="auto" w:fill="53C072"/>
          </w:tcPr>
          <w:p>
            <w:pPr>
              <w:jc w:val="right"/>
              <w:ind w:right="53"/>
              <w:spacing w:after="0" w:line="146" w:lineRule="exact"/>
              <w:rPr>
                <w:sz w:val="20"/>
                <w:szCs w:val="20"/>
                <w:color w:val="auto"/>
              </w:rPr>
            </w:pPr>
            <w:r>
              <w:rPr>
                <w:rFonts w:ascii="Arial" w:cs="Arial" w:eastAsia="Arial" w:hAnsi="Arial"/>
                <w:sz w:val="13"/>
                <w:szCs w:val="13"/>
                <w:b w:val="1"/>
                <w:bCs w:val="1"/>
                <w:color w:val="FFFFFE"/>
              </w:rPr>
              <w:t>Contributions in</w:t>
            </w:r>
          </w:p>
        </w:tc>
        <w:tc>
          <w:tcPr>
            <w:tcW w:w="1240" w:type="dxa"/>
            <w:vAlign w:val="bottom"/>
            <w:shd w:val="clear" w:color="auto" w:fill="53C072"/>
          </w:tcPr>
          <w:p>
            <w:pPr>
              <w:jc w:val="right"/>
              <w:ind w:right="53"/>
              <w:spacing w:after="0" w:line="146" w:lineRule="exact"/>
              <w:rPr>
                <w:sz w:val="20"/>
                <w:szCs w:val="20"/>
                <w:color w:val="auto"/>
              </w:rPr>
            </w:pPr>
            <w:r>
              <w:rPr>
                <w:rFonts w:ascii="Arial" w:cs="Arial" w:eastAsia="Arial" w:hAnsi="Arial"/>
                <w:sz w:val="13"/>
                <w:szCs w:val="13"/>
                <w:b w:val="1"/>
                <w:bCs w:val="1"/>
                <w:color w:val="FFFFFE"/>
              </w:rPr>
              <w:t>Contributions in</w:t>
            </w:r>
          </w:p>
        </w:tc>
        <w:tc>
          <w:tcPr>
            <w:tcW w:w="880" w:type="dxa"/>
            <w:vAlign w:val="bottom"/>
            <w:shd w:val="clear" w:color="auto" w:fill="53C072"/>
          </w:tcPr>
          <w:p>
            <w:pPr>
              <w:jc w:val="right"/>
              <w:ind w:right="53"/>
              <w:spacing w:after="0" w:line="146" w:lineRule="exact"/>
              <w:rPr>
                <w:sz w:val="20"/>
                <w:szCs w:val="20"/>
                <w:color w:val="auto"/>
              </w:rPr>
            </w:pPr>
            <w:r>
              <w:rPr>
                <w:rFonts w:ascii="Arial" w:cs="Arial" w:eastAsia="Arial" w:hAnsi="Arial"/>
                <w:sz w:val="13"/>
                <w:szCs w:val="13"/>
                <w:b w:val="1"/>
                <w:bCs w:val="1"/>
                <w:color w:val="FFFFFE"/>
              </w:rPr>
              <w:t>(Loss) in</w:t>
            </w:r>
          </w:p>
        </w:tc>
        <w:tc>
          <w:tcPr>
            <w:tcW w:w="1040" w:type="dxa"/>
            <w:vAlign w:val="bottom"/>
            <w:shd w:val="clear" w:color="auto" w:fill="53C072"/>
          </w:tcPr>
          <w:p>
            <w:pPr>
              <w:jc w:val="right"/>
              <w:ind w:right="53"/>
              <w:spacing w:after="0" w:line="146" w:lineRule="exact"/>
              <w:rPr>
                <w:sz w:val="20"/>
                <w:szCs w:val="20"/>
                <w:color w:val="auto"/>
              </w:rPr>
            </w:pPr>
            <w:r>
              <w:rPr>
                <w:rFonts w:ascii="Arial" w:cs="Arial" w:eastAsia="Arial" w:hAnsi="Arial"/>
                <w:sz w:val="13"/>
                <w:szCs w:val="13"/>
                <w:b w:val="1"/>
                <w:bCs w:val="1"/>
                <w:color w:val="FFFFFE"/>
              </w:rPr>
              <w:t>Withdrawals/</w:t>
            </w:r>
          </w:p>
        </w:tc>
        <w:tc>
          <w:tcPr>
            <w:tcW w:w="78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Balance at</w:t>
            </w:r>
          </w:p>
        </w:tc>
        <w:tc>
          <w:tcPr>
            <w:tcW w:w="0" w:type="dxa"/>
            <w:vAlign w:val="bottom"/>
          </w:tcPr>
          <w:p>
            <w:pPr>
              <w:spacing w:after="0"/>
              <w:rPr>
                <w:sz w:val="1"/>
                <w:szCs w:val="1"/>
                <w:color w:val="auto"/>
              </w:rPr>
            </w:pPr>
          </w:p>
        </w:tc>
      </w:tr>
      <w:tr>
        <w:trPr>
          <w:trHeight w:val="146"/>
        </w:trPr>
        <w:tc>
          <w:tcPr>
            <w:tcW w:w="2280" w:type="dxa"/>
            <w:vAlign w:val="bottom"/>
            <w:vMerge w:val="restart"/>
            <w:shd w:val="clear" w:color="auto" w:fill="53C072"/>
          </w:tcPr>
          <w:p>
            <w:pPr>
              <w:spacing w:after="0"/>
              <w:rPr>
                <w:sz w:val="20"/>
                <w:szCs w:val="20"/>
                <w:color w:val="auto"/>
              </w:rPr>
            </w:pPr>
            <w:r>
              <w:rPr>
                <w:rFonts w:ascii="Arial" w:cs="Arial" w:eastAsia="Arial" w:hAnsi="Arial"/>
                <w:sz w:val="13"/>
                <w:szCs w:val="13"/>
                <w:b w:val="1"/>
                <w:bCs w:val="1"/>
                <w:color w:val="FFFFFE"/>
              </w:rPr>
              <w:t>Name</w:t>
            </w:r>
          </w:p>
        </w:tc>
        <w:tc>
          <w:tcPr>
            <w:tcW w:w="2080" w:type="dxa"/>
            <w:vAlign w:val="bottom"/>
            <w:shd w:val="clear" w:color="auto" w:fill="53C072"/>
          </w:tcPr>
          <w:p>
            <w:pPr>
              <w:jc w:val="right"/>
              <w:ind w:right="53"/>
              <w:spacing w:after="0" w:line="146" w:lineRule="exact"/>
              <w:rPr>
                <w:sz w:val="20"/>
                <w:szCs w:val="20"/>
                <w:color w:val="auto"/>
              </w:rPr>
            </w:pPr>
            <w:r>
              <w:rPr>
                <w:rFonts w:ascii="Arial" w:cs="Arial" w:eastAsia="Arial" w:hAnsi="Arial"/>
                <w:sz w:val="13"/>
                <w:szCs w:val="13"/>
                <w:b w:val="1"/>
                <w:bCs w:val="1"/>
                <w:color w:val="FFFFFE"/>
              </w:rPr>
              <w:t>Last FY</w:t>
            </w:r>
          </w:p>
        </w:tc>
        <w:tc>
          <w:tcPr>
            <w:tcW w:w="1240" w:type="dxa"/>
            <w:vAlign w:val="bottom"/>
            <w:shd w:val="clear" w:color="auto" w:fill="53C072"/>
          </w:tcPr>
          <w:p>
            <w:pPr>
              <w:jc w:val="right"/>
              <w:ind w:right="53"/>
              <w:spacing w:after="0" w:line="146" w:lineRule="exact"/>
              <w:rPr>
                <w:sz w:val="20"/>
                <w:szCs w:val="20"/>
                <w:color w:val="auto"/>
              </w:rPr>
            </w:pPr>
            <w:r>
              <w:rPr>
                <w:rFonts w:ascii="Arial" w:cs="Arial" w:eastAsia="Arial" w:hAnsi="Arial"/>
                <w:sz w:val="13"/>
                <w:szCs w:val="13"/>
                <w:b w:val="1"/>
                <w:bCs w:val="1"/>
                <w:color w:val="FFFFFE"/>
              </w:rPr>
              <w:t>Last FY</w:t>
            </w:r>
          </w:p>
        </w:tc>
        <w:tc>
          <w:tcPr>
            <w:tcW w:w="880" w:type="dxa"/>
            <w:vAlign w:val="bottom"/>
            <w:shd w:val="clear" w:color="auto" w:fill="53C072"/>
          </w:tcPr>
          <w:p>
            <w:pPr>
              <w:jc w:val="right"/>
              <w:ind w:right="53"/>
              <w:spacing w:after="0" w:line="146" w:lineRule="exact"/>
              <w:rPr>
                <w:sz w:val="20"/>
                <w:szCs w:val="20"/>
                <w:color w:val="auto"/>
              </w:rPr>
            </w:pPr>
            <w:r>
              <w:rPr>
                <w:rFonts w:ascii="Arial" w:cs="Arial" w:eastAsia="Arial" w:hAnsi="Arial"/>
                <w:sz w:val="13"/>
                <w:szCs w:val="13"/>
                <w:b w:val="1"/>
                <w:bCs w:val="1"/>
                <w:color w:val="FFFFFE"/>
              </w:rPr>
              <w:t>Last FY</w:t>
            </w:r>
          </w:p>
        </w:tc>
        <w:tc>
          <w:tcPr>
            <w:tcW w:w="1040" w:type="dxa"/>
            <w:vAlign w:val="bottom"/>
            <w:shd w:val="clear" w:color="auto" w:fill="53C072"/>
          </w:tcPr>
          <w:p>
            <w:pPr>
              <w:jc w:val="right"/>
              <w:ind w:right="53"/>
              <w:spacing w:after="0" w:line="146" w:lineRule="exact"/>
              <w:rPr>
                <w:sz w:val="20"/>
                <w:szCs w:val="20"/>
                <w:color w:val="auto"/>
              </w:rPr>
            </w:pPr>
            <w:r>
              <w:rPr>
                <w:rFonts w:ascii="Arial" w:cs="Arial" w:eastAsia="Arial" w:hAnsi="Arial"/>
                <w:sz w:val="13"/>
                <w:szCs w:val="13"/>
                <w:b w:val="1"/>
                <w:bCs w:val="1"/>
                <w:color w:val="FFFFFE"/>
              </w:rPr>
              <w:t>Distributions</w:t>
            </w:r>
          </w:p>
        </w:tc>
        <w:tc>
          <w:tcPr>
            <w:tcW w:w="78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Last FYE</w:t>
            </w:r>
          </w:p>
        </w:tc>
        <w:tc>
          <w:tcPr>
            <w:tcW w:w="0" w:type="dxa"/>
            <w:vAlign w:val="bottom"/>
          </w:tcPr>
          <w:p>
            <w:pPr>
              <w:spacing w:after="0"/>
              <w:rPr>
                <w:sz w:val="1"/>
                <w:szCs w:val="1"/>
                <w:color w:val="auto"/>
              </w:rPr>
            </w:pPr>
          </w:p>
        </w:tc>
      </w:tr>
      <w:tr>
        <w:trPr>
          <w:trHeight w:val="146"/>
        </w:trPr>
        <w:tc>
          <w:tcPr>
            <w:tcW w:w="2280" w:type="dxa"/>
            <w:vAlign w:val="bottom"/>
            <w:vMerge w:val="continue"/>
            <w:shd w:val="clear" w:color="auto" w:fill="53C072"/>
          </w:tcPr>
          <w:p>
            <w:pPr>
              <w:spacing w:after="0"/>
              <w:rPr>
                <w:sz w:val="12"/>
                <w:szCs w:val="12"/>
                <w:color w:val="auto"/>
              </w:rPr>
            </w:pPr>
          </w:p>
        </w:tc>
        <w:tc>
          <w:tcPr>
            <w:tcW w:w="2080" w:type="dxa"/>
            <w:vAlign w:val="bottom"/>
            <w:shd w:val="clear" w:color="auto" w:fill="53C072"/>
          </w:tcPr>
          <w:p>
            <w:pPr>
              <w:jc w:val="right"/>
              <w:ind w:right="53"/>
              <w:spacing w:after="0" w:line="146" w:lineRule="exact"/>
              <w:rPr>
                <w:sz w:val="20"/>
                <w:szCs w:val="20"/>
                <w:color w:val="auto"/>
              </w:rPr>
            </w:pPr>
            <w:r>
              <w:rPr>
                <w:rFonts w:ascii="Arial" w:cs="Arial" w:eastAsia="Arial" w:hAnsi="Arial"/>
                <w:sz w:val="13"/>
                <w:szCs w:val="13"/>
                <w:b w:val="1"/>
                <w:bCs w:val="1"/>
                <w:color w:val="FFFFFE"/>
              </w:rPr>
              <w:t>($)</w:t>
            </w:r>
          </w:p>
        </w:tc>
        <w:tc>
          <w:tcPr>
            <w:tcW w:w="1240" w:type="dxa"/>
            <w:vAlign w:val="bottom"/>
            <w:shd w:val="clear" w:color="auto" w:fill="53C072"/>
          </w:tcPr>
          <w:p>
            <w:pPr>
              <w:jc w:val="right"/>
              <w:ind w:right="53"/>
              <w:spacing w:after="0" w:line="146" w:lineRule="exact"/>
              <w:rPr>
                <w:sz w:val="20"/>
                <w:szCs w:val="20"/>
                <w:color w:val="auto"/>
              </w:rPr>
            </w:pPr>
            <w:r>
              <w:rPr>
                <w:rFonts w:ascii="Arial" w:cs="Arial" w:eastAsia="Arial" w:hAnsi="Arial"/>
                <w:sz w:val="13"/>
                <w:szCs w:val="13"/>
                <w:b w:val="1"/>
                <w:bCs w:val="1"/>
                <w:color w:val="FFFFFE"/>
              </w:rPr>
              <w:t>($)</w:t>
            </w:r>
          </w:p>
        </w:tc>
        <w:tc>
          <w:tcPr>
            <w:tcW w:w="880" w:type="dxa"/>
            <w:vAlign w:val="bottom"/>
            <w:shd w:val="clear" w:color="auto" w:fill="53C072"/>
          </w:tcPr>
          <w:p>
            <w:pPr>
              <w:jc w:val="right"/>
              <w:ind w:right="53"/>
              <w:spacing w:after="0" w:line="146" w:lineRule="exact"/>
              <w:rPr>
                <w:sz w:val="20"/>
                <w:szCs w:val="20"/>
                <w:color w:val="auto"/>
              </w:rPr>
            </w:pPr>
            <w:r>
              <w:rPr>
                <w:rFonts w:ascii="Arial" w:cs="Arial" w:eastAsia="Arial" w:hAnsi="Arial"/>
                <w:sz w:val="13"/>
                <w:szCs w:val="13"/>
                <w:b w:val="1"/>
                <w:bCs w:val="1"/>
                <w:color w:val="FFFFFE"/>
              </w:rPr>
              <w:t>($)</w:t>
            </w:r>
          </w:p>
        </w:tc>
        <w:tc>
          <w:tcPr>
            <w:tcW w:w="1040" w:type="dxa"/>
            <w:vAlign w:val="bottom"/>
            <w:shd w:val="clear" w:color="auto" w:fill="53C072"/>
          </w:tcPr>
          <w:p>
            <w:pPr>
              <w:jc w:val="right"/>
              <w:ind w:right="53"/>
              <w:spacing w:after="0" w:line="146" w:lineRule="exact"/>
              <w:rPr>
                <w:sz w:val="20"/>
                <w:szCs w:val="20"/>
                <w:color w:val="auto"/>
              </w:rPr>
            </w:pPr>
            <w:r>
              <w:rPr>
                <w:rFonts w:ascii="Arial" w:cs="Arial" w:eastAsia="Arial" w:hAnsi="Arial"/>
                <w:sz w:val="13"/>
                <w:szCs w:val="13"/>
                <w:b w:val="1"/>
                <w:bCs w:val="1"/>
                <w:color w:val="FFFFFE"/>
              </w:rPr>
              <w:t>($)</w:t>
            </w:r>
          </w:p>
        </w:tc>
        <w:tc>
          <w:tcPr>
            <w:tcW w:w="780" w:type="dxa"/>
            <w:vAlign w:val="bottom"/>
            <w:shd w:val="clear" w:color="auto" w:fill="53C072"/>
          </w:tcPr>
          <w:p>
            <w:pPr>
              <w:jc w:val="right"/>
              <w:spacing w:after="0" w:line="146" w:lineRule="exact"/>
              <w:rPr>
                <w:sz w:val="20"/>
                <w:szCs w:val="20"/>
                <w:color w:val="auto"/>
              </w:rPr>
            </w:pPr>
            <w:r>
              <w:rPr>
                <w:rFonts w:ascii="Arial" w:cs="Arial" w:eastAsia="Arial" w:hAnsi="Arial"/>
                <w:sz w:val="13"/>
                <w:szCs w:val="13"/>
                <w:b w:val="1"/>
                <w:bCs w:val="1"/>
                <w:color w:val="FFFFFE"/>
              </w:rPr>
              <w:t>($)</w:t>
            </w:r>
          </w:p>
        </w:tc>
        <w:tc>
          <w:tcPr>
            <w:tcW w:w="0" w:type="dxa"/>
            <w:vAlign w:val="bottom"/>
          </w:tcPr>
          <w:p>
            <w:pPr>
              <w:spacing w:after="0"/>
              <w:rPr>
                <w:sz w:val="1"/>
                <w:szCs w:val="1"/>
                <w:color w:val="auto"/>
              </w:rPr>
            </w:pPr>
          </w:p>
        </w:tc>
      </w:tr>
      <w:tr>
        <w:trPr>
          <w:trHeight w:val="159"/>
        </w:trPr>
        <w:tc>
          <w:tcPr>
            <w:tcW w:w="2280" w:type="dxa"/>
            <w:vAlign w:val="bottom"/>
            <w:shd w:val="clear" w:color="auto" w:fill="53C072"/>
          </w:tcPr>
          <w:p>
            <w:pPr>
              <w:spacing w:after="0"/>
              <w:rPr>
                <w:sz w:val="20"/>
                <w:szCs w:val="20"/>
                <w:color w:val="auto"/>
              </w:rPr>
            </w:pPr>
            <w:r>
              <w:rPr>
                <w:rFonts w:ascii="Arial" w:cs="Arial" w:eastAsia="Arial" w:hAnsi="Arial"/>
                <w:sz w:val="13"/>
                <w:szCs w:val="13"/>
                <w:b w:val="1"/>
                <w:bCs w:val="1"/>
                <w:color w:val="FFFFFE"/>
              </w:rPr>
              <w:t>(a)</w:t>
            </w:r>
          </w:p>
        </w:tc>
        <w:tc>
          <w:tcPr>
            <w:tcW w:w="2080" w:type="dxa"/>
            <w:vAlign w:val="bottom"/>
            <w:shd w:val="clear" w:color="auto" w:fill="53C072"/>
          </w:tcPr>
          <w:p>
            <w:pPr>
              <w:jc w:val="right"/>
              <w:ind w:right="53"/>
              <w:spacing w:after="0"/>
              <w:rPr>
                <w:sz w:val="20"/>
                <w:szCs w:val="20"/>
                <w:color w:val="auto"/>
              </w:rPr>
            </w:pPr>
            <w:r>
              <w:rPr>
                <w:rFonts w:ascii="Arial" w:cs="Arial" w:eastAsia="Arial" w:hAnsi="Arial"/>
                <w:sz w:val="13"/>
                <w:szCs w:val="13"/>
                <w:b w:val="1"/>
                <w:bCs w:val="1"/>
                <w:color w:val="FFFFFE"/>
              </w:rPr>
              <w:t>(b)</w:t>
            </w:r>
          </w:p>
        </w:tc>
        <w:tc>
          <w:tcPr>
            <w:tcW w:w="1240" w:type="dxa"/>
            <w:vAlign w:val="bottom"/>
            <w:shd w:val="clear" w:color="auto" w:fill="53C072"/>
          </w:tcPr>
          <w:p>
            <w:pPr>
              <w:jc w:val="right"/>
              <w:ind w:right="53"/>
              <w:spacing w:after="0"/>
              <w:rPr>
                <w:sz w:val="20"/>
                <w:szCs w:val="20"/>
                <w:color w:val="auto"/>
              </w:rPr>
            </w:pPr>
            <w:r>
              <w:rPr>
                <w:rFonts w:ascii="Arial" w:cs="Arial" w:eastAsia="Arial" w:hAnsi="Arial"/>
                <w:sz w:val="13"/>
                <w:szCs w:val="13"/>
                <w:b w:val="1"/>
                <w:bCs w:val="1"/>
                <w:color w:val="FFFFFE"/>
              </w:rPr>
              <w:t>(c)</w:t>
            </w:r>
          </w:p>
        </w:tc>
        <w:tc>
          <w:tcPr>
            <w:tcW w:w="880" w:type="dxa"/>
            <w:vAlign w:val="bottom"/>
            <w:shd w:val="clear" w:color="auto" w:fill="53C072"/>
          </w:tcPr>
          <w:p>
            <w:pPr>
              <w:jc w:val="right"/>
              <w:ind w:right="53"/>
              <w:spacing w:after="0"/>
              <w:rPr>
                <w:sz w:val="20"/>
                <w:szCs w:val="20"/>
                <w:color w:val="auto"/>
              </w:rPr>
            </w:pPr>
            <w:r>
              <w:rPr>
                <w:rFonts w:ascii="Arial" w:cs="Arial" w:eastAsia="Arial" w:hAnsi="Arial"/>
                <w:sz w:val="13"/>
                <w:szCs w:val="13"/>
                <w:b w:val="1"/>
                <w:bCs w:val="1"/>
                <w:color w:val="FFFFFE"/>
              </w:rPr>
              <w:t>(d)</w:t>
            </w:r>
          </w:p>
        </w:tc>
        <w:tc>
          <w:tcPr>
            <w:tcW w:w="1040" w:type="dxa"/>
            <w:vAlign w:val="bottom"/>
            <w:shd w:val="clear" w:color="auto" w:fill="53C072"/>
          </w:tcPr>
          <w:p>
            <w:pPr>
              <w:jc w:val="right"/>
              <w:ind w:right="53"/>
              <w:spacing w:after="0"/>
              <w:rPr>
                <w:sz w:val="20"/>
                <w:szCs w:val="20"/>
                <w:color w:val="auto"/>
              </w:rPr>
            </w:pPr>
            <w:r>
              <w:rPr>
                <w:rFonts w:ascii="Arial" w:cs="Arial" w:eastAsia="Arial" w:hAnsi="Arial"/>
                <w:sz w:val="13"/>
                <w:szCs w:val="13"/>
                <w:b w:val="1"/>
                <w:bCs w:val="1"/>
                <w:color w:val="FFFFFE"/>
              </w:rPr>
              <w:t>(e)</w:t>
            </w:r>
          </w:p>
        </w:tc>
        <w:tc>
          <w:tcPr>
            <w:tcW w:w="78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(f)</w:t>
            </w:r>
          </w:p>
        </w:tc>
        <w:tc>
          <w:tcPr>
            <w:tcW w:w="0" w:type="dxa"/>
            <w:vAlign w:val="bottom"/>
          </w:tcPr>
          <w:p>
            <w:pPr>
              <w:spacing w:after="0"/>
              <w:rPr>
                <w:sz w:val="1"/>
                <w:szCs w:val="1"/>
                <w:color w:val="auto"/>
              </w:rPr>
            </w:pPr>
          </w:p>
        </w:tc>
      </w:tr>
      <w:tr>
        <w:trPr>
          <w:trHeight w:val="199"/>
        </w:trPr>
        <w:tc>
          <w:tcPr>
            <w:tcW w:w="2280" w:type="dxa"/>
            <w:vAlign w:val="bottom"/>
            <w:tcBorders>
              <w:bottom w:val="single" w:sz="8" w:color="53C072"/>
            </w:tcBorders>
          </w:tcPr>
          <w:p>
            <w:pPr>
              <w:spacing w:after="0" w:line="182" w:lineRule="exact"/>
              <w:rPr>
                <w:sz w:val="20"/>
                <w:szCs w:val="20"/>
                <w:color w:val="auto"/>
              </w:rPr>
            </w:pPr>
            <w:r>
              <w:rPr>
                <w:rFonts w:ascii="Arial" w:cs="Arial" w:eastAsia="Arial" w:hAnsi="Arial"/>
                <w:sz w:val="16"/>
                <w:szCs w:val="16"/>
                <w:color w:val="auto"/>
              </w:rPr>
              <w:t>Philip R. Gallagher</w:t>
            </w:r>
          </w:p>
        </w:tc>
        <w:tc>
          <w:tcPr>
            <w:tcW w:w="2080" w:type="dxa"/>
            <w:vAlign w:val="bottom"/>
            <w:tcBorders>
              <w:bottom w:val="single" w:sz="8" w:color="53C072"/>
            </w:tcBorders>
          </w:tcPr>
          <w:p>
            <w:pPr>
              <w:jc w:val="right"/>
              <w:ind w:right="53"/>
              <w:spacing w:after="0" w:line="182"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53C072"/>
            </w:tcBorders>
          </w:tcPr>
          <w:p>
            <w:pPr>
              <w:jc w:val="right"/>
              <w:ind w:right="53"/>
              <w:spacing w:after="0" w:line="182"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53C072"/>
            </w:tcBorders>
          </w:tcPr>
          <w:p>
            <w:pPr>
              <w:jc w:val="right"/>
              <w:ind w:right="53"/>
              <w:spacing w:after="0" w:line="182" w:lineRule="exact"/>
              <w:rPr>
                <w:sz w:val="20"/>
                <w:szCs w:val="20"/>
                <w:color w:val="auto"/>
              </w:rPr>
            </w:pPr>
            <w:r>
              <w:rPr>
                <w:rFonts w:ascii="Arial" w:cs="Arial" w:eastAsia="Arial" w:hAnsi="Arial"/>
                <w:sz w:val="16"/>
                <w:szCs w:val="16"/>
                <w:color w:val="auto"/>
              </w:rPr>
              <w:t>14,711</w:t>
            </w:r>
          </w:p>
        </w:tc>
        <w:tc>
          <w:tcPr>
            <w:tcW w:w="1040" w:type="dxa"/>
            <w:vAlign w:val="bottom"/>
            <w:tcBorders>
              <w:bottom w:val="single" w:sz="8" w:color="53C072"/>
            </w:tcBorders>
          </w:tcPr>
          <w:p>
            <w:pPr>
              <w:jc w:val="right"/>
              <w:ind w:right="53"/>
              <w:spacing w:after="0" w:line="182" w:lineRule="exact"/>
              <w:rPr>
                <w:sz w:val="20"/>
                <w:szCs w:val="20"/>
                <w:color w:val="auto"/>
              </w:rPr>
            </w:pPr>
            <w:r>
              <w:rPr>
                <w:rFonts w:ascii="Arial" w:cs="Arial" w:eastAsia="Arial" w:hAnsi="Arial"/>
                <w:sz w:val="16"/>
                <w:szCs w:val="16"/>
                <w:color w:val="auto"/>
              </w:rPr>
              <w:t>151,310</w:t>
            </w:r>
          </w:p>
        </w:tc>
        <w:tc>
          <w:tcPr>
            <w:tcW w:w="780" w:type="dxa"/>
            <w:vAlign w:val="bottom"/>
            <w:tcBorders>
              <w:bottom w:val="single" w:sz="8" w:color="53C072"/>
            </w:tcBorders>
          </w:tcPr>
          <w:p>
            <w:pPr>
              <w:jc w:val="right"/>
              <w:spacing w:after="0" w:line="182" w:lineRule="exact"/>
              <w:rPr>
                <w:sz w:val="20"/>
                <w:szCs w:val="20"/>
                <w:color w:val="auto"/>
              </w:rPr>
            </w:pPr>
            <w:r>
              <w:rPr>
                <w:rFonts w:ascii="Arial" w:cs="Arial" w:eastAsia="Arial" w:hAnsi="Arial"/>
                <w:sz w:val="16"/>
                <w:szCs w:val="16"/>
                <w:color w:val="auto"/>
              </w:rPr>
              <w:t>568,124</w:t>
            </w: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POTENTIAL PAYOUTS UPON TERMINATION AND CHANGE OF CONTROL</w:t>
      </w:r>
    </w:p>
    <w:p>
      <w:pPr>
        <w:spacing w:after="0" w:line="207"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Employment Agreements, Severance Plan and Change of Control Agreements</w:t>
      </w:r>
    </w:p>
    <w:p>
      <w:pPr>
        <w:spacing w:after="0" w:line="192" w:lineRule="exact"/>
        <w:rPr>
          <w:sz w:val="20"/>
          <w:szCs w:val="20"/>
          <w:color w:val="auto"/>
        </w:rPr>
      </w:pPr>
    </w:p>
    <w:p>
      <w:pPr>
        <w:spacing w:after="0"/>
        <w:tabs>
          <w:tab w:leader="none" w:pos="2100" w:val="left"/>
        </w:tabs>
        <w:rPr>
          <w:sz w:val="20"/>
          <w:szCs w:val="20"/>
          <w:color w:val="auto"/>
        </w:rPr>
      </w:pPr>
      <w:r>
        <w:rPr>
          <w:rFonts w:ascii="Arial" w:cs="Arial" w:eastAsia="Arial" w:hAnsi="Arial"/>
          <w:sz w:val="16"/>
          <w:szCs w:val="16"/>
          <w:b w:val="1"/>
          <w:bCs w:val="1"/>
          <w:color w:val="53C072"/>
        </w:rPr>
        <w:t>Employment Agreements.</w:t>
      </w:r>
      <w:r>
        <w:rPr>
          <w:sz w:val="20"/>
          <w:szCs w:val="20"/>
          <w:color w:val="auto"/>
        </w:rPr>
        <w:tab/>
      </w:r>
      <w:r>
        <w:rPr>
          <w:rFonts w:ascii="Arial" w:cs="Arial" w:eastAsia="Arial" w:hAnsi="Arial"/>
          <w:sz w:val="15"/>
          <w:szCs w:val="15"/>
          <w:color w:val="auto"/>
        </w:rPr>
        <w:t>Each of the NEOs entered into an employment agreement with the Company.</w:t>
      </w:r>
    </w:p>
    <w:p>
      <w:pPr>
        <w:spacing w:after="0" w:line="194"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Under the Executive Severance Plan, adopted on August 10, 2017, executive officers may be eligible to receive severance benefits if they are not entitled to severance payments under any other employment agreement. The employment agreement for Mr. Liguori, which was dated after the adoption of the Executive Severance Plan, provides that he is eligible to participate in the Executive Severance Plan.</w:t>
      </w:r>
    </w:p>
    <w:p>
      <w:pPr>
        <w:spacing w:after="0" w:line="15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employment agreements for Messrs. Amelio, Bartolotta, Gallagher and Mr. O'Neill, which were dated prior to the adoption of the Executive Severance Plan, provide a severance benefit, whereby if the Company terminates their employment without "cause" they will receive a lump sum equal to: (1) base annual salary and (2) target bonus for the year in which the termination occurs. For purposes of the above, "cause" generally includes gross misconduct, breach of any material term of the agreement, willful breach, habitual neglect or wanton disregard of the executive's duties, or conviction of any criminal act.</w:t>
      </w:r>
    </w:p>
    <w:p>
      <w:pPr>
        <w:spacing w:after="0" w:line="156"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Ms. Miller's employment agreement is terminable by either the individual or the Company upon one-year advance written notice to the other. Per the terms of the Executive Severance Plan, Ms. Miller is not eligible to participate in the Executive Severance Plan.</w:t>
      </w:r>
    </w:p>
    <w:p>
      <w:pPr>
        <w:spacing w:after="0" w:line="135"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b w:val="1"/>
          <w:bCs w:val="1"/>
          <w:color w:val="53C072"/>
        </w:rPr>
        <w:t xml:space="preserve">Executive Severance Plan. </w:t>
      </w:r>
      <w:r>
        <w:rPr>
          <w:rFonts w:ascii="Arial" w:cs="Arial" w:eastAsia="Arial" w:hAnsi="Arial"/>
          <w:sz w:val="16"/>
          <w:szCs w:val="16"/>
          <w:color w:val="000000"/>
        </w:rPr>
        <w:t>Under the Executive Severance Plan, if the Company terminates an executive's employment without "cause", the executive will</w:t>
      </w:r>
      <w:r>
        <w:rPr>
          <w:rFonts w:ascii="Arial" w:cs="Arial" w:eastAsia="Arial" w:hAnsi="Arial"/>
          <w:sz w:val="16"/>
          <w:szCs w:val="16"/>
          <w:b w:val="1"/>
          <w:bCs w:val="1"/>
          <w:color w:val="53C072"/>
        </w:rPr>
        <w:t xml:space="preserve"> </w:t>
      </w:r>
      <w:r>
        <w:rPr>
          <w:rFonts w:ascii="Arial" w:cs="Arial" w:eastAsia="Arial" w:hAnsi="Arial"/>
          <w:sz w:val="16"/>
          <w:szCs w:val="16"/>
          <w:color w:val="000000"/>
        </w:rPr>
        <w:t>receive: (1) one times their annual base salary, or in the case of the CEO two times their annual base salary; (2) health care benefit continuation for the duration of the severance period; and (3) the incentive payment based on the relevant performance factors in the year of termination. For purposes of the above, "cause" generally includes gross misconduct, breach of any material term of the agreement, willful breach, habitual neglect or wanton disregard of the executive's duties, or conviction of certain criminal acts. Mr. Liguori is the sole NEO covered by the Executive Severance Plan. Messrs. Amelio, Bartolotta, Gallagher and O'Neill and Ms. Miller are not covered under the Executive Severance Plan but instead are covered by their employment agreements.</w:t>
      </w:r>
    </w:p>
    <w:p>
      <w:pPr>
        <w:spacing w:after="0" w:line="160" w:lineRule="exact"/>
        <w:rPr>
          <w:sz w:val="20"/>
          <w:szCs w:val="20"/>
          <w:color w:val="auto"/>
        </w:rPr>
      </w:pPr>
    </w:p>
    <w:p>
      <w:pPr>
        <w:ind w:right="140"/>
        <w:spacing w:after="0" w:line="243" w:lineRule="auto"/>
        <w:rPr>
          <w:sz w:val="20"/>
          <w:szCs w:val="20"/>
          <w:color w:val="auto"/>
        </w:rPr>
      </w:pPr>
      <w:r>
        <w:rPr>
          <w:rFonts w:ascii="Arial" w:cs="Arial" w:eastAsia="Arial" w:hAnsi="Arial"/>
          <w:sz w:val="16"/>
          <w:szCs w:val="16"/>
          <w:b w:val="1"/>
          <w:bCs w:val="1"/>
          <w:color w:val="53C072"/>
        </w:rPr>
        <w:t xml:space="preserve">Change of Control Agreements. </w:t>
      </w:r>
      <w:r>
        <w:rPr>
          <w:rFonts w:ascii="Arial" w:cs="Arial" w:eastAsia="Arial" w:hAnsi="Arial"/>
          <w:sz w:val="16"/>
          <w:szCs w:val="16"/>
          <w:color w:val="000000"/>
        </w:rPr>
        <w:t>Each of the NEOs entered into a change of control agreement with the Company, which provides that in the event of actual</w:t>
      </w:r>
      <w:r>
        <w:rPr>
          <w:rFonts w:ascii="Arial" w:cs="Arial" w:eastAsia="Arial" w:hAnsi="Arial"/>
          <w:sz w:val="16"/>
          <w:szCs w:val="16"/>
          <w:b w:val="1"/>
          <w:bCs w:val="1"/>
          <w:color w:val="53C072"/>
        </w:rPr>
        <w:t xml:space="preserve"> </w:t>
      </w:r>
      <w:r>
        <w:rPr>
          <w:rFonts w:ascii="Arial" w:cs="Arial" w:eastAsia="Arial" w:hAnsi="Arial"/>
          <w:sz w:val="16"/>
          <w:szCs w:val="16"/>
          <w:color w:val="000000"/>
        </w:rPr>
        <w:t>or constructive termination within 24 months of a change of control, the Company must pay the NEO all accrued base salary and pro-rata incentive payments, plus 2.99 times the sum of (i) the NEO's then-current annual base salary and (ii) the NEO's target incentive compensation for the year in which such termination occurred. Further, unvested stock options shall accelerate and vest in accordance with the early vesting provisions under the applicable stock compensation plans, and all equity incentive awards granted, but not yet delivered, will be accelerated and delivered. No NEO is entitled to a tax gross-up for excise taxes related to payments made upon a change of control. The change of control agreements between the Company and the NEOs have provisions to ensure compliance with Section 409A of the Code, by deferring any payment due upon termination of employment for up to six months to the extent required by Section 409A.</w:t>
      </w:r>
    </w:p>
    <w:p>
      <w:pPr>
        <w:spacing w:after="0" w:line="134" w:lineRule="exact"/>
        <w:rPr>
          <w:sz w:val="20"/>
          <w:szCs w:val="20"/>
          <w:color w:val="auto"/>
        </w:rPr>
      </w:pPr>
    </w:p>
    <w:p>
      <w:pPr>
        <w:jc w:val="both"/>
        <w:ind w:left="10720"/>
        <w:spacing w:after="0"/>
        <w:tabs>
          <w:tab w:leader="none" w:pos="11060" w:val="left"/>
        </w:tabs>
        <w:rPr>
          <w:sz w:val="20"/>
          <w:szCs w:val="20"/>
          <w:color w:val="auto"/>
        </w:rPr>
      </w:pPr>
      <w:r>
        <w:rPr>
          <w:rFonts w:ascii="Arial" w:cs="Arial" w:eastAsia="Arial" w:hAnsi="Arial"/>
          <w:sz w:val="23"/>
          <w:szCs w:val="23"/>
          <w:b w:val="1"/>
          <w:bCs w:val="1"/>
          <w:color w:val="53C072"/>
        </w:rPr>
        <w:t>|</w:t>
      </w:r>
      <w:r>
        <w:rPr>
          <w:sz w:val="20"/>
          <w:szCs w:val="20"/>
          <w:color w:val="auto"/>
        </w:rPr>
        <w:tab/>
      </w: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7151370" cy="203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-130175</wp:posOffset>
            </wp:positionV>
            <wp:extent cx="1664970" cy="1231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13"/>
        </w:trPr>
        <w:tc>
          <w:tcPr>
            <w:tcW w:w="522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6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22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6040" w:type="dxa"/>
            <w:vAlign w:val="bottom"/>
            <w:vMerge w:val="restart"/>
          </w:tcPr>
          <w:p>
            <w:pPr>
              <w:ind w:left="3980"/>
              <w:spacing w:after="0"/>
              <w:rPr>
                <w:sz w:val="20"/>
                <w:szCs w:val="20"/>
                <w:color w:val="auto"/>
              </w:rPr>
            </w:pPr>
            <w:r>
              <w:rPr>
                <w:rFonts w:ascii="Arial" w:cs="Arial" w:eastAsia="Arial" w:hAnsi="Arial"/>
                <w:sz w:val="13"/>
                <w:szCs w:val="13"/>
                <w:color w:val="auto"/>
                <w:w w:val="98"/>
              </w:rPr>
              <w:t>Compensation of Executive Officers</w:t>
            </w:r>
          </w:p>
        </w:tc>
        <w:tc>
          <w:tcPr>
            <w:tcW w:w="0" w:type="dxa"/>
            <w:vAlign w:val="bottom"/>
          </w:tcPr>
          <w:p>
            <w:pPr>
              <w:spacing w:after="0"/>
              <w:rPr>
                <w:sz w:val="1"/>
                <w:szCs w:val="1"/>
                <w:color w:val="auto"/>
              </w:rPr>
            </w:pPr>
          </w:p>
        </w:tc>
      </w:tr>
      <w:tr>
        <w:trPr>
          <w:trHeight w:val="102"/>
        </w:trPr>
        <w:tc>
          <w:tcPr>
            <w:tcW w:w="522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6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220" w:type="dxa"/>
            <w:vAlign w:val="bottom"/>
            <w:vMerge w:val="continue"/>
          </w:tcPr>
          <w:p>
            <w:pPr>
              <w:spacing w:after="0"/>
              <w:rPr>
                <w:sz w:val="7"/>
                <w:szCs w:val="7"/>
                <w:color w:val="auto"/>
              </w:rPr>
            </w:pPr>
          </w:p>
        </w:tc>
        <w:tc>
          <w:tcPr>
            <w:tcW w:w="6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color w:val="auto"/>
        </w:rPr>
        <w:t>Pursuant to these agreements, a constructive termination includes a material diminution in the NEO's responsibilities, a material change in the geographic location at which the NEO is primarily required to perform services for the Company, a material reduction in the NEO's base compensation or, any other action or inaction that constitutes a material breach by the Company under its employment agreement with the NEO. A change of control is defined as including the acquisition of voting or dispositive power with respect to 50% or more of the outstanding shares of the Company's Common Stock, a change in the individuals serving on the Board of Directors so that those serving on the effective date of the applicable agreement and those persons appointed by such individuals to the Board no longer constitute a majority of the Board, or the approval by shareholders of a liquidation, dissolution or sale of substantially all of the assets of the Company.</w:t>
      </w:r>
    </w:p>
    <w:p>
      <w:pPr>
        <w:spacing w:after="0" w:line="163" w:lineRule="exact"/>
        <w:rPr>
          <w:sz w:val="20"/>
          <w:szCs w:val="20"/>
          <w:color w:val="auto"/>
        </w:rPr>
      </w:pPr>
    </w:p>
    <w:p>
      <w:pPr>
        <w:ind w:right="100"/>
        <w:spacing w:after="0" w:line="268" w:lineRule="auto"/>
        <w:rPr>
          <w:sz w:val="20"/>
          <w:szCs w:val="20"/>
          <w:color w:val="auto"/>
        </w:rPr>
      </w:pPr>
      <w:r>
        <w:rPr>
          <w:rFonts w:ascii="Arial" w:cs="Arial" w:eastAsia="Arial" w:hAnsi="Arial"/>
          <w:sz w:val="15"/>
          <w:szCs w:val="15"/>
          <w:b w:val="1"/>
          <w:bCs w:val="1"/>
          <w:color w:val="53C072"/>
        </w:rPr>
        <w:t xml:space="preserve">Potential Payouts upon Termination Table. </w:t>
      </w:r>
      <w:r>
        <w:rPr>
          <w:rFonts w:ascii="Arial" w:cs="Arial" w:eastAsia="Arial" w:hAnsi="Arial"/>
          <w:sz w:val="15"/>
          <w:szCs w:val="15"/>
          <w:color w:val="000000"/>
        </w:rPr>
        <w:t>The following table sets forth the estimated payments and value of benefits that each of the NEOs would be</w:t>
      </w:r>
      <w:r>
        <w:rPr>
          <w:rFonts w:ascii="Arial" w:cs="Arial" w:eastAsia="Arial" w:hAnsi="Arial"/>
          <w:sz w:val="15"/>
          <w:szCs w:val="15"/>
          <w:b w:val="1"/>
          <w:bCs w:val="1"/>
          <w:color w:val="53C072"/>
        </w:rPr>
        <w:t xml:space="preserve"> </w:t>
      </w:r>
      <w:r>
        <w:rPr>
          <w:rFonts w:ascii="Arial" w:cs="Arial" w:eastAsia="Arial" w:hAnsi="Arial"/>
          <w:sz w:val="15"/>
          <w:szCs w:val="15"/>
          <w:color w:val="000000"/>
        </w:rPr>
        <w:t>entitled to receive under their employment agreements, the Executive Severance Plan, and change of control agreements, as applicable, in the event of the termination of their employment under various scenarios. The table assumes that the termination occurred on June 27, 2020, which is the Company's fiscal year end. Since the market value of the stock awards is based on the closing market price of the Company's Common Stock as of June 27, 2020, which was $26.04, none of the stock options outstanding for the NEO's currently have any intrinsic value, as the exercise price for those options is greater than the market price.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As used in this section:</w:t>
      </w:r>
    </w:p>
    <w:p>
      <w:pPr>
        <w:spacing w:after="0" w:line="190" w:lineRule="exact"/>
        <w:rPr>
          <w:sz w:val="20"/>
          <w:szCs w:val="20"/>
          <w:color w:val="auto"/>
        </w:rPr>
      </w:pPr>
    </w:p>
    <w:p>
      <w:pPr>
        <w:ind w:left="960" w:hanging="477"/>
        <w:spacing w:after="0"/>
        <w:tabs>
          <w:tab w:leader="none" w:pos="960" w:val="left"/>
        </w:tabs>
        <w:numPr>
          <w:ilvl w:val="0"/>
          <w:numId w:val="64"/>
        </w:numPr>
        <w:rPr>
          <w:rFonts w:ascii="Arial" w:cs="Arial" w:eastAsia="Arial" w:hAnsi="Arial"/>
          <w:sz w:val="16"/>
          <w:szCs w:val="16"/>
          <w:color w:val="53C072"/>
        </w:rPr>
      </w:pPr>
      <w:r>
        <w:rPr>
          <w:rFonts w:ascii="Arial" w:cs="Arial" w:eastAsia="Arial" w:hAnsi="Arial"/>
          <w:sz w:val="16"/>
          <w:szCs w:val="16"/>
          <w:b w:val="1"/>
          <w:bCs w:val="1"/>
          <w:color w:val="auto"/>
        </w:rPr>
        <w:t xml:space="preserve">"Death" </w:t>
      </w:r>
      <w:r>
        <w:rPr>
          <w:rFonts w:ascii="Arial" w:cs="Arial" w:eastAsia="Arial" w:hAnsi="Arial"/>
          <w:sz w:val="16"/>
          <w:szCs w:val="16"/>
          <w:color w:val="auto"/>
        </w:rPr>
        <w:t>refers to the death of a NEO;</w:t>
      </w:r>
    </w:p>
    <w:p>
      <w:pPr>
        <w:spacing w:after="0" w:line="192" w:lineRule="exact"/>
        <w:rPr>
          <w:rFonts w:ascii="Arial" w:cs="Arial" w:eastAsia="Arial" w:hAnsi="Arial"/>
          <w:sz w:val="16"/>
          <w:szCs w:val="16"/>
          <w:color w:val="53C072"/>
        </w:rPr>
      </w:pPr>
    </w:p>
    <w:p>
      <w:pPr>
        <w:ind w:left="960" w:hanging="477"/>
        <w:spacing w:after="0"/>
        <w:tabs>
          <w:tab w:leader="none" w:pos="960" w:val="left"/>
        </w:tabs>
        <w:numPr>
          <w:ilvl w:val="0"/>
          <w:numId w:val="64"/>
        </w:numPr>
        <w:rPr>
          <w:rFonts w:ascii="Arial" w:cs="Arial" w:eastAsia="Arial" w:hAnsi="Arial"/>
          <w:sz w:val="16"/>
          <w:szCs w:val="16"/>
          <w:color w:val="53C072"/>
        </w:rPr>
      </w:pPr>
      <w:r>
        <w:rPr>
          <w:rFonts w:ascii="Arial" w:cs="Arial" w:eastAsia="Arial" w:hAnsi="Arial"/>
          <w:sz w:val="16"/>
          <w:szCs w:val="16"/>
          <w:b w:val="1"/>
          <w:bCs w:val="1"/>
          <w:color w:val="auto"/>
        </w:rPr>
        <w:t xml:space="preserve">"Disability" </w:t>
      </w:r>
      <w:r>
        <w:rPr>
          <w:rFonts w:ascii="Arial" w:cs="Arial" w:eastAsia="Arial" w:hAnsi="Arial"/>
          <w:sz w:val="16"/>
          <w:szCs w:val="16"/>
          <w:color w:val="auto"/>
        </w:rPr>
        <w:t>refers to the NEO becoming permanently and totally disabled during the term of the NEO's employment;</w:t>
      </w:r>
    </w:p>
    <w:p>
      <w:pPr>
        <w:spacing w:after="0" w:line="180" w:lineRule="exact"/>
        <w:rPr>
          <w:rFonts w:ascii="Arial" w:cs="Arial" w:eastAsia="Arial" w:hAnsi="Arial"/>
          <w:sz w:val="16"/>
          <w:szCs w:val="16"/>
          <w:color w:val="53C072"/>
        </w:rPr>
      </w:pPr>
    </w:p>
    <w:p>
      <w:pPr>
        <w:ind w:left="960" w:hanging="477"/>
        <w:spacing w:after="0"/>
        <w:tabs>
          <w:tab w:leader="none" w:pos="960" w:val="left"/>
        </w:tabs>
        <w:numPr>
          <w:ilvl w:val="0"/>
          <w:numId w:val="64"/>
        </w:numPr>
        <w:rPr>
          <w:rFonts w:ascii="Arial" w:cs="Arial" w:eastAsia="Arial" w:hAnsi="Arial"/>
          <w:sz w:val="16"/>
          <w:szCs w:val="16"/>
          <w:color w:val="53C072"/>
        </w:rPr>
      </w:pPr>
      <w:r>
        <w:rPr>
          <w:rFonts w:ascii="Arial" w:cs="Arial" w:eastAsia="Arial" w:hAnsi="Arial"/>
          <w:sz w:val="16"/>
          <w:szCs w:val="16"/>
          <w:b w:val="1"/>
          <w:bCs w:val="1"/>
          <w:color w:val="auto"/>
        </w:rPr>
        <w:t xml:space="preserve">"Company Termination Without Cause" </w:t>
      </w:r>
      <w:r>
        <w:rPr>
          <w:rFonts w:ascii="Arial" w:cs="Arial" w:eastAsia="Arial" w:hAnsi="Arial"/>
          <w:sz w:val="16"/>
          <w:szCs w:val="16"/>
          <w:color w:val="auto"/>
        </w:rPr>
        <w:t>means that the NEO is fired without cause (as defined in the employment agreement);</w:t>
      </w:r>
    </w:p>
    <w:p>
      <w:pPr>
        <w:spacing w:after="0" w:line="180" w:lineRule="exact"/>
        <w:rPr>
          <w:rFonts w:ascii="Arial" w:cs="Arial" w:eastAsia="Arial" w:hAnsi="Arial"/>
          <w:sz w:val="16"/>
          <w:szCs w:val="16"/>
          <w:color w:val="53C072"/>
        </w:rPr>
      </w:pPr>
    </w:p>
    <w:p>
      <w:pPr>
        <w:ind w:left="960" w:right="760" w:hanging="477"/>
        <w:spacing w:after="0" w:line="277" w:lineRule="auto"/>
        <w:tabs>
          <w:tab w:leader="none" w:pos="960" w:val="left"/>
        </w:tabs>
        <w:numPr>
          <w:ilvl w:val="0"/>
          <w:numId w:val="64"/>
        </w:numPr>
        <w:rPr>
          <w:rFonts w:ascii="Arial" w:cs="Arial" w:eastAsia="Arial" w:hAnsi="Arial"/>
          <w:sz w:val="16"/>
          <w:szCs w:val="16"/>
          <w:color w:val="53C072"/>
        </w:rPr>
      </w:pPr>
      <w:r>
        <w:rPr>
          <w:rFonts w:ascii="Arial" w:cs="Arial" w:eastAsia="Arial" w:hAnsi="Arial"/>
          <w:sz w:val="16"/>
          <w:szCs w:val="16"/>
          <w:b w:val="1"/>
          <w:bCs w:val="1"/>
          <w:color w:val="auto"/>
        </w:rPr>
        <w:t xml:space="preserve">"Change of Control Termination" </w:t>
      </w:r>
      <w:r>
        <w:rPr>
          <w:rFonts w:ascii="Arial" w:cs="Arial" w:eastAsia="Arial" w:hAnsi="Arial"/>
          <w:sz w:val="16"/>
          <w:szCs w:val="16"/>
          <w:color w:val="auto"/>
        </w:rPr>
        <w:t>means the occurrence of both a change of control and the constructive termination of the NEO within</w:t>
      </w:r>
      <w:r>
        <w:rPr>
          <w:rFonts w:ascii="Arial" w:cs="Arial" w:eastAsia="Arial" w:hAnsi="Arial"/>
          <w:sz w:val="16"/>
          <w:szCs w:val="16"/>
          <w:b w:val="1"/>
          <w:bCs w:val="1"/>
          <w:color w:val="auto"/>
        </w:rPr>
        <w:t xml:space="preserve"> </w:t>
      </w:r>
      <w:r>
        <w:rPr>
          <w:rFonts w:ascii="Arial" w:cs="Arial" w:eastAsia="Arial" w:hAnsi="Arial"/>
          <w:sz w:val="16"/>
          <w:szCs w:val="16"/>
          <w:color w:val="auto"/>
        </w:rPr>
        <w:t>24 months of the change; and</w:t>
      </w:r>
    </w:p>
    <w:p>
      <w:pPr>
        <w:spacing w:after="0" w:line="133" w:lineRule="exact"/>
        <w:rPr>
          <w:rFonts w:ascii="Arial" w:cs="Arial" w:eastAsia="Arial" w:hAnsi="Arial"/>
          <w:sz w:val="16"/>
          <w:szCs w:val="16"/>
          <w:color w:val="53C072"/>
        </w:rPr>
      </w:pPr>
    </w:p>
    <w:p>
      <w:pPr>
        <w:ind w:left="960" w:right="320" w:hanging="477"/>
        <w:spacing w:after="0" w:line="277" w:lineRule="auto"/>
        <w:tabs>
          <w:tab w:leader="none" w:pos="960" w:val="left"/>
        </w:tabs>
        <w:numPr>
          <w:ilvl w:val="0"/>
          <w:numId w:val="64"/>
        </w:numPr>
        <w:rPr>
          <w:rFonts w:ascii="Arial" w:cs="Arial" w:eastAsia="Arial" w:hAnsi="Arial"/>
          <w:sz w:val="16"/>
          <w:szCs w:val="16"/>
          <w:color w:val="53C072"/>
        </w:rPr>
      </w:pPr>
      <w:r>
        <w:rPr>
          <w:rFonts w:ascii="Arial" w:cs="Arial" w:eastAsia="Arial" w:hAnsi="Arial"/>
          <w:sz w:val="16"/>
          <w:szCs w:val="16"/>
          <w:b w:val="1"/>
          <w:bCs w:val="1"/>
          <w:color w:val="auto"/>
        </w:rPr>
        <w:t xml:space="preserve">"Retirement" </w:t>
      </w:r>
      <w:r>
        <w:rPr>
          <w:rFonts w:ascii="Arial" w:cs="Arial" w:eastAsia="Arial" w:hAnsi="Arial"/>
          <w:sz w:val="16"/>
          <w:szCs w:val="16"/>
          <w:color w:val="auto"/>
        </w:rPr>
        <w:t>for the purpose of determining benefit under the stock plans, means all the following: (a) age 55, (b) five years of service, (c) age</w:t>
      </w:r>
      <w:r>
        <w:rPr>
          <w:rFonts w:ascii="Arial" w:cs="Arial" w:eastAsia="Arial" w:hAnsi="Arial"/>
          <w:sz w:val="16"/>
          <w:szCs w:val="16"/>
          <w:b w:val="1"/>
          <w:bCs w:val="1"/>
          <w:color w:val="auto"/>
        </w:rPr>
        <w:t xml:space="preserve"> </w:t>
      </w:r>
      <w:r>
        <w:rPr>
          <w:rFonts w:ascii="Arial" w:cs="Arial" w:eastAsia="Arial" w:hAnsi="Arial"/>
          <w:sz w:val="16"/>
          <w:szCs w:val="16"/>
          <w:color w:val="auto"/>
        </w:rPr>
        <w:t>plus years of service is equal to at least 65, and (d) the NEO must have signed a non-compete agreement.</w:t>
      </w:r>
    </w:p>
    <w:p>
      <w:pPr>
        <w:spacing w:after="0" w:line="147"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64</w:t>
      </w:r>
      <w:r>
        <w:rPr>
          <w:sz w:val="20"/>
          <w:szCs w:val="20"/>
          <w:color w:val="auto"/>
        </w:rPr>
        <w:tab/>
      </w:r>
      <w:r>
        <w:rPr>
          <w:rFonts w:ascii="Arial" w:cs="Arial" w:eastAsia="Arial" w:hAnsi="Arial"/>
          <w:sz w:val="23"/>
          <w:szCs w:val="23"/>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7151370" cy="203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-155575</wp:posOffset>
            </wp:positionV>
            <wp:extent cx="1664970" cy="1231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69" w:name="page70"/>
    <w:bookmarkEnd w:id="69"/>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ectPr>
          <w:pgSz w:w="11900" w:h="16838" w:orient="portrait"/>
          <w:cols w:equalWidth="0" w:num="1">
            <w:col w:w="11260"/>
          </w:cols>
          <w:pgMar w:left="320" w:top="122" w:right="319" w:bottom="1440" w:gutter="0" w:footer="0" w:header="0"/>
        </w:sectPr>
      </w:pPr>
    </w:p>
    <w:p>
      <w:pPr>
        <w:spacing w:after="0" w:line="207" w:lineRule="exact"/>
        <w:rPr>
          <w:sz w:val="20"/>
          <w:szCs w:val="20"/>
          <w:color w:val="auto"/>
        </w:rPr>
      </w:pPr>
    </w:p>
    <w:p>
      <w:pPr>
        <w:spacing w:after="0" w:line="331" w:lineRule="auto"/>
        <w:rPr>
          <w:sz w:val="20"/>
          <w:szCs w:val="20"/>
          <w:color w:val="auto"/>
        </w:rPr>
      </w:pPr>
      <w:r>
        <w:rPr>
          <w:rFonts w:ascii="Arial" w:cs="Arial" w:eastAsia="Arial" w:hAnsi="Arial"/>
          <w:sz w:val="12"/>
          <w:szCs w:val="12"/>
          <w:b w:val="1"/>
          <w:bCs w:val="1"/>
          <w:color w:val="53C072"/>
        </w:rPr>
        <w:t xml:space="preserve">2020 ANNUAL </w:t>
      </w:r>
      <w:r>
        <w:rPr>
          <w:rFonts w:ascii="Arial" w:cs="Arial" w:eastAsia="Arial" w:hAnsi="Arial"/>
          <w:sz w:val="12"/>
          <w:szCs w:val="12"/>
          <w:b w:val="1"/>
          <w:bCs w:val="1"/>
          <w:color w:val="000000"/>
        </w:rPr>
        <w:t>PROXY STATEMENT</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3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60" w:type="dxa"/>
            <w:vAlign w:val="bottom"/>
            <w:gridSpan w:val="2"/>
          </w:tcPr>
          <w:p>
            <w:pPr>
              <w:jc w:val="right"/>
              <w:spacing w:after="0"/>
              <w:rPr>
                <w:sz w:val="20"/>
                <w:szCs w:val="20"/>
                <w:color w:val="auto"/>
              </w:rPr>
            </w:pPr>
            <w:r>
              <w:rPr>
                <w:rFonts w:ascii="Arial" w:cs="Arial" w:eastAsia="Arial" w:hAnsi="Arial"/>
                <w:sz w:val="13"/>
                <w:szCs w:val="13"/>
                <w:color w:val="auto"/>
              </w:rPr>
              <w:t>Compensation of Executive Officers</w:t>
            </w:r>
          </w:p>
        </w:tc>
        <w:tc>
          <w:tcPr>
            <w:tcW w:w="0" w:type="dxa"/>
            <w:vAlign w:val="bottom"/>
          </w:tcPr>
          <w:p>
            <w:pPr>
              <w:spacing w:after="0"/>
              <w:rPr>
                <w:sz w:val="1"/>
                <w:szCs w:val="1"/>
                <w:color w:val="auto"/>
              </w:rPr>
            </w:pPr>
          </w:p>
        </w:tc>
      </w:tr>
      <w:tr>
        <w:trPr>
          <w:trHeight w:val="251"/>
        </w:trPr>
        <w:tc>
          <w:tcPr>
            <w:tcW w:w="3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3480" w:type="dxa"/>
            <w:vAlign w:val="bottom"/>
            <w:shd w:val="clear" w:color="auto" w:fill="53C072"/>
          </w:tcPr>
          <w:p>
            <w:pPr>
              <w:spacing w:after="0"/>
              <w:rPr>
                <w:sz w:val="11"/>
                <w:szCs w:val="11"/>
                <w:color w:val="auto"/>
              </w:rPr>
            </w:pPr>
          </w:p>
        </w:tc>
        <w:tc>
          <w:tcPr>
            <w:tcW w:w="220" w:type="dxa"/>
            <w:vAlign w:val="bottom"/>
            <w:shd w:val="clear" w:color="auto" w:fill="53C072"/>
          </w:tcPr>
          <w:p>
            <w:pPr>
              <w:spacing w:after="0"/>
              <w:rPr>
                <w:sz w:val="11"/>
                <w:szCs w:val="11"/>
                <w:color w:val="auto"/>
              </w:rPr>
            </w:pPr>
          </w:p>
        </w:tc>
        <w:tc>
          <w:tcPr>
            <w:tcW w:w="880" w:type="dxa"/>
            <w:vAlign w:val="bottom"/>
            <w:shd w:val="clear" w:color="auto" w:fill="53C072"/>
          </w:tcPr>
          <w:p>
            <w:pPr>
              <w:spacing w:after="0"/>
              <w:rPr>
                <w:sz w:val="11"/>
                <w:szCs w:val="11"/>
                <w:color w:val="auto"/>
              </w:rPr>
            </w:pPr>
          </w:p>
        </w:tc>
        <w:tc>
          <w:tcPr>
            <w:tcW w:w="80" w:type="dxa"/>
            <w:vAlign w:val="bottom"/>
            <w:shd w:val="clear" w:color="auto" w:fill="53C072"/>
          </w:tcPr>
          <w:p>
            <w:pPr>
              <w:spacing w:after="0"/>
              <w:rPr>
                <w:sz w:val="11"/>
                <w:szCs w:val="11"/>
                <w:color w:val="auto"/>
              </w:rPr>
            </w:pPr>
          </w:p>
        </w:tc>
        <w:tc>
          <w:tcPr>
            <w:tcW w:w="880" w:type="dxa"/>
            <w:vAlign w:val="bottom"/>
            <w:shd w:val="clear" w:color="auto" w:fill="53C072"/>
          </w:tcPr>
          <w:p>
            <w:pPr>
              <w:spacing w:after="0"/>
              <w:rPr>
                <w:sz w:val="11"/>
                <w:szCs w:val="11"/>
                <w:color w:val="auto"/>
              </w:rPr>
            </w:pPr>
          </w:p>
        </w:tc>
        <w:tc>
          <w:tcPr>
            <w:tcW w:w="960" w:type="dxa"/>
            <w:vAlign w:val="bottom"/>
            <w:shd w:val="clear" w:color="auto" w:fill="53C072"/>
          </w:tcPr>
          <w:p>
            <w:pPr>
              <w:jc w:val="right"/>
              <w:ind w:right="62"/>
              <w:spacing w:after="0" w:line="132" w:lineRule="exact"/>
              <w:rPr>
                <w:sz w:val="20"/>
                <w:szCs w:val="20"/>
                <w:color w:val="auto"/>
              </w:rPr>
            </w:pPr>
            <w:r>
              <w:rPr>
                <w:rFonts w:ascii="Arial" w:cs="Arial" w:eastAsia="Arial" w:hAnsi="Arial"/>
                <w:sz w:val="13"/>
                <w:szCs w:val="13"/>
                <w:b w:val="1"/>
                <w:bCs w:val="1"/>
                <w:color w:val="FFFFFE"/>
              </w:rPr>
              <w:t>Company</w:t>
            </w:r>
          </w:p>
        </w:tc>
        <w:tc>
          <w:tcPr>
            <w:tcW w:w="960" w:type="dxa"/>
            <w:vAlign w:val="bottom"/>
            <w:vMerge w:val="restart"/>
            <w:shd w:val="clear" w:color="auto" w:fill="53C072"/>
          </w:tcPr>
          <w:p>
            <w:pPr>
              <w:jc w:val="right"/>
              <w:ind w:right="62"/>
              <w:spacing w:after="0"/>
              <w:rPr>
                <w:sz w:val="20"/>
                <w:szCs w:val="20"/>
                <w:color w:val="auto"/>
              </w:rPr>
            </w:pPr>
            <w:r>
              <w:rPr>
                <w:rFonts w:ascii="Arial" w:cs="Arial" w:eastAsia="Arial" w:hAnsi="Arial"/>
                <w:sz w:val="13"/>
                <w:szCs w:val="13"/>
                <w:b w:val="1"/>
                <w:bCs w:val="1"/>
                <w:color w:val="FFFFFE"/>
              </w:rPr>
              <w:t>Change</w:t>
            </w:r>
          </w:p>
        </w:tc>
        <w:tc>
          <w:tcPr>
            <w:tcW w:w="840" w:type="dxa"/>
            <w:vAlign w:val="bottom"/>
            <w:shd w:val="clear" w:color="auto" w:fill="53C072"/>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480" w:type="dxa"/>
            <w:vAlign w:val="bottom"/>
            <w:shd w:val="clear" w:color="auto" w:fill="53C072"/>
          </w:tcPr>
          <w:p>
            <w:pPr>
              <w:spacing w:after="0"/>
              <w:rPr>
                <w:sz w:val="12"/>
                <w:szCs w:val="12"/>
                <w:color w:val="auto"/>
              </w:rPr>
            </w:pPr>
          </w:p>
        </w:tc>
        <w:tc>
          <w:tcPr>
            <w:tcW w:w="220" w:type="dxa"/>
            <w:vAlign w:val="bottom"/>
            <w:shd w:val="clear" w:color="auto" w:fill="53C072"/>
          </w:tcPr>
          <w:p>
            <w:pPr>
              <w:spacing w:after="0"/>
              <w:rPr>
                <w:sz w:val="12"/>
                <w:szCs w:val="12"/>
                <w:color w:val="auto"/>
              </w:rPr>
            </w:pPr>
          </w:p>
        </w:tc>
        <w:tc>
          <w:tcPr>
            <w:tcW w:w="880" w:type="dxa"/>
            <w:vAlign w:val="bottom"/>
            <w:vMerge w:val="restart"/>
            <w:shd w:val="clear" w:color="auto" w:fill="53C072"/>
          </w:tcPr>
          <w:p>
            <w:pPr>
              <w:jc w:val="right"/>
              <w:ind w:right="61"/>
              <w:spacing w:after="0"/>
              <w:rPr>
                <w:sz w:val="20"/>
                <w:szCs w:val="20"/>
                <w:color w:val="auto"/>
              </w:rPr>
            </w:pPr>
            <w:r>
              <w:rPr>
                <w:rFonts w:ascii="Arial" w:cs="Arial" w:eastAsia="Arial" w:hAnsi="Arial"/>
                <w:sz w:val="13"/>
                <w:szCs w:val="13"/>
                <w:b w:val="1"/>
                <w:bCs w:val="1"/>
                <w:color w:val="FFFFFE"/>
              </w:rPr>
              <w:t>Death</w:t>
            </w:r>
          </w:p>
        </w:tc>
        <w:tc>
          <w:tcPr>
            <w:tcW w:w="80" w:type="dxa"/>
            <w:vAlign w:val="bottom"/>
            <w:shd w:val="clear" w:color="auto" w:fill="53C072"/>
          </w:tcPr>
          <w:p>
            <w:pPr>
              <w:spacing w:after="0"/>
              <w:rPr>
                <w:sz w:val="12"/>
                <w:szCs w:val="12"/>
                <w:color w:val="auto"/>
              </w:rPr>
            </w:pPr>
          </w:p>
        </w:tc>
        <w:tc>
          <w:tcPr>
            <w:tcW w:w="880" w:type="dxa"/>
            <w:vAlign w:val="bottom"/>
            <w:vMerge w:val="restart"/>
            <w:shd w:val="clear" w:color="auto" w:fill="53C072"/>
          </w:tcPr>
          <w:p>
            <w:pPr>
              <w:jc w:val="right"/>
              <w:ind w:right="61"/>
              <w:spacing w:after="0"/>
              <w:rPr>
                <w:sz w:val="20"/>
                <w:szCs w:val="20"/>
                <w:color w:val="auto"/>
              </w:rPr>
            </w:pPr>
            <w:r>
              <w:rPr>
                <w:rFonts w:ascii="Arial" w:cs="Arial" w:eastAsia="Arial" w:hAnsi="Arial"/>
                <w:sz w:val="13"/>
                <w:szCs w:val="13"/>
                <w:b w:val="1"/>
                <w:bCs w:val="1"/>
                <w:color w:val="FFFFFE"/>
              </w:rPr>
              <w:t>Disability</w:t>
            </w:r>
          </w:p>
        </w:tc>
        <w:tc>
          <w:tcPr>
            <w:tcW w:w="960" w:type="dxa"/>
            <w:vAlign w:val="bottom"/>
            <w:shd w:val="clear" w:color="auto" w:fill="53C072"/>
          </w:tcPr>
          <w:p>
            <w:pPr>
              <w:jc w:val="right"/>
              <w:ind w:right="62"/>
              <w:spacing w:after="0" w:line="146" w:lineRule="exact"/>
              <w:rPr>
                <w:sz w:val="20"/>
                <w:szCs w:val="20"/>
                <w:color w:val="auto"/>
              </w:rPr>
            </w:pPr>
            <w:r>
              <w:rPr>
                <w:rFonts w:ascii="Arial" w:cs="Arial" w:eastAsia="Arial" w:hAnsi="Arial"/>
                <w:sz w:val="13"/>
                <w:szCs w:val="13"/>
                <w:b w:val="1"/>
                <w:bCs w:val="1"/>
                <w:color w:val="FFFFFE"/>
              </w:rPr>
              <w:t>Termination</w:t>
            </w:r>
          </w:p>
        </w:tc>
        <w:tc>
          <w:tcPr>
            <w:tcW w:w="960" w:type="dxa"/>
            <w:vAlign w:val="bottom"/>
            <w:vMerge w:val="continue"/>
            <w:shd w:val="clear" w:color="auto" w:fill="53C072"/>
          </w:tcPr>
          <w:p>
            <w:pPr>
              <w:spacing w:after="0"/>
              <w:rPr>
                <w:sz w:val="12"/>
                <w:szCs w:val="12"/>
                <w:color w:val="auto"/>
              </w:rPr>
            </w:pPr>
          </w:p>
        </w:tc>
        <w:tc>
          <w:tcPr>
            <w:tcW w:w="840" w:type="dxa"/>
            <w:vAlign w:val="bottom"/>
            <w:vMerge w:val="restart"/>
            <w:shd w:val="clear" w:color="auto" w:fill="53C072"/>
          </w:tcPr>
          <w:p>
            <w:pPr>
              <w:jc w:val="right"/>
              <w:spacing w:after="0"/>
              <w:rPr>
                <w:sz w:val="20"/>
                <w:szCs w:val="20"/>
                <w:color w:val="auto"/>
              </w:rPr>
            </w:pPr>
            <w:r>
              <w:rPr>
                <w:rFonts w:ascii="Arial" w:cs="Arial" w:eastAsia="Arial" w:hAnsi="Arial"/>
                <w:sz w:val="13"/>
                <w:szCs w:val="13"/>
                <w:b w:val="1"/>
                <w:bCs w:val="1"/>
                <w:color w:val="FFFFFE"/>
              </w:rPr>
              <w:t>Retirement</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480" w:type="dxa"/>
            <w:vAlign w:val="bottom"/>
            <w:shd w:val="clear" w:color="auto" w:fill="53C072"/>
          </w:tcPr>
          <w:p>
            <w:pPr>
              <w:spacing w:after="0"/>
              <w:rPr>
                <w:sz w:val="12"/>
                <w:szCs w:val="12"/>
                <w:color w:val="auto"/>
              </w:rPr>
            </w:pPr>
          </w:p>
        </w:tc>
        <w:tc>
          <w:tcPr>
            <w:tcW w:w="220" w:type="dxa"/>
            <w:vAlign w:val="bottom"/>
            <w:shd w:val="clear" w:color="auto" w:fill="53C072"/>
          </w:tcPr>
          <w:p>
            <w:pPr>
              <w:spacing w:after="0"/>
              <w:rPr>
                <w:sz w:val="12"/>
                <w:szCs w:val="12"/>
                <w:color w:val="auto"/>
              </w:rPr>
            </w:pPr>
          </w:p>
        </w:tc>
        <w:tc>
          <w:tcPr>
            <w:tcW w:w="880" w:type="dxa"/>
            <w:vAlign w:val="bottom"/>
            <w:vMerge w:val="continue"/>
            <w:shd w:val="clear" w:color="auto" w:fill="53C072"/>
          </w:tcPr>
          <w:p>
            <w:pPr>
              <w:spacing w:after="0"/>
              <w:rPr>
                <w:sz w:val="12"/>
                <w:szCs w:val="12"/>
                <w:color w:val="auto"/>
              </w:rPr>
            </w:pPr>
          </w:p>
        </w:tc>
        <w:tc>
          <w:tcPr>
            <w:tcW w:w="80" w:type="dxa"/>
            <w:vAlign w:val="bottom"/>
            <w:shd w:val="clear" w:color="auto" w:fill="53C072"/>
          </w:tcPr>
          <w:p>
            <w:pPr>
              <w:spacing w:after="0"/>
              <w:rPr>
                <w:sz w:val="12"/>
                <w:szCs w:val="12"/>
                <w:color w:val="auto"/>
              </w:rPr>
            </w:pPr>
          </w:p>
        </w:tc>
        <w:tc>
          <w:tcPr>
            <w:tcW w:w="880" w:type="dxa"/>
            <w:vAlign w:val="bottom"/>
            <w:vMerge w:val="continue"/>
            <w:shd w:val="clear" w:color="auto" w:fill="53C072"/>
          </w:tcPr>
          <w:p>
            <w:pPr>
              <w:spacing w:after="0"/>
              <w:rPr>
                <w:sz w:val="12"/>
                <w:szCs w:val="12"/>
                <w:color w:val="auto"/>
              </w:rPr>
            </w:pPr>
          </w:p>
        </w:tc>
        <w:tc>
          <w:tcPr>
            <w:tcW w:w="960" w:type="dxa"/>
            <w:vAlign w:val="bottom"/>
            <w:shd w:val="clear" w:color="auto" w:fill="53C072"/>
          </w:tcPr>
          <w:p>
            <w:pPr>
              <w:jc w:val="right"/>
              <w:ind w:right="62"/>
              <w:spacing w:after="0" w:line="146" w:lineRule="exact"/>
              <w:rPr>
                <w:sz w:val="20"/>
                <w:szCs w:val="20"/>
                <w:color w:val="auto"/>
              </w:rPr>
            </w:pPr>
            <w:r>
              <w:rPr>
                <w:rFonts w:ascii="Arial" w:cs="Arial" w:eastAsia="Arial" w:hAnsi="Arial"/>
                <w:sz w:val="13"/>
                <w:szCs w:val="13"/>
                <w:b w:val="1"/>
                <w:bCs w:val="1"/>
                <w:color w:val="FFFFFE"/>
              </w:rPr>
              <w:t>w/o Cause</w:t>
            </w:r>
          </w:p>
        </w:tc>
        <w:tc>
          <w:tcPr>
            <w:tcW w:w="960" w:type="dxa"/>
            <w:vAlign w:val="bottom"/>
            <w:shd w:val="clear" w:color="auto" w:fill="53C072"/>
          </w:tcPr>
          <w:p>
            <w:pPr>
              <w:jc w:val="right"/>
              <w:ind w:right="62"/>
              <w:spacing w:after="0" w:line="146" w:lineRule="exact"/>
              <w:rPr>
                <w:sz w:val="20"/>
                <w:szCs w:val="20"/>
                <w:color w:val="auto"/>
              </w:rPr>
            </w:pPr>
            <w:r>
              <w:rPr>
                <w:rFonts w:ascii="Arial" w:cs="Arial" w:eastAsia="Arial" w:hAnsi="Arial"/>
                <w:sz w:val="13"/>
                <w:szCs w:val="13"/>
                <w:b w:val="1"/>
                <w:bCs w:val="1"/>
                <w:color w:val="FFFFFE"/>
              </w:rPr>
              <w:t>of Control</w:t>
            </w:r>
          </w:p>
        </w:tc>
        <w:tc>
          <w:tcPr>
            <w:tcW w:w="840" w:type="dxa"/>
            <w:vAlign w:val="bottom"/>
            <w:vMerge w:val="continue"/>
            <w:shd w:val="clear" w:color="auto" w:fill="53C072"/>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480" w:type="dxa"/>
            <w:vAlign w:val="bottom"/>
            <w:shd w:val="clear" w:color="auto" w:fill="53C072"/>
          </w:tcPr>
          <w:p>
            <w:pPr>
              <w:spacing w:after="0"/>
              <w:rPr>
                <w:sz w:val="13"/>
                <w:szCs w:val="13"/>
                <w:color w:val="auto"/>
              </w:rPr>
            </w:pPr>
          </w:p>
        </w:tc>
        <w:tc>
          <w:tcPr>
            <w:tcW w:w="1100" w:type="dxa"/>
            <w:vAlign w:val="bottom"/>
            <w:gridSpan w:val="2"/>
            <w:shd w:val="clear" w:color="auto" w:fill="53C072"/>
          </w:tcPr>
          <w:p>
            <w:pPr>
              <w:jc w:val="right"/>
              <w:ind w:right="61"/>
              <w:spacing w:after="0"/>
              <w:rPr>
                <w:sz w:val="20"/>
                <w:szCs w:val="20"/>
                <w:color w:val="auto"/>
              </w:rPr>
            </w:pPr>
            <w:r>
              <w:rPr>
                <w:rFonts w:ascii="Arial" w:cs="Arial" w:eastAsia="Arial" w:hAnsi="Arial"/>
                <w:sz w:val="13"/>
                <w:szCs w:val="13"/>
                <w:b w:val="1"/>
                <w:bCs w:val="1"/>
                <w:color w:val="FFFFFE"/>
              </w:rPr>
              <w:t>($)</w:t>
            </w:r>
          </w:p>
        </w:tc>
        <w:tc>
          <w:tcPr>
            <w:tcW w:w="960" w:type="dxa"/>
            <w:vAlign w:val="bottom"/>
            <w:gridSpan w:val="2"/>
            <w:shd w:val="clear" w:color="auto" w:fill="53C072"/>
          </w:tcPr>
          <w:p>
            <w:pPr>
              <w:jc w:val="right"/>
              <w:ind w:right="61"/>
              <w:spacing w:after="0"/>
              <w:rPr>
                <w:sz w:val="20"/>
                <w:szCs w:val="20"/>
                <w:color w:val="auto"/>
              </w:rPr>
            </w:pPr>
            <w:r>
              <w:rPr>
                <w:rFonts w:ascii="Arial" w:cs="Arial" w:eastAsia="Arial" w:hAnsi="Arial"/>
                <w:sz w:val="13"/>
                <w:szCs w:val="13"/>
                <w:b w:val="1"/>
                <w:bCs w:val="1"/>
                <w:color w:val="FFFFFE"/>
              </w:rPr>
              <w:t>($)</w:t>
            </w:r>
          </w:p>
        </w:tc>
        <w:tc>
          <w:tcPr>
            <w:tcW w:w="960" w:type="dxa"/>
            <w:vAlign w:val="bottom"/>
            <w:shd w:val="clear" w:color="auto" w:fill="53C072"/>
          </w:tcPr>
          <w:p>
            <w:pPr>
              <w:jc w:val="right"/>
              <w:ind w:right="62"/>
              <w:spacing w:after="0"/>
              <w:rPr>
                <w:sz w:val="20"/>
                <w:szCs w:val="20"/>
                <w:color w:val="auto"/>
              </w:rPr>
            </w:pPr>
            <w:r>
              <w:rPr>
                <w:rFonts w:ascii="Arial" w:cs="Arial" w:eastAsia="Arial" w:hAnsi="Arial"/>
                <w:sz w:val="13"/>
                <w:szCs w:val="13"/>
                <w:b w:val="1"/>
                <w:bCs w:val="1"/>
                <w:color w:val="FFFFFE"/>
              </w:rPr>
              <w:t>($)</w:t>
            </w:r>
          </w:p>
        </w:tc>
        <w:tc>
          <w:tcPr>
            <w:tcW w:w="960" w:type="dxa"/>
            <w:vAlign w:val="bottom"/>
            <w:shd w:val="clear" w:color="auto" w:fill="53C072"/>
          </w:tcPr>
          <w:p>
            <w:pPr>
              <w:jc w:val="right"/>
              <w:ind w:right="62"/>
              <w:spacing w:after="0"/>
              <w:rPr>
                <w:sz w:val="20"/>
                <w:szCs w:val="20"/>
                <w:color w:val="auto"/>
              </w:rPr>
            </w:pPr>
            <w:r>
              <w:rPr>
                <w:rFonts w:ascii="Arial" w:cs="Arial" w:eastAsia="Arial" w:hAnsi="Arial"/>
                <w:sz w:val="13"/>
                <w:szCs w:val="13"/>
                <w:b w:val="1"/>
                <w:bCs w:val="1"/>
                <w:color w:val="FFFFFE"/>
              </w:rPr>
              <w:t>($)</w:t>
            </w:r>
          </w:p>
        </w:tc>
        <w:tc>
          <w:tcPr>
            <w:tcW w:w="840" w:type="dxa"/>
            <w:vAlign w:val="bottom"/>
            <w:shd w:val="clear" w:color="auto" w:fill="53C072"/>
          </w:tcPr>
          <w:p>
            <w:pPr>
              <w:jc w:val="right"/>
              <w:spacing w:after="0"/>
              <w:rPr>
                <w:sz w:val="20"/>
                <w:szCs w:val="20"/>
                <w:color w:val="auto"/>
              </w:rPr>
            </w:pPr>
            <w:r>
              <w:rPr>
                <w:rFonts w:ascii="Arial" w:cs="Arial" w:eastAsia="Arial" w:hAnsi="Arial"/>
                <w:sz w:val="13"/>
                <w:szCs w:val="13"/>
                <w:b w:val="1"/>
                <w:bCs w:val="1"/>
                <w:color w:val="FFFFFE"/>
              </w:rPr>
              <w:t>($)</w:t>
            </w: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480" w:type="dxa"/>
            <w:vAlign w:val="bottom"/>
          </w:tcPr>
          <w:p>
            <w:pPr>
              <w:spacing w:after="0" w:line="168" w:lineRule="exact"/>
              <w:rPr>
                <w:sz w:val="20"/>
                <w:szCs w:val="20"/>
                <w:color w:val="auto"/>
              </w:rPr>
            </w:pPr>
            <w:r>
              <w:rPr>
                <w:rFonts w:ascii="Arial" w:cs="Arial" w:eastAsia="Arial" w:hAnsi="Arial"/>
                <w:sz w:val="16"/>
                <w:szCs w:val="16"/>
                <w:color w:val="auto"/>
              </w:rPr>
              <w:t>William J. Amelio</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480" w:type="dxa"/>
            <w:vAlign w:val="bottom"/>
          </w:tcPr>
          <w:p>
            <w:pPr>
              <w:ind w:left="140"/>
              <w:spacing w:after="0" w:line="214" w:lineRule="exact"/>
              <w:rPr>
                <w:sz w:val="20"/>
                <w:szCs w:val="20"/>
                <w:color w:val="auto"/>
              </w:rPr>
            </w:pPr>
            <w:r>
              <w:rPr>
                <w:rFonts w:ascii="Arial" w:cs="Arial" w:eastAsia="Arial" w:hAnsi="Arial"/>
                <w:sz w:val="15"/>
                <w:szCs w:val="15"/>
                <w:color w:val="auto"/>
              </w:rPr>
              <w:t>Severance</w:t>
            </w:r>
            <w:r>
              <w:rPr>
                <w:rFonts w:ascii="Arial" w:cs="Arial" w:eastAsia="Arial" w:hAnsi="Arial"/>
                <w:sz w:val="24"/>
                <w:szCs w:val="24"/>
                <w:color w:val="auto"/>
                <w:vertAlign w:val="superscript"/>
              </w:rPr>
              <w:t>(1)</w:t>
            </w:r>
          </w:p>
        </w:tc>
        <w:tc>
          <w:tcPr>
            <w:tcW w:w="220" w:type="dxa"/>
            <w:vAlign w:val="bottom"/>
          </w:tcPr>
          <w:p>
            <w:pPr>
              <w:spacing w:after="0"/>
              <w:rPr>
                <w:sz w:val="18"/>
                <w:szCs w:val="18"/>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2,500,000</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7,475,000</w:t>
            </w:r>
          </w:p>
        </w:tc>
        <w:tc>
          <w:tcPr>
            <w:tcW w:w="2460" w:type="dxa"/>
            <w:vAlign w:val="bottom"/>
            <w:gridSpan w:val="2"/>
          </w:tcPr>
          <w:p>
            <w:pPr>
              <w:jc w:val="right"/>
              <w:ind w:right="1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3480" w:type="dxa"/>
            <w:vAlign w:val="bottom"/>
          </w:tcPr>
          <w:p>
            <w:pPr>
              <w:ind w:left="140"/>
              <w:spacing w:after="0" w:line="182" w:lineRule="exact"/>
              <w:rPr>
                <w:sz w:val="20"/>
                <w:szCs w:val="20"/>
                <w:color w:val="auto"/>
              </w:rPr>
            </w:pPr>
            <w:r>
              <w:rPr>
                <w:rFonts w:ascii="Arial" w:cs="Arial" w:eastAsia="Arial" w:hAnsi="Arial"/>
                <w:sz w:val="16"/>
                <w:szCs w:val="16"/>
                <w:color w:val="auto"/>
              </w:rPr>
              <w:t>Settlement of previously vested stock options</w:t>
            </w:r>
          </w:p>
        </w:tc>
        <w:tc>
          <w:tcPr>
            <w:tcW w:w="220" w:type="dxa"/>
            <w:vAlign w:val="bottom"/>
          </w:tcPr>
          <w:p>
            <w:pPr>
              <w:spacing w:after="0"/>
              <w:rPr>
                <w:sz w:val="15"/>
                <w:szCs w:val="15"/>
                <w:color w:val="auto"/>
              </w:rPr>
            </w:pPr>
          </w:p>
        </w:tc>
        <w:tc>
          <w:tcPr>
            <w:tcW w:w="880" w:type="dxa"/>
            <w:vAlign w:val="bottom"/>
          </w:tcPr>
          <w:p>
            <w:pPr>
              <w:jc w:val="right"/>
              <w:ind w:right="61"/>
              <w:spacing w:after="0" w:line="182"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880" w:type="dxa"/>
            <w:vAlign w:val="bottom"/>
          </w:tcPr>
          <w:p>
            <w:pPr>
              <w:jc w:val="right"/>
              <w:ind w:right="61"/>
              <w:spacing w:after="0" w:line="182"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62"/>
              <w:spacing w:after="0" w:line="182"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62"/>
              <w:spacing w:after="0" w:line="182" w:lineRule="exact"/>
              <w:rPr>
                <w:sz w:val="20"/>
                <w:szCs w:val="20"/>
                <w:color w:val="auto"/>
              </w:rPr>
            </w:pPr>
            <w:r>
              <w:rPr>
                <w:rFonts w:ascii="Arial" w:cs="Arial" w:eastAsia="Arial" w:hAnsi="Arial"/>
                <w:sz w:val="16"/>
                <w:szCs w:val="16"/>
                <w:color w:val="auto"/>
              </w:rPr>
              <w:t>—</w:t>
            </w:r>
          </w:p>
        </w:tc>
        <w:tc>
          <w:tcPr>
            <w:tcW w:w="2460" w:type="dxa"/>
            <w:vAlign w:val="bottom"/>
            <w:gridSpan w:val="2"/>
          </w:tcPr>
          <w:p>
            <w:pPr>
              <w:jc w:val="right"/>
              <w:ind w:right="1620"/>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3480" w:type="dxa"/>
            <w:vAlign w:val="bottom"/>
          </w:tcPr>
          <w:p>
            <w:pPr>
              <w:ind w:left="140"/>
              <w:spacing w:after="0"/>
              <w:rPr>
                <w:sz w:val="20"/>
                <w:szCs w:val="20"/>
                <w:color w:val="auto"/>
              </w:rPr>
            </w:pPr>
            <w:r>
              <w:rPr>
                <w:rFonts w:ascii="Arial" w:cs="Arial" w:eastAsia="Arial" w:hAnsi="Arial"/>
                <w:sz w:val="16"/>
                <w:szCs w:val="16"/>
                <w:color w:val="auto"/>
              </w:rPr>
              <w:t>Settlement of unvested stock options</w:t>
            </w:r>
          </w:p>
        </w:tc>
        <w:tc>
          <w:tcPr>
            <w:tcW w:w="220" w:type="dxa"/>
            <w:vAlign w:val="bottom"/>
          </w:tcPr>
          <w:p>
            <w:pPr>
              <w:spacing w:after="0"/>
              <w:rPr>
                <w:sz w:val="16"/>
                <w:szCs w:val="16"/>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460" w:type="dxa"/>
            <w:vAlign w:val="bottom"/>
            <w:gridSpan w:val="2"/>
          </w:tcPr>
          <w:p>
            <w:pPr>
              <w:jc w:val="right"/>
              <w:ind w:right="1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80" w:type="dxa"/>
            <w:vAlign w:val="bottom"/>
          </w:tcPr>
          <w:p>
            <w:pPr>
              <w:ind w:left="140"/>
              <w:spacing w:after="0" w:line="218" w:lineRule="exact"/>
              <w:rPr>
                <w:sz w:val="20"/>
                <w:szCs w:val="20"/>
                <w:color w:val="auto"/>
              </w:rPr>
            </w:pPr>
            <w:r>
              <w:rPr>
                <w:rFonts w:ascii="Arial" w:cs="Arial" w:eastAsia="Arial" w:hAnsi="Arial"/>
                <w:sz w:val="15"/>
                <w:szCs w:val="15"/>
                <w:color w:val="auto"/>
              </w:rPr>
              <w:t>Settlement of RSUs</w:t>
            </w:r>
            <w:r>
              <w:rPr>
                <w:rFonts w:ascii="Arial" w:cs="Arial" w:eastAsia="Arial" w:hAnsi="Arial"/>
                <w:sz w:val="25"/>
                <w:szCs w:val="25"/>
                <w:color w:val="auto"/>
                <w:vertAlign w:val="superscript"/>
              </w:rPr>
              <w:t>(2)</w:t>
            </w:r>
          </w:p>
        </w:tc>
        <w:tc>
          <w:tcPr>
            <w:tcW w:w="1100" w:type="dxa"/>
            <w:vAlign w:val="bottom"/>
            <w:gridSpan w:val="2"/>
          </w:tcPr>
          <w:p>
            <w:pPr>
              <w:jc w:val="right"/>
              <w:ind w:right="61"/>
              <w:spacing w:after="0"/>
              <w:rPr>
                <w:sz w:val="20"/>
                <w:szCs w:val="20"/>
                <w:color w:val="auto"/>
              </w:rPr>
            </w:pPr>
            <w:r>
              <w:rPr>
                <w:rFonts w:ascii="Arial" w:cs="Arial" w:eastAsia="Arial" w:hAnsi="Arial"/>
                <w:sz w:val="16"/>
                <w:szCs w:val="16"/>
                <w:color w:val="auto"/>
              </w:rPr>
              <w:t>1,455,323</w:t>
            </w:r>
          </w:p>
        </w:tc>
        <w:tc>
          <w:tcPr>
            <w:tcW w:w="80" w:type="dxa"/>
            <w:vAlign w:val="bottom"/>
          </w:tcPr>
          <w:p>
            <w:pPr>
              <w:spacing w:after="0"/>
              <w:rPr>
                <w:sz w:val="19"/>
                <w:szCs w:val="19"/>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1,455,323</w:t>
            </w:r>
          </w:p>
        </w:tc>
        <w:tc>
          <w:tcPr>
            <w:tcW w:w="2460" w:type="dxa"/>
            <w:vAlign w:val="bottom"/>
            <w:gridSpan w:val="2"/>
          </w:tcPr>
          <w:p>
            <w:pPr>
              <w:jc w:val="right"/>
              <w:ind w:right="1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480" w:type="dxa"/>
            <w:vAlign w:val="bottom"/>
          </w:tcPr>
          <w:p>
            <w:pPr>
              <w:ind w:left="140"/>
              <w:spacing w:after="0" w:line="214" w:lineRule="exact"/>
              <w:rPr>
                <w:sz w:val="20"/>
                <w:szCs w:val="20"/>
                <w:color w:val="auto"/>
              </w:rPr>
            </w:pPr>
            <w:r>
              <w:rPr>
                <w:rFonts w:ascii="Arial" w:cs="Arial" w:eastAsia="Arial" w:hAnsi="Arial"/>
                <w:sz w:val="15"/>
                <w:szCs w:val="15"/>
                <w:color w:val="auto"/>
              </w:rPr>
              <w:t>Settlement of PSUs</w:t>
            </w:r>
            <w:r>
              <w:rPr>
                <w:rFonts w:ascii="Arial" w:cs="Arial" w:eastAsia="Arial" w:hAnsi="Arial"/>
                <w:sz w:val="24"/>
                <w:szCs w:val="24"/>
                <w:color w:val="auto"/>
                <w:vertAlign w:val="superscript"/>
              </w:rPr>
              <w:t>(3)</w:t>
            </w:r>
          </w:p>
        </w:tc>
        <w:tc>
          <w:tcPr>
            <w:tcW w:w="1100" w:type="dxa"/>
            <w:vAlign w:val="bottom"/>
            <w:gridSpan w:val="2"/>
          </w:tcPr>
          <w:p>
            <w:pPr>
              <w:jc w:val="right"/>
              <w:ind w:right="61"/>
              <w:spacing w:after="0"/>
              <w:rPr>
                <w:sz w:val="20"/>
                <w:szCs w:val="20"/>
                <w:color w:val="auto"/>
              </w:rPr>
            </w:pPr>
            <w:r>
              <w:rPr>
                <w:rFonts w:ascii="Arial" w:cs="Arial" w:eastAsia="Arial" w:hAnsi="Arial"/>
                <w:sz w:val="16"/>
                <w:szCs w:val="16"/>
                <w:color w:val="auto"/>
              </w:rPr>
              <w:t>2,297,119</w:t>
            </w:r>
          </w:p>
        </w:tc>
        <w:tc>
          <w:tcPr>
            <w:tcW w:w="960" w:type="dxa"/>
            <w:vAlign w:val="bottom"/>
            <w:gridSpan w:val="2"/>
          </w:tcPr>
          <w:p>
            <w:pPr>
              <w:jc w:val="right"/>
              <w:ind w:right="61"/>
              <w:spacing w:after="0"/>
              <w:rPr>
                <w:sz w:val="20"/>
                <w:szCs w:val="20"/>
                <w:color w:val="auto"/>
              </w:rPr>
            </w:pPr>
            <w:r>
              <w:rPr>
                <w:rFonts w:ascii="Arial" w:cs="Arial" w:eastAsia="Arial" w:hAnsi="Arial"/>
                <w:sz w:val="16"/>
                <w:szCs w:val="16"/>
                <w:color w:val="auto"/>
              </w:rPr>
              <w:t>2,297,119</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4,297,772</w:t>
            </w:r>
          </w:p>
        </w:tc>
        <w:tc>
          <w:tcPr>
            <w:tcW w:w="2460" w:type="dxa"/>
            <w:vAlign w:val="bottom"/>
            <w:gridSpan w:val="2"/>
          </w:tcPr>
          <w:p>
            <w:pPr>
              <w:jc w:val="right"/>
              <w:ind w:right="1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3480" w:type="dxa"/>
            <w:vAlign w:val="bottom"/>
          </w:tcPr>
          <w:p>
            <w:pPr>
              <w:ind w:left="140"/>
              <w:spacing w:after="0" w:line="182" w:lineRule="exact"/>
              <w:rPr>
                <w:sz w:val="20"/>
                <w:szCs w:val="20"/>
                <w:color w:val="auto"/>
              </w:rPr>
            </w:pPr>
            <w:r>
              <w:rPr>
                <w:rFonts w:ascii="Arial" w:cs="Arial" w:eastAsia="Arial" w:hAnsi="Arial"/>
                <w:sz w:val="16"/>
                <w:szCs w:val="16"/>
                <w:color w:val="auto"/>
              </w:rPr>
              <w:t>Welfare benefits</w:t>
            </w:r>
          </w:p>
        </w:tc>
        <w:tc>
          <w:tcPr>
            <w:tcW w:w="220" w:type="dxa"/>
            <w:vAlign w:val="bottom"/>
          </w:tcPr>
          <w:p>
            <w:pPr>
              <w:spacing w:after="0"/>
              <w:rPr>
                <w:sz w:val="15"/>
                <w:szCs w:val="15"/>
                <w:color w:val="auto"/>
              </w:rPr>
            </w:pPr>
          </w:p>
        </w:tc>
        <w:tc>
          <w:tcPr>
            <w:tcW w:w="880" w:type="dxa"/>
            <w:vAlign w:val="bottom"/>
          </w:tcPr>
          <w:p>
            <w:pPr>
              <w:jc w:val="right"/>
              <w:ind w:right="61"/>
              <w:spacing w:after="0" w:line="182"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880" w:type="dxa"/>
            <w:vAlign w:val="bottom"/>
          </w:tcPr>
          <w:p>
            <w:pPr>
              <w:jc w:val="right"/>
              <w:ind w:right="61"/>
              <w:spacing w:after="0" w:line="182"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62"/>
              <w:spacing w:after="0" w:line="182"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62"/>
              <w:spacing w:after="0" w:line="182" w:lineRule="exact"/>
              <w:rPr>
                <w:sz w:val="20"/>
                <w:szCs w:val="20"/>
                <w:color w:val="auto"/>
              </w:rPr>
            </w:pPr>
            <w:r>
              <w:rPr>
                <w:rFonts w:ascii="Arial" w:cs="Arial" w:eastAsia="Arial" w:hAnsi="Arial"/>
                <w:sz w:val="16"/>
                <w:szCs w:val="16"/>
                <w:color w:val="auto"/>
              </w:rPr>
              <w:t>75,311</w:t>
            </w:r>
          </w:p>
        </w:tc>
        <w:tc>
          <w:tcPr>
            <w:tcW w:w="2460" w:type="dxa"/>
            <w:vAlign w:val="bottom"/>
            <w:gridSpan w:val="2"/>
          </w:tcPr>
          <w:p>
            <w:pPr>
              <w:jc w:val="right"/>
              <w:ind w:right="1620"/>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3480" w:type="dxa"/>
            <w:vAlign w:val="bottom"/>
          </w:tcPr>
          <w:p>
            <w:pPr>
              <w:ind w:left="140"/>
              <w:spacing w:after="0" w:line="182" w:lineRule="exact"/>
              <w:rPr>
                <w:sz w:val="20"/>
                <w:szCs w:val="20"/>
                <w:color w:val="auto"/>
              </w:rPr>
            </w:pPr>
            <w:r>
              <w:rPr>
                <w:rFonts w:ascii="Arial" w:cs="Arial" w:eastAsia="Arial" w:hAnsi="Arial"/>
                <w:sz w:val="16"/>
                <w:szCs w:val="16"/>
                <w:color w:val="auto"/>
              </w:rPr>
              <w:t>Life insurance benefit</w:t>
            </w:r>
          </w:p>
        </w:tc>
        <w:tc>
          <w:tcPr>
            <w:tcW w:w="1100" w:type="dxa"/>
            <w:vAlign w:val="bottom"/>
            <w:gridSpan w:val="2"/>
          </w:tcPr>
          <w:p>
            <w:pPr>
              <w:jc w:val="right"/>
              <w:ind w:right="61"/>
              <w:spacing w:after="0" w:line="182" w:lineRule="exact"/>
              <w:rPr>
                <w:sz w:val="20"/>
                <w:szCs w:val="20"/>
                <w:color w:val="auto"/>
              </w:rPr>
            </w:pPr>
            <w:r>
              <w:rPr>
                <w:rFonts w:ascii="Arial" w:cs="Arial" w:eastAsia="Arial" w:hAnsi="Arial"/>
                <w:sz w:val="16"/>
                <w:szCs w:val="16"/>
                <w:color w:val="auto"/>
              </w:rPr>
              <w:t>500,000</w:t>
            </w:r>
          </w:p>
        </w:tc>
        <w:tc>
          <w:tcPr>
            <w:tcW w:w="80" w:type="dxa"/>
            <w:vAlign w:val="bottom"/>
          </w:tcPr>
          <w:p>
            <w:pPr>
              <w:spacing w:after="0"/>
              <w:rPr>
                <w:sz w:val="15"/>
                <w:szCs w:val="15"/>
                <w:color w:val="auto"/>
              </w:rPr>
            </w:pPr>
          </w:p>
        </w:tc>
        <w:tc>
          <w:tcPr>
            <w:tcW w:w="880" w:type="dxa"/>
            <w:vAlign w:val="bottom"/>
          </w:tcPr>
          <w:p>
            <w:pPr>
              <w:jc w:val="right"/>
              <w:ind w:right="61"/>
              <w:spacing w:after="0" w:line="182"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62"/>
              <w:spacing w:after="0" w:line="182"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62"/>
              <w:spacing w:after="0" w:line="182" w:lineRule="exact"/>
              <w:rPr>
                <w:sz w:val="20"/>
                <w:szCs w:val="20"/>
                <w:color w:val="auto"/>
              </w:rPr>
            </w:pPr>
            <w:r>
              <w:rPr>
                <w:rFonts w:ascii="Arial" w:cs="Arial" w:eastAsia="Arial" w:hAnsi="Arial"/>
                <w:sz w:val="16"/>
                <w:szCs w:val="16"/>
                <w:color w:val="auto"/>
              </w:rPr>
              <w:t>—</w:t>
            </w:r>
          </w:p>
        </w:tc>
        <w:tc>
          <w:tcPr>
            <w:tcW w:w="2460" w:type="dxa"/>
            <w:vAlign w:val="bottom"/>
            <w:gridSpan w:val="2"/>
          </w:tcPr>
          <w:p>
            <w:pPr>
              <w:jc w:val="right"/>
              <w:ind w:right="1620"/>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3480" w:type="dxa"/>
            <w:vAlign w:val="bottom"/>
          </w:tcPr>
          <w:p>
            <w:pPr>
              <w:ind w:left="140"/>
              <w:spacing w:after="0" w:line="182" w:lineRule="exact"/>
              <w:rPr>
                <w:sz w:val="20"/>
                <w:szCs w:val="20"/>
                <w:color w:val="auto"/>
              </w:rPr>
            </w:pPr>
            <w:r>
              <w:rPr>
                <w:rFonts w:ascii="Arial" w:cs="Arial" w:eastAsia="Arial" w:hAnsi="Arial"/>
                <w:sz w:val="16"/>
                <w:szCs w:val="16"/>
                <w:color w:val="auto"/>
              </w:rPr>
              <w:t>Pension</w:t>
            </w:r>
          </w:p>
        </w:tc>
        <w:tc>
          <w:tcPr>
            <w:tcW w:w="1100" w:type="dxa"/>
            <w:vAlign w:val="bottom"/>
            <w:gridSpan w:val="2"/>
          </w:tcPr>
          <w:p>
            <w:pPr>
              <w:jc w:val="right"/>
              <w:ind w:right="61"/>
              <w:spacing w:after="0" w:line="182" w:lineRule="exact"/>
              <w:rPr>
                <w:sz w:val="20"/>
                <w:szCs w:val="20"/>
                <w:color w:val="auto"/>
              </w:rPr>
            </w:pPr>
            <w:r>
              <w:rPr>
                <w:rFonts w:ascii="Arial" w:cs="Arial" w:eastAsia="Arial" w:hAnsi="Arial"/>
                <w:sz w:val="16"/>
                <w:szCs w:val="16"/>
                <w:color w:val="auto"/>
              </w:rPr>
              <w:t>63,215</w:t>
            </w:r>
          </w:p>
        </w:tc>
        <w:tc>
          <w:tcPr>
            <w:tcW w:w="960" w:type="dxa"/>
            <w:vAlign w:val="bottom"/>
            <w:gridSpan w:val="2"/>
          </w:tcPr>
          <w:p>
            <w:pPr>
              <w:jc w:val="right"/>
              <w:ind w:right="61"/>
              <w:spacing w:after="0" w:line="182" w:lineRule="exact"/>
              <w:rPr>
                <w:sz w:val="20"/>
                <w:szCs w:val="20"/>
                <w:color w:val="auto"/>
              </w:rPr>
            </w:pPr>
            <w:r>
              <w:rPr>
                <w:rFonts w:ascii="Arial" w:cs="Arial" w:eastAsia="Arial" w:hAnsi="Arial"/>
                <w:sz w:val="16"/>
                <w:szCs w:val="16"/>
                <w:color w:val="auto"/>
              </w:rPr>
              <w:t>63,215</w:t>
            </w:r>
          </w:p>
        </w:tc>
        <w:tc>
          <w:tcPr>
            <w:tcW w:w="960" w:type="dxa"/>
            <w:vAlign w:val="bottom"/>
          </w:tcPr>
          <w:p>
            <w:pPr>
              <w:jc w:val="right"/>
              <w:ind w:right="62"/>
              <w:spacing w:after="0" w:line="182" w:lineRule="exact"/>
              <w:rPr>
                <w:sz w:val="20"/>
                <w:szCs w:val="20"/>
                <w:color w:val="auto"/>
              </w:rPr>
            </w:pPr>
            <w:r>
              <w:rPr>
                <w:rFonts w:ascii="Arial" w:cs="Arial" w:eastAsia="Arial" w:hAnsi="Arial"/>
                <w:sz w:val="16"/>
                <w:szCs w:val="16"/>
                <w:color w:val="auto"/>
              </w:rPr>
              <w:t>63,215</w:t>
            </w:r>
          </w:p>
        </w:tc>
        <w:tc>
          <w:tcPr>
            <w:tcW w:w="960" w:type="dxa"/>
            <w:vAlign w:val="bottom"/>
          </w:tcPr>
          <w:p>
            <w:pPr>
              <w:jc w:val="right"/>
              <w:ind w:right="62"/>
              <w:spacing w:after="0" w:line="182" w:lineRule="exact"/>
              <w:rPr>
                <w:sz w:val="20"/>
                <w:szCs w:val="20"/>
                <w:color w:val="auto"/>
              </w:rPr>
            </w:pPr>
            <w:r>
              <w:rPr>
                <w:rFonts w:ascii="Arial" w:cs="Arial" w:eastAsia="Arial" w:hAnsi="Arial"/>
                <w:sz w:val="16"/>
                <w:szCs w:val="16"/>
                <w:color w:val="auto"/>
              </w:rPr>
              <w:t>63,215</w:t>
            </w:r>
          </w:p>
        </w:tc>
        <w:tc>
          <w:tcPr>
            <w:tcW w:w="2460" w:type="dxa"/>
            <w:vAlign w:val="bottom"/>
            <w:gridSpan w:val="2"/>
          </w:tcPr>
          <w:p>
            <w:pPr>
              <w:jc w:val="right"/>
              <w:ind w:right="1620"/>
              <w:spacing w:after="0" w:line="182" w:lineRule="exact"/>
              <w:rPr>
                <w:sz w:val="20"/>
                <w:szCs w:val="20"/>
                <w:color w:val="auto"/>
              </w:rPr>
            </w:pPr>
            <w:r>
              <w:rPr>
                <w:rFonts w:ascii="Arial" w:cs="Arial" w:eastAsia="Arial" w:hAnsi="Arial"/>
                <w:sz w:val="16"/>
                <w:szCs w:val="16"/>
                <w:color w:val="auto"/>
              </w:rPr>
              <w:t>63,215</w:t>
            </w:r>
          </w:p>
        </w:tc>
        <w:tc>
          <w:tcPr>
            <w:tcW w:w="0" w:type="dxa"/>
            <w:vAlign w:val="bottom"/>
          </w:tcPr>
          <w:p>
            <w:pPr>
              <w:spacing w:after="0"/>
              <w:rPr>
                <w:sz w:val="1"/>
                <w:szCs w:val="1"/>
                <w:color w:val="auto"/>
              </w:rPr>
            </w:pPr>
          </w:p>
        </w:tc>
      </w:tr>
      <w:tr>
        <w:trPr>
          <w:trHeight w:val="199"/>
        </w:trPr>
        <w:tc>
          <w:tcPr>
            <w:tcW w:w="3480" w:type="dxa"/>
            <w:vAlign w:val="bottom"/>
          </w:tcPr>
          <w:p>
            <w:pPr>
              <w:ind w:left="140"/>
              <w:spacing w:after="0"/>
              <w:rPr>
                <w:sz w:val="20"/>
                <w:szCs w:val="20"/>
                <w:color w:val="auto"/>
              </w:rPr>
            </w:pPr>
            <w:r>
              <w:rPr>
                <w:rFonts w:ascii="Arial" w:cs="Arial" w:eastAsia="Arial" w:hAnsi="Arial"/>
                <w:sz w:val="16"/>
                <w:szCs w:val="16"/>
                <w:color w:val="auto"/>
              </w:rPr>
              <w:t>Restoration Plan</w:t>
            </w:r>
          </w:p>
        </w:tc>
        <w:tc>
          <w:tcPr>
            <w:tcW w:w="1100" w:type="dxa"/>
            <w:vAlign w:val="bottom"/>
            <w:gridSpan w:val="2"/>
          </w:tcPr>
          <w:p>
            <w:pPr>
              <w:jc w:val="right"/>
              <w:ind w:right="61"/>
              <w:spacing w:after="0"/>
              <w:rPr>
                <w:sz w:val="20"/>
                <w:szCs w:val="20"/>
                <w:color w:val="auto"/>
              </w:rPr>
            </w:pPr>
            <w:r>
              <w:rPr>
                <w:rFonts w:ascii="Arial" w:cs="Arial" w:eastAsia="Arial" w:hAnsi="Arial"/>
                <w:sz w:val="16"/>
                <w:szCs w:val="16"/>
                <w:color w:val="auto"/>
              </w:rPr>
              <w:t>341,406</w:t>
            </w:r>
          </w:p>
        </w:tc>
        <w:tc>
          <w:tcPr>
            <w:tcW w:w="960" w:type="dxa"/>
            <w:vAlign w:val="bottom"/>
            <w:gridSpan w:val="2"/>
          </w:tcPr>
          <w:p>
            <w:pPr>
              <w:jc w:val="right"/>
              <w:ind w:right="61"/>
              <w:spacing w:after="0"/>
              <w:rPr>
                <w:sz w:val="20"/>
                <w:szCs w:val="20"/>
                <w:color w:val="auto"/>
              </w:rPr>
            </w:pPr>
            <w:r>
              <w:rPr>
                <w:rFonts w:ascii="Arial" w:cs="Arial" w:eastAsia="Arial" w:hAnsi="Arial"/>
                <w:sz w:val="16"/>
                <w:szCs w:val="16"/>
                <w:color w:val="auto"/>
              </w:rPr>
              <w:t>341,406</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341,406</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341,406</w:t>
            </w:r>
          </w:p>
        </w:tc>
        <w:tc>
          <w:tcPr>
            <w:tcW w:w="2460" w:type="dxa"/>
            <w:vAlign w:val="bottom"/>
            <w:gridSpan w:val="2"/>
          </w:tcPr>
          <w:p>
            <w:pPr>
              <w:jc w:val="right"/>
              <w:ind w:right="1620"/>
              <w:spacing w:after="0"/>
              <w:rPr>
                <w:sz w:val="20"/>
                <w:szCs w:val="20"/>
                <w:color w:val="auto"/>
              </w:rPr>
            </w:pPr>
            <w:r>
              <w:rPr>
                <w:rFonts w:ascii="Arial" w:cs="Arial" w:eastAsia="Arial" w:hAnsi="Arial"/>
                <w:sz w:val="16"/>
                <w:szCs w:val="16"/>
                <w:color w:val="auto"/>
              </w:rPr>
              <w:t>341,406</w:t>
            </w:r>
          </w:p>
        </w:tc>
        <w:tc>
          <w:tcPr>
            <w:tcW w:w="0" w:type="dxa"/>
            <w:vAlign w:val="bottom"/>
          </w:tcPr>
          <w:p>
            <w:pPr>
              <w:spacing w:after="0"/>
              <w:rPr>
                <w:sz w:val="1"/>
                <w:szCs w:val="1"/>
                <w:color w:val="auto"/>
              </w:rPr>
            </w:pPr>
          </w:p>
        </w:tc>
      </w:tr>
      <w:tr>
        <w:trPr>
          <w:trHeight w:val="182"/>
        </w:trPr>
        <w:tc>
          <w:tcPr>
            <w:tcW w:w="3480" w:type="dxa"/>
            <w:vAlign w:val="bottom"/>
            <w:shd w:val="clear" w:color="auto" w:fill="E8F5EA"/>
          </w:tcPr>
          <w:p>
            <w:pPr>
              <w:spacing w:after="0" w:line="182" w:lineRule="exact"/>
              <w:rPr>
                <w:sz w:val="20"/>
                <w:szCs w:val="20"/>
                <w:color w:val="auto"/>
              </w:rPr>
            </w:pPr>
            <w:r>
              <w:rPr>
                <w:rFonts w:ascii="Arial" w:cs="Arial" w:eastAsia="Arial" w:hAnsi="Arial"/>
                <w:sz w:val="16"/>
                <w:szCs w:val="16"/>
                <w:color w:val="auto"/>
              </w:rPr>
              <w:t>Thomas Liguori</w:t>
            </w:r>
          </w:p>
        </w:tc>
        <w:tc>
          <w:tcPr>
            <w:tcW w:w="220" w:type="dxa"/>
            <w:vAlign w:val="bottom"/>
            <w:shd w:val="clear" w:color="auto" w:fill="E8F5EA"/>
          </w:tcPr>
          <w:p>
            <w:pPr>
              <w:spacing w:after="0"/>
              <w:rPr>
                <w:sz w:val="15"/>
                <w:szCs w:val="15"/>
                <w:color w:val="auto"/>
              </w:rPr>
            </w:pPr>
          </w:p>
        </w:tc>
        <w:tc>
          <w:tcPr>
            <w:tcW w:w="880" w:type="dxa"/>
            <w:vAlign w:val="bottom"/>
            <w:shd w:val="clear" w:color="auto" w:fill="E8F5EA"/>
          </w:tcPr>
          <w:p>
            <w:pPr>
              <w:spacing w:after="0"/>
              <w:rPr>
                <w:sz w:val="15"/>
                <w:szCs w:val="15"/>
                <w:color w:val="auto"/>
              </w:rPr>
            </w:pPr>
          </w:p>
        </w:tc>
        <w:tc>
          <w:tcPr>
            <w:tcW w:w="80" w:type="dxa"/>
            <w:vAlign w:val="bottom"/>
            <w:shd w:val="clear" w:color="auto" w:fill="E8F5EA"/>
          </w:tcPr>
          <w:p>
            <w:pPr>
              <w:spacing w:after="0"/>
              <w:rPr>
                <w:sz w:val="15"/>
                <w:szCs w:val="15"/>
                <w:color w:val="auto"/>
              </w:rPr>
            </w:pPr>
          </w:p>
        </w:tc>
        <w:tc>
          <w:tcPr>
            <w:tcW w:w="880" w:type="dxa"/>
            <w:vAlign w:val="bottom"/>
            <w:shd w:val="clear" w:color="auto" w:fill="E8F5EA"/>
          </w:tcPr>
          <w:p>
            <w:pPr>
              <w:spacing w:after="0"/>
              <w:rPr>
                <w:sz w:val="15"/>
                <w:szCs w:val="15"/>
                <w:color w:val="auto"/>
              </w:rPr>
            </w:pPr>
          </w:p>
        </w:tc>
        <w:tc>
          <w:tcPr>
            <w:tcW w:w="960" w:type="dxa"/>
            <w:vAlign w:val="bottom"/>
            <w:shd w:val="clear" w:color="auto" w:fill="E8F5EA"/>
          </w:tcPr>
          <w:p>
            <w:pPr>
              <w:spacing w:after="0"/>
              <w:rPr>
                <w:sz w:val="15"/>
                <w:szCs w:val="15"/>
                <w:color w:val="auto"/>
              </w:rPr>
            </w:pPr>
          </w:p>
        </w:tc>
        <w:tc>
          <w:tcPr>
            <w:tcW w:w="960" w:type="dxa"/>
            <w:vAlign w:val="bottom"/>
            <w:shd w:val="clear" w:color="auto" w:fill="E8F5EA"/>
          </w:tcPr>
          <w:p>
            <w:pPr>
              <w:spacing w:after="0"/>
              <w:rPr>
                <w:sz w:val="15"/>
                <w:szCs w:val="15"/>
                <w:color w:val="auto"/>
              </w:rPr>
            </w:pPr>
          </w:p>
        </w:tc>
        <w:tc>
          <w:tcPr>
            <w:tcW w:w="840" w:type="dxa"/>
            <w:vAlign w:val="bottom"/>
            <w:shd w:val="clear" w:color="auto" w:fill="E8F5EA"/>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E8F5EA"/>
          </w:tcPr>
          <w:p>
            <w:pPr>
              <w:ind w:left="140"/>
              <w:spacing w:after="0" w:line="218" w:lineRule="exact"/>
              <w:rPr>
                <w:sz w:val="20"/>
                <w:szCs w:val="20"/>
                <w:color w:val="auto"/>
              </w:rPr>
            </w:pPr>
            <w:r>
              <w:rPr>
                <w:rFonts w:ascii="Arial" w:cs="Arial" w:eastAsia="Arial" w:hAnsi="Arial"/>
                <w:sz w:val="15"/>
                <w:szCs w:val="15"/>
                <w:color w:val="auto"/>
              </w:rPr>
              <w:t>Severance</w:t>
            </w:r>
            <w:r>
              <w:rPr>
                <w:rFonts w:ascii="Arial" w:cs="Arial" w:eastAsia="Arial" w:hAnsi="Arial"/>
                <w:sz w:val="25"/>
                <w:szCs w:val="25"/>
                <w:color w:val="auto"/>
                <w:vertAlign w:val="superscript"/>
              </w:rPr>
              <w:t>(1)</w:t>
            </w:r>
          </w:p>
        </w:tc>
        <w:tc>
          <w:tcPr>
            <w:tcW w:w="220" w:type="dxa"/>
            <w:vAlign w:val="bottom"/>
            <w:shd w:val="clear" w:color="auto" w:fill="E8F5EA"/>
          </w:tcPr>
          <w:p>
            <w:pPr>
              <w:spacing w:after="0"/>
              <w:rPr>
                <w:sz w:val="19"/>
                <w:szCs w:val="19"/>
                <w:color w:val="auto"/>
              </w:rPr>
            </w:pPr>
          </w:p>
        </w:tc>
        <w:tc>
          <w:tcPr>
            <w:tcW w:w="880" w:type="dxa"/>
            <w:vAlign w:val="bottom"/>
            <w:shd w:val="clear" w:color="auto" w:fill="E8F5EA"/>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shd w:val="clear" w:color="auto" w:fill="E8F5EA"/>
          </w:tcPr>
          <w:p>
            <w:pPr>
              <w:spacing w:after="0"/>
              <w:rPr>
                <w:sz w:val="19"/>
                <w:szCs w:val="19"/>
                <w:color w:val="auto"/>
              </w:rPr>
            </w:pPr>
          </w:p>
        </w:tc>
        <w:tc>
          <w:tcPr>
            <w:tcW w:w="880" w:type="dxa"/>
            <w:vAlign w:val="bottom"/>
            <w:shd w:val="clear" w:color="auto" w:fill="E8F5EA"/>
          </w:tcPr>
          <w:p>
            <w:pPr>
              <w:jc w:val="right"/>
              <w:ind w:right="61"/>
              <w:spacing w:after="0"/>
              <w:rPr>
                <w:sz w:val="20"/>
                <w:szCs w:val="20"/>
                <w:color w:val="auto"/>
              </w:rPr>
            </w:pPr>
            <w:r>
              <w:rPr>
                <w:rFonts w:ascii="Arial" w:cs="Arial" w:eastAsia="Arial" w:hAnsi="Arial"/>
                <w:sz w:val="16"/>
                <w:szCs w:val="16"/>
                <w:color w:val="auto"/>
              </w:rPr>
              <w:t>—</w:t>
            </w:r>
          </w:p>
        </w:tc>
        <w:tc>
          <w:tcPr>
            <w:tcW w:w="960" w:type="dxa"/>
            <w:vAlign w:val="bottom"/>
            <w:shd w:val="clear" w:color="auto" w:fill="E8F5EA"/>
          </w:tcPr>
          <w:p>
            <w:pPr>
              <w:jc w:val="right"/>
              <w:ind w:right="62"/>
              <w:spacing w:after="0"/>
              <w:rPr>
                <w:sz w:val="20"/>
                <w:szCs w:val="20"/>
                <w:color w:val="auto"/>
              </w:rPr>
            </w:pPr>
            <w:r>
              <w:rPr>
                <w:rFonts w:ascii="Arial" w:cs="Arial" w:eastAsia="Arial" w:hAnsi="Arial"/>
                <w:sz w:val="16"/>
                <w:szCs w:val="16"/>
                <w:color w:val="auto"/>
              </w:rPr>
              <w:t>847,417</w:t>
            </w:r>
          </w:p>
        </w:tc>
        <w:tc>
          <w:tcPr>
            <w:tcW w:w="960" w:type="dxa"/>
            <w:vAlign w:val="bottom"/>
            <w:shd w:val="clear" w:color="auto" w:fill="E8F5EA"/>
          </w:tcPr>
          <w:p>
            <w:pPr>
              <w:jc w:val="right"/>
              <w:ind w:right="62"/>
              <w:spacing w:after="0"/>
              <w:rPr>
                <w:sz w:val="20"/>
                <w:szCs w:val="20"/>
                <w:color w:val="auto"/>
              </w:rPr>
            </w:pPr>
            <w:r>
              <w:rPr>
                <w:rFonts w:ascii="Arial" w:cs="Arial" w:eastAsia="Arial" w:hAnsi="Arial"/>
                <w:sz w:val="16"/>
                <w:szCs w:val="16"/>
                <w:color w:val="auto"/>
              </w:rPr>
              <w:t>3,169,400</w:t>
            </w:r>
          </w:p>
        </w:tc>
        <w:tc>
          <w:tcPr>
            <w:tcW w:w="840" w:type="dxa"/>
            <w:vAlign w:val="bottom"/>
            <w:shd w:val="clear" w:color="auto" w:fill="E8F5EA"/>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480" w:type="dxa"/>
            <w:vAlign w:val="bottom"/>
            <w:shd w:val="clear" w:color="auto" w:fill="E8F5EA"/>
          </w:tcPr>
          <w:p>
            <w:pPr>
              <w:ind w:left="140"/>
              <w:spacing w:after="0" w:line="182" w:lineRule="exact"/>
              <w:rPr>
                <w:sz w:val="20"/>
                <w:szCs w:val="20"/>
                <w:color w:val="auto"/>
              </w:rPr>
            </w:pPr>
            <w:r>
              <w:rPr>
                <w:rFonts w:ascii="Arial" w:cs="Arial" w:eastAsia="Arial" w:hAnsi="Arial"/>
                <w:sz w:val="16"/>
                <w:szCs w:val="16"/>
                <w:color w:val="auto"/>
              </w:rPr>
              <w:t>Settlement of previously vested stock options</w:t>
            </w:r>
          </w:p>
        </w:tc>
        <w:tc>
          <w:tcPr>
            <w:tcW w:w="220" w:type="dxa"/>
            <w:vAlign w:val="bottom"/>
            <w:shd w:val="clear" w:color="auto" w:fill="E8F5EA"/>
          </w:tcPr>
          <w:p>
            <w:pPr>
              <w:spacing w:after="0"/>
              <w:rPr>
                <w:sz w:val="15"/>
                <w:szCs w:val="15"/>
                <w:color w:val="auto"/>
              </w:rPr>
            </w:pPr>
          </w:p>
        </w:tc>
        <w:tc>
          <w:tcPr>
            <w:tcW w:w="880" w:type="dxa"/>
            <w:vAlign w:val="bottom"/>
            <w:shd w:val="clear" w:color="auto" w:fill="E8F5EA"/>
          </w:tcPr>
          <w:p>
            <w:pPr>
              <w:jc w:val="right"/>
              <w:ind w:right="61"/>
              <w:spacing w:after="0" w:line="182" w:lineRule="exact"/>
              <w:rPr>
                <w:sz w:val="20"/>
                <w:szCs w:val="20"/>
                <w:color w:val="auto"/>
              </w:rPr>
            </w:pPr>
            <w:r>
              <w:rPr>
                <w:rFonts w:ascii="Arial" w:cs="Arial" w:eastAsia="Arial" w:hAnsi="Arial"/>
                <w:sz w:val="16"/>
                <w:szCs w:val="16"/>
                <w:color w:val="auto"/>
              </w:rPr>
              <w:t>—</w:t>
            </w:r>
          </w:p>
        </w:tc>
        <w:tc>
          <w:tcPr>
            <w:tcW w:w="80" w:type="dxa"/>
            <w:vAlign w:val="bottom"/>
            <w:shd w:val="clear" w:color="auto" w:fill="E8F5EA"/>
          </w:tcPr>
          <w:p>
            <w:pPr>
              <w:spacing w:after="0"/>
              <w:rPr>
                <w:sz w:val="15"/>
                <w:szCs w:val="15"/>
                <w:color w:val="auto"/>
              </w:rPr>
            </w:pPr>
          </w:p>
        </w:tc>
        <w:tc>
          <w:tcPr>
            <w:tcW w:w="880" w:type="dxa"/>
            <w:vAlign w:val="bottom"/>
            <w:shd w:val="clear" w:color="auto" w:fill="E8F5EA"/>
          </w:tcPr>
          <w:p>
            <w:pPr>
              <w:jc w:val="right"/>
              <w:ind w:right="61"/>
              <w:spacing w:after="0" w:line="182" w:lineRule="exact"/>
              <w:rPr>
                <w:sz w:val="20"/>
                <w:szCs w:val="20"/>
                <w:color w:val="auto"/>
              </w:rPr>
            </w:pPr>
            <w:r>
              <w:rPr>
                <w:rFonts w:ascii="Arial" w:cs="Arial" w:eastAsia="Arial" w:hAnsi="Arial"/>
                <w:sz w:val="16"/>
                <w:szCs w:val="16"/>
                <w:color w:val="auto"/>
              </w:rPr>
              <w:t>—</w:t>
            </w:r>
          </w:p>
        </w:tc>
        <w:tc>
          <w:tcPr>
            <w:tcW w:w="960" w:type="dxa"/>
            <w:vAlign w:val="bottom"/>
            <w:shd w:val="clear" w:color="auto" w:fill="E8F5EA"/>
          </w:tcPr>
          <w:p>
            <w:pPr>
              <w:jc w:val="right"/>
              <w:ind w:right="62"/>
              <w:spacing w:after="0" w:line="182" w:lineRule="exact"/>
              <w:rPr>
                <w:sz w:val="20"/>
                <w:szCs w:val="20"/>
                <w:color w:val="auto"/>
              </w:rPr>
            </w:pPr>
            <w:r>
              <w:rPr>
                <w:rFonts w:ascii="Arial" w:cs="Arial" w:eastAsia="Arial" w:hAnsi="Arial"/>
                <w:sz w:val="16"/>
                <w:szCs w:val="16"/>
                <w:color w:val="auto"/>
              </w:rPr>
              <w:t>—</w:t>
            </w:r>
          </w:p>
        </w:tc>
        <w:tc>
          <w:tcPr>
            <w:tcW w:w="960" w:type="dxa"/>
            <w:vAlign w:val="bottom"/>
            <w:shd w:val="clear" w:color="auto" w:fill="E8F5EA"/>
          </w:tcPr>
          <w:p>
            <w:pPr>
              <w:jc w:val="right"/>
              <w:ind w:right="62"/>
              <w:spacing w:after="0" w:line="182" w:lineRule="exact"/>
              <w:rPr>
                <w:sz w:val="20"/>
                <w:szCs w:val="20"/>
                <w:color w:val="auto"/>
              </w:rPr>
            </w:pPr>
            <w:r>
              <w:rPr>
                <w:rFonts w:ascii="Arial" w:cs="Arial" w:eastAsia="Arial" w:hAnsi="Arial"/>
                <w:sz w:val="16"/>
                <w:szCs w:val="16"/>
                <w:color w:val="auto"/>
              </w:rPr>
              <w:t>—</w:t>
            </w:r>
          </w:p>
        </w:tc>
        <w:tc>
          <w:tcPr>
            <w:tcW w:w="84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80" w:type="dxa"/>
            <w:vAlign w:val="bottom"/>
            <w:shd w:val="clear" w:color="auto" w:fill="E8F5EA"/>
          </w:tcPr>
          <w:p>
            <w:pPr>
              <w:ind w:left="140"/>
              <w:spacing w:after="0" w:line="182" w:lineRule="exact"/>
              <w:rPr>
                <w:sz w:val="20"/>
                <w:szCs w:val="20"/>
                <w:color w:val="auto"/>
              </w:rPr>
            </w:pPr>
            <w:r>
              <w:rPr>
                <w:rFonts w:ascii="Arial" w:cs="Arial" w:eastAsia="Arial" w:hAnsi="Arial"/>
                <w:sz w:val="16"/>
                <w:szCs w:val="16"/>
                <w:color w:val="auto"/>
              </w:rPr>
              <w:t>Settlement of unvested stock options</w:t>
            </w:r>
          </w:p>
        </w:tc>
        <w:tc>
          <w:tcPr>
            <w:tcW w:w="220" w:type="dxa"/>
            <w:vAlign w:val="bottom"/>
            <w:shd w:val="clear" w:color="auto" w:fill="E8F5EA"/>
          </w:tcPr>
          <w:p>
            <w:pPr>
              <w:spacing w:after="0"/>
              <w:rPr>
                <w:sz w:val="15"/>
                <w:szCs w:val="15"/>
                <w:color w:val="auto"/>
              </w:rPr>
            </w:pPr>
          </w:p>
        </w:tc>
        <w:tc>
          <w:tcPr>
            <w:tcW w:w="880" w:type="dxa"/>
            <w:vAlign w:val="bottom"/>
            <w:shd w:val="clear" w:color="auto" w:fill="E8F5EA"/>
          </w:tcPr>
          <w:p>
            <w:pPr>
              <w:jc w:val="right"/>
              <w:ind w:right="61"/>
              <w:spacing w:after="0" w:line="182" w:lineRule="exact"/>
              <w:rPr>
                <w:sz w:val="20"/>
                <w:szCs w:val="20"/>
                <w:color w:val="auto"/>
              </w:rPr>
            </w:pPr>
            <w:r>
              <w:rPr>
                <w:rFonts w:ascii="Arial" w:cs="Arial" w:eastAsia="Arial" w:hAnsi="Arial"/>
                <w:sz w:val="16"/>
                <w:szCs w:val="16"/>
                <w:color w:val="auto"/>
              </w:rPr>
              <w:t>—</w:t>
            </w:r>
          </w:p>
        </w:tc>
        <w:tc>
          <w:tcPr>
            <w:tcW w:w="80" w:type="dxa"/>
            <w:vAlign w:val="bottom"/>
            <w:shd w:val="clear" w:color="auto" w:fill="E8F5EA"/>
          </w:tcPr>
          <w:p>
            <w:pPr>
              <w:spacing w:after="0"/>
              <w:rPr>
                <w:sz w:val="15"/>
                <w:szCs w:val="15"/>
                <w:color w:val="auto"/>
              </w:rPr>
            </w:pPr>
          </w:p>
        </w:tc>
        <w:tc>
          <w:tcPr>
            <w:tcW w:w="880" w:type="dxa"/>
            <w:vAlign w:val="bottom"/>
            <w:shd w:val="clear" w:color="auto" w:fill="E8F5EA"/>
          </w:tcPr>
          <w:p>
            <w:pPr>
              <w:jc w:val="right"/>
              <w:ind w:right="61"/>
              <w:spacing w:after="0" w:line="182" w:lineRule="exact"/>
              <w:rPr>
                <w:sz w:val="20"/>
                <w:szCs w:val="20"/>
                <w:color w:val="auto"/>
              </w:rPr>
            </w:pPr>
            <w:r>
              <w:rPr>
                <w:rFonts w:ascii="Arial" w:cs="Arial" w:eastAsia="Arial" w:hAnsi="Arial"/>
                <w:sz w:val="16"/>
                <w:szCs w:val="16"/>
                <w:color w:val="auto"/>
              </w:rPr>
              <w:t>—</w:t>
            </w:r>
          </w:p>
        </w:tc>
        <w:tc>
          <w:tcPr>
            <w:tcW w:w="960" w:type="dxa"/>
            <w:vAlign w:val="bottom"/>
            <w:shd w:val="clear" w:color="auto" w:fill="E8F5EA"/>
          </w:tcPr>
          <w:p>
            <w:pPr>
              <w:jc w:val="right"/>
              <w:ind w:right="62"/>
              <w:spacing w:after="0" w:line="182" w:lineRule="exact"/>
              <w:rPr>
                <w:sz w:val="20"/>
                <w:szCs w:val="20"/>
                <w:color w:val="auto"/>
              </w:rPr>
            </w:pPr>
            <w:r>
              <w:rPr>
                <w:rFonts w:ascii="Arial" w:cs="Arial" w:eastAsia="Arial" w:hAnsi="Arial"/>
                <w:sz w:val="16"/>
                <w:szCs w:val="16"/>
                <w:color w:val="auto"/>
              </w:rPr>
              <w:t>—</w:t>
            </w:r>
          </w:p>
        </w:tc>
        <w:tc>
          <w:tcPr>
            <w:tcW w:w="960" w:type="dxa"/>
            <w:vAlign w:val="bottom"/>
            <w:shd w:val="clear" w:color="auto" w:fill="E8F5EA"/>
          </w:tcPr>
          <w:p>
            <w:pPr>
              <w:jc w:val="right"/>
              <w:ind w:right="62"/>
              <w:spacing w:after="0" w:line="182" w:lineRule="exact"/>
              <w:rPr>
                <w:sz w:val="20"/>
                <w:szCs w:val="20"/>
                <w:color w:val="auto"/>
              </w:rPr>
            </w:pPr>
            <w:r>
              <w:rPr>
                <w:rFonts w:ascii="Arial" w:cs="Arial" w:eastAsia="Arial" w:hAnsi="Arial"/>
                <w:sz w:val="16"/>
                <w:szCs w:val="16"/>
                <w:color w:val="auto"/>
              </w:rPr>
              <w:t>—</w:t>
            </w:r>
          </w:p>
        </w:tc>
        <w:tc>
          <w:tcPr>
            <w:tcW w:w="84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E8F5EA"/>
          </w:tcPr>
          <w:p>
            <w:pPr>
              <w:ind w:left="140"/>
              <w:spacing w:after="0" w:line="218" w:lineRule="exact"/>
              <w:rPr>
                <w:sz w:val="20"/>
                <w:szCs w:val="20"/>
                <w:color w:val="auto"/>
              </w:rPr>
            </w:pPr>
            <w:r>
              <w:rPr>
                <w:rFonts w:ascii="Arial" w:cs="Arial" w:eastAsia="Arial" w:hAnsi="Arial"/>
                <w:sz w:val="15"/>
                <w:szCs w:val="15"/>
                <w:color w:val="auto"/>
              </w:rPr>
              <w:t>Settlement of RSUs</w:t>
            </w:r>
            <w:r>
              <w:rPr>
                <w:rFonts w:ascii="Arial" w:cs="Arial" w:eastAsia="Arial" w:hAnsi="Arial"/>
                <w:sz w:val="25"/>
                <w:szCs w:val="25"/>
                <w:color w:val="auto"/>
                <w:vertAlign w:val="superscript"/>
              </w:rPr>
              <w:t>(2)</w:t>
            </w:r>
          </w:p>
        </w:tc>
        <w:tc>
          <w:tcPr>
            <w:tcW w:w="220" w:type="dxa"/>
            <w:vAlign w:val="bottom"/>
            <w:shd w:val="clear" w:color="auto" w:fill="E8F5EA"/>
          </w:tcPr>
          <w:p>
            <w:pPr>
              <w:spacing w:after="0"/>
              <w:rPr>
                <w:sz w:val="19"/>
                <w:szCs w:val="19"/>
                <w:color w:val="auto"/>
              </w:rPr>
            </w:pPr>
          </w:p>
        </w:tc>
        <w:tc>
          <w:tcPr>
            <w:tcW w:w="880" w:type="dxa"/>
            <w:vAlign w:val="bottom"/>
            <w:shd w:val="clear" w:color="auto" w:fill="E8F5EA"/>
          </w:tcPr>
          <w:p>
            <w:pPr>
              <w:jc w:val="right"/>
              <w:ind w:right="61"/>
              <w:spacing w:after="0"/>
              <w:rPr>
                <w:sz w:val="20"/>
                <w:szCs w:val="20"/>
                <w:color w:val="auto"/>
              </w:rPr>
            </w:pPr>
            <w:r>
              <w:rPr>
                <w:rFonts w:ascii="Arial" w:cs="Arial" w:eastAsia="Arial" w:hAnsi="Arial"/>
                <w:sz w:val="16"/>
                <w:szCs w:val="16"/>
                <w:color w:val="auto"/>
              </w:rPr>
              <w:t>1,174,040</w:t>
            </w:r>
          </w:p>
        </w:tc>
        <w:tc>
          <w:tcPr>
            <w:tcW w:w="80" w:type="dxa"/>
            <w:vAlign w:val="bottom"/>
            <w:shd w:val="clear" w:color="auto" w:fill="E8F5EA"/>
          </w:tcPr>
          <w:p>
            <w:pPr>
              <w:spacing w:after="0"/>
              <w:rPr>
                <w:sz w:val="19"/>
                <w:szCs w:val="19"/>
                <w:color w:val="auto"/>
              </w:rPr>
            </w:pPr>
          </w:p>
        </w:tc>
        <w:tc>
          <w:tcPr>
            <w:tcW w:w="880" w:type="dxa"/>
            <w:vAlign w:val="bottom"/>
            <w:shd w:val="clear" w:color="auto" w:fill="E8F5EA"/>
          </w:tcPr>
          <w:p>
            <w:pPr>
              <w:jc w:val="right"/>
              <w:ind w:right="61"/>
              <w:spacing w:after="0"/>
              <w:rPr>
                <w:sz w:val="20"/>
                <w:szCs w:val="20"/>
                <w:color w:val="auto"/>
              </w:rPr>
            </w:pPr>
            <w:r>
              <w:rPr>
                <w:rFonts w:ascii="Arial" w:cs="Arial" w:eastAsia="Arial" w:hAnsi="Arial"/>
                <w:sz w:val="16"/>
                <w:szCs w:val="16"/>
                <w:color w:val="auto"/>
              </w:rPr>
              <w:t>—</w:t>
            </w:r>
          </w:p>
        </w:tc>
        <w:tc>
          <w:tcPr>
            <w:tcW w:w="960" w:type="dxa"/>
            <w:vAlign w:val="bottom"/>
            <w:shd w:val="clear" w:color="auto" w:fill="E8F5EA"/>
          </w:tcPr>
          <w:p>
            <w:pPr>
              <w:jc w:val="right"/>
              <w:ind w:right="62"/>
              <w:spacing w:after="0"/>
              <w:rPr>
                <w:sz w:val="20"/>
                <w:szCs w:val="20"/>
                <w:color w:val="auto"/>
              </w:rPr>
            </w:pPr>
            <w:r>
              <w:rPr>
                <w:rFonts w:ascii="Arial" w:cs="Arial" w:eastAsia="Arial" w:hAnsi="Arial"/>
                <w:sz w:val="16"/>
                <w:szCs w:val="16"/>
                <w:color w:val="auto"/>
              </w:rPr>
              <w:t>—</w:t>
            </w:r>
          </w:p>
        </w:tc>
        <w:tc>
          <w:tcPr>
            <w:tcW w:w="960" w:type="dxa"/>
            <w:vAlign w:val="bottom"/>
            <w:shd w:val="clear" w:color="auto" w:fill="E8F5EA"/>
          </w:tcPr>
          <w:p>
            <w:pPr>
              <w:jc w:val="right"/>
              <w:ind w:right="62"/>
              <w:spacing w:after="0"/>
              <w:rPr>
                <w:sz w:val="20"/>
                <w:szCs w:val="20"/>
                <w:color w:val="auto"/>
              </w:rPr>
            </w:pPr>
            <w:r>
              <w:rPr>
                <w:rFonts w:ascii="Arial" w:cs="Arial" w:eastAsia="Arial" w:hAnsi="Arial"/>
                <w:sz w:val="16"/>
                <w:szCs w:val="16"/>
                <w:color w:val="auto"/>
              </w:rPr>
              <w:t>1,174,040</w:t>
            </w:r>
          </w:p>
        </w:tc>
        <w:tc>
          <w:tcPr>
            <w:tcW w:w="840" w:type="dxa"/>
            <w:vAlign w:val="bottom"/>
            <w:shd w:val="clear" w:color="auto" w:fill="E8F5EA"/>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E8F5EA"/>
          </w:tcPr>
          <w:p>
            <w:pPr>
              <w:ind w:left="140"/>
              <w:spacing w:after="0" w:line="218" w:lineRule="exact"/>
              <w:rPr>
                <w:sz w:val="20"/>
                <w:szCs w:val="20"/>
                <w:color w:val="auto"/>
              </w:rPr>
            </w:pPr>
            <w:r>
              <w:rPr>
                <w:rFonts w:ascii="Arial" w:cs="Arial" w:eastAsia="Arial" w:hAnsi="Arial"/>
                <w:sz w:val="15"/>
                <w:szCs w:val="15"/>
                <w:color w:val="auto"/>
              </w:rPr>
              <w:t>Settlement of PSUs</w:t>
            </w:r>
            <w:r>
              <w:rPr>
                <w:rFonts w:ascii="Arial" w:cs="Arial" w:eastAsia="Arial" w:hAnsi="Arial"/>
                <w:sz w:val="25"/>
                <w:szCs w:val="25"/>
                <w:color w:val="auto"/>
                <w:vertAlign w:val="superscript"/>
              </w:rPr>
              <w:t>(3)</w:t>
            </w:r>
          </w:p>
        </w:tc>
        <w:tc>
          <w:tcPr>
            <w:tcW w:w="220" w:type="dxa"/>
            <w:vAlign w:val="bottom"/>
            <w:shd w:val="clear" w:color="auto" w:fill="E8F5EA"/>
          </w:tcPr>
          <w:p>
            <w:pPr>
              <w:spacing w:after="0"/>
              <w:rPr>
                <w:sz w:val="19"/>
                <w:szCs w:val="19"/>
                <w:color w:val="auto"/>
              </w:rPr>
            </w:pPr>
          </w:p>
        </w:tc>
        <w:tc>
          <w:tcPr>
            <w:tcW w:w="880" w:type="dxa"/>
            <w:vAlign w:val="bottom"/>
            <w:shd w:val="clear" w:color="auto" w:fill="E8F5EA"/>
          </w:tcPr>
          <w:p>
            <w:pPr>
              <w:jc w:val="right"/>
              <w:ind w:right="61"/>
              <w:spacing w:after="0"/>
              <w:rPr>
                <w:sz w:val="20"/>
                <w:szCs w:val="20"/>
                <w:color w:val="auto"/>
              </w:rPr>
            </w:pPr>
            <w:r>
              <w:rPr>
                <w:rFonts w:ascii="Arial" w:cs="Arial" w:eastAsia="Arial" w:hAnsi="Arial"/>
                <w:sz w:val="16"/>
                <w:szCs w:val="16"/>
                <w:color w:val="auto"/>
              </w:rPr>
              <w:t>423,150</w:t>
            </w:r>
          </w:p>
        </w:tc>
        <w:tc>
          <w:tcPr>
            <w:tcW w:w="80" w:type="dxa"/>
            <w:vAlign w:val="bottom"/>
            <w:shd w:val="clear" w:color="auto" w:fill="E8F5EA"/>
          </w:tcPr>
          <w:p>
            <w:pPr>
              <w:spacing w:after="0"/>
              <w:rPr>
                <w:sz w:val="19"/>
                <w:szCs w:val="19"/>
                <w:color w:val="auto"/>
              </w:rPr>
            </w:pPr>
          </w:p>
        </w:tc>
        <w:tc>
          <w:tcPr>
            <w:tcW w:w="880" w:type="dxa"/>
            <w:vAlign w:val="bottom"/>
            <w:shd w:val="clear" w:color="auto" w:fill="E8F5EA"/>
          </w:tcPr>
          <w:p>
            <w:pPr>
              <w:jc w:val="right"/>
              <w:ind w:right="61"/>
              <w:spacing w:after="0"/>
              <w:rPr>
                <w:sz w:val="20"/>
                <w:szCs w:val="20"/>
                <w:color w:val="auto"/>
              </w:rPr>
            </w:pPr>
            <w:r>
              <w:rPr>
                <w:rFonts w:ascii="Arial" w:cs="Arial" w:eastAsia="Arial" w:hAnsi="Arial"/>
                <w:sz w:val="16"/>
                <w:szCs w:val="16"/>
                <w:color w:val="auto"/>
              </w:rPr>
              <w:t>423,150</w:t>
            </w:r>
          </w:p>
        </w:tc>
        <w:tc>
          <w:tcPr>
            <w:tcW w:w="960" w:type="dxa"/>
            <w:vAlign w:val="bottom"/>
            <w:shd w:val="clear" w:color="auto" w:fill="E8F5EA"/>
          </w:tcPr>
          <w:p>
            <w:pPr>
              <w:jc w:val="right"/>
              <w:ind w:right="62"/>
              <w:spacing w:after="0"/>
              <w:rPr>
                <w:sz w:val="20"/>
                <w:szCs w:val="20"/>
                <w:color w:val="auto"/>
              </w:rPr>
            </w:pPr>
            <w:r>
              <w:rPr>
                <w:rFonts w:ascii="Arial" w:cs="Arial" w:eastAsia="Arial" w:hAnsi="Arial"/>
                <w:sz w:val="16"/>
                <w:szCs w:val="16"/>
                <w:color w:val="auto"/>
              </w:rPr>
              <w:t>—</w:t>
            </w:r>
          </w:p>
        </w:tc>
        <w:tc>
          <w:tcPr>
            <w:tcW w:w="960" w:type="dxa"/>
            <w:vAlign w:val="bottom"/>
            <w:shd w:val="clear" w:color="auto" w:fill="E8F5EA"/>
          </w:tcPr>
          <w:p>
            <w:pPr>
              <w:jc w:val="right"/>
              <w:ind w:right="62"/>
              <w:spacing w:after="0"/>
              <w:rPr>
                <w:sz w:val="20"/>
                <w:szCs w:val="20"/>
                <w:color w:val="auto"/>
              </w:rPr>
            </w:pPr>
            <w:r>
              <w:rPr>
                <w:rFonts w:ascii="Arial" w:cs="Arial" w:eastAsia="Arial" w:hAnsi="Arial"/>
                <w:sz w:val="16"/>
                <w:szCs w:val="16"/>
                <w:color w:val="auto"/>
              </w:rPr>
              <w:t>862,522</w:t>
            </w:r>
          </w:p>
        </w:tc>
        <w:tc>
          <w:tcPr>
            <w:tcW w:w="840" w:type="dxa"/>
            <w:vAlign w:val="bottom"/>
            <w:shd w:val="clear" w:color="auto" w:fill="E8F5EA"/>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480" w:type="dxa"/>
            <w:vAlign w:val="bottom"/>
            <w:shd w:val="clear" w:color="auto" w:fill="E8F5EA"/>
          </w:tcPr>
          <w:p>
            <w:pPr>
              <w:ind w:left="140"/>
              <w:spacing w:after="0" w:line="182" w:lineRule="exact"/>
              <w:rPr>
                <w:sz w:val="20"/>
                <w:szCs w:val="20"/>
                <w:color w:val="auto"/>
              </w:rPr>
            </w:pPr>
            <w:r>
              <w:rPr>
                <w:rFonts w:ascii="Arial" w:cs="Arial" w:eastAsia="Arial" w:hAnsi="Arial"/>
                <w:sz w:val="16"/>
                <w:szCs w:val="16"/>
                <w:color w:val="auto"/>
              </w:rPr>
              <w:t>Welfare benefits</w:t>
            </w:r>
          </w:p>
        </w:tc>
        <w:tc>
          <w:tcPr>
            <w:tcW w:w="220" w:type="dxa"/>
            <w:vAlign w:val="bottom"/>
            <w:shd w:val="clear" w:color="auto" w:fill="E8F5EA"/>
          </w:tcPr>
          <w:p>
            <w:pPr>
              <w:spacing w:after="0"/>
              <w:rPr>
                <w:sz w:val="15"/>
                <w:szCs w:val="15"/>
                <w:color w:val="auto"/>
              </w:rPr>
            </w:pPr>
          </w:p>
        </w:tc>
        <w:tc>
          <w:tcPr>
            <w:tcW w:w="880" w:type="dxa"/>
            <w:vAlign w:val="bottom"/>
            <w:shd w:val="clear" w:color="auto" w:fill="E8F5EA"/>
          </w:tcPr>
          <w:p>
            <w:pPr>
              <w:jc w:val="right"/>
              <w:ind w:right="61"/>
              <w:spacing w:after="0" w:line="182" w:lineRule="exact"/>
              <w:rPr>
                <w:sz w:val="20"/>
                <w:szCs w:val="20"/>
                <w:color w:val="auto"/>
              </w:rPr>
            </w:pPr>
            <w:r>
              <w:rPr>
                <w:rFonts w:ascii="Arial" w:cs="Arial" w:eastAsia="Arial" w:hAnsi="Arial"/>
                <w:sz w:val="16"/>
                <w:szCs w:val="16"/>
                <w:color w:val="auto"/>
              </w:rPr>
              <w:t>—</w:t>
            </w:r>
          </w:p>
        </w:tc>
        <w:tc>
          <w:tcPr>
            <w:tcW w:w="80" w:type="dxa"/>
            <w:vAlign w:val="bottom"/>
            <w:shd w:val="clear" w:color="auto" w:fill="E8F5EA"/>
          </w:tcPr>
          <w:p>
            <w:pPr>
              <w:spacing w:after="0"/>
              <w:rPr>
                <w:sz w:val="15"/>
                <w:szCs w:val="15"/>
                <w:color w:val="auto"/>
              </w:rPr>
            </w:pPr>
          </w:p>
        </w:tc>
        <w:tc>
          <w:tcPr>
            <w:tcW w:w="880" w:type="dxa"/>
            <w:vAlign w:val="bottom"/>
            <w:shd w:val="clear" w:color="auto" w:fill="E8F5EA"/>
          </w:tcPr>
          <w:p>
            <w:pPr>
              <w:jc w:val="right"/>
              <w:ind w:right="61"/>
              <w:spacing w:after="0" w:line="182" w:lineRule="exact"/>
              <w:rPr>
                <w:sz w:val="20"/>
                <w:szCs w:val="20"/>
                <w:color w:val="auto"/>
              </w:rPr>
            </w:pPr>
            <w:r>
              <w:rPr>
                <w:rFonts w:ascii="Arial" w:cs="Arial" w:eastAsia="Arial" w:hAnsi="Arial"/>
                <w:sz w:val="16"/>
                <w:szCs w:val="16"/>
                <w:color w:val="auto"/>
              </w:rPr>
              <w:t>—</w:t>
            </w:r>
          </w:p>
        </w:tc>
        <w:tc>
          <w:tcPr>
            <w:tcW w:w="960" w:type="dxa"/>
            <w:vAlign w:val="bottom"/>
            <w:shd w:val="clear" w:color="auto" w:fill="E8F5EA"/>
          </w:tcPr>
          <w:p>
            <w:pPr>
              <w:jc w:val="right"/>
              <w:ind w:right="62"/>
              <w:spacing w:after="0" w:line="182" w:lineRule="exact"/>
              <w:rPr>
                <w:sz w:val="20"/>
                <w:szCs w:val="20"/>
                <w:color w:val="auto"/>
              </w:rPr>
            </w:pPr>
            <w:r>
              <w:rPr>
                <w:rFonts w:ascii="Arial" w:cs="Arial" w:eastAsia="Arial" w:hAnsi="Arial"/>
                <w:sz w:val="16"/>
                <w:szCs w:val="16"/>
                <w:color w:val="auto"/>
              </w:rPr>
              <w:t>13,683</w:t>
            </w:r>
          </w:p>
        </w:tc>
        <w:tc>
          <w:tcPr>
            <w:tcW w:w="960" w:type="dxa"/>
            <w:vAlign w:val="bottom"/>
            <w:shd w:val="clear" w:color="auto" w:fill="E8F5EA"/>
          </w:tcPr>
          <w:p>
            <w:pPr>
              <w:jc w:val="right"/>
              <w:ind w:right="62"/>
              <w:spacing w:after="0" w:line="182" w:lineRule="exact"/>
              <w:rPr>
                <w:sz w:val="20"/>
                <w:szCs w:val="20"/>
                <w:color w:val="auto"/>
              </w:rPr>
            </w:pPr>
            <w:r>
              <w:rPr>
                <w:rFonts w:ascii="Arial" w:cs="Arial" w:eastAsia="Arial" w:hAnsi="Arial"/>
                <w:sz w:val="16"/>
                <w:szCs w:val="16"/>
                <w:color w:val="auto"/>
              </w:rPr>
              <w:t>65,609</w:t>
            </w:r>
          </w:p>
        </w:tc>
        <w:tc>
          <w:tcPr>
            <w:tcW w:w="84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80" w:type="dxa"/>
            <w:vAlign w:val="bottom"/>
            <w:shd w:val="clear" w:color="auto" w:fill="E8F5EA"/>
          </w:tcPr>
          <w:p>
            <w:pPr>
              <w:ind w:left="140"/>
              <w:spacing w:after="0" w:line="182" w:lineRule="exact"/>
              <w:rPr>
                <w:sz w:val="20"/>
                <w:szCs w:val="20"/>
                <w:color w:val="auto"/>
              </w:rPr>
            </w:pPr>
            <w:r>
              <w:rPr>
                <w:rFonts w:ascii="Arial" w:cs="Arial" w:eastAsia="Arial" w:hAnsi="Arial"/>
                <w:sz w:val="16"/>
                <w:szCs w:val="16"/>
                <w:color w:val="auto"/>
              </w:rPr>
              <w:t>Life insurance benefit</w:t>
            </w:r>
          </w:p>
        </w:tc>
        <w:tc>
          <w:tcPr>
            <w:tcW w:w="220" w:type="dxa"/>
            <w:vAlign w:val="bottom"/>
            <w:shd w:val="clear" w:color="auto" w:fill="E8F5EA"/>
          </w:tcPr>
          <w:p>
            <w:pPr>
              <w:spacing w:after="0"/>
              <w:rPr>
                <w:sz w:val="15"/>
                <w:szCs w:val="15"/>
                <w:color w:val="auto"/>
              </w:rPr>
            </w:pPr>
          </w:p>
        </w:tc>
        <w:tc>
          <w:tcPr>
            <w:tcW w:w="880" w:type="dxa"/>
            <w:vAlign w:val="bottom"/>
            <w:shd w:val="clear" w:color="auto" w:fill="E8F5EA"/>
          </w:tcPr>
          <w:p>
            <w:pPr>
              <w:jc w:val="right"/>
              <w:ind w:right="61"/>
              <w:spacing w:after="0" w:line="182" w:lineRule="exact"/>
              <w:rPr>
                <w:sz w:val="20"/>
                <w:szCs w:val="20"/>
                <w:color w:val="auto"/>
              </w:rPr>
            </w:pPr>
            <w:r>
              <w:rPr>
                <w:rFonts w:ascii="Arial" w:cs="Arial" w:eastAsia="Arial" w:hAnsi="Arial"/>
                <w:sz w:val="16"/>
                <w:szCs w:val="16"/>
                <w:color w:val="auto"/>
              </w:rPr>
              <w:t>500,000</w:t>
            </w:r>
          </w:p>
        </w:tc>
        <w:tc>
          <w:tcPr>
            <w:tcW w:w="80" w:type="dxa"/>
            <w:vAlign w:val="bottom"/>
            <w:shd w:val="clear" w:color="auto" w:fill="E8F5EA"/>
          </w:tcPr>
          <w:p>
            <w:pPr>
              <w:spacing w:after="0"/>
              <w:rPr>
                <w:sz w:val="15"/>
                <w:szCs w:val="15"/>
                <w:color w:val="auto"/>
              </w:rPr>
            </w:pPr>
          </w:p>
        </w:tc>
        <w:tc>
          <w:tcPr>
            <w:tcW w:w="880" w:type="dxa"/>
            <w:vAlign w:val="bottom"/>
            <w:shd w:val="clear" w:color="auto" w:fill="E8F5EA"/>
          </w:tcPr>
          <w:p>
            <w:pPr>
              <w:jc w:val="right"/>
              <w:ind w:right="61"/>
              <w:spacing w:after="0" w:line="182" w:lineRule="exact"/>
              <w:rPr>
                <w:sz w:val="20"/>
                <w:szCs w:val="20"/>
                <w:color w:val="auto"/>
              </w:rPr>
            </w:pPr>
            <w:r>
              <w:rPr>
                <w:rFonts w:ascii="Arial" w:cs="Arial" w:eastAsia="Arial" w:hAnsi="Arial"/>
                <w:sz w:val="16"/>
                <w:szCs w:val="16"/>
                <w:color w:val="auto"/>
              </w:rPr>
              <w:t>—</w:t>
            </w:r>
          </w:p>
        </w:tc>
        <w:tc>
          <w:tcPr>
            <w:tcW w:w="960" w:type="dxa"/>
            <w:vAlign w:val="bottom"/>
            <w:shd w:val="clear" w:color="auto" w:fill="E8F5EA"/>
          </w:tcPr>
          <w:p>
            <w:pPr>
              <w:jc w:val="right"/>
              <w:ind w:right="62"/>
              <w:spacing w:after="0" w:line="182" w:lineRule="exact"/>
              <w:rPr>
                <w:sz w:val="20"/>
                <w:szCs w:val="20"/>
                <w:color w:val="auto"/>
              </w:rPr>
            </w:pPr>
            <w:r>
              <w:rPr>
                <w:rFonts w:ascii="Arial" w:cs="Arial" w:eastAsia="Arial" w:hAnsi="Arial"/>
                <w:sz w:val="16"/>
                <w:szCs w:val="16"/>
                <w:color w:val="auto"/>
              </w:rPr>
              <w:t>—</w:t>
            </w:r>
          </w:p>
        </w:tc>
        <w:tc>
          <w:tcPr>
            <w:tcW w:w="960" w:type="dxa"/>
            <w:vAlign w:val="bottom"/>
            <w:shd w:val="clear" w:color="auto" w:fill="E8F5EA"/>
          </w:tcPr>
          <w:p>
            <w:pPr>
              <w:jc w:val="right"/>
              <w:ind w:right="62"/>
              <w:spacing w:after="0" w:line="182" w:lineRule="exact"/>
              <w:rPr>
                <w:sz w:val="20"/>
                <w:szCs w:val="20"/>
                <w:color w:val="auto"/>
              </w:rPr>
            </w:pPr>
            <w:r>
              <w:rPr>
                <w:rFonts w:ascii="Arial" w:cs="Arial" w:eastAsia="Arial" w:hAnsi="Arial"/>
                <w:sz w:val="16"/>
                <w:szCs w:val="16"/>
                <w:color w:val="auto"/>
              </w:rPr>
              <w:t>—</w:t>
            </w:r>
          </w:p>
        </w:tc>
        <w:tc>
          <w:tcPr>
            <w:tcW w:w="84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80" w:type="dxa"/>
            <w:vAlign w:val="bottom"/>
            <w:shd w:val="clear" w:color="auto" w:fill="E8F5EA"/>
          </w:tcPr>
          <w:p>
            <w:pPr>
              <w:ind w:left="140"/>
              <w:spacing w:after="0" w:line="182" w:lineRule="exact"/>
              <w:rPr>
                <w:sz w:val="20"/>
                <w:szCs w:val="20"/>
                <w:color w:val="auto"/>
              </w:rPr>
            </w:pPr>
            <w:r>
              <w:rPr>
                <w:rFonts w:ascii="Arial" w:cs="Arial" w:eastAsia="Arial" w:hAnsi="Arial"/>
                <w:sz w:val="16"/>
                <w:szCs w:val="16"/>
                <w:color w:val="auto"/>
              </w:rPr>
              <w:t>Pension</w:t>
            </w:r>
          </w:p>
        </w:tc>
        <w:tc>
          <w:tcPr>
            <w:tcW w:w="220" w:type="dxa"/>
            <w:vAlign w:val="bottom"/>
            <w:shd w:val="clear" w:color="auto" w:fill="E8F5EA"/>
          </w:tcPr>
          <w:p>
            <w:pPr>
              <w:spacing w:after="0"/>
              <w:rPr>
                <w:sz w:val="15"/>
                <w:szCs w:val="15"/>
                <w:color w:val="auto"/>
              </w:rPr>
            </w:pPr>
          </w:p>
        </w:tc>
        <w:tc>
          <w:tcPr>
            <w:tcW w:w="880" w:type="dxa"/>
            <w:vAlign w:val="bottom"/>
            <w:shd w:val="clear" w:color="auto" w:fill="E8F5EA"/>
          </w:tcPr>
          <w:p>
            <w:pPr>
              <w:jc w:val="right"/>
              <w:ind w:right="61"/>
              <w:spacing w:after="0" w:line="182" w:lineRule="exact"/>
              <w:rPr>
                <w:sz w:val="20"/>
                <w:szCs w:val="20"/>
                <w:color w:val="auto"/>
              </w:rPr>
            </w:pPr>
            <w:r>
              <w:rPr>
                <w:rFonts w:ascii="Arial" w:cs="Arial" w:eastAsia="Arial" w:hAnsi="Arial"/>
                <w:sz w:val="16"/>
                <w:szCs w:val="16"/>
                <w:color w:val="auto"/>
              </w:rPr>
              <w:t>39,867</w:t>
            </w:r>
          </w:p>
        </w:tc>
        <w:tc>
          <w:tcPr>
            <w:tcW w:w="80" w:type="dxa"/>
            <w:vAlign w:val="bottom"/>
            <w:shd w:val="clear" w:color="auto" w:fill="E8F5EA"/>
          </w:tcPr>
          <w:p>
            <w:pPr>
              <w:spacing w:after="0"/>
              <w:rPr>
                <w:sz w:val="15"/>
                <w:szCs w:val="15"/>
                <w:color w:val="auto"/>
              </w:rPr>
            </w:pPr>
          </w:p>
        </w:tc>
        <w:tc>
          <w:tcPr>
            <w:tcW w:w="880" w:type="dxa"/>
            <w:vAlign w:val="bottom"/>
            <w:shd w:val="clear" w:color="auto" w:fill="E8F5EA"/>
          </w:tcPr>
          <w:p>
            <w:pPr>
              <w:jc w:val="right"/>
              <w:ind w:right="61"/>
              <w:spacing w:after="0" w:line="182" w:lineRule="exact"/>
              <w:rPr>
                <w:sz w:val="20"/>
                <w:szCs w:val="20"/>
                <w:color w:val="auto"/>
              </w:rPr>
            </w:pPr>
            <w:r>
              <w:rPr>
                <w:rFonts w:ascii="Arial" w:cs="Arial" w:eastAsia="Arial" w:hAnsi="Arial"/>
                <w:sz w:val="16"/>
                <w:szCs w:val="16"/>
                <w:color w:val="auto"/>
              </w:rPr>
              <w:t>39,867</w:t>
            </w:r>
          </w:p>
        </w:tc>
        <w:tc>
          <w:tcPr>
            <w:tcW w:w="960" w:type="dxa"/>
            <w:vAlign w:val="bottom"/>
            <w:shd w:val="clear" w:color="auto" w:fill="E8F5EA"/>
          </w:tcPr>
          <w:p>
            <w:pPr>
              <w:jc w:val="right"/>
              <w:ind w:right="62"/>
              <w:spacing w:after="0" w:line="182" w:lineRule="exact"/>
              <w:rPr>
                <w:sz w:val="20"/>
                <w:szCs w:val="20"/>
                <w:color w:val="auto"/>
              </w:rPr>
            </w:pPr>
            <w:r>
              <w:rPr>
                <w:rFonts w:ascii="Arial" w:cs="Arial" w:eastAsia="Arial" w:hAnsi="Arial"/>
                <w:sz w:val="16"/>
                <w:szCs w:val="16"/>
                <w:color w:val="auto"/>
              </w:rPr>
              <w:t>39,867</w:t>
            </w:r>
          </w:p>
        </w:tc>
        <w:tc>
          <w:tcPr>
            <w:tcW w:w="960" w:type="dxa"/>
            <w:vAlign w:val="bottom"/>
            <w:shd w:val="clear" w:color="auto" w:fill="E8F5EA"/>
          </w:tcPr>
          <w:p>
            <w:pPr>
              <w:jc w:val="right"/>
              <w:ind w:right="62"/>
              <w:spacing w:after="0" w:line="182" w:lineRule="exact"/>
              <w:rPr>
                <w:sz w:val="20"/>
                <w:szCs w:val="20"/>
                <w:color w:val="auto"/>
              </w:rPr>
            </w:pPr>
            <w:r>
              <w:rPr>
                <w:rFonts w:ascii="Arial" w:cs="Arial" w:eastAsia="Arial" w:hAnsi="Arial"/>
                <w:sz w:val="16"/>
                <w:szCs w:val="16"/>
                <w:color w:val="auto"/>
              </w:rPr>
              <w:t>39,867</w:t>
            </w:r>
          </w:p>
        </w:tc>
        <w:tc>
          <w:tcPr>
            <w:tcW w:w="84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39,867</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80" w:type="dxa"/>
            <w:vAlign w:val="bottom"/>
            <w:shd w:val="clear" w:color="auto" w:fill="E8F5EA"/>
          </w:tcPr>
          <w:p>
            <w:pPr>
              <w:ind w:left="140"/>
              <w:spacing w:after="0" w:line="182" w:lineRule="exact"/>
              <w:rPr>
                <w:sz w:val="20"/>
                <w:szCs w:val="20"/>
                <w:color w:val="auto"/>
              </w:rPr>
            </w:pPr>
            <w:r>
              <w:rPr>
                <w:rFonts w:ascii="Arial" w:cs="Arial" w:eastAsia="Arial" w:hAnsi="Arial"/>
                <w:sz w:val="16"/>
                <w:szCs w:val="16"/>
                <w:color w:val="auto"/>
              </w:rPr>
              <w:t>Restoration Plan</w:t>
            </w:r>
          </w:p>
        </w:tc>
        <w:tc>
          <w:tcPr>
            <w:tcW w:w="220" w:type="dxa"/>
            <w:vAlign w:val="bottom"/>
            <w:shd w:val="clear" w:color="auto" w:fill="E8F5EA"/>
          </w:tcPr>
          <w:p>
            <w:pPr>
              <w:spacing w:after="0"/>
              <w:rPr>
                <w:sz w:val="15"/>
                <w:szCs w:val="15"/>
                <w:color w:val="auto"/>
              </w:rPr>
            </w:pPr>
          </w:p>
        </w:tc>
        <w:tc>
          <w:tcPr>
            <w:tcW w:w="880" w:type="dxa"/>
            <w:vAlign w:val="bottom"/>
            <w:shd w:val="clear" w:color="auto" w:fill="E8F5EA"/>
          </w:tcPr>
          <w:p>
            <w:pPr>
              <w:jc w:val="right"/>
              <w:ind w:right="61"/>
              <w:spacing w:after="0" w:line="182" w:lineRule="exact"/>
              <w:rPr>
                <w:sz w:val="20"/>
                <w:szCs w:val="20"/>
                <w:color w:val="auto"/>
              </w:rPr>
            </w:pPr>
            <w:r>
              <w:rPr>
                <w:rFonts w:ascii="Arial" w:cs="Arial" w:eastAsia="Arial" w:hAnsi="Arial"/>
                <w:sz w:val="16"/>
                <w:szCs w:val="16"/>
                <w:color w:val="auto"/>
              </w:rPr>
              <w:t>31,711</w:t>
            </w:r>
          </w:p>
        </w:tc>
        <w:tc>
          <w:tcPr>
            <w:tcW w:w="80" w:type="dxa"/>
            <w:vAlign w:val="bottom"/>
            <w:shd w:val="clear" w:color="auto" w:fill="E8F5EA"/>
          </w:tcPr>
          <w:p>
            <w:pPr>
              <w:spacing w:after="0"/>
              <w:rPr>
                <w:sz w:val="15"/>
                <w:szCs w:val="15"/>
                <w:color w:val="auto"/>
              </w:rPr>
            </w:pPr>
          </w:p>
        </w:tc>
        <w:tc>
          <w:tcPr>
            <w:tcW w:w="880" w:type="dxa"/>
            <w:vAlign w:val="bottom"/>
            <w:shd w:val="clear" w:color="auto" w:fill="E8F5EA"/>
          </w:tcPr>
          <w:p>
            <w:pPr>
              <w:jc w:val="right"/>
              <w:ind w:right="61"/>
              <w:spacing w:after="0" w:line="182" w:lineRule="exact"/>
              <w:rPr>
                <w:sz w:val="20"/>
                <w:szCs w:val="20"/>
                <w:color w:val="auto"/>
              </w:rPr>
            </w:pPr>
            <w:r>
              <w:rPr>
                <w:rFonts w:ascii="Arial" w:cs="Arial" w:eastAsia="Arial" w:hAnsi="Arial"/>
                <w:sz w:val="16"/>
                <w:szCs w:val="16"/>
                <w:color w:val="auto"/>
              </w:rPr>
              <w:t>31,711</w:t>
            </w:r>
          </w:p>
        </w:tc>
        <w:tc>
          <w:tcPr>
            <w:tcW w:w="960" w:type="dxa"/>
            <w:vAlign w:val="bottom"/>
            <w:shd w:val="clear" w:color="auto" w:fill="E8F5EA"/>
          </w:tcPr>
          <w:p>
            <w:pPr>
              <w:jc w:val="right"/>
              <w:ind w:right="62"/>
              <w:spacing w:after="0" w:line="182" w:lineRule="exact"/>
              <w:rPr>
                <w:sz w:val="20"/>
                <w:szCs w:val="20"/>
                <w:color w:val="auto"/>
              </w:rPr>
            </w:pPr>
            <w:r>
              <w:rPr>
                <w:rFonts w:ascii="Arial" w:cs="Arial" w:eastAsia="Arial" w:hAnsi="Arial"/>
                <w:sz w:val="16"/>
                <w:szCs w:val="16"/>
                <w:color w:val="auto"/>
              </w:rPr>
              <w:t>31,711</w:t>
            </w:r>
          </w:p>
        </w:tc>
        <w:tc>
          <w:tcPr>
            <w:tcW w:w="960" w:type="dxa"/>
            <w:vAlign w:val="bottom"/>
            <w:shd w:val="clear" w:color="auto" w:fill="E8F5EA"/>
          </w:tcPr>
          <w:p>
            <w:pPr>
              <w:jc w:val="right"/>
              <w:ind w:right="62"/>
              <w:spacing w:after="0" w:line="182" w:lineRule="exact"/>
              <w:rPr>
                <w:sz w:val="20"/>
                <w:szCs w:val="20"/>
                <w:color w:val="auto"/>
              </w:rPr>
            </w:pPr>
            <w:r>
              <w:rPr>
                <w:rFonts w:ascii="Arial" w:cs="Arial" w:eastAsia="Arial" w:hAnsi="Arial"/>
                <w:sz w:val="16"/>
                <w:szCs w:val="16"/>
                <w:color w:val="auto"/>
              </w:rPr>
              <w:t>31,711</w:t>
            </w:r>
          </w:p>
        </w:tc>
        <w:tc>
          <w:tcPr>
            <w:tcW w:w="84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31,711</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80" w:type="dxa"/>
            <w:vAlign w:val="bottom"/>
          </w:tcPr>
          <w:p>
            <w:pPr>
              <w:spacing w:after="0" w:line="168" w:lineRule="exact"/>
              <w:rPr>
                <w:sz w:val="20"/>
                <w:szCs w:val="20"/>
                <w:color w:val="auto"/>
              </w:rPr>
            </w:pPr>
            <w:r>
              <w:rPr>
                <w:rFonts w:ascii="Arial" w:cs="Arial" w:eastAsia="Arial" w:hAnsi="Arial"/>
                <w:sz w:val="16"/>
                <w:szCs w:val="16"/>
                <w:color w:val="auto"/>
              </w:rPr>
              <w:t>Peter G. Bartolotta</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480" w:type="dxa"/>
            <w:vAlign w:val="bottom"/>
          </w:tcPr>
          <w:p>
            <w:pPr>
              <w:ind w:left="140"/>
              <w:spacing w:after="0" w:line="214" w:lineRule="exact"/>
              <w:rPr>
                <w:sz w:val="20"/>
                <w:szCs w:val="20"/>
                <w:color w:val="auto"/>
              </w:rPr>
            </w:pPr>
            <w:r>
              <w:rPr>
                <w:rFonts w:ascii="Arial" w:cs="Arial" w:eastAsia="Arial" w:hAnsi="Arial"/>
                <w:sz w:val="15"/>
                <w:szCs w:val="15"/>
                <w:color w:val="auto"/>
              </w:rPr>
              <w:t>Severance</w:t>
            </w:r>
            <w:r>
              <w:rPr>
                <w:rFonts w:ascii="Arial" w:cs="Arial" w:eastAsia="Arial" w:hAnsi="Arial"/>
                <w:sz w:val="24"/>
                <w:szCs w:val="24"/>
                <w:color w:val="auto"/>
                <w:vertAlign w:val="superscript"/>
              </w:rPr>
              <w:t>(1)</w:t>
            </w:r>
          </w:p>
        </w:tc>
        <w:tc>
          <w:tcPr>
            <w:tcW w:w="220" w:type="dxa"/>
            <w:vAlign w:val="bottom"/>
          </w:tcPr>
          <w:p>
            <w:pPr>
              <w:spacing w:after="0"/>
              <w:rPr>
                <w:sz w:val="18"/>
                <w:szCs w:val="18"/>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1,100,000</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3,289,000</w:t>
            </w:r>
          </w:p>
        </w:tc>
        <w:tc>
          <w:tcPr>
            <w:tcW w:w="2460" w:type="dxa"/>
            <w:vAlign w:val="bottom"/>
            <w:gridSpan w:val="2"/>
          </w:tcPr>
          <w:p>
            <w:pPr>
              <w:jc w:val="right"/>
              <w:ind w:right="1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3480" w:type="dxa"/>
            <w:vAlign w:val="bottom"/>
          </w:tcPr>
          <w:p>
            <w:pPr>
              <w:ind w:left="140"/>
              <w:spacing w:after="0" w:line="182" w:lineRule="exact"/>
              <w:rPr>
                <w:sz w:val="20"/>
                <w:szCs w:val="20"/>
                <w:color w:val="auto"/>
              </w:rPr>
            </w:pPr>
            <w:r>
              <w:rPr>
                <w:rFonts w:ascii="Arial" w:cs="Arial" w:eastAsia="Arial" w:hAnsi="Arial"/>
                <w:sz w:val="16"/>
                <w:szCs w:val="16"/>
                <w:color w:val="auto"/>
              </w:rPr>
              <w:t>Settlement of previously vested stock options</w:t>
            </w:r>
          </w:p>
        </w:tc>
        <w:tc>
          <w:tcPr>
            <w:tcW w:w="220" w:type="dxa"/>
            <w:vAlign w:val="bottom"/>
          </w:tcPr>
          <w:p>
            <w:pPr>
              <w:spacing w:after="0"/>
              <w:rPr>
                <w:sz w:val="15"/>
                <w:szCs w:val="15"/>
                <w:color w:val="auto"/>
              </w:rPr>
            </w:pPr>
          </w:p>
        </w:tc>
        <w:tc>
          <w:tcPr>
            <w:tcW w:w="880" w:type="dxa"/>
            <w:vAlign w:val="bottom"/>
          </w:tcPr>
          <w:p>
            <w:pPr>
              <w:jc w:val="right"/>
              <w:ind w:right="61"/>
              <w:spacing w:after="0" w:line="182"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880" w:type="dxa"/>
            <w:vAlign w:val="bottom"/>
          </w:tcPr>
          <w:p>
            <w:pPr>
              <w:jc w:val="right"/>
              <w:ind w:right="61"/>
              <w:spacing w:after="0" w:line="182"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62"/>
              <w:spacing w:after="0" w:line="182"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62"/>
              <w:spacing w:after="0" w:line="182" w:lineRule="exact"/>
              <w:rPr>
                <w:sz w:val="20"/>
                <w:szCs w:val="20"/>
                <w:color w:val="auto"/>
              </w:rPr>
            </w:pPr>
            <w:r>
              <w:rPr>
                <w:rFonts w:ascii="Arial" w:cs="Arial" w:eastAsia="Arial" w:hAnsi="Arial"/>
                <w:sz w:val="16"/>
                <w:szCs w:val="16"/>
                <w:color w:val="auto"/>
              </w:rPr>
              <w:t>—</w:t>
            </w:r>
          </w:p>
        </w:tc>
        <w:tc>
          <w:tcPr>
            <w:tcW w:w="2460" w:type="dxa"/>
            <w:vAlign w:val="bottom"/>
            <w:gridSpan w:val="2"/>
          </w:tcPr>
          <w:p>
            <w:pPr>
              <w:jc w:val="right"/>
              <w:ind w:right="1620"/>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3480" w:type="dxa"/>
            <w:vAlign w:val="bottom"/>
          </w:tcPr>
          <w:p>
            <w:pPr>
              <w:ind w:left="140"/>
              <w:spacing w:after="0"/>
              <w:rPr>
                <w:sz w:val="20"/>
                <w:szCs w:val="20"/>
                <w:color w:val="auto"/>
              </w:rPr>
            </w:pPr>
            <w:r>
              <w:rPr>
                <w:rFonts w:ascii="Arial" w:cs="Arial" w:eastAsia="Arial" w:hAnsi="Arial"/>
                <w:sz w:val="16"/>
                <w:szCs w:val="16"/>
                <w:color w:val="auto"/>
              </w:rPr>
              <w:t>Settlement of unvested stock options</w:t>
            </w:r>
          </w:p>
        </w:tc>
        <w:tc>
          <w:tcPr>
            <w:tcW w:w="220" w:type="dxa"/>
            <w:vAlign w:val="bottom"/>
          </w:tcPr>
          <w:p>
            <w:pPr>
              <w:spacing w:after="0"/>
              <w:rPr>
                <w:sz w:val="16"/>
                <w:szCs w:val="16"/>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460" w:type="dxa"/>
            <w:vAlign w:val="bottom"/>
            <w:gridSpan w:val="2"/>
          </w:tcPr>
          <w:p>
            <w:pPr>
              <w:jc w:val="right"/>
              <w:ind w:right="1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80" w:type="dxa"/>
            <w:vAlign w:val="bottom"/>
          </w:tcPr>
          <w:p>
            <w:pPr>
              <w:ind w:left="140"/>
              <w:spacing w:after="0" w:line="218" w:lineRule="exact"/>
              <w:rPr>
                <w:sz w:val="20"/>
                <w:szCs w:val="20"/>
                <w:color w:val="auto"/>
              </w:rPr>
            </w:pPr>
            <w:r>
              <w:rPr>
                <w:rFonts w:ascii="Arial" w:cs="Arial" w:eastAsia="Arial" w:hAnsi="Arial"/>
                <w:sz w:val="15"/>
                <w:szCs w:val="15"/>
                <w:color w:val="auto"/>
              </w:rPr>
              <w:t>Settlement of RSUs</w:t>
            </w:r>
            <w:r>
              <w:rPr>
                <w:rFonts w:ascii="Arial" w:cs="Arial" w:eastAsia="Arial" w:hAnsi="Arial"/>
                <w:sz w:val="25"/>
                <w:szCs w:val="25"/>
                <w:color w:val="auto"/>
                <w:vertAlign w:val="superscript"/>
              </w:rPr>
              <w:t>(2)</w:t>
            </w:r>
          </w:p>
        </w:tc>
        <w:tc>
          <w:tcPr>
            <w:tcW w:w="1100" w:type="dxa"/>
            <w:vAlign w:val="bottom"/>
            <w:gridSpan w:val="2"/>
          </w:tcPr>
          <w:p>
            <w:pPr>
              <w:jc w:val="right"/>
              <w:ind w:right="61"/>
              <w:spacing w:after="0"/>
              <w:rPr>
                <w:sz w:val="20"/>
                <w:szCs w:val="20"/>
                <w:color w:val="auto"/>
              </w:rPr>
            </w:pPr>
            <w:r>
              <w:rPr>
                <w:rFonts w:ascii="Arial" w:cs="Arial" w:eastAsia="Arial" w:hAnsi="Arial"/>
                <w:sz w:val="16"/>
                <w:szCs w:val="16"/>
                <w:color w:val="auto"/>
              </w:rPr>
              <w:t>257,510</w:t>
            </w:r>
          </w:p>
        </w:tc>
        <w:tc>
          <w:tcPr>
            <w:tcW w:w="80" w:type="dxa"/>
            <w:vAlign w:val="bottom"/>
          </w:tcPr>
          <w:p>
            <w:pPr>
              <w:spacing w:after="0"/>
              <w:rPr>
                <w:sz w:val="19"/>
                <w:szCs w:val="19"/>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257,510</w:t>
            </w:r>
          </w:p>
        </w:tc>
        <w:tc>
          <w:tcPr>
            <w:tcW w:w="2460" w:type="dxa"/>
            <w:vAlign w:val="bottom"/>
            <w:gridSpan w:val="2"/>
          </w:tcPr>
          <w:p>
            <w:pPr>
              <w:jc w:val="right"/>
              <w:ind w:right="1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480" w:type="dxa"/>
            <w:vAlign w:val="bottom"/>
          </w:tcPr>
          <w:p>
            <w:pPr>
              <w:ind w:left="140"/>
              <w:spacing w:after="0" w:line="214" w:lineRule="exact"/>
              <w:rPr>
                <w:sz w:val="20"/>
                <w:szCs w:val="20"/>
                <w:color w:val="auto"/>
              </w:rPr>
            </w:pPr>
            <w:r>
              <w:rPr>
                <w:rFonts w:ascii="Arial" w:cs="Arial" w:eastAsia="Arial" w:hAnsi="Arial"/>
                <w:sz w:val="15"/>
                <w:szCs w:val="15"/>
                <w:color w:val="auto"/>
              </w:rPr>
              <w:t>Settlement of PSUs</w:t>
            </w:r>
            <w:r>
              <w:rPr>
                <w:rFonts w:ascii="Arial" w:cs="Arial" w:eastAsia="Arial" w:hAnsi="Arial"/>
                <w:sz w:val="24"/>
                <w:szCs w:val="24"/>
                <w:color w:val="auto"/>
                <w:vertAlign w:val="superscript"/>
              </w:rPr>
              <w:t>(3)</w:t>
            </w:r>
          </w:p>
        </w:tc>
        <w:tc>
          <w:tcPr>
            <w:tcW w:w="1100" w:type="dxa"/>
            <w:vAlign w:val="bottom"/>
            <w:gridSpan w:val="2"/>
          </w:tcPr>
          <w:p>
            <w:pPr>
              <w:jc w:val="right"/>
              <w:ind w:right="61"/>
              <w:spacing w:after="0"/>
              <w:rPr>
                <w:sz w:val="20"/>
                <w:szCs w:val="20"/>
                <w:color w:val="auto"/>
              </w:rPr>
            </w:pPr>
            <w:r>
              <w:rPr>
                <w:rFonts w:ascii="Arial" w:cs="Arial" w:eastAsia="Arial" w:hAnsi="Arial"/>
                <w:sz w:val="16"/>
                <w:szCs w:val="16"/>
                <w:color w:val="auto"/>
              </w:rPr>
              <w:t>410,391</w:t>
            </w:r>
          </w:p>
        </w:tc>
        <w:tc>
          <w:tcPr>
            <w:tcW w:w="960" w:type="dxa"/>
            <w:vAlign w:val="bottom"/>
            <w:gridSpan w:val="2"/>
          </w:tcPr>
          <w:p>
            <w:pPr>
              <w:jc w:val="right"/>
              <w:ind w:right="61"/>
              <w:spacing w:after="0"/>
              <w:rPr>
                <w:sz w:val="20"/>
                <w:szCs w:val="20"/>
                <w:color w:val="auto"/>
              </w:rPr>
            </w:pPr>
            <w:r>
              <w:rPr>
                <w:rFonts w:ascii="Arial" w:cs="Arial" w:eastAsia="Arial" w:hAnsi="Arial"/>
                <w:sz w:val="16"/>
                <w:szCs w:val="16"/>
                <w:color w:val="auto"/>
              </w:rPr>
              <w:t>410,391</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748,989</w:t>
            </w:r>
          </w:p>
        </w:tc>
        <w:tc>
          <w:tcPr>
            <w:tcW w:w="2460" w:type="dxa"/>
            <w:vAlign w:val="bottom"/>
            <w:gridSpan w:val="2"/>
          </w:tcPr>
          <w:p>
            <w:pPr>
              <w:jc w:val="right"/>
              <w:ind w:right="1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3480" w:type="dxa"/>
            <w:vAlign w:val="bottom"/>
          </w:tcPr>
          <w:p>
            <w:pPr>
              <w:ind w:left="140"/>
              <w:spacing w:after="0" w:line="182" w:lineRule="exact"/>
              <w:rPr>
                <w:sz w:val="20"/>
                <w:szCs w:val="20"/>
                <w:color w:val="auto"/>
              </w:rPr>
            </w:pPr>
            <w:r>
              <w:rPr>
                <w:rFonts w:ascii="Arial" w:cs="Arial" w:eastAsia="Arial" w:hAnsi="Arial"/>
                <w:sz w:val="16"/>
                <w:szCs w:val="16"/>
                <w:color w:val="auto"/>
              </w:rPr>
              <w:t>Welfare benefits</w:t>
            </w:r>
          </w:p>
        </w:tc>
        <w:tc>
          <w:tcPr>
            <w:tcW w:w="220" w:type="dxa"/>
            <w:vAlign w:val="bottom"/>
          </w:tcPr>
          <w:p>
            <w:pPr>
              <w:spacing w:after="0"/>
              <w:rPr>
                <w:sz w:val="15"/>
                <w:szCs w:val="15"/>
                <w:color w:val="auto"/>
              </w:rPr>
            </w:pPr>
          </w:p>
        </w:tc>
        <w:tc>
          <w:tcPr>
            <w:tcW w:w="880" w:type="dxa"/>
            <w:vAlign w:val="bottom"/>
          </w:tcPr>
          <w:p>
            <w:pPr>
              <w:jc w:val="right"/>
              <w:ind w:right="61"/>
              <w:spacing w:after="0" w:line="182"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880" w:type="dxa"/>
            <w:vAlign w:val="bottom"/>
          </w:tcPr>
          <w:p>
            <w:pPr>
              <w:jc w:val="right"/>
              <w:ind w:right="61"/>
              <w:spacing w:after="0" w:line="182"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62"/>
              <w:spacing w:after="0" w:line="182"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62"/>
              <w:spacing w:after="0" w:line="182" w:lineRule="exact"/>
              <w:rPr>
                <w:sz w:val="20"/>
                <w:szCs w:val="20"/>
                <w:color w:val="auto"/>
              </w:rPr>
            </w:pPr>
            <w:r>
              <w:rPr>
                <w:rFonts w:ascii="Arial" w:cs="Arial" w:eastAsia="Arial" w:hAnsi="Arial"/>
                <w:sz w:val="16"/>
                <w:szCs w:val="16"/>
                <w:color w:val="auto"/>
              </w:rPr>
              <w:t>75,497</w:t>
            </w:r>
          </w:p>
        </w:tc>
        <w:tc>
          <w:tcPr>
            <w:tcW w:w="2460" w:type="dxa"/>
            <w:vAlign w:val="bottom"/>
            <w:gridSpan w:val="2"/>
          </w:tcPr>
          <w:p>
            <w:pPr>
              <w:jc w:val="right"/>
              <w:ind w:right="1620"/>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3480" w:type="dxa"/>
            <w:vAlign w:val="bottom"/>
          </w:tcPr>
          <w:p>
            <w:pPr>
              <w:ind w:left="140"/>
              <w:spacing w:after="0" w:line="182" w:lineRule="exact"/>
              <w:rPr>
                <w:sz w:val="20"/>
                <w:szCs w:val="20"/>
                <w:color w:val="auto"/>
              </w:rPr>
            </w:pPr>
            <w:r>
              <w:rPr>
                <w:rFonts w:ascii="Arial" w:cs="Arial" w:eastAsia="Arial" w:hAnsi="Arial"/>
                <w:sz w:val="16"/>
                <w:szCs w:val="16"/>
                <w:color w:val="auto"/>
              </w:rPr>
              <w:t>Life insurance benefit</w:t>
            </w:r>
          </w:p>
        </w:tc>
        <w:tc>
          <w:tcPr>
            <w:tcW w:w="1100" w:type="dxa"/>
            <w:vAlign w:val="bottom"/>
            <w:gridSpan w:val="2"/>
          </w:tcPr>
          <w:p>
            <w:pPr>
              <w:jc w:val="right"/>
              <w:ind w:right="61"/>
              <w:spacing w:after="0" w:line="182" w:lineRule="exact"/>
              <w:rPr>
                <w:sz w:val="20"/>
                <w:szCs w:val="20"/>
                <w:color w:val="auto"/>
              </w:rPr>
            </w:pPr>
            <w:r>
              <w:rPr>
                <w:rFonts w:ascii="Arial" w:cs="Arial" w:eastAsia="Arial" w:hAnsi="Arial"/>
                <w:sz w:val="16"/>
                <w:szCs w:val="16"/>
                <w:color w:val="auto"/>
              </w:rPr>
              <w:t>500,000</w:t>
            </w:r>
          </w:p>
        </w:tc>
        <w:tc>
          <w:tcPr>
            <w:tcW w:w="80" w:type="dxa"/>
            <w:vAlign w:val="bottom"/>
          </w:tcPr>
          <w:p>
            <w:pPr>
              <w:spacing w:after="0"/>
              <w:rPr>
                <w:sz w:val="15"/>
                <w:szCs w:val="15"/>
                <w:color w:val="auto"/>
              </w:rPr>
            </w:pPr>
          </w:p>
        </w:tc>
        <w:tc>
          <w:tcPr>
            <w:tcW w:w="880" w:type="dxa"/>
            <w:vAlign w:val="bottom"/>
          </w:tcPr>
          <w:p>
            <w:pPr>
              <w:jc w:val="right"/>
              <w:ind w:right="61"/>
              <w:spacing w:after="0" w:line="182"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62"/>
              <w:spacing w:after="0" w:line="182"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62"/>
              <w:spacing w:after="0" w:line="182" w:lineRule="exact"/>
              <w:rPr>
                <w:sz w:val="20"/>
                <w:szCs w:val="20"/>
                <w:color w:val="auto"/>
              </w:rPr>
            </w:pPr>
            <w:r>
              <w:rPr>
                <w:rFonts w:ascii="Arial" w:cs="Arial" w:eastAsia="Arial" w:hAnsi="Arial"/>
                <w:sz w:val="16"/>
                <w:szCs w:val="16"/>
                <w:color w:val="auto"/>
              </w:rPr>
              <w:t>—</w:t>
            </w:r>
          </w:p>
        </w:tc>
        <w:tc>
          <w:tcPr>
            <w:tcW w:w="2460" w:type="dxa"/>
            <w:vAlign w:val="bottom"/>
            <w:gridSpan w:val="2"/>
          </w:tcPr>
          <w:p>
            <w:pPr>
              <w:jc w:val="right"/>
              <w:ind w:right="1620"/>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3480" w:type="dxa"/>
            <w:vAlign w:val="bottom"/>
          </w:tcPr>
          <w:p>
            <w:pPr>
              <w:ind w:left="140"/>
              <w:spacing w:after="0" w:line="182" w:lineRule="exact"/>
              <w:rPr>
                <w:sz w:val="20"/>
                <w:szCs w:val="20"/>
                <w:color w:val="auto"/>
              </w:rPr>
            </w:pPr>
            <w:r>
              <w:rPr>
                <w:rFonts w:ascii="Arial" w:cs="Arial" w:eastAsia="Arial" w:hAnsi="Arial"/>
                <w:sz w:val="16"/>
                <w:szCs w:val="16"/>
                <w:color w:val="auto"/>
              </w:rPr>
              <w:t>Pension</w:t>
            </w:r>
          </w:p>
        </w:tc>
        <w:tc>
          <w:tcPr>
            <w:tcW w:w="1100" w:type="dxa"/>
            <w:vAlign w:val="bottom"/>
            <w:gridSpan w:val="2"/>
          </w:tcPr>
          <w:p>
            <w:pPr>
              <w:jc w:val="right"/>
              <w:ind w:right="61"/>
              <w:spacing w:after="0" w:line="182" w:lineRule="exact"/>
              <w:rPr>
                <w:sz w:val="20"/>
                <w:szCs w:val="20"/>
                <w:color w:val="auto"/>
              </w:rPr>
            </w:pPr>
            <w:r>
              <w:rPr>
                <w:rFonts w:ascii="Arial" w:cs="Arial" w:eastAsia="Arial" w:hAnsi="Arial"/>
                <w:sz w:val="16"/>
                <w:szCs w:val="16"/>
                <w:color w:val="auto"/>
              </w:rPr>
              <w:t>58,204</w:t>
            </w:r>
          </w:p>
        </w:tc>
        <w:tc>
          <w:tcPr>
            <w:tcW w:w="960" w:type="dxa"/>
            <w:vAlign w:val="bottom"/>
            <w:gridSpan w:val="2"/>
          </w:tcPr>
          <w:p>
            <w:pPr>
              <w:jc w:val="right"/>
              <w:ind w:right="61"/>
              <w:spacing w:after="0" w:line="182" w:lineRule="exact"/>
              <w:rPr>
                <w:sz w:val="20"/>
                <w:szCs w:val="20"/>
                <w:color w:val="auto"/>
              </w:rPr>
            </w:pPr>
            <w:r>
              <w:rPr>
                <w:rFonts w:ascii="Arial" w:cs="Arial" w:eastAsia="Arial" w:hAnsi="Arial"/>
                <w:sz w:val="16"/>
                <w:szCs w:val="16"/>
                <w:color w:val="auto"/>
              </w:rPr>
              <w:t>58,204</w:t>
            </w:r>
          </w:p>
        </w:tc>
        <w:tc>
          <w:tcPr>
            <w:tcW w:w="960" w:type="dxa"/>
            <w:vAlign w:val="bottom"/>
          </w:tcPr>
          <w:p>
            <w:pPr>
              <w:jc w:val="right"/>
              <w:ind w:right="62"/>
              <w:spacing w:after="0" w:line="182" w:lineRule="exact"/>
              <w:rPr>
                <w:sz w:val="20"/>
                <w:szCs w:val="20"/>
                <w:color w:val="auto"/>
              </w:rPr>
            </w:pPr>
            <w:r>
              <w:rPr>
                <w:rFonts w:ascii="Arial" w:cs="Arial" w:eastAsia="Arial" w:hAnsi="Arial"/>
                <w:sz w:val="16"/>
                <w:szCs w:val="16"/>
                <w:color w:val="auto"/>
              </w:rPr>
              <w:t>58,204</w:t>
            </w:r>
          </w:p>
        </w:tc>
        <w:tc>
          <w:tcPr>
            <w:tcW w:w="960" w:type="dxa"/>
            <w:vAlign w:val="bottom"/>
          </w:tcPr>
          <w:p>
            <w:pPr>
              <w:jc w:val="right"/>
              <w:ind w:right="62"/>
              <w:spacing w:after="0" w:line="182" w:lineRule="exact"/>
              <w:rPr>
                <w:sz w:val="20"/>
                <w:szCs w:val="20"/>
                <w:color w:val="auto"/>
              </w:rPr>
            </w:pPr>
            <w:r>
              <w:rPr>
                <w:rFonts w:ascii="Arial" w:cs="Arial" w:eastAsia="Arial" w:hAnsi="Arial"/>
                <w:sz w:val="16"/>
                <w:szCs w:val="16"/>
                <w:color w:val="auto"/>
              </w:rPr>
              <w:t>58,204</w:t>
            </w:r>
          </w:p>
        </w:tc>
        <w:tc>
          <w:tcPr>
            <w:tcW w:w="2460" w:type="dxa"/>
            <w:vAlign w:val="bottom"/>
            <w:gridSpan w:val="2"/>
          </w:tcPr>
          <w:p>
            <w:pPr>
              <w:jc w:val="right"/>
              <w:ind w:right="1620"/>
              <w:spacing w:after="0" w:line="182" w:lineRule="exact"/>
              <w:rPr>
                <w:sz w:val="20"/>
                <w:szCs w:val="20"/>
                <w:color w:val="auto"/>
              </w:rPr>
            </w:pPr>
            <w:r>
              <w:rPr>
                <w:rFonts w:ascii="Arial" w:cs="Arial" w:eastAsia="Arial" w:hAnsi="Arial"/>
                <w:sz w:val="16"/>
                <w:szCs w:val="16"/>
                <w:color w:val="auto"/>
              </w:rPr>
              <w:t>58,204</w:t>
            </w:r>
          </w:p>
        </w:tc>
        <w:tc>
          <w:tcPr>
            <w:tcW w:w="0" w:type="dxa"/>
            <w:vAlign w:val="bottom"/>
          </w:tcPr>
          <w:p>
            <w:pPr>
              <w:spacing w:after="0"/>
              <w:rPr>
                <w:sz w:val="1"/>
                <w:szCs w:val="1"/>
                <w:color w:val="auto"/>
              </w:rPr>
            </w:pPr>
          </w:p>
        </w:tc>
      </w:tr>
      <w:tr>
        <w:trPr>
          <w:trHeight w:val="199"/>
        </w:trPr>
        <w:tc>
          <w:tcPr>
            <w:tcW w:w="3480" w:type="dxa"/>
            <w:vAlign w:val="bottom"/>
          </w:tcPr>
          <w:p>
            <w:pPr>
              <w:ind w:left="140"/>
              <w:spacing w:after="0"/>
              <w:rPr>
                <w:sz w:val="20"/>
                <w:szCs w:val="20"/>
                <w:color w:val="auto"/>
              </w:rPr>
            </w:pPr>
            <w:r>
              <w:rPr>
                <w:rFonts w:ascii="Arial" w:cs="Arial" w:eastAsia="Arial" w:hAnsi="Arial"/>
                <w:sz w:val="16"/>
                <w:szCs w:val="16"/>
                <w:color w:val="auto"/>
              </w:rPr>
              <w:t>Restoration Plan</w:t>
            </w:r>
          </w:p>
        </w:tc>
        <w:tc>
          <w:tcPr>
            <w:tcW w:w="1100" w:type="dxa"/>
            <w:vAlign w:val="bottom"/>
            <w:gridSpan w:val="2"/>
          </w:tcPr>
          <w:p>
            <w:pPr>
              <w:jc w:val="right"/>
              <w:ind w:right="61"/>
              <w:spacing w:after="0"/>
              <w:rPr>
                <w:sz w:val="20"/>
                <w:szCs w:val="20"/>
                <w:color w:val="auto"/>
              </w:rPr>
            </w:pPr>
            <w:r>
              <w:rPr>
                <w:rFonts w:ascii="Arial" w:cs="Arial" w:eastAsia="Arial" w:hAnsi="Arial"/>
                <w:sz w:val="16"/>
                <w:szCs w:val="16"/>
                <w:color w:val="auto"/>
              </w:rPr>
              <w:t>116,631</w:t>
            </w:r>
          </w:p>
        </w:tc>
        <w:tc>
          <w:tcPr>
            <w:tcW w:w="960" w:type="dxa"/>
            <w:vAlign w:val="bottom"/>
            <w:gridSpan w:val="2"/>
          </w:tcPr>
          <w:p>
            <w:pPr>
              <w:jc w:val="right"/>
              <w:ind w:right="61"/>
              <w:spacing w:after="0"/>
              <w:rPr>
                <w:sz w:val="20"/>
                <w:szCs w:val="20"/>
                <w:color w:val="auto"/>
              </w:rPr>
            </w:pPr>
            <w:r>
              <w:rPr>
                <w:rFonts w:ascii="Arial" w:cs="Arial" w:eastAsia="Arial" w:hAnsi="Arial"/>
                <w:sz w:val="16"/>
                <w:szCs w:val="16"/>
                <w:color w:val="auto"/>
              </w:rPr>
              <w:t>116,631</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116,631</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116,631</w:t>
            </w:r>
          </w:p>
        </w:tc>
        <w:tc>
          <w:tcPr>
            <w:tcW w:w="2460" w:type="dxa"/>
            <w:vAlign w:val="bottom"/>
            <w:gridSpan w:val="2"/>
          </w:tcPr>
          <w:p>
            <w:pPr>
              <w:jc w:val="right"/>
              <w:ind w:right="1620"/>
              <w:spacing w:after="0"/>
              <w:rPr>
                <w:sz w:val="20"/>
                <w:szCs w:val="20"/>
                <w:color w:val="auto"/>
              </w:rPr>
            </w:pPr>
            <w:r>
              <w:rPr>
                <w:rFonts w:ascii="Arial" w:cs="Arial" w:eastAsia="Arial" w:hAnsi="Arial"/>
                <w:sz w:val="16"/>
                <w:szCs w:val="16"/>
                <w:color w:val="auto"/>
              </w:rPr>
              <w:t>116,631</w:t>
            </w:r>
          </w:p>
        </w:tc>
        <w:tc>
          <w:tcPr>
            <w:tcW w:w="0" w:type="dxa"/>
            <w:vAlign w:val="bottom"/>
          </w:tcPr>
          <w:p>
            <w:pPr>
              <w:spacing w:after="0"/>
              <w:rPr>
                <w:sz w:val="1"/>
                <w:szCs w:val="1"/>
                <w:color w:val="auto"/>
              </w:rPr>
            </w:pPr>
          </w:p>
        </w:tc>
      </w:tr>
      <w:tr>
        <w:trPr>
          <w:trHeight w:val="182"/>
        </w:trPr>
        <w:tc>
          <w:tcPr>
            <w:tcW w:w="3480" w:type="dxa"/>
            <w:vAlign w:val="bottom"/>
            <w:shd w:val="clear" w:color="auto" w:fill="E8F5EA"/>
          </w:tcPr>
          <w:p>
            <w:pPr>
              <w:spacing w:after="0" w:line="182" w:lineRule="exact"/>
              <w:rPr>
                <w:sz w:val="20"/>
                <w:szCs w:val="20"/>
                <w:color w:val="auto"/>
              </w:rPr>
            </w:pPr>
            <w:r>
              <w:rPr>
                <w:rFonts w:ascii="Arial" w:cs="Arial" w:eastAsia="Arial" w:hAnsi="Arial"/>
                <w:sz w:val="16"/>
                <w:szCs w:val="16"/>
                <w:color w:val="auto"/>
              </w:rPr>
              <w:t>Philip R. Gallagher</w:t>
            </w:r>
          </w:p>
        </w:tc>
        <w:tc>
          <w:tcPr>
            <w:tcW w:w="220" w:type="dxa"/>
            <w:vAlign w:val="bottom"/>
            <w:shd w:val="clear" w:color="auto" w:fill="E8F5EA"/>
          </w:tcPr>
          <w:p>
            <w:pPr>
              <w:spacing w:after="0"/>
              <w:rPr>
                <w:sz w:val="15"/>
                <w:szCs w:val="15"/>
                <w:color w:val="auto"/>
              </w:rPr>
            </w:pPr>
          </w:p>
        </w:tc>
        <w:tc>
          <w:tcPr>
            <w:tcW w:w="880" w:type="dxa"/>
            <w:vAlign w:val="bottom"/>
            <w:shd w:val="clear" w:color="auto" w:fill="E8F5EA"/>
          </w:tcPr>
          <w:p>
            <w:pPr>
              <w:spacing w:after="0"/>
              <w:rPr>
                <w:sz w:val="15"/>
                <w:szCs w:val="15"/>
                <w:color w:val="auto"/>
              </w:rPr>
            </w:pPr>
          </w:p>
        </w:tc>
        <w:tc>
          <w:tcPr>
            <w:tcW w:w="80" w:type="dxa"/>
            <w:vAlign w:val="bottom"/>
            <w:shd w:val="clear" w:color="auto" w:fill="E8F5EA"/>
          </w:tcPr>
          <w:p>
            <w:pPr>
              <w:spacing w:after="0"/>
              <w:rPr>
                <w:sz w:val="15"/>
                <w:szCs w:val="15"/>
                <w:color w:val="auto"/>
              </w:rPr>
            </w:pPr>
          </w:p>
        </w:tc>
        <w:tc>
          <w:tcPr>
            <w:tcW w:w="880" w:type="dxa"/>
            <w:vAlign w:val="bottom"/>
            <w:shd w:val="clear" w:color="auto" w:fill="E8F5EA"/>
          </w:tcPr>
          <w:p>
            <w:pPr>
              <w:spacing w:after="0"/>
              <w:rPr>
                <w:sz w:val="15"/>
                <w:szCs w:val="15"/>
                <w:color w:val="auto"/>
              </w:rPr>
            </w:pPr>
          </w:p>
        </w:tc>
        <w:tc>
          <w:tcPr>
            <w:tcW w:w="960" w:type="dxa"/>
            <w:vAlign w:val="bottom"/>
            <w:shd w:val="clear" w:color="auto" w:fill="E8F5EA"/>
          </w:tcPr>
          <w:p>
            <w:pPr>
              <w:spacing w:after="0"/>
              <w:rPr>
                <w:sz w:val="15"/>
                <w:szCs w:val="15"/>
                <w:color w:val="auto"/>
              </w:rPr>
            </w:pPr>
          </w:p>
        </w:tc>
        <w:tc>
          <w:tcPr>
            <w:tcW w:w="960" w:type="dxa"/>
            <w:vAlign w:val="bottom"/>
            <w:shd w:val="clear" w:color="auto" w:fill="E8F5EA"/>
          </w:tcPr>
          <w:p>
            <w:pPr>
              <w:spacing w:after="0"/>
              <w:rPr>
                <w:sz w:val="15"/>
                <w:szCs w:val="15"/>
                <w:color w:val="auto"/>
              </w:rPr>
            </w:pPr>
          </w:p>
        </w:tc>
        <w:tc>
          <w:tcPr>
            <w:tcW w:w="840" w:type="dxa"/>
            <w:vAlign w:val="bottom"/>
            <w:shd w:val="clear" w:color="auto" w:fill="E8F5EA"/>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E8F5EA"/>
          </w:tcPr>
          <w:p>
            <w:pPr>
              <w:ind w:left="140"/>
              <w:spacing w:after="0" w:line="218" w:lineRule="exact"/>
              <w:rPr>
                <w:sz w:val="20"/>
                <w:szCs w:val="20"/>
                <w:color w:val="auto"/>
              </w:rPr>
            </w:pPr>
            <w:r>
              <w:rPr>
                <w:rFonts w:ascii="Arial" w:cs="Arial" w:eastAsia="Arial" w:hAnsi="Arial"/>
                <w:sz w:val="15"/>
                <w:szCs w:val="15"/>
                <w:color w:val="auto"/>
              </w:rPr>
              <w:t>Severance</w:t>
            </w:r>
            <w:r>
              <w:rPr>
                <w:rFonts w:ascii="Arial" w:cs="Arial" w:eastAsia="Arial" w:hAnsi="Arial"/>
                <w:sz w:val="25"/>
                <w:szCs w:val="25"/>
                <w:color w:val="auto"/>
                <w:vertAlign w:val="superscript"/>
              </w:rPr>
              <w:t>(1)</w:t>
            </w:r>
          </w:p>
        </w:tc>
        <w:tc>
          <w:tcPr>
            <w:tcW w:w="220" w:type="dxa"/>
            <w:vAlign w:val="bottom"/>
            <w:shd w:val="clear" w:color="auto" w:fill="E8F5EA"/>
          </w:tcPr>
          <w:p>
            <w:pPr>
              <w:spacing w:after="0"/>
              <w:rPr>
                <w:sz w:val="19"/>
                <w:szCs w:val="19"/>
                <w:color w:val="auto"/>
              </w:rPr>
            </w:pPr>
          </w:p>
        </w:tc>
        <w:tc>
          <w:tcPr>
            <w:tcW w:w="880" w:type="dxa"/>
            <w:vAlign w:val="bottom"/>
            <w:shd w:val="clear" w:color="auto" w:fill="E8F5EA"/>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shd w:val="clear" w:color="auto" w:fill="E8F5EA"/>
          </w:tcPr>
          <w:p>
            <w:pPr>
              <w:spacing w:after="0"/>
              <w:rPr>
                <w:sz w:val="19"/>
                <w:szCs w:val="19"/>
                <w:color w:val="auto"/>
              </w:rPr>
            </w:pPr>
          </w:p>
        </w:tc>
        <w:tc>
          <w:tcPr>
            <w:tcW w:w="880" w:type="dxa"/>
            <w:vAlign w:val="bottom"/>
            <w:shd w:val="clear" w:color="auto" w:fill="E8F5EA"/>
          </w:tcPr>
          <w:p>
            <w:pPr>
              <w:jc w:val="right"/>
              <w:ind w:right="61"/>
              <w:spacing w:after="0"/>
              <w:rPr>
                <w:sz w:val="20"/>
                <w:szCs w:val="20"/>
                <w:color w:val="auto"/>
              </w:rPr>
            </w:pPr>
            <w:r>
              <w:rPr>
                <w:rFonts w:ascii="Arial" w:cs="Arial" w:eastAsia="Arial" w:hAnsi="Arial"/>
                <w:sz w:val="16"/>
                <w:szCs w:val="16"/>
                <w:color w:val="auto"/>
              </w:rPr>
              <w:t>—</w:t>
            </w:r>
          </w:p>
        </w:tc>
        <w:tc>
          <w:tcPr>
            <w:tcW w:w="960" w:type="dxa"/>
            <w:vAlign w:val="bottom"/>
            <w:shd w:val="clear" w:color="auto" w:fill="E8F5EA"/>
          </w:tcPr>
          <w:p>
            <w:pPr>
              <w:jc w:val="right"/>
              <w:ind w:right="62"/>
              <w:spacing w:after="0"/>
              <w:rPr>
                <w:sz w:val="20"/>
                <w:szCs w:val="20"/>
                <w:color w:val="auto"/>
              </w:rPr>
            </w:pPr>
            <w:r>
              <w:rPr>
                <w:rFonts w:ascii="Arial" w:cs="Arial" w:eastAsia="Arial" w:hAnsi="Arial"/>
                <w:sz w:val="16"/>
                <w:szCs w:val="16"/>
                <w:color w:val="auto"/>
              </w:rPr>
              <w:t>1,130,000</w:t>
            </w:r>
          </w:p>
        </w:tc>
        <w:tc>
          <w:tcPr>
            <w:tcW w:w="960" w:type="dxa"/>
            <w:vAlign w:val="bottom"/>
            <w:shd w:val="clear" w:color="auto" w:fill="E8F5EA"/>
          </w:tcPr>
          <w:p>
            <w:pPr>
              <w:jc w:val="right"/>
              <w:ind w:right="62"/>
              <w:spacing w:after="0"/>
              <w:rPr>
                <w:sz w:val="20"/>
                <w:szCs w:val="20"/>
                <w:color w:val="auto"/>
              </w:rPr>
            </w:pPr>
            <w:r>
              <w:rPr>
                <w:rFonts w:ascii="Arial" w:cs="Arial" w:eastAsia="Arial" w:hAnsi="Arial"/>
                <w:sz w:val="16"/>
                <w:szCs w:val="16"/>
                <w:color w:val="auto"/>
              </w:rPr>
              <w:t>3,378,700</w:t>
            </w:r>
          </w:p>
        </w:tc>
        <w:tc>
          <w:tcPr>
            <w:tcW w:w="840" w:type="dxa"/>
            <w:vAlign w:val="bottom"/>
            <w:shd w:val="clear" w:color="auto" w:fill="E8F5EA"/>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480" w:type="dxa"/>
            <w:vAlign w:val="bottom"/>
            <w:shd w:val="clear" w:color="auto" w:fill="E8F5EA"/>
          </w:tcPr>
          <w:p>
            <w:pPr>
              <w:ind w:left="140"/>
              <w:spacing w:after="0" w:line="182" w:lineRule="exact"/>
              <w:rPr>
                <w:sz w:val="20"/>
                <w:szCs w:val="20"/>
                <w:color w:val="auto"/>
              </w:rPr>
            </w:pPr>
            <w:r>
              <w:rPr>
                <w:rFonts w:ascii="Arial" w:cs="Arial" w:eastAsia="Arial" w:hAnsi="Arial"/>
                <w:sz w:val="16"/>
                <w:szCs w:val="16"/>
                <w:color w:val="auto"/>
              </w:rPr>
              <w:t>Settlement of previously vested stock options</w:t>
            </w:r>
          </w:p>
        </w:tc>
        <w:tc>
          <w:tcPr>
            <w:tcW w:w="220" w:type="dxa"/>
            <w:vAlign w:val="bottom"/>
            <w:shd w:val="clear" w:color="auto" w:fill="E8F5EA"/>
          </w:tcPr>
          <w:p>
            <w:pPr>
              <w:spacing w:after="0"/>
              <w:rPr>
                <w:sz w:val="15"/>
                <w:szCs w:val="15"/>
                <w:color w:val="auto"/>
              </w:rPr>
            </w:pPr>
          </w:p>
        </w:tc>
        <w:tc>
          <w:tcPr>
            <w:tcW w:w="880" w:type="dxa"/>
            <w:vAlign w:val="bottom"/>
            <w:shd w:val="clear" w:color="auto" w:fill="E8F5EA"/>
          </w:tcPr>
          <w:p>
            <w:pPr>
              <w:jc w:val="right"/>
              <w:ind w:right="61"/>
              <w:spacing w:after="0" w:line="182" w:lineRule="exact"/>
              <w:rPr>
                <w:sz w:val="20"/>
                <w:szCs w:val="20"/>
                <w:color w:val="auto"/>
              </w:rPr>
            </w:pPr>
            <w:r>
              <w:rPr>
                <w:rFonts w:ascii="Arial" w:cs="Arial" w:eastAsia="Arial" w:hAnsi="Arial"/>
                <w:sz w:val="16"/>
                <w:szCs w:val="16"/>
                <w:color w:val="auto"/>
              </w:rPr>
              <w:t>—</w:t>
            </w:r>
          </w:p>
        </w:tc>
        <w:tc>
          <w:tcPr>
            <w:tcW w:w="80" w:type="dxa"/>
            <w:vAlign w:val="bottom"/>
            <w:shd w:val="clear" w:color="auto" w:fill="E8F5EA"/>
          </w:tcPr>
          <w:p>
            <w:pPr>
              <w:spacing w:after="0"/>
              <w:rPr>
                <w:sz w:val="15"/>
                <w:szCs w:val="15"/>
                <w:color w:val="auto"/>
              </w:rPr>
            </w:pPr>
          </w:p>
        </w:tc>
        <w:tc>
          <w:tcPr>
            <w:tcW w:w="880" w:type="dxa"/>
            <w:vAlign w:val="bottom"/>
            <w:shd w:val="clear" w:color="auto" w:fill="E8F5EA"/>
          </w:tcPr>
          <w:p>
            <w:pPr>
              <w:jc w:val="right"/>
              <w:ind w:right="61"/>
              <w:spacing w:after="0" w:line="182" w:lineRule="exact"/>
              <w:rPr>
                <w:sz w:val="20"/>
                <w:szCs w:val="20"/>
                <w:color w:val="auto"/>
              </w:rPr>
            </w:pPr>
            <w:r>
              <w:rPr>
                <w:rFonts w:ascii="Arial" w:cs="Arial" w:eastAsia="Arial" w:hAnsi="Arial"/>
                <w:sz w:val="16"/>
                <w:szCs w:val="16"/>
                <w:color w:val="auto"/>
              </w:rPr>
              <w:t>—</w:t>
            </w:r>
          </w:p>
        </w:tc>
        <w:tc>
          <w:tcPr>
            <w:tcW w:w="960" w:type="dxa"/>
            <w:vAlign w:val="bottom"/>
            <w:shd w:val="clear" w:color="auto" w:fill="E8F5EA"/>
          </w:tcPr>
          <w:p>
            <w:pPr>
              <w:jc w:val="right"/>
              <w:ind w:right="62"/>
              <w:spacing w:after="0" w:line="182" w:lineRule="exact"/>
              <w:rPr>
                <w:sz w:val="20"/>
                <w:szCs w:val="20"/>
                <w:color w:val="auto"/>
              </w:rPr>
            </w:pPr>
            <w:r>
              <w:rPr>
                <w:rFonts w:ascii="Arial" w:cs="Arial" w:eastAsia="Arial" w:hAnsi="Arial"/>
                <w:sz w:val="16"/>
                <w:szCs w:val="16"/>
                <w:color w:val="auto"/>
              </w:rPr>
              <w:t>—</w:t>
            </w:r>
          </w:p>
        </w:tc>
        <w:tc>
          <w:tcPr>
            <w:tcW w:w="960" w:type="dxa"/>
            <w:vAlign w:val="bottom"/>
            <w:shd w:val="clear" w:color="auto" w:fill="E8F5EA"/>
          </w:tcPr>
          <w:p>
            <w:pPr>
              <w:jc w:val="right"/>
              <w:ind w:right="62"/>
              <w:spacing w:after="0" w:line="182" w:lineRule="exact"/>
              <w:rPr>
                <w:sz w:val="20"/>
                <w:szCs w:val="20"/>
                <w:color w:val="auto"/>
              </w:rPr>
            </w:pPr>
            <w:r>
              <w:rPr>
                <w:rFonts w:ascii="Arial" w:cs="Arial" w:eastAsia="Arial" w:hAnsi="Arial"/>
                <w:sz w:val="16"/>
                <w:szCs w:val="16"/>
                <w:color w:val="auto"/>
              </w:rPr>
              <w:t>—</w:t>
            </w:r>
          </w:p>
        </w:tc>
        <w:tc>
          <w:tcPr>
            <w:tcW w:w="84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80" w:type="dxa"/>
            <w:vAlign w:val="bottom"/>
            <w:shd w:val="clear" w:color="auto" w:fill="E8F5EA"/>
          </w:tcPr>
          <w:p>
            <w:pPr>
              <w:ind w:left="140"/>
              <w:spacing w:after="0" w:line="182" w:lineRule="exact"/>
              <w:rPr>
                <w:sz w:val="20"/>
                <w:szCs w:val="20"/>
                <w:color w:val="auto"/>
              </w:rPr>
            </w:pPr>
            <w:r>
              <w:rPr>
                <w:rFonts w:ascii="Arial" w:cs="Arial" w:eastAsia="Arial" w:hAnsi="Arial"/>
                <w:sz w:val="16"/>
                <w:szCs w:val="16"/>
                <w:color w:val="auto"/>
              </w:rPr>
              <w:t>Settlement of unvested stock options</w:t>
            </w:r>
          </w:p>
        </w:tc>
        <w:tc>
          <w:tcPr>
            <w:tcW w:w="220" w:type="dxa"/>
            <w:vAlign w:val="bottom"/>
            <w:shd w:val="clear" w:color="auto" w:fill="E8F5EA"/>
          </w:tcPr>
          <w:p>
            <w:pPr>
              <w:spacing w:after="0"/>
              <w:rPr>
                <w:sz w:val="15"/>
                <w:szCs w:val="15"/>
                <w:color w:val="auto"/>
              </w:rPr>
            </w:pPr>
          </w:p>
        </w:tc>
        <w:tc>
          <w:tcPr>
            <w:tcW w:w="880" w:type="dxa"/>
            <w:vAlign w:val="bottom"/>
            <w:shd w:val="clear" w:color="auto" w:fill="E8F5EA"/>
          </w:tcPr>
          <w:p>
            <w:pPr>
              <w:jc w:val="right"/>
              <w:ind w:right="61"/>
              <w:spacing w:after="0" w:line="182" w:lineRule="exact"/>
              <w:rPr>
                <w:sz w:val="20"/>
                <w:szCs w:val="20"/>
                <w:color w:val="auto"/>
              </w:rPr>
            </w:pPr>
            <w:r>
              <w:rPr>
                <w:rFonts w:ascii="Arial" w:cs="Arial" w:eastAsia="Arial" w:hAnsi="Arial"/>
                <w:sz w:val="16"/>
                <w:szCs w:val="16"/>
                <w:color w:val="auto"/>
              </w:rPr>
              <w:t>—</w:t>
            </w:r>
          </w:p>
        </w:tc>
        <w:tc>
          <w:tcPr>
            <w:tcW w:w="80" w:type="dxa"/>
            <w:vAlign w:val="bottom"/>
            <w:shd w:val="clear" w:color="auto" w:fill="E8F5EA"/>
          </w:tcPr>
          <w:p>
            <w:pPr>
              <w:spacing w:after="0"/>
              <w:rPr>
                <w:sz w:val="15"/>
                <w:szCs w:val="15"/>
                <w:color w:val="auto"/>
              </w:rPr>
            </w:pPr>
          </w:p>
        </w:tc>
        <w:tc>
          <w:tcPr>
            <w:tcW w:w="880" w:type="dxa"/>
            <w:vAlign w:val="bottom"/>
            <w:shd w:val="clear" w:color="auto" w:fill="E8F5EA"/>
          </w:tcPr>
          <w:p>
            <w:pPr>
              <w:jc w:val="right"/>
              <w:ind w:right="61"/>
              <w:spacing w:after="0" w:line="182" w:lineRule="exact"/>
              <w:rPr>
                <w:sz w:val="20"/>
                <w:szCs w:val="20"/>
                <w:color w:val="auto"/>
              </w:rPr>
            </w:pPr>
            <w:r>
              <w:rPr>
                <w:rFonts w:ascii="Arial" w:cs="Arial" w:eastAsia="Arial" w:hAnsi="Arial"/>
                <w:sz w:val="16"/>
                <w:szCs w:val="16"/>
                <w:color w:val="auto"/>
              </w:rPr>
              <w:t>—</w:t>
            </w:r>
          </w:p>
        </w:tc>
        <w:tc>
          <w:tcPr>
            <w:tcW w:w="960" w:type="dxa"/>
            <w:vAlign w:val="bottom"/>
            <w:shd w:val="clear" w:color="auto" w:fill="E8F5EA"/>
          </w:tcPr>
          <w:p>
            <w:pPr>
              <w:jc w:val="right"/>
              <w:ind w:right="62"/>
              <w:spacing w:after="0" w:line="182" w:lineRule="exact"/>
              <w:rPr>
                <w:sz w:val="20"/>
                <w:szCs w:val="20"/>
                <w:color w:val="auto"/>
              </w:rPr>
            </w:pPr>
            <w:r>
              <w:rPr>
                <w:rFonts w:ascii="Arial" w:cs="Arial" w:eastAsia="Arial" w:hAnsi="Arial"/>
                <w:sz w:val="16"/>
                <w:szCs w:val="16"/>
                <w:color w:val="auto"/>
              </w:rPr>
              <w:t>—</w:t>
            </w:r>
          </w:p>
        </w:tc>
        <w:tc>
          <w:tcPr>
            <w:tcW w:w="960" w:type="dxa"/>
            <w:vAlign w:val="bottom"/>
            <w:shd w:val="clear" w:color="auto" w:fill="E8F5EA"/>
          </w:tcPr>
          <w:p>
            <w:pPr>
              <w:jc w:val="right"/>
              <w:ind w:right="62"/>
              <w:spacing w:after="0" w:line="182" w:lineRule="exact"/>
              <w:rPr>
                <w:sz w:val="20"/>
                <w:szCs w:val="20"/>
                <w:color w:val="auto"/>
              </w:rPr>
            </w:pPr>
            <w:r>
              <w:rPr>
                <w:rFonts w:ascii="Arial" w:cs="Arial" w:eastAsia="Arial" w:hAnsi="Arial"/>
                <w:sz w:val="16"/>
                <w:szCs w:val="16"/>
                <w:color w:val="auto"/>
              </w:rPr>
              <w:t>—</w:t>
            </w:r>
          </w:p>
        </w:tc>
        <w:tc>
          <w:tcPr>
            <w:tcW w:w="84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E8F5EA"/>
          </w:tcPr>
          <w:p>
            <w:pPr>
              <w:ind w:left="140"/>
              <w:spacing w:after="0" w:line="218" w:lineRule="exact"/>
              <w:rPr>
                <w:sz w:val="20"/>
                <w:szCs w:val="20"/>
                <w:color w:val="auto"/>
              </w:rPr>
            </w:pPr>
            <w:r>
              <w:rPr>
                <w:rFonts w:ascii="Arial" w:cs="Arial" w:eastAsia="Arial" w:hAnsi="Arial"/>
                <w:sz w:val="15"/>
                <w:szCs w:val="15"/>
                <w:color w:val="auto"/>
              </w:rPr>
              <w:t>Settlement of RSUs</w:t>
            </w:r>
            <w:r>
              <w:rPr>
                <w:rFonts w:ascii="Arial" w:cs="Arial" w:eastAsia="Arial" w:hAnsi="Arial"/>
                <w:sz w:val="25"/>
                <w:szCs w:val="25"/>
                <w:color w:val="auto"/>
                <w:vertAlign w:val="superscript"/>
              </w:rPr>
              <w:t>(2)(5)</w:t>
            </w:r>
          </w:p>
        </w:tc>
        <w:tc>
          <w:tcPr>
            <w:tcW w:w="220" w:type="dxa"/>
            <w:vAlign w:val="bottom"/>
            <w:shd w:val="clear" w:color="auto" w:fill="E8F5EA"/>
          </w:tcPr>
          <w:p>
            <w:pPr>
              <w:spacing w:after="0"/>
              <w:rPr>
                <w:sz w:val="19"/>
                <w:szCs w:val="19"/>
                <w:color w:val="auto"/>
              </w:rPr>
            </w:pPr>
          </w:p>
        </w:tc>
        <w:tc>
          <w:tcPr>
            <w:tcW w:w="880" w:type="dxa"/>
            <w:vAlign w:val="bottom"/>
            <w:shd w:val="clear" w:color="auto" w:fill="E8F5EA"/>
          </w:tcPr>
          <w:p>
            <w:pPr>
              <w:jc w:val="right"/>
              <w:ind w:right="61"/>
              <w:spacing w:after="0"/>
              <w:rPr>
                <w:sz w:val="20"/>
                <w:szCs w:val="20"/>
                <w:color w:val="auto"/>
              </w:rPr>
            </w:pPr>
            <w:r>
              <w:rPr>
                <w:rFonts w:ascii="Arial" w:cs="Arial" w:eastAsia="Arial" w:hAnsi="Arial"/>
                <w:sz w:val="16"/>
                <w:szCs w:val="16"/>
                <w:color w:val="auto"/>
              </w:rPr>
              <w:t>304,929</w:t>
            </w:r>
          </w:p>
        </w:tc>
        <w:tc>
          <w:tcPr>
            <w:tcW w:w="960" w:type="dxa"/>
            <w:vAlign w:val="bottom"/>
            <w:gridSpan w:val="2"/>
            <w:shd w:val="clear" w:color="auto" w:fill="E8F5EA"/>
          </w:tcPr>
          <w:p>
            <w:pPr>
              <w:jc w:val="right"/>
              <w:ind w:right="61"/>
              <w:spacing w:after="0"/>
              <w:rPr>
                <w:sz w:val="20"/>
                <w:szCs w:val="20"/>
                <w:color w:val="auto"/>
              </w:rPr>
            </w:pPr>
            <w:r>
              <w:rPr>
                <w:rFonts w:ascii="Arial" w:cs="Arial" w:eastAsia="Arial" w:hAnsi="Arial"/>
                <w:sz w:val="16"/>
                <w:szCs w:val="16"/>
                <w:color w:val="auto"/>
              </w:rPr>
              <w:t>139,002</w:t>
            </w:r>
          </w:p>
        </w:tc>
        <w:tc>
          <w:tcPr>
            <w:tcW w:w="960" w:type="dxa"/>
            <w:vAlign w:val="bottom"/>
            <w:shd w:val="clear" w:color="auto" w:fill="E8F5EA"/>
          </w:tcPr>
          <w:p>
            <w:pPr>
              <w:jc w:val="right"/>
              <w:ind w:right="62"/>
              <w:spacing w:after="0"/>
              <w:rPr>
                <w:sz w:val="20"/>
                <w:szCs w:val="20"/>
                <w:color w:val="auto"/>
              </w:rPr>
            </w:pPr>
            <w:r>
              <w:rPr>
                <w:rFonts w:ascii="Arial" w:cs="Arial" w:eastAsia="Arial" w:hAnsi="Arial"/>
                <w:sz w:val="16"/>
                <w:szCs w:val="16"/>
                <w:color w:val="auto"/>
              </w:rPr>
              <w:t>139,002</w:t>
            </w:r>
          </w:p>
        </w:tc>
        <w:tc>
          <w:tcPr>
            <w:tcW w:w="960" w:type="dxa"/>
            <w:vAlign w:val="bottom"/>
            <w:shd w:val="clear" w:color="auto" w:fill="E8F5EA"/>
          </w:tcPr>
          <w:p>
            <w:pPr>
              <w:jc w:val="right"/>
              <w:ind w:right="62"/>
              <w:spacing w:after="0"/>
              <w:rPr>
                <w:sz w:val="20"/>
                <w:szCs w:val="20"/>
                <w:color w:val="auto"/>
              </w:rPr>
            </w:pPr>
            <w:r>
              <w:rPr>
                <w:rFonts w:ascii="Arial" w:cs="Arial" w:eastAsia="Arial" w:hAnsi="Arial"/>
                <w:sz w:val="16"/>
                <w:szCs w:val="16"/>
                <w:color w:val="auto"/>
              </w:rPr>
              <w:t>304,929</w:t>
            </w:r>
          </w:p>
        </w:tc>
        <w:tc>
          <w:tcPr>
            <w:tcW w:w="840" w:type="dxa"/>
            <w:vAlign w:val="bottom"/>
            <w:shd w:val="clear" w:color="auto" w:fill="E8F5EA"/>
          </w:tcPr>
          <w:p>
            <w:pPr>
              <w:jc w:val="right"/>
              <w:spacing w:after="0"/>
              <w:rPr>
                <w:sz w:val="20"/>
                <w:szCs w:val="20"/>
                <w:color w:val="auto"/>
              </w:rPr>
            </w:pPr>
            <w:r>
              <w:rPr>
                <w:rFonts w:ascii="Arial" w:cs="Arial" w:eastAsia="Arial" w:hAnsi="Arial"/>
                <w:sz w:val="16"/>
                <w:szCs w:val="16"/>
                <w:color w:val="auto"/>
              </w:rPr>
              <w:t>139,002</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E8F5EA"/>
          </w:tcPr>
          <w:p>
            <w:pPr>
              <w:ind w:left="140"/>
              <w:spacing w:after="0" w:line="218" w:lineRule="exact"/>
              <w:rPr>
                <w:sz w:val="20"/>
                <w:szCs w:val="20"/>
                <w:color w:val="auto"/>
              </w:rPr>
            </w:pPr>
            <w:r>
              <w:rPr>
                <w:rFonts w:ascii="Arial" w:cs="Arial" w:eastAsia="Arial" w:hAnsi="Arial"/>
                <w:sz w:val="15"/>
                <w:szCs w:val="15"/>
                <w:color w:val="auto"/>
              </w:rPr>
              <w:t>Settlement of PSUs</w:t>
            </w:r>
            <w:r>
              <w:rPr>
                <w:rFonts w:ascii="Arial" w:cs="Arial" w:eastAsia="Arial" w:hAnsi="Arial"/>
                <w:sz w:val="25"/>
                <w:szCs w:val="25"/>
                <w:color w:val="auto"/>
                <w:vertAlign w:val="superscript"/>
              </w:rPr>
              <w:t>(3)(5)</w:t>
            </w:r>
          </w:p>
        </w:tc>
        <w:tc>
          <w:tcPr>
            <w:tcW w:w="220" w:type="dxa"/>
            <w:vAlign w:val="bottom"/>
            <w:shd w:val="clear" w:color="auto" w:fill="E8F5EA"/>
          </w:tcPr>
          <w:p>
            <w:pPr>
              <w:spacing w:after="0"/>
              <w:rPr>
                <w:sz w:val="19"/>
                <w:szCs w:val="19"/>
                <w:color w:val="auto"/>
              </w:rPr>
            </w:pPr>
          </w:p>
        </w:tc>
        <w:tc>
          <w:tcPr>
            <w:tcW w:w="880" w:type="dxa"/>
            <w:vAlign w:val="bottom"/>
            <w:shd w:val="clear" w:color="auto" w:fill="E8F5EA"/>
          </w:tcPr>
          <w:p>
            <w:pPr>
              <w:jc w:val="right"/>
              <w:ind w:right="61"/>
              <w:spacing w:after="0"/>
              <w:rPr>
                <w:sz w:val="20"/>
                <w:szCs w:val="20"/>
                <w:color w:val="auto"/>
              </w:rPr>
            </w:pPr>
            <w:r>
              <w:rPr>
                <w:rFonts w:ascii="Arial" w:cs="Arial" w:eastAsia="Arial" w:hAnsi="Arial"/>
                <w:sz w:val="16"/>
                <w:szCs w:val="16"/>
                <w:color w:val="auto"/>
              </w:rPr>
              <w:t>482,339</w:t>
            </w:r>
          </w:p>
        </w:tc>
        <w:tc>
          <w:tcPr>
            <w:tcW w:w="80" w:type="dxa"/>
            <w:vAlign w:val="bottom"/>
            <w:shd w:val="clear" w:color="auto" w:fill="E8F5EA"/>
          </w:tcPr>
          <w:p>
            <w:pPr>
              <w:spacing w:after="0"/>
              <w:rPr>
                <w:sz w:val="19"/>
                <w:szCs w:val="19"/>
                <w:color w:val="auto"/>
              </w:rPr>
            </w:pPr>
          </w:p>
        </w:tc>
        <w:tc>
          <w:tcPr>
            <w:tcW w:w="880" w:type="dxa"/>
            <w:vAlign w:val="bottom"/>
            <w:shd w:val="clear" w:color="auto" w:fill="E8F5EA"/>
          </w:tcPr>
          <w:p>
            <w:pPr>
              <w:jc w:val="right"/>
              <w:ind w:right="61"/>
              <w:spacing w:after="0"/>
              <w:rPr>
                <w:sz w:val="20"/>
                <w:szCs w:val="20"/>
                <w:color w:val="auto"/>
              </w:rPr>
            </w:pPr>
            <w:r>
              <w:rPr>
                <w:rFonts w:ascii="Arial" w:cs="Arial" w:eastAsia="Arial" w:hAnsi="Arial"/>
                <w:sz w:val="16"/>
                <w:szCs w:val="16"/>
                <w:color w:val="auto"/>
              </w:rPr>
              <w:t>455,335</w:t>
            </w:r>
          </w:p>
        </w:tc>
        <w:tc>
          <w:tcPr>
            <w:tcW w:w="960" w:type="dxa"/>
            <w:vAlign w:val="bottom"/>
            <w:shd w:val="clear" w:color="auto" w:fill="E8F5EA"/>
          </w:tcPr>
          <w:p>
            <w:pPr>
              <w:jc w:val="right"/>
              <w:ind w:right="62"/>
              <w:spacing w:after="0"/>
              <w:rPr>
                <w:sz w:val="20"/>
                <w:szCs w:val="20"/>
                <w:color w:val="auto"/>
              </w:rPr>
            </w:pPr>
            <w:r>
              <w:rPr>
                <w:rFonts w:ascii="Arial" w:cs="Arial" w:eastAsia="Arial" w:hAnsi="Arial"/>
                <w:sz w:val="16"/>
                <w:szCs w:val="16"/>
                <w:color w:val="auto"/>
              </w:rPr>
              <w:t>455,335</w:t>
            </w:r>
          </w:p>
        </w:tc>
        <w:tc>
          <w:tcPr>
            <w:tcW w:w="960" w:type="dxa"/>
            <w:vAlign w:val="bottom"/>
            <w:shd w:val="clear" w:color="auto" w:fill="E8F5EA"/>
          </w:tcPr>
          <w:p>
            <w:pPr>
              <w:jc w:val="right"/>
              <w:ind w:right="62"/>
              <w:spacing w:after="0"/>
              <w:rPr>
                <w:sz w:val="20"/>
                <w:szCs w:val="20"/>
                <w:color w:val="auto"/>
              </w:rPr>
            </w:pPr>
            <w:r>
              <w:rPr>
                <w:rFonts w:ascii="Arial" w:cs="Arial" w:eastAsia="Arial" w:hAnsi="Arial"/>
                <w:sz w:val="16"/>
                <w:szCs w:val="16"/>
                <w:color w:val="auto"/>
              </w:rPr>
              <w:t>897,885</w:t>
            </w:r>
          </w:p>
        </w:tc>
        <w:tc>
          <w:tcPr>
            <w:tcW w:w="840" w:type="dxa"/>
            <w:vAlign w:val="bottom"/>
            <w:shd w:val="clear" w:color="auto" w:fill="E8F5EA"/>
          </w:tcPr>
          <w:p>
            <w:pPr>
              <w:jc w:val="right"/>
              <w:spacing w:after="0"/>
              <w:rPr>
                <w:sz w:val="20"/>
                <w:szCs w:val="20"/>
                <w:color w:val="auto"/>
              </w:rPr>
            </w:pPr>
            <w:r>
              <w:rPr>
                <w:rFonts w:ascii="Arial" w:cs="Arial" w:eastAsia="Arial" w:hAnsi="Arial"/>
                <w:sz w:val="16"/>
                <w:szCs w:val="16"/>
                <w:color w:val="auto"/>
              </w:rPr>
              <w:t>455,335</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480" w:type="dxa"/>
            <w:vAlign w:val="bottom"/>
            <w:shd w:val="clear" w:color="auto" w:fill="E8F5EA"/>
          </w:tcPr>
          <w:p>
            <w:pPr>
              <w:ind w:left="140"/>
              <w:spacing w:after="0" w:line="182" w:lineRule="exact"/>
              <w:rPr>
                <w:sz w:val="20"/>
                <w:szCs w:val="20"/>
                <w:color w:val="auto"/>
              </w:rPr>
            </w:pPr>
            <w:r>
              <w:rPr>
                <w:rFonts w:ascii="Arial" w:cs="Arial" w:eastAsia="Arial" w:hAnsi="Arial"/>
                <w:sz w:val="16"/>
                <w:szCs w:val="16"/>
                <w:color w:val="auto"/>
              </w:rPr>
              <w:t>Welfare benefits</w:t>
            </w:r>
          </w:p>
        </w:tc>
        <w:tc>
          <w:tcPr>
            <w:tcW w:w="220" w:type="dxa"/>
            <w:vAlign w:val="bottom"/>
            <w:shd w:val="clear" w:color="auto" w:fill="E8F5EA"/>
          </w:tcPr>
          <w:p>
            <w:pPr>
              <w:spacing w:after="0"/>
              <w:rPr>
                <w:sz w:val="15"/>
                <w:szCs w:val="15"/>
                <w:color w:val="auto"/>
              </w:rPr>
            </w:pPr>
          </w:p>
        </w:tc>
        <w:tc>
          <w:tcPr>
            <w:tcW w:w="880" w:type="dxa"/>
            <w:vAlign w:val="bottom"/>
            <w:shd w:val="clear" w:color="auto" w:fill="E8F5EA"/>
          </w:tcPr>
          <w:p>
            <w:pPr>
              <w:jc w:val="right"/>
              <w:ind w:right="61"/>
              <w:spacing w:after="0" w:line="182" w:lineRule="exact"/>
              <w:rPr>
                <w:sz w:val="20"/>
                <w:szCs w:val="20"/>
                <w:color w:val="auto"/>
              </w:rPr>
            </w:pPr>
            <w:r>
              <w:rPr>
                <w:rFonts w:ascii="Arial" w:cs="Arial" w:eastAsia="Arial" w:hAnsi="Arial"/>
                <w:sz w:val="16"/>
                <w:szCs w:val="16"/>
                <w:color w:val="auto"/>
              </w:rPr>
              <w:t>—</w:t>
            </w:r>
          </w:p>
        </w:tc>
        <w:tc>
          <w:tcPr>
            <w:tcW w:w="80" w:type="dxa"/>
            <w:vAlign w:val="bottom"/>
            <w:shd w:val="clear" w:color="auto" w:fill="E8F5EA"/>
          </w:tcPr>
          <w:p>
            <w:pPr>
              <w:spacing w:after="0"/>
              <w:rPr>
                <w:sz w:val="15"/>
                <w:szCs w:val="15"/>
                <w:color w:val="auto"/>
              </w:rPr>
            </w:pPr>
          </w:p>
        </w:tc>
        <w:tc>
          <w:tcPr>
            <w:tcW w:w="880" w:type="dxa"/>
            <w:vAlign w:val="bottom"/>
            <w:shd w:val="clear" w:color="auto" w:fill="E8F5EA"/>
          </w:tcPr>
          <w:p>
            <w:pPr>
              <w:jc w:val="right"/>
              <w:ind w:right="61"/>
              <w:spacing w:after="0" w:line="182" w:lineRule="exact"/>
              <w:rPr>
                <w:sz w:val="20"/>
                <w:szCs w:val="20"/>
                <w:color w:val="auto"/>
              </w:rPr>
            </w:pPr>
            <w:r>
              <w:rPr>
                <w:rFonts w:ascii="Arial" w:cs="Arial" w:eastAsia="Arial" w:hAnsi="Arial"/>
                <w:sz w:val="16"/>
                <w:szCs w:val="16"/>
                <w:color w:val="auto"/>
              </w:rPr>
              <w:t>—</w:t>
            </w:r>
          </w:p>
        </w:tc>
        <w:tc>
          <w:tcPr>
            <w:tcW w:w="960" w:type="dxa"/>
            <w:vAlign w:val="bottom"/>
            <w:shd w:val="clear" w:color="auto" w:fill="E8F5EA"/>
          </w:tcPr>
          <w:p>
            <w:pPr>
              <w:jc w:val="right"/>
              <w:ind w:right="62"/>
              <w:spacing w:after="0" w:line="182" w:lineRule="exact"/>
              <w:rPr>
                <w:sz w:val="20"/>
                <w:szCs w:val="20"/>
                <w:color w:val="auto"/>
              </w:rPr>
            </w:pPr>
            <w:r>
              <w:rPr>
                <w:rFonts w:ascii="Arial" w:cs="Arial" w:eastAsia="Arial" w:hAnsi="Arial"/>
                <w:sz w:val="16"/>
                <w:szCs w:val="16"/>
                <w:color w:val="auto"/>
              </w:rPr>
              <w:t>—</w:t>
            </w:r>
          </w:p>
        </w:tc>
        <w:tc>
          <w:tcPr>
            <w:tcW w:w="960" w:type="dxa"/>
            <w:vAlign w:val="bottom"/>
            <w:shd w:val="clear" w:color="auto" w:fill="E8F5EA"/>
          </w:tcPr>
          <w:p>
            <w:pPr>
              <w:jc w:val="right"/>
              <w:ind w:right="62"/>
              <w:spacing w:after="0" w:line="182" w:lineRule="exact"/>
              <w:rPr>
                <w:sz w:val="20"/>
                <w:szCs w:val="20"/>
                <w:color w:val="auto"/>
              </w:rPr>
            </w:pPr>
            <w:r>
              <w:rPr>
                <w:rFonts w:ascii="Arial" w:cs="Arial" w:eastAsia="Arial" w:hAnsi="Arial"/>
                <w:sz w:val="16"/>
                <w:szCs w:val="16"/>
                <w:color w:val="auto"/>
              </w:rPr>
              <w:t>72,748</w:t>
            </w:r>
          </w:p>
        </w:tc>
        <w:tc>
          <w:tcPr>
            <w:tcW w:w="84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80" w:type="dxa"/>
            <w:vAlign w:val="bottom"/>
            <w:shd w:val="clear" w:color="auto" w:fill="E8F5EA"/>
          </w:tcPr>
          <w:p>
            <w:pPr>
              <w:ind w:left="140"/>
              <w:spacing w:after="0" w:line="182" w:lineRule="exact"/>
              <w:rPr>
                <w:sz w:val="20"/>
                <w:szCs w:val="20"/>
                <w:color w:val="auto"/>
              </w:rPr>
            </w:pPr>
            <w:r>
              <w:rPr>
                <w:rFonts w:ascii="Arial" w:cs="Arial" w:eastAsia="Arial" w:hAnsi="Arial"/>
                <w:sz w:val="16"/>
                <w:szCs w:val="16"/>
                <w:color w:val="auto"/>
              </w:rPr>
              <w:t>Life insurance benefit</w:t>
            </w:r>
          </w:p>
        </w:tc>
        <w:tc>
          <w:tcPr>
            <w:tcW w:w="220" w:type="dxa"/>
            <w:vAlign w:val="bottom"/>
            <w:shd w:val="clear" w:color="auto" w:fill="E8F5EA"/>
          </w:tcPr>
          <w:p>
            <w:pPr>
              <w:spacing w:after="0"/>
              <w:rPr>
                <w:sz w:val="15"/>
                <w:szCs w:val="15"/>
                <w:color w:val="auto"/>
              </w:rPr>
            </w:pPr>
          </w:p>
        </w:tc>
        <w:tc>
          <w:tcPr>
            <w:tcW w:w="880" w:type="dxa"/>
            <w:vAlign w:val="bottom"/>
            <w:shd w:val="clear" w:color="auto" w:fill="E8F5EA"/>
          </w:tcPr>
          <w:p>
            <w:pPr>
              <w:jc w:val="right"/>
              <w:ind w:right="61"/>
              <w:spacing w:after="0" w:line="182" w:lineRule="exact"/>
              <w:rPr>
                <w:sz w:val="20"/>
                <w:szCs w:val="20"/>
                <w:color w:val="auto"/>
              </w:rPr>
            </w:pPr>
            <w:r>
              <w:rPr>
                <w:rFonts w:ascii="Arial" w:cs="Arial" w:eastAsia="Arial" w:hAnsi="Arial"/>
                <w:sz w:val="16"/>
                <w:szCs w:val="16"/>
                <w:color w:val="auto"/>
              </w:rPr>
              <w:t>500,000</w:t>
            </w:r>
          </w:p>
        </w:tc>
        <w:tc>
          <w:tcPr>
            <w:tcW w:w="80" w:type="dxa"/>
            <w:vAlign w:val="bottom"/>
            <w:shd w:val="clear" w:color="auto" w:fill="E8F5EA"/>
          </w:tcPr>
          <w:p>
            <w:pPr>
              <w:spacing w:after="0"/>
              <w:rPr>
                <w:sz w:val="15"/>
                <w:szCs w:val="15"/>
                <w:color w:val="auto"/>
              </w:rPr>
            </w:pPr>
          </w:p>
        </w:tc>
        <w:tc>
          <w:tcPr>
            <w:tcW w:w="880" w:type="dxa"/>
            <w:vAlign w:val="bottom"/>
            <w:shd w:val="clear" w:color="auto" w:fill="E8F5EA"/>
          </w:tcPr>
          <w:p>
            <w:pPr>
              <w:jc w:val="right"/>
              <w:ind w:right="61"/>
              <w:spacing w:after="0" w:line="182" w:lineRule="exact"/>
              <w:rPr>
                <w:sz w:val="20"/>
                <w:szCs w:val="20"/>
                <w:color w:val="auto"/>
              </w:rPr>
            </w:pPr>
            <w:r>
              <w:rPr>
                <w:rFonts w:ascii="Arial" w:cs="Arial" w:eastAsia="Arial" w:hAnsi="Arial"/>
                <w:sz w:val="16"/>
                <w:szCs w:val="16"/>
                <w:color w:val="auto"/>
              </w:rPr>
              <w:t>—</w:t>
            </w:r>
          </w:p>
        </w:tc>
        <w:tc>
          <w:tcPr>
            <w:tcW w:w="960" w:type="dxa"/>
            <w:vAlign w:val="bottom"/>
            <w:shd w:val="clear" w:color="auto" w:fill="E8F5EA"/>
          </w:tcPr>
          <w:p>
            <w:pPr>
              <w:jc w:val="right"/>
              <w:ind w:right="62"/>
              <w:spacing w:after="0" w:line="182" w:lineRule="exact"/>
              <w:rPr>
                <w:sz w:val="20"/>
                <w:szCs w:val="20"/>
                <w:color w:val="auto"/>
              </w:rPr>
            </w:pPr>
            <w:r>
              <w:rPr>
                <w:rFonts w:ascii="Arial" w:cs="Arial" w:eastAsia="Arial" w:hAnsi="Arial"/>
                <w:sz w:val="16"/>
                <w:szCs w:val="16"/>
                <w:color w:val="auto"/>
              </w:rPr>
              <w:t>—</w:t>
            </w:r>
          </w:p>
        </w:tc>
        <w:tc>
          <w:tcPr>
            <w:tcW w:w="960" w:type="dxa"/>
            <w:vAlign w:val="bottom"/>
            <w:shd w:val="clear" w:color="auto" w:fill="E8F5EA"/>
          </w:tcPr>
          <w:p>
            <w:pPr>
              <w:jc w:val="right"/>
              <w:ind w:right="62"/>
              <w:spacing w:after="0" w:line="182" w:lineRule="exact"/>
              <w:rPr>
                <w:sz w:val="20"/>
                <w:szCs w:val="20"/>
                <w:color w:val="auto"/>
              </w:rPr>
            </w:pPr>
            <w:r>
              <w:rPr>
                <w:rFonts w:ascii="Arial" w:cs="Arial" w:eastAsia="Arial" w:hAnsi="Arial"/>
                <w:sz w:val="16"/>
                <w:szCs w:val="16"/>
                <w:color w:val="auto"/>
              </w:rPr>
              <w:t>—</w:t>
            </w:r>
          </w:p>
        </w:tc>
        <w:tc>
          <w:tcPr>
            <w:tcW w:w="84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80" w:type="dxa"/>
            <w:vAlign w:val="bottom"/>
            <w:shd w:val="clear" w:color="auto" w:fill="E8F5EA"/>
          </w:tcPr>
          <w:p>
            <w:pPr>
              <w:ind w:left="140"/>
              <w:spacing w:after="0" w:line="182" w:lineRule="exact"/>
              <w:rPr>
                <w:sz w:val="20"/>
                <w:szCs w:val="20"/>
                <w:color w:val="auto"/>
              </w:rPr>
            </w:pPr>
            <w:r>
              <w:rPr>
                <w:rFonts w:ascii="Arial" w:cs="Arial" w:eastAsia="Arial" w:hAnsi="Arial"/>
                <w:sz w:val="16"/>
                <w:szCs w:val="16"/>
                <w:color w:val="auto"/>
              </w:rPr>
              <w:t>Pension</w:t>
            </w:r>
          </w:p>
        </w:tc>
        <w:tc>
          <w:tcPr>
            <w:tcW w:w="220" w:type="dxa"/>
            <w:vAlign w:val="bottom"/>
            <w:shd w:val="clear" w:color="auto" w:fill="E8F5EA"/>
          </w:tcPr>
          <w:p>
            <w:pPr>
              <w:spacing w:after="0"/>
              <w:rPr>
                <w:sz w:val="15"/>
                <w:szCs w:val="15"/>
                <w:color w:val="auto"/>
              </w:rPr>
            </w:pPr>
          </w:p>
        </w:tc>
        <w:tc>
          <w:tcPr>
            <w:tcW w:w="880" w:type="dxa"/>
            <w:vAlign w:val="bottom"/>
            <w:shd w:val="clear" w:color="auto" w:fill="E8F5EA"/>
          </w:tcPr>
          <w:p>
            <w:pPr>
              <w:jc w:val="right"/>
              <w:ind w:right="61"/>
              <w:spacing w:after="0" w:line="182" w:lineRule="exact"/>
              <w:rPr>
                <w:sz w:val="20"/>
                <w:szCs w:val="20"/>
                <w:color w:val="auto"/>
              </w:rPr>
            </w:pPr>
            <w:r>
              <w:rPr>
                <w:rFonts w:ascii="Arial" w:cs="Arial" w:eastAsia="Arial" w:hAnsi="Arial"/>
                <w:sz w:val="16"/>
                <w:szCs w:val="16"/>
                <w:color w:val="auto"/>
              </w:rPr>
              <w:t>75,173</w:t>
            </w:r>
          </w:p>
        </w:tc>
        <w:tc>
          <w:tcPr>
            <w:tcW w:w="80" w:type="dxa"/>
            <w:vAlign w:val="bottom"/>
            <w:shd w:val="clear" w:color="auto" w:fill="E8F5EA"/>
          </w:tcPr>
          <w:p>
            <w:pPr>
              <w:spacing w:after="0"/>
              <w:rPr>
                <w:sz w:val="15"/>
                <w:szCs w:val="15"/>
                <w:color w:val="auto"/>
              </w:rPr>
            </w:pPr>
          </w:p>
        </w:tc>
        <w:tc>
          <w:tcPr>
            <w:tcW w:w="880" w:type="dxa"/>
            <w:vAlign w:val="bottom"/>
            <w:shd w:val="clear" w:color="auto" w:fill="E8F5EA"/>
          </w:tcPr>
          <w:p>
            <w:pPr>
              <w:jc w:val="right"/>
              <w:ind w:right="61"/>
              <w:spacing w:after="0" w:line="182" w:lineRule="exact"/>
              <w:rPr>
                <w:sz w:val="20"/>
                <w:szCs w:val="20"/>
                <w:color w:val="auto"/>
              </w:rPr>
            </w:pPr>
            <w:r>
              <w:rPr>
                <w:rFonts w:ascii="Arial" w:cs="Arial" w:eastAsia="Arial" w:hAnsi="Arial"/>
                <w:sz w:val="16"/>
                <w:szCs w:val="16"/>
                <w:color w:val="auto"/>
              </w:rPr>
              <w:t>75,173</w:t>
            </w:r>
          </w:p>
        </w:tc>
        <w:tc>
          <w:tcPr>
            <w:tcW w:w="960" w:type="dxa"/>
            <w:vAlign w:val="bottom"/>
            <w:shd w:val="clear" w:color="auto" w:fill="E8F5EA"/>
          </w:tcPr>
          <w:p>
            <w:pPr>
              <w:jc w:val="right"/>
              <w:ind w:right="62"/>
              <w:spacing w:after="0" w:line="182" w:lineRule="exact"/>
              <w:rPr>
                <w:sz w:val="20"/>
                <w:szCs w:val="20"/>
                <w:color w:val="auto"/>
              </w:rPr>
            </w:pPr>
            <w:r>
              <w:rPr>
                <w:rFonts w:ascii="Arial" w:cs="Arial" w:eastAsia="Arial" w:hAnsi="Arial"/>
                <w:sz w:val="16"/>
                <w:szCs w:val="16"/>
                <w:color w:val="auto"/>
              </w:rPr>
              <w:t>75,173</w:t>
            </w:r>
          </w:p>
        </w:tc>
        <w:tc>
          <w:tcPr>
            <w:tcW w:w="960" w:type="dxa"/>
            <w:vAlign w:val="bottom"/>
            <w:shd w:val="clear" w:color="auto" w:fill="E8F5EA"/>
          </w:tcPr>
          <w:p>
            <w:pPr>
              <w:jc w:val="right"/>
              <w:ind w:right="62"/>
              <w:spacing w:after="0" w:line="182" w:lineRule="exact"/>
              <w:rPr>
                <w:sz w:val="20"/>
                <w:szCs w:val="20"/>
                <w:color w:val="auto"/>
              </w:rPr>
            </w:pPr>
            <w:r>
              <w:rPr>
                <w:rFonts w:ascii="Arial" w:cs="Arial" w:eastAsia="Arial" w:hAnsi="Arial"/>
                <w:sz w:val="16"/>
                <w:szCs w:val="16"/>
                <w:color w:val="auto"/>
              </w:rPr>
              <w:t>75,173</w:t>
            </w:r>
          </w:p>
        </w:tc>
        <w:tc>
          <w:tcPr>
            <w:tcW w:w="84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75,173</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E8F5EA"/>
          </w:tcPr>
          <w:p>
            <w:pPr>
              <w:ind w:left="140"/>
              <w:spacing w:after="0" w:line="218" w:lineRule="exact"/>
              <w:rPr>
                <w:sz w:val="20"/>
                <w:szCs w:val="20"/>
                <w:color w:val="auto"/>
              </w:rPr>
            </w:pPr>
            <w:r>
              <w:rPr>
                <w:rFonts w:ascii="Arial" w:cs="Arial" w:eastAsia="Arial" w:hAnsi="Arial"/>
                <w:sz w:val="15"/>
                <w:szCs w:val="15"/>
                <w:color w:val="auto"/>
              </w:rPr>
              <w:t>Nonqualified retirement plans</w:t>
            </w:r>
            <w:r>
              <w:rPr>
                <w:rFonts w:ascii="Arial" w:cs="Arial" w:eastAsia="Arial" w:hAnsi="Arial"/>
                <w:sz w:val="25"/>
                <w:szCs w:val="25"/>
                <w:color w:val="auto"/>
                <w:vertAlign w:val="superscript"/>
              </w:rPr>
              <w:t>(6)</w:t>
            </w:r>
          </w:p>
        </w:tc>
        <w:tc>
          <w:tcPr>
            <w:tcW w:w="220" w:type="dxa"/>
            <w:vAlign w:val="bottom"/>
            <w:shd w:val="clear" w:color="auto" w:fill="E8F5EA"/>
          </w:tcPr>
          <w:p>
            <w:pPr>
              <w:spacing w:after="0"/>
              <w:rPr>
                <w:sz w:val="19"/>
                <w:szCs w:val="19"/>
                <w:color w:val="auto"/>
              </w:rPr>
            </w:pPr>
          </w:p>
        </w:tc>
        <w:tc>
          <w:tcPr>
            <w:tcW w:w="880" w:type="dxa"/>
            <w:vAlign w:val="bottom"/>
            <w:shd w:val="clear" w:color="auto" w:fill="E8F5EA"/>
          </w:tcPr>
          <w:p>
            <w:pPr>
              <w:jc w:val="right"/>
              <w:ind w:right="61"/>
              <w:spacing w:after="0"/>
              <w:rPr>
                <w:sz w:val="20"/>
                <w:szCs w:val="20"/>
                <w:color w:val="auto"/>
              </w:rPr>
            </w:pPr>
            <w:r>
              <w:rPr>
                <w:rFonts w:ascii="Arial" w:cs="Arial" w:eastAsia="Arial" w:hAnsi="Arial"/>
                <w:sz w:val="16"/>
                <w:szCs w:val="16"/>
                <w:color w:val="auto"/>
              </w:rPr>
              <w:t>1,806,757</w:t>
            </w:r>
          </w:p>
        </w:tc>
        <w:tc>
          <w:tcPr>
            <w:tcW w:w="80" w:type="dxa"/>
            <w:vAlign w:val="bottom"/>
            <w:shd w:val="clear" w:color="auto" w:fill="E8F5EA"/>
          </w:tcPr>
          <w:p>
            <w:pPr>
              <w:spacing w:after="0"/>
              <w:rPr>
                <w:sz w:val="19"/>
                <w:szCs w:val="19"/>
                <w:color w:val="auto"/>
              </w:rPr>
            </w:pPr>
          </w:p>
        </w:tc>
        <w:tc>
          <w:tcPr>
            <w:tcW w:w="880" w:type="dxa"/>
            <w:vAlign w:val="bottom"/>
            <w:shd w:val="clear" w:color="auto" w:fill="E8F5EA"/>
          </w:tcPr>
          <w:p>
            <w:pPr>
              <w:jc w:val="right"/>
              <w:ind w:right="61"/>
              <w:spacing w:after="0"/>
              <w:rPr>
                <w:sz w:val="20"/>
                <w:szCs w:val="20"/>
                <w:color w:val="auto"/>
              </w:rPr>
            </w:pPr>
            <w:r>
              <w:rPr>
                <w:rFonts w:ascii="Arial" w:cs="Arial" w:eastAsia="Arial" w:hAnsi="Arial"/>
                <w:sz w:val="16"/>
                <w:szCs w:val="16"/>
                <w:color w:val="auto"/>
              </w:rPr>
              <w:t>3,075,281</w:t>
            </w:r>
          </w:p>
        </w:tc>
        <w:tc>
          <w:tcPr>
            <w:tcW w:w="960" w:type="dxa"/>
            <w:vAlign w:val="bottom"/>
            <w:shd w:val="clear" w:color="auto" w:fill="E8F5EA"/>
          </w:tcPr>
          <w:p>
            <w:pPr>
              <w:jc w:val="right"/>
              <w:ind w:right="62"/>
              <w:spacing w:after="0"/>
              <w:rPr>
                <w:sz w:val="20"/>
                <w:szCs w:val="20"/>
                <w:color w:val="auto"/>
              </w:rPr>
            </w:pPr>
            <w:r>
              <w:rPr>
                <w:rFonts w:ascii="Arial" w:cs="Arial" w:eastAsia="Arial" w:hAnsi="Arial"/>
                <w:sz w:val="16"/>
                <w:szCs w:val="16"/>
                <w:color w:val="auto"/>
                <w:shd w:val="clear" w:color="auto" w:fill="E8F5EA"/>
              </w:rPr>
              <w:t>3,075,281</w:t>
            </w:r>
          </w:p>
        </w:tc>
        <w:tc>
          <w:tcPr>
            <w:tcW w:w="960" w:type="dxa"/>
            <w:vAlign w:val="bottom"/>
            <w:shd w:val="clear" w:color="auto" w:fill="E8F5EA"/>
          </w:tcPr>
          <w:p>
            <w:pPr>
              <w:jc w:val="right"/>
              <w:ind w:right="62"/>
              <w:spacing w:after="0"/>
              <w:rPr>
                <w:sz w:val="20"/>
                <w:szCs w:val="20"/>
                <w:color w:val="auto"/>
              </w:rPr>
            </w:pPr>
            <w:r>
              <w:rPr>
                <w:rFonts w:ascii="Arial" w:cs="Arial" w:eastAsia="Arial" w:hAnsi="Arial"/>
                <w:sz w:val="16"/>
                <w:szCs w:val="16"/>
                <w:color w:val="auto"/>
                <w:shd w:val="clear" w:color="auto" w:fill="E8F5EA"/>
              </w:rPr>
              <w:t>3,075,281</w:t>
            </w:r>
          </w:p>
        </w:tc>
        <w:tc>
          <w:tcPr>
            <w:tcW w:w="840" w:type="dxa"/>
            <w:vAlign w:val="bottom"/>
            <w:shd w:val="clear" w:color="auto" w:fill="E8F5EA"/>
          </w:tcPr>
          <w:p>
            <w:pPr>
              <w:jc w:val="right"/>
              <w:spacing w:after="0"/>
              <w:rPr>
                <w:sz w:val="20"/>
                <w:szCs w:val="20"/>
                <w:color w:val="auto"/>
              </w:rPr>
            </w:pPr>
            <w:r>
              <w:rPr>
                <w:rFonts w:ascii="Arial" w:cs="Arial" w:eastAsia="Arial" w:hAnsi="Arial"/>
                <w:sz w:val="16"/>
                <w:szCs w:val="16"/>
                <w:color w:val="auto"/>
                <w:shd w:val="clear" w:color="auto" w:fill="E8F5EA"/>
              </w:rPr>
              <w:t>3,075,281</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480" w:type="dxa"/>
            <w:vAlign w:val="bottom"/>
          </w:tcPr>
          <w:p>
            <w:pPr>
              <w:spacing w:after="0" w:line="168" w:lineRule="exact"/>
              <w:rPr>
                <w:sz w:val="20"/>
                <w:szCs w:val="20"/>
                <w:color w:val="auto"/>
              </w:rPr>
            </w:pPr>
            <w:r>
              <w:rPr>
                <w:rFonts w:ascii="Arial" w:cs="Arial" w:eastAsia="Arial" w:hAnsi="Arial"/>
                <w:sz w:val="16"/>
                <w:szCs w:val="16"/>
                <w:color w:val="auto"/>
              </w:rPr>
              <w:t>MaryAnn G. Miller</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480" w:type="dxa"/>
            <w:vAlign w:val="bottom"/>
          </w:tcPr>
          <w:p>
            <w:pPr>
              <w:ind w:left="140"/>
              <w:spacing w:after="0" w:line="214" w:lineRule="exact"/>
              <w:rPr>
                <w:sz w:val="20"/>
                <w:szCs w:val="20"/>
                <w:color w:val="auto"/>
              </w:rPr>
            </w:pPr>
            <w:r>
              <w:rPr>
                <w:rFonts w:ascii="Arial" w:cs="Arial" w:eastAsia="Arial" w:hAnsi="Arial"/>
                <w:sz w:val="15"/>
                <w:szCs w:val="15"/>
                <w:color w:val="auto"/>
              </w:rPr>
              <w:t>Severance</w:t>
            </w:r>
            <w:r>
              <w:rPr>
                <w:rFonts w:ascii="Arial" w:cs="Arial" w:eastAsia="Arial" w:hAnsi="Arial"/>
                <w:sz w:val="24"/>
                <w:szCs w:val="24"/>
                <w:color w:val="auto"/>
                <w:vertAlign w:val="superscript"/>
              </w:rPr>
              <w:t>(1)</w:t>
            </w:r>
          </w:p>
        </w:tc>
        <w:tc>
          <w:tcPr>
            <w:tcW w:w="220" w:type="dxa"/>
            <w:vAlign w:val="bottom"/>
          </w:tcPr>
          <w:p>
            <w:pPr>
              <w:spacing w:after="0"/>
              <w:rPr>
                <w:sz w:val="18"/>
                <w:szCs w:val="18"/>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2,840,500</w:t>
            </w:r>
          </w:p>
        </w:tc>
        <w:tc>
          <w:tcPr>
            <w:tcW w:w="2460" w:type="dxa"/>
            <w:vAlign w:val="bottom"/>
            <w:gridSpan w:val="2"/>
          </w:tcPr>
          <w:p>
            <w:pPr>
              <w:jc w:val="right"/>
              <w:ind w:right="1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3480" w:type="dxa"/>
            <w:vAlign w:val="bottom"/>
          </w:tcPr>
          <w:p>
            <w:pPr>
              <w:ind w:left="140"/>
              <w:spacing w:after="0" w:line="182" w:lineRule="exact"/>
              <w:rPr>
                <w:sz w:val="20"/>
                <w:szCs w:val="20"/>
                <w:color w:val="auto"/>
              </w:rPr>
            </w:pPr>
            <w:r>
              <w:rPr>
                <w:rFonts w:ascii="Arial" w:cs="Arial" w:eastAsia="Arial" w:hAnsi="Arial"/>
                <w:sz w:val="16"/>
                <w:szCs w:val="16"/>
                <w:color w:val="auto"/>
              </w:rPr>
              <w:t>Settlement of previously vested stock options</w:t>
            </w:r>
          </w:p>
        </w:tc>
        <w:tc>
          <w:tcPr>
            <w:tcW w:w="220" w:type="dxa"/>
            <w:vAlign w:val="bottom"/>
          </w:tcPr>
          <w:p>
            <w:pPr>
              <w:spacing w:after="0"/>
              <w:rPr>
                <w:sz w:val="15"/>
                <w:szCs w:val="15"/>
                <w:color w:val="auto"/>
              </w:rPr>
            </w:pPr>
          </w:p>
        </w:tc>
        <w:tc>
          <w:tcPr>
            <w:tcW w:w="880" w:type="dxa"/>
            <w:vAlign w:val="bottom"/>
          </w:tcPr>
          <w:p>
            <w:pPr>
              <w:jc w:val="right"/>
              <w:ind w:right="61"/>
              <w:spacing w:after="0" w:line="182"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880" w:type="dxa"/>
            <w:vAlign w:val="bottom"/>
          </w:tcPr>
          <w:p>
            <w:pPr>
              <w:jc w:val="right"/>
              <w:ind w:right="61"/>
              <w:spacing w:after="0" w:line="182"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62"/>
              <w:spacing w:after="0" w:line="182"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62"/>
              <w:spacing w:after="0" w:line="182" w:lineRule="exact"/>
              <w:rPr>
                <w:sz w:val="20"/>
                <w:szCs w:val="20"/>
                <w:color w:val="auto"/>
              </w:rPr>
            </w:pPr>
            <w:r>
              <w:rPr>
                <w:rFonts w:ascii="Arial" w:cs="Arial" w:eastAsia="Arial" w:hAnsi="Arial"/>
                <w:sz w:val="16"/>
                <w:szCs w:val="16"/>
                <w:color w:val="auto"/>
              </w:rPr>
              <w:t>—</w:t>
            </w:r>
          </w:p>
        </w:tc>
        <w:tc>
          <w:tcPr>
            <w:tcW w:w="2460" w:type="dxa"/>
            <w:vAlign w:val="bottom"/>
            <w:gridSpan w:val="2"/>
          </w:tcPr>
          <w:p>
            <w:pPr>
              <w:jc w:val="right"/>
              <w:ind w:right="1620"/>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3480" w:type="dxa"/>
            <w:vAlign w:val="bottom"/>
          </w:tcPr>
          <w:p>
            <w:pPr>
              <w:ind w:left="140"/>
              <w:spacing w:after="0"/>
              <w:rPr>
                <w:sz w:val="20"/>
                <w:szCs w:val="20"/>
                <w:color w:val="auto"/>
              </w:rPr>
            </w:pPr>
            <w:r>
              <w:rPr>
                <w:rFonts w:ascii="Arial" w:cs="Arial" w:eastAsia="Arial" w:hAnsi="Arial"/>
                <w:sz w:val="16"/>
                <w:szCs w:val="16"/>
                <w:color w:val="auto"/>
              </w:rPr>
              <w:t>Settlement of unvested stock options</w:t>
            </w:r>
          </w:p>
        </w:tc>
        <w:tc>
          <w:tcPr>
            <w:tcW w:w="220" w:type="dxa"/>
            <w:vAlign w:val="bottom"/>
          </w:tcPr>
          <w:p>
            <w:pPr>
              <w:spacing w:after="0"/>
              <w:rPr>
                <w:sz w:val="16"/>
                <w:szCs w:val="16"/>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460" w:type="dxa"/>
            <w:vAlign w:val="bottom"/>
            <w:gridSpan w:val="2"/>
          </w:tcPr>
          <w:p>
            <w:pPr>
              <w:jc w:val="right"/>
              <w:ind w:right="1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80" w:type="dxa"/>
            <w:vAlign w:val="bottom"/>
          </w:tcPr>
          <w:p>
            <w:pPr>
              <w:ind w:left="140"/>
              <w:spacing w:after="0" w:line="218" w:lineRule="exact"/>
              <w:rPr>
                <w:sz w:val="20"/>
                <w:szCs w:val="20"/>
                <w:color w:val="auto"/>
              </w:rPr>
            </w:pPr>
            <w:r>
              <w:rPr>
                <w:rFonts w:ascii="Arial" w:cs="Arial" w:eastAsia="Arial" w:hAnsi="Arial"/>
                <w:sz w:val="15"/>
                <w:szCs w:val="15"/>
                <w:color w:val="auto"/>
              </w:rPr>
              <w:t>Settlement of RSUs</w:t>
            </w:r>
            <w:r>
              <w:rPr>
                <w:rFonts w:ascii="Arial" w:cs="Arial" w:eastAsia="Arial" w:hAnsi="Arial"/>
                <w:sz w:val="25"/>
                <w:szCs w:val="25"/>
                <w:color w:val="auto"/>
                <w:vertAlign w:val="superscript"/>
              </w:rPr>
              <w:t>(2)(5)</w:t>
            </w:r>
          </w:p>
        </w:tc>
        <w:tc>
          <w:tcPr>
            <w:tcW w:w="1100" w:type="dxa"/>
            <w:vAlign w:val="bottom"/>
            <w:gridSpan w:val="2"/>
          </w:tcPr>
          <w:p>
            <w:pPr>
              <w:jc w:val="right"/>
              <w:ind w:right="61"/>
              <w:spacing w:after="0"/>
              <w:rPr>
                <w:sz w:val="20"/>
                <w:szCs w:val="20"/>
                <w:color w:val="auto"/>
              </w:rPr>
            </w:pPr>
            <w:r>
              <w:rPr>
                <w:rFonts w:ascii="Arial" w:cs="Arial" w:eastAsia="Arial" w:hAnsi="Arial"/>
                <w:sz w:val="16"/>
                <w:szCs w:val="16"/>
                <w:color w:val="auto"/>
              </w:rPr>
              <w:t>279,070</w:t>
            </w:r>
          </w:p>
        </w:tc>
        <w:tc>
          <w:tcPr>
            <w:tcW w:w="960" w:type="dxa"/>
            <w:vAlign w:val="bottom"/>
            <w:gridSpan w:val="2"/>
          </w:tcPr>
          <w:p>
            <w:pPr>
              <w:jc w:val="right"/>
              <w:ind w:right="61"/>
              <w:spacing w:after="0"/>
              <w:rPr>
                <w:sz w:val="20"/>
                <w:szCs w:val="20"/>
                <w:color w:val="auto"/>
              </w:rPr>
            </w:pPr>
            <w:r>
              <w:rPr>
                <w:rFonts w:ascii="Arial" w:cs="Arial" w:eastAsia="Arial" w:hAnsi="Arial"/>
                <w:sz w:val="16"/>
                <w:szCs w:val="16"/>
                <w:color w:val="auto"/>
              </w:rPr>
              <w:t>128,455</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128,455</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279,070</w:t>
            </w:r>
          </w:p>
        </w:tc>
        <w:tc>
          <w:tcPr>
            <w:tcW w:w="2460" w:type="dxa"/>
            <w:vAlign w:val="bottom"/>
            <w:gridSpan w:val="2"/>
          </w:tcPr>
          <w:p>
            <w:pPr>
              <w:jc w:val="right"/>
              <w:ind w:right="1620"/>
              <w:spacing w:after="0"/>
              <w:rPr>
                <w:sz w:val="20"/>
                <w:szCs w:val="20"/>
                <w:color w:val="auto"/>
              </w:rPr>
            </w:pPr>
            <w:r>
              <w:rPr>
                <w:rFonts w:ascii="Arial" w:cs="Arial" w:eastAsia="Arial" w:hAnsi="Arial"/>
                <w:sz w:val="16"/>
                <w:szCs w:val="16"/>
                <w:color w:val="auto"/>
              </w:rPr>
              <w:t>128,455</w:t>
            </w:r>
          </w:p>
        </w:tc>
        <w:tc>
          <w:tcPr>
            <w:tcW w:w="0" w:type="dxa"/>
            <w:vAlign w:val="bottom"/>
          </w:tcPr>
          <w:p>
            <w:pPr>
              <w:spacing w:after="0"/>
              <w:rPr>
                <w:sz w:val="1"/>
                <w:szCs w:val="1"/>
                <w:color w:val="auto"/>
              </w:rPr>
            </w:pPr>
          </w:p>
        </w:tc>
      </w:tr>
      <w:tr>
        <w:trPr>
          <w:trHeight w:val="215"/>
        </w:trPr>
        <w:tc>
          <w:tcPr>
            <w:tcW w:w="3480" w:type="dxa"/>
            <w:vAlign w:val="bottom"/>
          </w:tcPr>
          <w:p>
            <w:pPr>
              <w:ind w:left="140"/>
              <w:spacing w:after="0" w:line="214" w:lineRule="exact"/>
              <w:rPr>
                <w:sz w:val="20"/>
                <w:szCs w:val="20"/>
                <w:color w:val="auto"/>
              </w:rPr>
            </w:pPr>
            <w:r>
              <w:rPr>
                <w:rFonts w:ascii="Arial" w:cs="Arial" w:eastAsia="Arial" w:hAnsi="Arial"/>
                <w:sz w:val="15"/>
                <w:szCs w:val="15"/>
                <w:color w:val="auto"/>
              </w:rPr>
              <w:t>Settlement of PSUs</w:t>
            </w:r>
            <w:r>
              <w:rPr>
                <w:rFonts w:ascii="Arial" w:cs="Arial" w:eastAsia="Arial" w:hAnsi="Arial"/>
                <w:sz w:val="24"/>
                <w:szCs w:val="24"/>
                <w:color w:val="auto"/>
                <w:vertAlign w:val="superscript"/>
              </w:rPr>
              <w:t>(3)(5)</w:t>
            </w:r>
          </w:p>
        </w:tc>
        <w:tc>
          <w:tcPr>
            <w:tcW w:w="1100" w:type="dxa"/>
            <w:vAlign w:val="bottom"/>
            <w:gridSpan w:val="2"/>
          </w:tcPr>
          <w:p>
            <w:pPr>
              <w:jc w:val="right"/>
              <w:ind w:right="61"/>
              <w:spacing w:after="0"/>
              <w:rPr>
                <w:sz w:val="20"/>
                <w:szCs w:val="20"/>
                <w:color w:val="auto"/>
              </w:rPr>
            </w:pPr>
            <w:r>
              <w:rPr>
                <w:rFonts w:ascii="Arial" w:cs="Arial" w:eastAsia="Arial" w:hAnsi="Arial"/>
                <w:sz w:val="16"/>
                <w:szCs w:val="16"/>
                <w:color w:val="auto"/>
              </w:rPr>
              <w:t>442,056</w:t>
            </w:r>
          </w:p>
        </w:tc>
        <w:tc>
          <w:tcPr>
            <w:tcW w:w="960" w:type="dxa"/>
            <w:vAlign w:val="bottom"/>
            <w:gridSpan w:val="2"/>
          </w:tcPr>
          <w:p>
            <w:pPr>
              <w:jc w:val="right"/>
              <w:ind w:right="61"/>
              <w:spacing w:after="0"/>
              <w:rPr>
                <w:sz w:val="20"/>
                <w:szCs w:val="20"/>
                <w:color w:val="auto"/>
              </w:rPr>
            </w:pPr>
            <w:r>
              <w:rPr>
                <w:rFonts w:ascii="Arial" w:cs="Arial" w:eastAsia="Arial" w:hAnsi="Arial"/>
                <w:sz w:val="16"/>
                <w:szCs w:val="16"/>
                <w:color w:val="auto"/>
              </w:rPr>
              <w:t>417,552</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417,552</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819,089</w:t>
            </w:r>
          </w:p>
        </w:tc>
        <w:tc>
          <w:tcPr>
            <w:tcW w:w="2460" w:type="dxa"/>
            <w:vAlign w:val="bottom"/>
            <w:gridSpan w:val="2"/>
          </w:tcPr>
          <w:p>
            <w:pPr>
              <w:jc w:val="right"/>
              <w:ind w:right="1620"/>
              <w:spacing w:after="0"/>
              <w:rPr>
                <w:sz w:val="20"/>
                <w:szCs w:val="20"/>
                <w:color w:val="auto"/>
              </w:rPr>
            </w:pPr>
            <w:r>
              <w:rPr>
                <w:rFonts w:ascii="Arial" w:cs="Arial" w:eastAsia="Arial" w:hAnsi="Arial"/>
                <w:sz w:val="16"/>
                <w:szCs w:val="16"/>
                <w:color w:val="auto"/>
              </w:rPr>
              <w:t>417,552</w:t>
            </w:r>
          </w:p>
        </w:tc>
        <w:tc>
          <w:tcPr>
            <w:tcW w:w="0" w:type="dxa"/>
            <w:vAlign w:val="bottom"/>
          </w:tcPr>
          <w:p>
            <w:pPr>
              <w:spacing w:after="0"/>
              <w:rPr>
                <w:sz w:val="1"/>
                <w:szCs w:val="1"/>
                <w:color w:val="auto"/>
              </w:rPr>
            </w:pPr>
          </w:p>
        </w:tc>
      </w:tr>
      <w:tr>
        <w:trPr>
          <w:trHeight w:val="182"/>
        </w:trPr>
        <w:tc>
          <w:tcPr>
            <w:tcW w:w="3480" w:type="dxa"/>
            <w:vAlign w:val="bottom"/>
          </w:tcPr>
          <w:p>
            <w:pPr>
              <w:ind w:left="140"/>
              <w:spacing w:after="0" w:line="182" w:lineRule="exact"/>
              <w:rPr>
                <w:sz w:val="20"/>
                <w:szCs w:val="20"/>
                <w:color w:val="auto"/>
              </w:rPr>
            </w:pPr>
            <w:r>
              <w:rPr>
                <w:rFonts w:ascii="Arial" w:cs="Arial" w:eastAsia="Arial" w:hAnsi="Arial"/>
                <w:sz w:val="16"/>
                <w:szCs w:val="16"/>
                <w:color w:val="auto"/>
              </w:rPr>
              <w:t>Welfare benefits</w:t>
            </w:r>
          </w:p>
        </w:tc>
        <w:tc>
          <w:tcPr>
            <w:tcW w:w="220" w:type="dxa"/>
            <w:vAlign w:val="bottom"/>
          </w:tcPr>
          <w:p>
            <w:pPr>
              <w:spacing w:after="0"/>
              <w:rPr>
                <w:sz w:val="15"/>
                <w:szCs w:val="15"/>
                <w:color w:val="auto"/>
              </w:rPr>
            </w:pPr>
          </w:p>
        </w:tc>
        <w:tc>
          <w:tcPr>
            <w:tcW w:w="880" w:type="dxa"/>
            <w:vAlign w:val="bottom"/>
          </w:tcPr>
          <w:p>
            <w:pPr>
              <w:jc w:val="right"/>
              <w:ind w:right="61"/>
              <w:spacing w:after="0" w:line="182"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880" w:type="dxa"/>
            <w:vAlign w:val="bottom"/>
          </w:tcPr>
          <w:p>
            <w:pPr>
              <w:jc w:val="right"/>
              <w:ind w:right="61"/>
              <w:spacing w:after="0" w:line="182"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62"/>
              <w:spacing w:after="0" w:line="182"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62"/>
              <w:spacing w:after="0" w:line="182" w:lineRule="exact"/>
              <w:rPr>
                <w:sz w:val="20"/>
                <w:szCs w:val="20"/>
                <w:color w:val="auto"/>
              </w:rPr>
            </w:pPr>
            <w:r>
              <w:rPr>
                <w:rFonts w:ascii="Arial" w:cs="Arial" w:eastAsia="Arial" w:hAnsi="Arial"/>
                <w:sz w:val="16"/>
                <w:szCs w:val="16"/>
                <w:color w:val="auto"/>
              </w:rPr>
              <w:t>63,668</w:t>
            </w:r>
          </w:p>
        </w:tc>
        <w:tc>
          <w:tcPr>
            <w:tcW w:w="2460" w:type="dxa"/>
            <w:vAlign w:val="bottom"/>
            <w:gridSpan w:val="2"/>
          </w:tcPr>
          <w:p>
            <w:pPr>
              <w:jc w:val="right"/>
              <w:ind w:right="1620"/>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3480" w:type="dxa"/>
            <w:vAlign w:val="bottom"/>
          </w:tcPr>
          <w:p>
            <w:pPr>
              <w:ind w:left="140"/>
              <w:spacing w:after="0" w:line="182" w:lineRule="exact"/>
              <w:rPr>
                <w:sz w:val="20"/>
                <w:szCs w:val="20"/>
                <w:color w:val="auto"/>
              </w:rPr>
            </w:pPr>
            <w:r>
              <w:rPr>
                <w:rFonts w:ascii="Arial" w:cs="Arial" w:eastAsia="Arial" w:hAnsi="Arial"/>
                <w:sz w:val="16"/>
                <w:szCs w:val="16"/>
                <w:color w:val="auto"/>
              </w:rPr>
              <w:t>Life insurance benefit</w:t>
            </w:r>
          </w:p>
        </w:tc>
        <w:tc>
          <w:tcPr>
            <w:tcW w:w="1100" w:type="dxa"/>
            <w:vAlign w:val="bottom"/>
            <w:gridSpan w:val="2"/>
          </w:tcPr>
          <w:p>
            <w:pPr>
              <w:jc w:val="right"/>
              <w:ind w:right="61"/>
              <w:spacing w:after="0" w:line="182" w:lineRule="exact"/>
              <w:rPr>
                <w:sz w:val="20"/>
                <w:szCs w:val="20"/>
                <w:color w:val="auto"/>
              </w:rPr>
            </w:pPr>
            <w:r>
              <w:rPr>
                <w:rFonts w:ascii="Arial" w:cs="Arial" w:eastAsia="Arial" w:hAnsi="Arial"/>
                <w:sz w:val="16"/>
                <w:szCs w:val="16"/>
                <w:color w:val="auto"/>
              </w:rPr>
              <w:t>500,000</w:t>
            </w:r>
          </w:p>
        </w:tc>
        <w:tc>
          <w:tcPr>
            <w:tcW w:w="80" w:type="dxa"/>
            <w:vAlign w:val="bottom"/>
          </w:tcPr>
          <w:p>
            <w:pPr>
              <w:spacing w:after="0"/>
              <w:rPr>
                <w:sz w:val="15"/>
                <w:szCs w:val="15"/>
                <w:color w:val="auto"/>
              </w:rPr>
            </w:pPr>
          </w:p>
        </w:tc>
        <w:tc>
          <w:tcPr>
            <w:tcW w:w="880" w:type="dxa"/>
            <w:vAlign w:val="bottom"/>
          </w:tcPr>
          <w:p>
            <w:pPr>
              <w:jc w:val="right"/>
              <w:ind w:right="61"/>
              <w:spacing w:after="0" w:line="182"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62"/>
              <w:spacing w:after="0" w:line="182"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62"/>
              <w:spacing w:after="0" w:line="182" w:lineRule="exact"/>
              <w:rPr>
                <w:sz w:val="20"/>
                <w:szCs w:val="20"/>
                <w:color w:val="auto"/>
              </w:rPr>
            </w:pPr>
            <w:r>
              <w:rPr>
                <w:rFonts w:ascii="Arial" w:cs="Arial" w:eastAsia="Arial" w:hAnsi="Arial"/>
                <w:sz w:val="16"/>
                <w:szCs w:val="16"/>
                <w:color w:val="auto"/>
              </w:rPr>
              <w:t>—</w:t>
            </w:r>
          </w:p>
        </w:tc>
        <w:tc>
          <w:tcPr>
            <w:tcW w:w="2460" w:type="dxa"/>
            <w:vAlign w:val="bottom"/>
            <w:gridSpan w:val="2"/>
          </w:tcPr>
          <w:p>
            <w:pPr>
              <w:jc w:val="right"/>
              <w:ind w:right="1620"/>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3480" w:type="dxa"/>
            <w:vAlign w:val="bottom"/>
          </w:tcPr>
          <w:p>
            <w:pPr>
              <w:ind w:left="140"/>
              <w:spacing w:after="0"/>
              <w:rPr>
                <w:sz w:val="20"/>
                <w:szCs w:val="20"/>
                <w:color w:val="auto"/>
              </w:rPr>
            </w:pPr>
            <w:r>
              <w:rPr>
                <w:rFonts w:ascii="Arial" w:cs="Arial" w:eastAsia="Arial" w:hAnsi="Arial"/>
                <w:sz w:val="16"/>
                <w:szCs w:val="16"/>
                <w:color w:val="auto"/>
              </w:rPr>
              <w:t>Pension</w:t>
            </w:r>
          </w:p>
        </w:tc>
        <w:tc>
          <w:tcPr>
            <w:tcW w:w="1100" w:type="dxa"/>
            <w:vAlign w:val="bottom"/>
            <w:gridSpan w:val="2"/>
          </w:tcPr>
          <w:p>
            <w:pPr>
              <w:jc w:val="right"/>
              <w:ind w:right="61"/>
              <w:spacing w:after="0"/>
              <w:rPr>
                <w:sz w:val="20"/>
                <w:szCs w:val="20"/>
                <w:color w:val="auto"/>
              </w:rPr>
            </w:pPr>
            <w:r>
              <w:rPr>
                <w:rFonts w:ascii="Arial" w:cs="Arial" w:eastAsia="Arial" w:hAnsi="Arial"/>
                <w:sz w:val="16"/>
                <w:szCs w:val="16"/>
                <w:color w:val="auto"/>
              </w:rPr>
              <w:t>356,685</w:t>
            </w:r>
          </w:p>
        </w:tc>
        <w:tc>
          <w:tcPr>
            <w:tcW w:w="960" w:type="dxa"/>
            <w:vAlign w:val="bottom"/>
            <w:gridSpan w:val="2"/>
          </w:tcPr>
          <w:p>
            <w:pPr>
              <w:jc w:val="right"/>
              <w:ind w:right="61"/>
              <w:spacing w:after="0"/>
              <w:rPr>
                <w:sz w:val="20"/>
                <w:szCs w:val="20"/>
                <w:color w:val="auto"/>
              </w:rPr>
            </w:pPr>
            <w:r>
              <w:rPr>
                <w:rFonts w:ascii="Arial" w:cs="Arial" w:eastAsia="Arial" w:hAnsi="Arial"/>
                <w:sz w:val="16"/>
                <w:szCs w:val="16"/>
                <w:color w:val="auto"/>
              </w:rPr>
              <w:t>356,685</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356,685</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356,685</w:t>
            </w:r>
          </w:p>
        </w:tc>
        <w:tc>
          <w:tcPr>
            <w:tcW w:w="2460" w:type="dxa"/>
            <w:vAlign w:val="bottom"/>
            <w:gridSpan w:val="2"/>
          </w:tcPr>
          <w:p>
            <w:pPr>
              <w:jc w:val="right"/>
              <w:ind w:right="1620"/>
              <w:spacing w:after="0"/>
              <w:rPr>
                <w:sz w:val="20"/>
                <w:szCs w:val="20"/>
                <w:color w:val="auto"/>
              </w:rPr>
            </w:pPr>
            <w:r>
              <w:rPr>
                <w:rFonts w:ascii="Arial" w:cs="Arial" w:eastAsia="Arial" w:hAnsi="Arial"/>
                <w:sz w:val="16"/>
                <w:szCs w:val="16"/>
                <w:color w:val="auto"/>
              </w:rPr>
              <w:t>356,685</w:t>
            </w:r>
          </w:p>
        </w:tc>
        <w:tc>
          <w:tcPr>
            <w:tcW w:w="0" w:type="dxa"/>
            <w:vAlign w:val="bottom"/>
          </w:tcPr>
          <w:p>
            <w:pPr>
              <w:spacing w:after="0"/>
              <w:rPr>
                <w:sz w:val="1"/>
                <w:szCs w:val="1"/>
                <w:color w:val="auto"/>
              </w:rPr>
            </w:pPr>
          </w:p>
        </w:tc>
      </w:tr>
      <w:tr>
        <w:trPr>
          <w:trHeight w:val="232"/>
        </w:trPr>
        <w:tc>
          <w:tcPr>
            <w:tcW w:w="3480" w:type="dxa"/>
            <w:vAlign w:val="bottom"/>
          </w:tcPr>
          <w:p>
            <w:pPr>
              <w:ind w:left="140"/>
              <w:spacing w:after="0" w:line="232" w:lineRule="exact"/>
              <w:rPr>
                <w:sz w:val="20"/>
                <w:szCs w:val="20"/>
                <w:color w:val="auto"/>
              </w:rPr>
            </w:pPr>
            <w:r>
              <w:rPr>
                <w:rFonts w:ascii="Arial" w:cs="Arial" w:eastAsia="Arial" w:hAnsi="Arial"/>
                <w:sz w:val="16"/>
                <w:szCs w:val="16"/>
                <w:color w:val="auto"/>
              </w:rPr>
              <w:t>Nonqualified retirement plans</w:t>
            </w:r>
            <w:r>
              <w:rPr>
                <w:rFonts w:ascii="Arial" w:cs="Arial" w:eastAsia="Arial" w:hAnsi="Arial"/>
                <w:sz w:val="26"/>
                <w:szCs w:val="26"/>
                <w:color w:val="auto"/>
                <w:vertAlign w:val="superscript"/>
              </w:rPr>
              <w:t>(6)</w:t>
            </w:r>
          </w:p>
        </w:tc>
        <w:tc>
          <w:tcPr>
            <w:tcW w:w="1100" w:type="dxa"/>
            <w:vAlign w:val="bottom"/>
            <w:gridSpan w:val="2"/>
          </w:tcPr>
          <w:p>
            <w:pPr>
              <w:jc w:val="right"/>
              <w:ind w:right="61"/>
              <w:spacing w:after="0"/>
              <w:rPr>
                <w:sz w:val="20"/>
                <w:szCs w:val="20"/>
                <w:color w:val="auto"/>
              </w:rPr>
            </w:pPr>
            <w:r>
              <w:rPr>
                <w:rFonts w:ascii="Arial" w:cs="Arial" w:eastAsia="Arial" w:hAnsi="Arial"/>
                <w:sz w:val="16"/>
                <w:szCs w:val="16"/>
                <w:color w:val="auto"/>
              </w:rPr>
              <w:t>1,489,098</w:t>
            </w:r>
          </w:p>
        </w:tc>
        <w:tc>
          <w:tcPr>
            <w:tcW w:w="960" w:type="dxa"/>
            <w:vAlign w:val="bottom"/>
            <w:gridSpan w:val="2"/>
          </w:tcPr>
          <w:p>
            <w:pPr>
              <w:jc w:val="right"/>
              <w:ind w:right="61"/>
              <w:spacing w:after="0"/>
              <w:rPr>
                <w:sz w:val="20"/>
                <w:szCs w:val="20"/>
                <w:color w:val="auto"/>
              </w:rPr>
            </w:pPr>
            <w:r>
              <w:rPr>
                <w:rFonts w:ascii="Arial" w:cs="Arial" w:eastAsia="Arial" w:hAnsi="Arial"/>
                <w:sz w:val="16"/>
                <w:szCs w:val="16"/>
                <w:color w:val="auto"/>
              </w:rPr>
              <w:t>2,639,111</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2,639,111</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2,639,111</w:t>
            </w:r>
          </w:p>
        </w:tc>
        <w:tc>
          <w:tcPr>
            <w:tcW w:w="2460" w:type="dxa"/>
            <w:vAlign w:val="bottom"/>
            <w:gridSpan w:val="2"/>
          </w:tcPr>
          <w:p>
            <w:pPr>
              <w:jc w:val="right"/>
              <w:ind w:right="1620"/>
              <w:spacing w:after="0"/>
              <w:rPr>
                <w:sz w:val="20"/>
                <w:szCs w:val="20"/>
                <w:color w:val="auto"/>
              </w:rPr>
            </w:pPr>
            <w:r>
              <w:rPr>
                <w:rFonts w:ascii="Arial" w:cs="Arial" w:eastAsia="Arial" w:hAnsi="Arial"/>
                <w:sz w:val="16"/>
                <w:szCs w:val="16"/>
                <w:color w:val="auto"/>
              </w:rPr>
              <w:t>2,639,111</w:t>
            </w:r>
          </w:p>
        </w:tc>
        <w:tc>
          <w:tcPr>
            <w:tcW w:w="0" w:type="dxa"/>
            <w:vAlign w:val="bottom"/>
          </w:tcPr>
          <w:p>
            <w:pPr>
              <w:spacing w:after="0"/>
              <w:rPr>
                <w:sz w:val="1"/>
                <w:szCs w:val="1"/>
                <w:color w:val="auto"/>
              </w:rPr>
            </w:pPr>
          </w:p>
        </w:tc>
      </w:tr>
      <w:tr>
        <w:trPr>
          <w:trHeight w:val="182"/>
        </w:trPr>
        <w:tc>
          <w:tcPr>
            <w:tcW w:w="3480" w:type="dxa"/>
            <w:vAlign w:val="bottom"/>
            <w:shd w:val="clear" w:color="auto" w:fill="E8F5EA"/>
          </w:tcPr>
          <w:p>
            <w:pPr>
              <w:spacing w:after="0" w:line="182" w:lineRule="exact"/>
              <w:rPr>
                <w:sz w:val="20"/>
                <w:szCs w:val="20"/>
                <w:color w:val="auto"/>
              </w:rPr>
            </w:pPr>
            <w:r>
              <w:rPr>
                <w:rFonts w:ascii="Arial" w:cs="Arial" w:eastAsia="Arial" w:hAnsi="Arial"/>
                <w:sz w:val="16"/>
                <w:szCs w:val="16"/>
                <w:color w:val="auto"/>
              </w:rPr>
              <w:t>Michael J. O'Neill</w:t>
            </w:r>
          </w:p>
        </w:tc>
        <w:tc>
          <w:tcPr>
            <w:tcW w:w="220" w:type="dxa"/>
            <w:vAlign w:val="bottom"/>
            <w:shd w:val="clear" w:color="auto" w:fill="E8F5EA"/>
          </w:tcPr>
          <w:p>
            <w:pPr>
              <w:spacing w:after="0"/>
              <w:rPr>
                <w:sz w:val="15"/>
                <w:szCs w:val="15"/>
                <w:color w:val="auto"/>
              </w:rPr>
            </w:pPr>
          </w:p>
        </w:tc>
        <w:tc>
          <w:tcPr>
            <w:tcW w:w="880" w:type="dxa"/>
            <w:vAlign w:val="bottom"/>
            <w:shd w:val="clear" w:color="auto" w:fill="E8F5EA"/>
          </w:tcPr>
          <w:p>
            <w:pPr>
              <w:spacing w:after="0"/>
              <w:rPr>
                <w:sz w:val="15"/>
                <w:szCs w:val="15"/>
                <w:color w:val="auto"/>
              </w:rPr>
            </w:pPr>
          </w:p>
        </w:tc>
        <w:tc>
          <w:tcPr>
            <w:tcW w:w="80" w:type="dxa"/>
            <w:vAlign w:val="bottom"/>
            <w:shd w:val="clear" w:color="auto" w:fill="E8F5EA"/>
          </w:tcPr>
          <w:p>
            <w:pPr>
              <w:spacing w:after="0"/>
              <w:rPr>
                <w:sz w:val="15"/>
                <w:szCs w:val="15"/>
                <w:color w:val="auto"/>
              </w:rPr>
            </w:pPr>
          </w:p>
        </w:tc>
        <w:tc>
          <w:tcPr>
            <w:tcW w:w="880" w:type="dxa"/>
            <w:vAlign w:val="bottom"/>
            <w:shd w:val="clear" w:color="auto" w:fill="E8F5EA"/>
          </w:tcPr>
          <w:p>
            <w:pPr>
              <w:spacing w:after="0"/>
              <w:rPr>
                <w:sz w:val="15"/>
                <w:szCs w:val="15"/>
                <w:color w:val="auto"/>
              </w:rPr>
            </w:pPr>
          </w:p>
        </w:tc>
        <w:tc>
          <w:tcPr>
            <w:tcW w:w="960" w:type="dxa"/>
            <w:vAlign w:val="bottom"/>
            <w:shd w:val="clear" w:color="auto" w:fill="E8F5EA"/>
          </w:tcPr>
          <w:p>
            <w:pPr>
              <w:spacing w:after="0"/>
              <w:rPr>
                <w:sz w:val="15"/>
                <w:szCs w:val="15"/>
                <w:color w:val="auto"/>
              </w:rPr>
            </w:pPr>
          </w:p>
        </w:tc>
        <w:tc>
          <w:tcPr>
            <w:tcW w:w="960" w:type="dxa"/>
            <w:vAlign w:val="bottom"/>
            <w:shd w:val="clear" w:color="auto" w:fill="E8F5EA"/>
          </w:tcPr>
          <w:p>
            <w:pPr>
              <w:spacing w:after="0"/>
              <w:rPr>
                <w:sz w:val="15"/>
                <w:szCs w:val="15"/>
                <w:color w:val="auto"/>
              </w:rPr>
            </w:pPr>
          </w:p>
        </w:tc>
        <w:tc>
          <w:tcPr>
            <w:tcW w:w="840" w:type="dxa"/>
            <w:vAlign w:val="bottom"/>
            <w:shd w:val="clear" w:color="auto" w:fill="E8F5EA"/>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E8F5EA"/>
          </w:tcPr>
          <w:p>
            <w:pPr>
              <w:ind w:left="140"/>
              <w:spacing w:after="0" w:line="218" w:lineRule="exact"/>
              <w:rPr>
                <w:sz w:val="20"/>
                <w:szCs w:val="20"/>
                <w:color w:val="auto"/>
              </w:rPr>
            </w:pPr>
            <w:r>
              <w:rPr>
                <w:rFonts w:ascii="Arial" w:cs="Arial" w:eastAsia="Arial" w:hAnsi="Arial"/>
                <w:sz w:val="15"/>
                <w:szCs w:val="15"/>
                <w:color w:val="auto"/>
              </w:rPr>
              <w:t>Severance</w:t>
            </w:r>
            <w:r>
              <w:rPr>
                <w:rFonts w:ascii="Arial" w:cs="Arial" w:eastAsia="Arial" w:hAnsi="Arial"/>
                <w:sz w:val="25"/>
                <w:szCs w:val="25"/>
                <w:color w:val="auto"/>
                <w:vertAlign w:val="superscript"/>
              </w:rPr>
              <w:t>(1)</w:t>
            </w:r>
          </w:p>
        </w:tc>
        <w:tc>
          <w:tcPr>
            <w:tcW w:w="220" w:type="dxa"/>
            <w:vAlign w:val="bottom"/>
            <w:shd w:val="clear" w:color="auto" w:fill="E8F5EA"/>
          </w:tcPr>
          <w:p>
            <w:pPr>
              <w:spacing w:after="0"/>
              <w:rPr>
                <w:sz w:val="19"/>
                <w:szCs w:val="19"/>
                <w:color w:val="auto"/>
              </w:rPr>
            </w:pPr>
          </w:p>
        </w:tc>
        <w:tc>
          <w:tcPr>
            <w:tcW w:w="880" w:type="dxa"/>
            <w:vAlign w:val="bottom"/>
            <w:shd w:val="clear" w:color="auto" w:fill="E8F5EA"/>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shd w:val="clear" w:color="auto" w:fill="E8F5EA"/>
          </w:tcPr>
          <w:p>
            <w:pPr>
              <w:spacing w:after="0"/>
              <w:rPr>
                <w:sz w:val="19"/>
                <w:szCs w:val="19"/>
                <w:color w:val="auto"/>
              </w:rPr>
            </w:pPr>
          </w:p>
        </w:tc>
        <w:tc>
          <w:tcPr>
            <w:tcW w:w="880" w:type="dxa"/>
            <w:vAlign w:val="bottom"/>
            <w:shd w:val="clear" w:color="auto" w:fill="E8F5EA"/>
          </w:tcPr>
          <w:p>
            <w:pPr>
              <w:jc w:val="right"/>
              <w:ind w:right="61"/>
              <w:spacing w:after="0"/>
              <w:rPr>
                <w:sz w:val="20"/>
                <w:szCs w:val="20"/>
                <w:color w:val="auto"/>
              </w:rPr>
            </w:pPr>
            <w:r>
              <w:rPr>
                <w:rFonts w:ascii="Arial" w:cs="Arial" w:eastAsia="Arial" w:hAnsi="Arial"/>
                <w:sz w:val="16"/>
                <w:szCs w:val="16"/>
                <w:color w:val="auto"/>
              </w:rPr>
              <w:t>—</w:t>
            </w:r>
          </w:p>
        </w:tc>
        <w:tc>
          <w:tcPr>
            <w:tcW w:w="960" w:type="dxa"/>
            <w:vAlign w:val="bottom"/>
            <w:shd w:val="clear" w:color="auto" w:fill="E8F5EA"/>
          </w:tcPr>
          <w:p>
            <w:pPr>
              <w:jc w:val="right"/>
              <w:ind w:right="62"/>
              <w:spacing w:after="0"/>
              <w:rPr>
                <w:sz w:val="20"/>
                <w:szCs w:val="20"/>
                <w:color w:val="auto"/>
              </w:rPr>
            </w:pPr>
            <w:r>
              <w:rPr>
                <w:rFonts w:ascii="Arial" w:cs="Arial" w:eastAsia="Arial" w:hAnsi="Arial"/>
                <w:sz w:val="16"/>
                <w:szCs w:val="16"/>
                <w:color w:val="auto"/>
              </w:rPr>
              <w:t>950,000</w:t>
            </w:r>
          </w:p>
        </w:tc>
        <w:tc>
          <w:tcPr>
            <w:tcW w:w="960" w:type="dxa"/>
            <w:vAlign w:val="bottom"/>
            <w:shd w:val="clear" w:color="auto" w:fill="E8F5EA"/>
          </w:tcPr>
          <w:p>
            <w:pPr>
              <w:spacing w:after="0"/>
              <w:rPr>
                <w:sz w:val="19"/>
                <w:szCs w:val="19"/>
                <w:color w:val="auto"/>
              </w:rPr>
            </w:pPr>
          </w:p>
        </w:tc>
        <w:tc>
          <w:tcPr>
            <w:tcW w:w="840" w:type="dxa"/>
            <w:vAlign w:val="bottom"/>
            <w:shd w:val="clear" w:color="auto" w:fill="E8F5EA"/>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480" w:type="dxa"/>
            <w:vAlign w:val="bottom"/>
            <w:shd w:val="clear" w:color="auto" w:fill="E8F5EA"/>
          </w:tcPr>
          <w:p>
            <w:pPr>
              <w:ind w:left="140"/>
              <w:spacing w:after="0" w:line="182" w:lineRule="exact"/>
              <w:rPr>
                <w:sz w:val="20"/>
                <w:szCs w:val="20"/>
                <w:color w:val="auto"/>
              </w:rPr>
            </w:pPr>
            <w:r>
              <w:rPr>
                <w:rFonts w:ascii="Arial" w:cs="Arial" w:eastAsia="Arial" w:hAnsi="Arial"/>
                <w:sz w:val="16"/>
                <w:szCs w:val="16"/>
                <w:color w:val="auto"/>
              </w:rPr>
              <w:t>Settlement of previously vested stock options</w:t>
            </w:r>
          </w:p>
        </w:tc>
        <w:tc>
          <w:tcPr>
            <w:tcW w:w="220" w:type="dxa"/>
            <w:vAlign w:val="bottom"/>
            <w:shd w:val="clear" w:color="auto" w:fill="E8F5EA"/>
          </w:tcPr>
          <w:p>
            <w:pPr>
              <w:spacing w:after="0"/>
              <w:rPr>
                <w:sz w:val="15"/>
                <w:szCs w:val="15"/>
                <w:color w:val="auto"/>
              </w:rPr>
            </w:pPr>
          </w:p>
        </w:tc>
        <w:tc>
          <w:tcPr>
            <w:tcW w:w="880" w:type="dxa"/>
            <w:vAlign w:val="bottom"/>
            <w:shd w:val="clear" w:color="auto" w:fill="E8F5EA"/>
          </w:tcPr>
          <w:p>
            <w:pPr>
              <w:jc w:val="right"/>
              <w:ind w:right="61"/>
              <w:spacing w:after="0" w:line="182" w:lineRule="exact"/>
              <w:rPr>
                <w:sz w:val="20"/>
                <w:szCs w:val="20"/>
                <w:color w:val="auto"/>
              </w:rPr>
            </w:pPr>
            <w:r>
              <w:rPr>
                <w:rFonts w:ascii="Arial" w:cs="Arial" w:eastAsia="Arial" w:hAnsi="Arial"/>
                <w:sz w:val="16"/>
                <w:szCs w:val="16"/>
                <w:color w:val="auto"/>
              </w:rPr>
              <w:t>—</w:t>
            </w:r>
          </w:p>
        </w:tc>
        <w:tc>
          <w:tcPr>
            <w:tcW w:w="80" w:type="dxa"/>
            <w:vAlign w:val="bottom"/>
            <w:shd w:val="clear" w:color="auto" w:fill="E8F5EA"/>
          </w:tcPr>
          <w:p>
            <w:pPr>
              <w:spacing w:after="0"/>
              <w:rPr>
                <w:sz w:val="15"/>
                <w:szCs w:val="15"/>
                <w:color w:val="auto"/>
              </w:rPr>
            </w:pPr>
          </w:p>
        </w:tc>
        <w:tc>
          <w:tcPr>
            <w:tcW w:w="880" w:type="dxa"/>
            <w:vAlign w:val="bottom"/>
            <w:shd w:val="clear" w:color="auto" w:fill="E8F5EA"/>
          </w:tcPr>
          <w:p>
            <w:pPr>
              <w:jc w:val="right"/>
              <w:ind w:right="61"/>
              <w:spacing w:after="0" w:line="182" w:lineRule="exact"/>
              <w:rPr>
                <w:sz w:val="20"/>
                <w:szCs w:val="20"/>
                <w:color w:val="auto"/>
              </w:rPr>
            </w:pPr>
            <w:r>
              <w:rPr>
                <w:rFonts w:ascii="Arial" w:cs="Arial" w:eastAsia="Arial" w:hAnsi="Arial"/>
                <w:sz w:val="16"/>
                <w:szCs w:val="16"/>
                <w:color w:val="auto"/>
              </w:rPr>
              <w:t>—</w:t>
            </w:r>
          </w:p>
        </w:tc>
        <w:tc>
          <w:tcPr>
            <w:tcW w:w="960" w:type="dxa"/>
            <w:vAlign w:val="bottom"/>
            <w:shd w:val="clear" w:color="auto" w:fill="E8F5EA"/>
          </w:tcPr>
          <w:p>
            <w:pPr>
              <w:jc w:val="right"/>
              <w:ind w:right="62"/>
              <w:spacing w:after="0" w:line="182" w:lineRule="exact"/>
              <w:rPr>
                <w:sz w:val="20"/>
                <w:szCs w:val="20"/>
                <w:color w:val="auto"/>
              </w:rPr>
            </w:pPr>
            <w:r>
              <w:rPr>
                <w:rFonts w:ascii="Arial" w:cs="Arial" w:eastAsia="Arial" w:hAnsi="Arial"/>
                <w:sz w:val="16"/>
                <w:szCs w:val="16"/>
                <w:color w:val="auto"/>
              </w:rPr>
              <w:t>—</w:t>
            </w:r>
          </w:p>
        </w:tc>
        <w:tc>
          <w:tcPr>
            <w:tcW w:w="960" w:type="dxa"/>
            <w:vAlign w:val="bottom"/>
            <w:shd w:val="clear" w:color="auto" w:fill="E8F5EA"/>
          </w:tcPr>
          <w:p>
            <w:pPr>
              <w:jc w:val="right"/>
              <w:ind w:right="62"/>
              <w:spacing w:after="0" w:line="182" w:lineRule="exact"/>
              <w:rPr>
                <w:sz w:val="20"/>
                <w:szCs w:val="20"/>
                <w:color w:val="auto"/>
              </w:rPr>
            </w:pPr>
            <w:r>
              <w:rPr>
                <w:rFonts w:ascii="Arial" w:cs="Arial" w:eastAsia="Arial" w:hAnsi="Arial"/>
                <w:sz w:val="16"/>
                <w:szCs w:val="16"/>
                <w:color w:val="auto"/>
              </w:rPr>
              <w:t>—</w:t>
            </w:r>
          </w:p>
        </w:tc>
        <w:tc>
          <w:tcPr>
            <w:tcW w:w="84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80" w:type="dxa"/>
            <w:vAlign w:val="bottom"/>
            <w:shd w:val="clear" w:color="auto" w:fill="E8F5EA"/>
          </w:tcPr>
          <w:p>
            <w:pPr>
              <w:ind w:left="140"/>
              <w:spacing w:after="0" w:line="182" w:lineRule="exact"/>
              <w:rPr>
                <w:sz w:val="20"/>
                <w:szCs w:val="20"/>
                <w:color w:val="auto"/>
              </w:rPr>
            </w:pPr>
            <w:r>
              <w:rPr>
                <w:rFonts w:ascii="Arial" w:cs="Arial" w:eastAsia="Arial" w:hAnsi="Arial"/>
                <w:sz w:val="16"/>
                <w:szCs w:val="16"/>
                <w:color w:val="auto"/>
              </w:rPr>
              <w:t>Settlement of unvested stock options</w:t>
            </w:r>
          </w:p>
        </w:tc>
        <w:tc>
          <w:tcPr>
            <w:tcW w:w="220" w:type="dxa"/>
            <w:vAlign w:val="bottom"/>
            <w:shd w:val="clear" w:color="auto" w:fill="E8F5EA"/>
          </w:tcPr>
          <w:p>
            <w:pPr>
              <w:spacing w:after="0"/>
              <w:rPr>
                <w:sz w:val="15"/>
                <w:szCs w:val="15"/>
                <w:color w:val="auto"/>
              </w:rPr>
            </w:pPr>
          </w:p>
        </w:tc>
        <w:tc>
          <w:tcPr>
            <w:tcW w:w="880" w:type="dxa"/>
            <w:vAlign w:val="bottom"/>
            <w:shd w:val="clear" w:color="auto" w:fill="E8F5EA"/>
          </w:tcPr>
          <w:p>
            <w:pPr>
              <w:jc w:val="right"/>
              <w:ind w:right="61"/>
              <w:spacing w:after="0" w:line="182" w:lineRule="exact"/>
              <w:rPr>
                <w:sz w:val="20"/>
                <w:szCs w:val="20"/>
                <w:color w:val="auto"/>
              </w:rPr>
            </w:pPr>
            <w:r>
              <w:rPr>
                <w:rFonts w:ascii="Arial" w:cs="Arial" w:eastAsia="Arial" w:hAnsi="Arial"/>
                <w:sz w:val="16"/>
                <w:szCs w:val="16"/>
                <w:color w:val="auto"/>
              </w:rPr>
              <w:t>—</w:t>
            </w:r>
          </w:p>
        </w:tc>
        <w:tc>
          <w:tcPr>
            <w:tcW w:w="80" w:type="dxa"/>
            <w:vAlign w:val="bottom"/>
            <w:shd w:val="clear" w:color="auto" w:fill="E8F5EA"/>
          </w:tcPr>
          <w:p>
            <w:pPr>
              <w:spacing w:after="0"/>
              <w:rPr>
                <w:sz w:val="15"/>
                <w:szCs w:val="15"/>
                <w:color w:val="auto"/>
              </w:rPr>
            </w:pPr>
          </w:p>
        </w:tc>
        <w:tc>
          <w:tcPr>
            <w:tcW w:w="880" w:type="dxa"/>
            <w:vAlign w:val="bottom"/>
            <w:shd w:val="clear" w:color="auto" w:fill="E8F5EA"/>
          </w:tcPr>
          <w:p>
            <w:pPr>
              <w:jc w:val="right"/>
              <w:ind w:right="61"/>
              <w:spacing w:after="0" w:line="182" w:lineRule="exact"/>
              <w:rPr>
                <w:sz w:val="20"/>
                <w:szCs w:val="20"/>
                <w:color w:val="auto"/>
              </w:rPr>
            </w:pPr>
            <w:r>
              <w:rPr>
                <w:rFonts w:ascii="Arial" w:cs="Arial" w:eastAsia="Arial" w:hAnsi="Arial"/>
                <w:sz w:val="16"/>
                <w:szCs w:val="16"/>
                <w:color w:val="auto"/>
              </w:rPr>
              <w:t>—</w:t>
            </w:r>
          </w:p>
        </w:tc>
        <w:tc>
          <w:tcPr>
            <w:tcW w:w="960" w:type="dxa"/>
            <w:vAlign w:val="bottom"/>
            <w:shd w:val="clear" w:color="auto" w:fill="E8F5EA"/>
          </w:tcPr>
          <w:p>
            <w:pPr>
              <w:jc w:val="right"/>
              <w:ind w:right="62"/>
              <w:spacing w:after="0" w:line="182" w:lineRule="exact"/>
              <w:rPr>
                <w:sz w:val="20"/>
                <w:szCs w:val="20"/>
                <w:color w:val="auto"/>
              </w:rPr>
            </w:pPr>
            <w:r>
              <w:rPr>
                <w:rFonts w:ascii="Arial" w:cs="Arial" w:eastAsia="Arial" w:hAnsi="Arial"/>
                <w:sz w:val="16"/>
                <w:szCs w:val="16"/>
                <w:color w:val="auto"/>
              </w:rPr>
              <w:t>—</w:t>
            </w:r>
          </w:p>
        </w:tc>
        <w:tc>
          <w:tcPr>
            <w:tcW w:w="960" w:type="dxa"/>
            <w:vAlign w:val="bottom"/>
            <w:shd w:val="clear" w:color="auto" w:fill="E8F5EA"/>
          </w:tcPr>
          <w:p>
            <w:pPr>
              <w:jc w:val="right"/>
              <w:ind w:right="62"/>
              <w:spacing w:after="0" w:line="182" w:lineRule="exact"/>
              <w:rPr>
                <w:sz w:val="20"/>
                <w:szCs w:val="20"/>
                <w:color w:val="auto"/>
              </w:rPr>
            </w:pPr>
            <w:r>
              <w:rPr>
                <w:rFonts w:ascii="Arial" w:cs="Arial" w:eastAsia="Arial" w:hAnsi="Arial"/>
                <w:sz w:val="16"/>
                <w:szCs w:val="16"/>
                <w:color w:val="auto"/>
              </w:rPr>
              <w:t>—</w:t>
            </w:r>
          </w:p>
        </w:tc>
        <w:tc>
          <w:tcPr>
            <w:tcW w:w="84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E8F5EA"/>
          </w:tcPr>
          <w:p>
            <w:pPr>
              <w:ind w:left="140"/>
              <w:spacing w:after="0" w:line="218" w:lineRule="exact"/>
              <w:rPr>
                <w:sz w:val="20"/>
                <w:szCs w:val="20"/>
                <w:color w:val="auto"/>
              </w:rPr>
            </w:pPr>
            <w:r>
              <w:rPr>
                <w:rFonts w:ascii="Arial" w:cs="Arial" w:eastAsia="Arial" w:hAnsi="Arial"/>
                <w:sz w:val="15"/>
                <w:szCs w:val="15"/>
                <w:color w:val="auto"/>
              </w:rPr>
              <w:t>Settlement of RSUs</w:t>
            </w:r>
            <w:r>
              <w:rPr>
                <w:rFonts w:ascii="Arial" w:cs="Arial" w:eastAsia="Arial" w:hAnsi="Arial"/>
                <w:sz w:val="25"/>
                <w:szCs w:val="25"/>
                <w:color w:val="auto"/>
                <w:vertAlign w:val="superscript"/>
              </w:rPr>
              <w:t>(4)</w:t>
            </w:r>
          </w:p>
        </w:tc>
        <w:tc>
          <w:tcPr>
            <w:tcW w:w="220" w:type="dxa"/>
            <w:vAlign w:val="bottom"/>
            <w:shd w:val="clear" w:color="auto" w:fill="E8F5EA"/>
          </w:tcPr>
          <w:p>
            <w:pPr>
              <w:spacing w:after="0"/>
              <w:rPr>
                <w:sz w:val="19"/>
                <w:szCs w:val="19"/>
                <w:color w:val="auto"/>
              </w:rPr>
            </w:pPr>
          </w:p>
        </w:tc>
        <w:tc>
          <w:tcPr>
            <w:tcW w:w="880" w:type="dxa"/>
            <w:vAlign w:val="bottom"/>
            <w:shd w:val="clear" w:color="auto" w:fill="E8F5EA"/>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shd w:val="clear" w:color="auto" w:fill="E8F5EA"/>
          </w:tcPr>
          <w:p>
            <w:pPr>
              <w:spacing w:after="0"/>
              <w:rPr>
                <w:sz w:val="19"/>
                <w:szCs w:val="19"/>
                <w:color w:val="auto"/>
              </w:rPr>
            </w:pPr>
          </w:p>
        </w:tc>
        <w:tc>
          <w:tcPr>
            <w:tcW w:w="880" w:type="dxa"/>
            <w:vAlign w:val="bottom"/>
            <w:shd w:val="clear" w:color="auto" w:fill="E8F5EA"/>
          </w:tcPr>
          <w:p>
            <w:pPr>
              <w:jc w:val="right"/>
              <w:ind w:right="61"/>
              <w:spacing w:after="0"/>
              <w:rPr>
                <w:sz w:val="20"/>
                <w:szCs w:val="20"/>
                <w:color w:val="auto"/>
              </w:rPr>
            </w:pPr>
            <w:r>
              <w:rPr>
                <w:rFonts w:ascii="Arial" w:cs="Arial" w:eastAsia="Arial" w:hAnsi="Arial"/>
                <w:sz w:val="16"/>
                <w:szCs w:val="16"/>
                <w:color w:val="auto"/>
              </w:rPr>
              <w:t>—</w:t>
            </w:r>
          </w:p>
        </w:tc>
        <w:tc>
          <w:tcPr>
            <w:tcW w:w="960" w:type="dxa"/>
            <w:vAlign w:val="bottom"/>
            <w:shd w:val="clear" w:color="auto" w:fill="E8F5EA"/>
          </w:tcPr>
          <w:p>
            <w:pPr>
              <w:jc w:val="right"/>
              <w:ind w:right="62"/>
              <w:spacing w:after="0"/>
              <w:rPr>
                <w:sz w:val="20"/>
                <w:szCs w:val="20"/>
                <w:color w:val="auto"/>
              </w:rPr>
            </w:pPr>
            <w:r>
              <w:rPr>
                <w:rFonts w:ascii="Arial" w:cs="Arial" w:eastAsia="Arial" w:hAnsi="Arial"/>
                <w:sz w:val="16"/>
                <w:szCs w:val="16"/>
                <w:color w:val="auto"/>
              </w:rPr>
              <w:t>—</w:t>
            </w:r>
          </w:p>
        </w:tc>
        <w:tc>
          <w:tcPr>
            <w:tcW w:w="960" w:type="dxa"/>
            <w:vAlign w:val="bottom"/>
            <w:shd w:val="clear" w:color="auto" w:fill="E8F5EA"/>
          </w:tcPr>
          <w:p>
            <w:pPr>
              <w:jc w:val="right"/>
              <w:ind w:right="62"/>
              <w:spacing w:after="0"/>
              <w:rPr>
                <w:sz w:val="20"/>
                <w:szCs w:val="20"/>
                <w:color w:val="auto"/>
              </w:rPr>
            </w:pPr>
            <w:r>
              <w:rPr>
                <w:rFonts w:ascii="Arial" w:cs="Arial" w:eastAsia="Arial" w:hAnsi="Arial"/>
                <w:sz w:val="16"/>
                <w:szCs w:val="16"/>
                <w:color w:val="auto"/>
              </w:rPr>
              <w:t>—</w:t>
            </w:r>
          </w:p>
        </w:tc>
        <w:tc>
          <w:tcPr>
            <w:tcW w:w="840" w:type="dxa"/>
            <w:vAlign w:val="bottom"/>
            <w:shd w:val="clear" w:color="auto" w:fill="E8F5EA"/>
          </w:tcPr>
          <w:p>
            <w:pPr>
              <w:jc w:val="right"/>
              <w:spacing w:after="0"/>
              <w:rPr>
                <w:sz w:val="20"/>
                <w:szCs w:val="20"/>
                <w:color w:val="auto"/>
              </w:rPr>
            </w:pPr>
            <w:r>
              <w:rPr>
                <w:rFonts w:ascii="Arial" w:cs="Arial" w:eastAsia="Arial" w:hAnsi="Arial"/>
                <w:sz w:val="16"/>
                <w:szCs w:val="16"/>
                <w:color w:val="auto"/>
              </w:rPr>
              <w:t>241,365</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E8F5EA"/>
          </w:tcPr>
          <w:p>
            <w:pPr>
              <w:ind w:left="140"/>
              <w:spacing w:after="0" w:line="218" w:lineRule="exact"/>
              <w:rPr>
                <w:sz w:val="20"/>
                <w:szCs w:val="20"/>
                <w:color w:val="auto"/>
              </w:rPr>
            </w:pPr>
            <w:r>
              <w:rPr>
                <w:rFonts w:ascii="Arial" w:cs="Arial" w:eastAsia="Arial" w:hAnsi="Arial"/>
                <w:sz w:val="15"/>
                <w:szCs w:val="15"/>
                <w:color w:val="auto"/>
              </w:rPr>
              <w:t>Settlement of PSUs</w:t>
            </w:r>
            <w:r>
              <w:rPr>
                <w:rFonts w:ascii="Arial" w:cs="Arial" w:eastAsia="Arial" w:hAnsi="Arial"/>
                <w:sz w:val="25"/>
                <w:szCs w:val="25"/>
                <w:color w:val="auto"/>
                <w:vertAlign w:val="superscript"/>
              </w:rPr>
              <w:t>(4)</w:t>
            </w:r>
          </w:p>
        </w:tc>
        <w:tc>
          <w:tcPr>
            <w:tcW w:w="220" w:type="dxa"/>
            <w:vAlign w:val="bottom"/>
            <w:shd w:val="clear" w:color="auto" w:fill="E8F5EA"/>
          </w:tcPr>
          <w:p>
            <w:pPr>
              <w:spacing w:after="0"/>
              <w:rPr>
                <w:sz w:val="19"/>
                <w:szCs w:val="19"/>
                <w:color w:val="auto"/>
              </w:rPr>
            </w:pPr>
          </w:p>
        </w:tc>
        <w:tc>
          <w:tcPr>
            <w:tcW w:w="880" w:type="dxa"/>
            <w:vAlign w:val="bottom"/>
            <w:shd w:val="clear" w:color="auto" w:fill="E8F5EA"/>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shd w:val="clear" w:color="auto" w:fill="E8F5EA"/>
          </w:tcPr>
          <w:p>
            <w:pPr>
              <w:spacing w:after="0"/>
              <w:rPr>
                <w:sz w:val="19"/>
                <w:szCs w:val="19"/>
                <w:color w:val="auto"/>
              </w:rPr>
            </w:pPr>
          </w:p>
        </w:tc>
        <w:tc>
          <w:tcPr>
            <w:tcW w:w="880" w:type="dxa"/>
            <w:vAlign w:val="bottom"/>
            <w:shd w:val="clear" w:color="auto" w:fill="E8F5EA"/>
          </w:tcPr>
          <w:p>
            <w:pPr>
              <w:jc w:val="right"/>
              <w:ind w:right="61"/>
              <w:spacing w:after="0"/>
              <w:rPr>
                <w:sz w:val="20"/>
                <w:szCs w:val="20"/>
                <w:color w:val="auto"/>
              </w:rPr>
            </w:pPr>
            <w:r>
              <w:rPr>
                <w:rFonts w:ascii="Arial" w:cs="Arial" w:eastAsia="Arial" w:hAnsi="Arial"/>
                <w:sz w:val="16"/>
                <w:szCs w:val="16"/>
                <w:color w:val="auto"/>
              </w:rPr>
              <w:t>—</w:t>
            </w:r>
          </w:p>
        </w:tc>
        <w:tc>
          <w:tcPr>
            <w:tcW w:w="960" w:type="dxa"/>
            <w:vAlign w:val="bottom"/>
            <w:shd w:val="clear" w:color="auto" w:fill="E8F5EA"/>
          </w:tcPr>
          <w:p>
            <w:pPr>
              <w:jc w:val="right"/>
              <w:ind w:right="62"/>
              <w:spacing w:after="0"/>
              <w:rPr>
                <w:sz w:val="20"/>
                <w:szCs w:val="20"/>
                <w:color w:val="auto"/>
              </w:rPr>
            </w:pPr>
            <w:r>
              <w:rPr>
                <w:rFonts w:ascii="Arial" w:cs="Arial" w:eastAsia="Arial" w:hAnsi="Arial"/>
                <w:sz w:val="16"/>
                <w:szCs w:val="16"/>
                <w:color w:val="auto"/>
              </w:rPr>
              <w:t>—</w:t>
            </w:r>
          </w:p>
        </w:tc>
        <w:tc>
          <w:tcPr>
            <w:tcW w:w="960" w:type="dxa"/>
            <w:vAlign w:val="bottom"/>
            <w:shd w:val="clear" w:color="auto" w:fill="E8F5EA"/>
          </w:tcPr>
          <w:p>
            <w:pPr>
              <w:jc w:val="right"/>
              <w:ind w:right="62"/>
              <w:spacing w:after="0"/>
              <w:rPr>
                <w:sz w:val="20"/>
                <w:szCs w:val="20"/>
                <w:color w:val="auto"/>
              </w:rPr>
            </w:pPr>
            <w:r>
              <w:rPr>
                <w:rFonts w:ascii="Arial" w:cs="Arial" w:eastAsia="Arial" w:hAnsi="Arial"/>
                <w:sz w:val="16"/>
                <w:szCs w:val="16"/>
                <w:color w:val="auto"/>
              </w:rPr>
              <w:t>—</w:t>
            </w:r>
          </w:p>
        </w:tc>
        <w:tc>
          <w:tcPr>
            <w:tcW w:w="840" w:type="dxa"/>
            <w:vAlign w:val="bottom"/>
            <w:shd w:val="clear" w:color="auto" w:fill="E8F5EA"/>
          </w:tcPr>
          <w:p>
            <w:pPr>
              <w:jc w:val="right"/>
              <w:spacing w:after="0"/>
              <w:rPr>
                <w:sz w:val="20"/>
                <w:szCs w:val="20"/>
                <w:color w:val="auto"/>
              </w:rPr>
            </w:pPr>
            <w:r>
              <w:rPr>
                <w:rFonts w:ascii="Arial" w:cs="Arial" w:eastAsia="Arial" w:hAnsi="Arial"/>
                <w:sz w:val="16"/>
                <w:szCs w:val="16"/>
                <w:color w:val="auto"/>
              </w:rPr>
              <w:t>706,387</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480" w:type="dxa"/>
            <w:vAlign w:val="bottom"/>
            <w:shd w:val="clear" w:color="auto" w:fill="E8F5EA"/>
          </w:tcPr>
          <w:p>
            <w:pPr>
              <w:ind w:left="140"/>
              <w:spacing w:after="0" w:line="182" w:lineRule="exact"/>
              <w:rPr>
                <w:sz w:val="20"/>
                <w:szCs w:val="20"/>
                <w:color w:val="auto"/>
              </w:rPr>
            </w:pPr>
            <w:r>
              <w:rPr>
                <w:rFonts w:ascii="Arial" w:cs="Arial" w:eastAsia="Arial" w:hAnsi="Arial"/>
                <w:sz w:val="16"/>
                <w:szCs w:val="16"/>
                <w:color w:val="auto"/>
              </w:rPr>
              <w:t>Welfare benefits</w:t>
            </w:r>
          </w:p>
        </w:tc>
        <w:tc>
          <w:tcPr>
            <w:tcW w:w="220" w:type="dxa"/>
            <w:vAlign w:val="bottom"/>
            <w:shd w:val="clear" w:color="auto" w:fill="E8F5EA"/>
          </w:tcPr>
          <w:p>
            <w:pPr>
              <w:spacing w:after="0"/>
              <w:rPr>
                <w:sz w:val="15"/>
                <w:szCs w:val="15"/>
                <w:color w:val="auto"/>
              </w:rPr>
            </w:pPr>
          </w:p>
        </w:tc>
        <w:tc>
          <w:tcPr>
            <w:tcW w:w="880" w:type="dxa"/>
            <w:vAlign w:val="bottom"/>
            <w:shd w:val="clear" w:color="auto" w:fill="E8F5EA"/>
          </w:tcPr>
          <w:p>
            <w:pPr>
              <w:jc w:val="right"/>
              <w:ind w:right="61"/>
              <w:spacing w:after="0" w:line="182" w:lineRule="exact"/>
              <w:rPr>
                <w:sz w:val="20"/>
                <w:szCs w:val="20"/>
                <w:color w:val="auto"/>
              </w:rPr>
            </w:pPr>
            <w:r>
              <w:rPr>
                <w:rFonts w:ascii="Arial" w:cs="Arial" w:eastAsia="Arial" w:hAnsi="Arial"/>
                <w:sz w:val="16"/>
                <w:szCs w:val="16"/>
                <w:color w:val="auto"/>
              </w:rPr>
              <w:t>—</w:t>
            </w:r>
          </w:p>
        </w:tc>
        <w:tc>
          <w:tcPr>
            <w:tcW w:w="80" w:type="dxa"/>
            <w:vAlign w:val="bottom"/>
            <w:shd w:val="clear" w:color="auto" w:fill="E8F5EA"/>
          </w:tcPr>
          <w:p>
            <w:pPr>
              <w:spacing w:after="0"/>
              <w:rPr>
                <w:sz w:val="15"/>
                <w:szCs w:val="15"/>
                <w:color w:val="auto"/>
              </w:rPr>
            </w:pPr>
          </w:p>
        </w:tc>
        <w:tc>
          <w:tcPr>
            <w:tcW w:w="880" w:type="dxa"/>
            <w:vAlign w:val="bottom"/>
            <w:shd w:val="clear" w:color="auto" w:fill="E8F5EA"/>
          </w:tcPr>
          <w:p>
            <w:pPr>
              <w:jc w:val="right"/>
              <w:ind w:right="61"/>
              <w:spacing w:after="0" w:line="182" w:lineRule="exact"/>
              <w:rPr>
                <w:sz w:val="20"/>
                <w:szCs w:val="20"/>
                <w:color w:val="auto"/>
              </w:rPr>
            </w:pPr>
            <w:r>
              <w:rPr>
                <w:rFonts w:ascii="Arial" w:cs="Arial" w:eastAsia="Arial" w:hAnsi="Arial"/>
                <w:sz w:val="16"/>
                <w:szCs w:val="16"/>
                <w:color w:val="auto"/>
              </w:rPr>
              <w:t>—</w:t>
            </w:r>
          </w:p>
        </w:tc>
        <w:tc>
          <w:tcPr>
            <w:tcW w:w="960" w:type="dxa"/>
            <w:vAlign w:val="bottom"/>
            <w:shd w:val="clear" w:color="auto" w:fill="E8F5EA"/>
          </w:tcPr>
          <w:p>
            <w:pPr>
              <w:jc w:val="right"/>
              <w:ind w:right="62"/>
              <w:spacing w:after="0" w:line="182" w:lineRule="exact"/>
              <w:rPr>
                <w:sz w:val="20"/>
                <w:szCs w:val="20"/>
                <w:color w:val="auto"/>
              </w:rPr>
            </w:pPr>
            <w:r>
              <w:rPr>
                <w:rFonts w:ascii="Arial" w:cs="Arial" w:eastAsia="Arial" w:hAnsi="Arial"/>
                <w:sz w:val="16"/>
                <w:szCs w:val="16"/>
                <w:color w:val="auto"/>
              </w:rPr>
              <w:t>—</w:t>
            </w:r>
          </w:p>
        </w:tc>
        <w:tc>
          <w:tcPr>
            <w:tcW w:w="960" w:type="dxa"/>
            <w:vAlign w:val="bottom"/>
            <w:shd w:val="clear" w:color="auto" w:fill="E8F5EA"/>
          </w:tcPr>
          <w:p>
            <w:pPr>
              <w:jc w:val="right"/>
              <w:ind w:right="62"/>
              <w:spacing w:after="0" w:line="182" w:lineRule="exact"/>
              <w:rPr>
                <w:sz w:val="20"/>
                <w:szCs w:val="20"/>
                <w:color w:val="auto"/>
              </w:rPr>
            </w:pPr>
            <w:r>
              <w:rPr>
                <w:rFonts w:ascii="Arial" w:cs="Arial" w:eastAsia="Arial" w:hAnsi="Arial"/>
                <w:sz w:val="16"/>
                <w:szCs w:val="16"/>
                <w:color w:val="auto"/>
              </w:rPr>
              <w:t>—</w:t>
            </w:r>
          </w:p>
        </w:tc>
        <w:tc>
          <w:tcPr>
            <w:tcW w:w="84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80" w:type="dxa"/>
            <w:vAlign w:val="bottom"/>
            <w:shd w:val="clear" w:color="auto" w:fill="E8F5EA"/>
          </w:tcPr>
          <w:p>
            <w:pPr>
              <w:ind w:left="140"/>
              <w:spacing w:after="0" w:line="182" w:lineRule="exact"/>
              <w:rPr>
                <w:sz w:val="20"/>
                <w:szCs w:val="20"/>
                <w:color w:val="auto"/>
              </w:rPr>
            </w:pPr>
            <w:r>
              <w:rPr>
                <w:rFonts w:ascii="Arial" w:cs="Arial" w:eastAsia="Arial" w:hAnsi="Arial"/>
                <w:sz w:val="16"/>
                <w:szCs w:val="16"/>
                <w:color w:val="auto"/>
              </w:rPr>
              <w:t>Life insurance benefit</w:t>
            </w:r>
          </w:p>
        </w:tc>
        <w:tc>
          <w:tcPr>
            <w:tcW w:w="220" w:type="dxa"/>
            <w:vAlign w:val="bottom"/>
            <w:shd w:val="clear" w:color="auto" w:fill="E8F5EA"/>
          </w:tcPr>
          <w:p>
            <w:pPr>
              <w:spacing w:after="0"/>
              <w:rPr>
                <w:sz w:val="15"/>
                <w:szCs w:val="15"/>
                <w:color w:val="auto"/>
              </w:rPr>
            </w:pPr>
          </w:p>
        </w:tc>
        <w:tc>
          <w:tcPr>
            <w:tcW w:w="880" w:type="dxa"/>
            <w:vAlign w:val="bottom"/>
            <w:shd w:val="clear" w:color="auto" w:fill="E8F5EA"/>
          </w:tcPr>
          <w:p>
            <w:pPr>
              <w:jc w:val="right"/>
              <w:ind w:right="61"/>
              <w:spacing w:after="0" w:line="182" w:lineRule="exact"/>
              <w:rPr>
                <w:sz w:val="20"/>
                <w:szCs w:val="20"/>
                <w:color w:val="auto"/>
              </w:rPr>
            </w:pPr>
            <w:r>
              <w:rPr>
                <w:rFonts w:ascii="Arial" w:cs="Arial" w:eastAsia="Arial" w:hAnsi="Arial"/>
                <w:sz w:val="16"/>
                <w:szCs w:val="16"/>
                <w:color w:val="auto"/>
              </w:rPr>
              <w:t>—</w:t>
            </w:r>
          </w:p>
        </w:tc>
        <w:tc>
          <w:tcPr>
            <w:tcW w:w="80" w:type="dxa"/>
            <w:vAlign w:val="bottom"/>
            <w:shd w:val="clear" w:color="auto" w:fill="E8F5EA"/>
          </w:tcPr>
          <w:p>
            <w:pPr>
              <w:spacing w:after="0"/>
              <w:rPr>
                <w:sz w:val="15"/>
                <w:szCs w:val="15"/>
                <w:color w:val="auto"/>
              </w:rPr>
            </w:pPr>
          </w:p>
        </w:tc>
        <w:tc>
          <w:tcPr>
            <w:tcW w:w="880" w:type="dxa"/>
            <w:vAlign w:val="bottom"/>
            <w:shd w:val="clear" w:color="auto" w:fill="E8F5EA"/>
          </w:tcPr>
          <w:p>
            <w:pPr>
              <w:jc w:val="right"/>
              <w:ind w:right="61"/>
              <w:spacing w:after="0" w:line="182" w:lineRule="exact"/>
              <w:rPr>
                <w:sz w:val="20"/>
                <w:szCs w:val="20"/>
                <w:color w:val="auto"/>
              </w:rPr>
            </w:pPr>
            <w:r>
              <w:rPr>
                <w:rFonts w:ascii="Arial" w:cs="Arial" w:eastAsia="Arial" w:hAnsi="Arial"/>
                <w:sz w:val="16"/>
                <w:szCs w:val="16"/>
                <w:color w:val="auto"/>
              </w:rPr>
              <w:t>—</w:t>
            </w:r>
          </w:p>
        </w:tc>
        <w:tc>
          <w:tcPr>
            <w:tcW w:w="960" w:type="dxa"/>
            <w:vAlign w:val="bottom"/>
            <w:shd w:val="clear" w:color="auto" w:fill="E8F5EA"/>
          </w:tcPr>
          <w:p>
            <w:pPr>
              <w:jc w:val="right"/>
              <w:ind w:right="62"/>
              <w:spacing w:after="0" w:line="182" w:lineRule="exact"/>
              <w:rPr>
                <w:sz w:val="20"/>
                <w:szCs w:val="20"/>
                <w:color w:val="auto"/>
              </w:rPr>
            </w:pPr>
            <w:r>
              <w:rPr>
                <w:rFonts w:ascii="Arial" w:cs="Arial" w:eastAsia="Arial" w:hAnsi="Arial"/>
                <w:sz w:val="16"/>
                <w:szCs w:val="16"/>
                <w:color w:val="auto"/>
              </w:rPr>
              <w:t>—</w:t>
            </w:r>
          </w:p>
        </w:tc>
        <w:tc>
          <w:tcPr>
            <w:tcW w:w="960" w:type="dxa"/>
            <w:vAlign w:val="bottom"/>
            <w:shd w:val="clear" w:color="auto" w:fill="E8F5EA"/>
          </w:tcPr>
          <w:p>
            <w:pPr>
              <w:jc w:val="right"/>
              <w:ind w:right="62"/>
              <w:spacing w:after="0" w:line="182" w:lineRule="exact"/>
              <w:rPr>
                <w:sz w:val="20"/>
                <w:szCs w:val="20"/>
                <w:color w:val="auto"/>
              </w:rPr>
            </w:pPr>
            <w:r>
              <w:rPr>
                <w:rFonts w:ascii="Arial" w:cs="Arial" w:eastAsia="Arial" w:hAnsi="Arial"/>
                <w:sz w:val="16"/>
                <w:szCs w:val="16"/>
                <w:color w:val="auto"/>
              </w:rPr>
              <w:t>—</w:t>
            </w:r>
          </w:p>
        </w:tc>
        <w:tc>
          <w:tcPr>
            <w:tcW w:w="84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80" w:type="dxa"/>
            <w:vAlign w:val="bottom"/>
            <w:shd w:val="clear" w:color="auto" w:fill="E8F5EA"/>
          </w:tcPr>
          <w:p>
            <w:pPr>
              <w:ind w:left="140"/>
              <w:spacing w:after="0" w:line="182" w:lineRule="exact"/>
              <w:rPr>
                <w:sz w:val="20"/>
                <w:szCs w:val="20"/>
                <w:color w:val="auto"/>
              </w:rPr>
            </w:pPr>
            <w:r>
              <w:rPr>
                <w:rFonts w:ascii="Arial" w:cs="Arial" w:eastAsia="Arial" w:hAnsi="Arial"/>
                <w:sz w:val="16"/>
                <w:szCs w:val="16"/>
                <w:color w:val="auto"/>
              </w:rPr>
              <w:t>Pension</w:t>
            </w:r>
          </w:p>
        </w:tc>
        <w:tc>
          <w:tcPr>
            <w:tcW w:w="220" w:type="dxa"/>
            <w:vAlign w:val="bottom"/>
            <w:shd w:val="clear" w:color="auto" w:fill="E8F5EA"/>
          </w:tcPr>
          <w:p>
            <w:pPr>
              <w:spacing w:after="0"/>
              <w:rPr>
                <w:sz w:val="15"/>
                <w:szCs w:val="15"/>
                <w:color w:val="auto"/>
              </w:rPr>
            </w:pPr>
          </w:p>
        </w:tc>
        <w:tc>
          <w:tcPr>
            <w:tcW w:w="880" w:type="dxa"/>
            <w:vAlign w:val="bottom"/>
            <w:shd w:val="clear" w:color="auto" w:fill="E8F5EA"/>
          </w:tcPr>
          <w:p>
            <w:pPr>
              <w:jc w:val="right"/>
              <w:ind w:right="61"/>
              <w:spacing w:after="0" w:line="182" w:lineRule="exact"/>
              <w:rPr>
                <w:sz w:val="20"/>
                <w:szCs w:val="20"/>
                <w:color w:val="auto"/>
              </w:rPr>
            </w:pPr>
            <w:r>
              <w:rPr>
                <w:rFonts w:ascii="Arial" w:cs="Arial" w:eastAsia="Arial" w:hAnsi="Arial"/>
                <w:sz w:val="16"/>
                <w:szCs w:val="16"/>
                <w:color w:val="auto"/>
              </w:rPr>
              <w:t>55,262</w:t>
            </w:r>
          </w:p>
        </w:tc>
        <w:tc>
          <w:tcPr>
            <w:tcW w:w="80" w:type="dxa"/>
            <w:vAlign w:val="bottom"/>
            <w:shd w:val="clear" w:color="auto" w:fill="E8F5EA"/>
          </w:tcPr>
          <w:p>
            <w:pPr>
              <w:spacing w:after="0"/>
              <w:rPr>
                <w:sz w:val="15"/>
                <w:szCs w:val="15"/>
                <w:color w:val="auto"/>
              </w:rPr>
            </w:pPr>
          </w:p>
        </w:tc>
        <w:tc>
          <w:tcPr>
            <w:tcW w:w="880" w:type="dxa"/>
            <w:vAlign w:val="bottom"/>
            <w:shd w:val="clear" w:color="auto" w:fill="E8F5EA"/>
          </w:tcPr>
          <w:p>
            <w:pPr>
              <w:jc w:val="right"/>
              <w:ind w:right="61"/>
              <w:spacing w:after="0" w:line="182" w:lineRule="exact"/>
              <w:rPr>
                <w:sz w:val="20"/>
                <w:szCs w:val="20"/>
                <w:color w:val="auto"/>
              </w:rPr>
            </w:pPr>
            <w:r>
              <w:rPr>
                <w:rFonts w:ascii="Arial" w:cs="Arial" w:eastAsia="Arial" w:hAnsi="Arial"/>
                <w:sz w:val="16"/>
                <w:szCs w:val="16"/>
                <w:color w:val="auto"/>
              </w:rPr>
              <w:t>55,262</w:t>
            </w:r>
          </w:p>
        </w:tc>
        <w:tc>
          <w:tcPr>
            <w:tcW w:w="960" w:type="dxa"/>
            <w:vAlign w:val="bottom"/>
            <w:shd w:val="clear" w:color="auto" w:fill="E8F5EA"/>
          </w:tcPr>
          <w:p>
            <w:pPr>
              <w:jc w:val="right"/>
              <w:ind w:right="62"/>
              <w:spacing w:after="0" w:line="182" w:lineRule="exact"/>
              <w:rPr>
                <w:sz w:val="20"/>
                <w:szCs w:val="20"/>
                <w:color w:val="auto"/>
              </w:rPr>
            </w:pPr>
            <w:r>
              <w:rPr>
                <w:rFonts w:ascii="Arial" w:cs="Arial" w:eastAsia="Arial" w:hAnsi="Arial"/>
                <w:sz w:val="16"/>
                <w:szCs w:val="16"/>
                <w:color w:val="auto"/>
              </w:rPr>
              <w:t>55,262</w:t>
            </w:r>
          </w:p>
        </w:tc>
        <w:tc>
          <w:tcPr>
            <w:tcW w:w="960" w:type="dxa"/>
            <w:vAlign w:val="bottom"/>
            <w:shd w:val="clear" w:color="auto" w:fill="E8F5EA"/>
          </w:tcPr>
          <w:p>
            <w:pPr>
              <w:jc w:val="right"/>
              <w:ind w:right="62"/>
              <w:spacing w:after="0" w:line="182" w:lineRule="exact"/>
              <w:rPr>
                <w:sz w:val="20"/>
                <w:szCs w:val="20"/>
                <w:color w:val="auto"/>
              </w:rPr>
            </w:pPr>
            <w:r>
              <w:rPr>
                <w:rFonts w:ascii="Arial" w:cs="Arial" w:eastAsia="Arial" w:hAnsi="Arial"/>
                <w:sz w:val="16"/>
                <w:szCs w:val="16"/>
                <w:color w:val="auto"/>
              </w:rPr>
              <w:t>55,262</w:t>
            </w:r>
          </w:p>
        </w:tc>
        <w:tc>
          <w:tcPr>
            <w:tcW w:w="84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55,262</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480" w:type="dxa"/>
            <w:vAlign w:val="bottom"/>
            <w:tcBorders>
              <w:bottom w:val="single" w:sz="8" w:color="53C072"/>
            </w:tcBorders>
            <w:shd w:val="clear" w:color="auto" w:fill="E8F5EA"/>
          </w:tcPr>
          <w:p>
            <w:pPr>
              <w:ind w:left="140"/>
              <w:spacing w:after="0" w:line="182" w:lineRule="exact"/>
              <w:rPr>
                <w:sz w:val="20"/>
                <w:szCs w:val="20"/>
                <w:color w:val="auto"/>
              </w:rPr>
            </w:pPr>
            <w:r>
              <w:rPr>
                <w:rFonts w:ascii="Arial" w:cs="Arial" w:eastAsia="Arial" w:hAnsi="Arial"/>
                <w:sz w:val="16"/>
                <w:szCs w:val="16"/>
                <w:color w:val="auto"/>
              </w:rPr>
              <w:t>Restoration Plan</w:t>
            </w:r>
          </w:p>
        </w:tc>
        <w:tc>
          <w:tcPr>
            <w:tcW w:w="220" w:type="dxa"/>
            <w:vAlign w:val="bottom"/>
            <w:tcBorders>
              <w:bottom w:val="single" w:sz="8" w:color="53C072"/>
            </w:tcBorders>
            <w:shd w:val="clear" w:color="auto" w:fill="E8F5EA"/>
          </w:tcPr>
          <w:p>
            <w:pPr>
              <w:spacing w:after="0"/>
              <w:rPr>
                <w:sz w:val="17"/>
                <w:szCs w:val="17"/>
                <w:color w:val="auto"/>
              </w:rPr>
            </w:pPr>
          </w:p>
        </w:tc>
        <w:tc>
          <w:tcPr>
            <w:tcW w:w="880" w:type="dxa"/>
            <w:vAlign w:val="bottom"/>
            <w:tcBorders>
              <w:bottom w:val="single" w:sz="8" w:color="53C072"/>
            </w:tcBorders>
            <w:shd w:val="clear" w:color="auto" w:fill="E8F5EA"/>
          </w:tcPr>
          <w:p>
            <w:pPr>
              <w:jc w:val="right"/>
              <w:ind w:right="61"/>
              <w:spacing w:after="0" w:line="182" w:lineRule="exact"/>
              <w:rPr>
                <w:sz w:val="20"/>
                <w:szCs w:val="20"/>
                <w:color w:val="auto"/>
              </w:rPr>
            </w:pPr>
            <w:r>
              <w:rPr>
                <w:rFonts w:ascii="Arial" w:cs="Arial" w:eastAsia="Arial" w:hAnsi="Arial"/>
                <w:sz w:val="16"/>
                <w:szCs w:val="16"/>
                <w:color w:val="auto"/>
              </w:rPr>
              <w:t>98,827</w:t>
            </w:r>
          </w:p>
        </w:tc>
        <w:tc>
          <w:tcPr>
            <w:tcW w:w="80" w:type="dxa"/>
            <w:vAlign w:val="bottom"/>
            <w:tcBorders>
              <w:bottom w:val="single" w:sz="8" w:color="53C072"/>
            </w:tcBorders>
            <w:shd w:val="clear" w:color="auto" w:fill="E8F5EA"/>
          </w:tcPr>
          <w:p>
            <w:pPr>
              <w:spacing w:after="0"/>
              <w:rPr>
                <w:sz w:val="17"/>
                <w:szCs w:val="17"/>
                <w:color w:val="auto"/>
              </w:rPr>
            </w:pPr>
          </w:p>
        </w:tc>
        <w:tc>
          <w:tcPr>
            <w:tcW w:w="880" w:type="dxa"/>
            <w:vAlign w:val="bottom"/>
            <w:tcBorders>
              <w:bottom w:val="single" w:sz="8" w:color="53C072"/>
            </w:tcBorders>
            <w:shd w:val="clear" w:color="auto" w:fill="E8F5EA"/>
          </w:tcPr>
          <w:p>
            <w:pPr>
              <w:jc w:val="right"/>
              <w:ind w:right="61"/>
              <w:spacing w:after="0" w:line="182" w:lineRule="exact"/>
              <w:rPr>
                <w:sz w:val="20"/>
                <w:szCs w:val="20"/>
                <w:color w:val="auto"/>
              </w:rPr>
            </w:pPr>
            <w:r>
              <w:rPr>
                <w:rFonts w:ascii="Arial" w:cs="Arial" w:eastAsia="Arial" w:hAnsi="Arial"/>
                <w:sz w:val="16"/>
                <w:szCs w:val="16"/>
                <w:color w:val="auto"/>
              </w:rPr>
              <w:t>98,827</w:t>
            </w:r>
          </w:p>
        </w:tc>
        <w:tc>
          <w:tcPr>
            <w:tcW w:w="960" w:type="dxa"/>
            <w:vAlign w:val="bottom"/>
            <w:tcBorders>
              <w:bottom w:val="single" w:sz="8" w:color="53C072"/>
            </w:tcBorders>
            <w:shd w:val="clear" w:color="auto" w:fill="E8F5EA"/>
          </w:tcPr>
          <w:p>
            <w:pPr>
              <w:jc w:val="right"/>
              <w:ind w:right="62"/>
              <w:spacing w:after="0" w:line="182" w:lineRule="exact"/>
              <w:rPr>
                <w:sz w:val="20"/>
                <w:szCs w:val="20"/>
                <w:color w:val="auto"/>
              </w:rPr>
            </w:pPr>
            <w:r>
              <w:rPr>
                <w:rFonts w:ascii="Arial" w:cs="Arial" w:eastAsia="Arial" w:hAnsi="Arial"/>
                <w:sz w:val="16"/>
                <w:szCs w:val="16"/>
                <w:color w:val="auto"/>
              </w:rPr>
              <w:t>98,827</w:t>
            </w:r>
          </w:p>
        </w:tc>
        <w:tc>
          <w:tcPr>
            <w:tcW w:w="960" w:type="dxa"/>
            <w:vAlign w:val="bottom"/>
            <w:tcBorders>
              <w:bottom w:val="single" w:sz="8" w:color="53C072"/>
            </w:tcBorders>
            <w:shd w:val="clear" w:color="auto" w:fill="E8F5EA"/>
          </w:tcPr>
          <w:p>
            <w:pPr>
              <w:jc w:val="right"/>
              <w:ind w:right="62"/>
              <w:spacing w:after="0" w:line="182" w:lineRule="exact"/>
              <w:rPr>
                <w:sz w:val="20"/>
                <w:szCs w:val="20"/>
                <w:color w:val="auto"/>
              </w:rPr>
            </w:pPr>
            <w:r>
              <w:rPr>
                <w:rFonts w:ascii="Arial" w:cs="Arial" w:eastAsia="Arial" w:hAnsi="Arial"/>
                <w:sz w:val="16"/>
                <w:szCs w:val="16"/>
                <w:color w:val="auto"/>
              </w:rPr>
              <w:t>98,827</w:t>
            </w:r>
          </w:p>
        </w:tc>
        <w:tc>
          <w:tcPr>
            <w:tcW w:w="840" w:type="dxa"/>
            <w:vAlign w:val="bottom"/>
            <w:tcBorders>
              <w:bottom w:val="single" w:sz="8" w:color="53C072"/>
            </w:tcBorders>
            <w:shd w:val="clear" w:color="auto" w:fill="E8F5EA"/>
          </w:tcPr>
          <w:p>
            <w:pPr>
              <w:jc w:val="right"/>
              <w:spacing w:after="0" w:line="182" w:lineRule="exact"/>
              <w:rPr>
                <w:sz w:val="20"/>
                <w:szCs w:val="20"/>
                <w:color w:val="auto"/>
              </w:rPr>
            </w:pPr>
            <w:r>
              <w:rPr>
                <w:rFonts w:ascii="Arial" w:cs="Arial" w:eastAsia="Arial" w:hAnsi="Arial"/>
                <w:sz w:val="16"/>
                <w:szCs w:val="16"/>
                <w:color w:val="auto"/>
              </w:rPr>
              <w:t>98,827</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1260" w:space="80"/>
            <w:col w:w="9920"/>
          </w:cols>
          <w:pgMar w:left="320" w:top="122" w:right="319" w:bottom="1440" w:gutter="0" w:footer="0" w:header="0"/>
          <w:type w:val="continuous"/>
        </w:sectPr>
      </w:pPr>
    </w:p>
    <w:p>
      <w:pPr>
        <w:spacing w:after="0" w:line="10" w:lineRule="exact"/>
        <w:rPr>
          <w:sz w:val="20"/>
          <w:szCs w:val="20"/>
          <w:color w:val="auto"/>
        </w:rPr>
      </w:pPr>
    </w:p>
    <w:p>
      <w:pPr>
        <w:ind w:left="11080" w:hanging="354"/>
        <w:spacing w:after="0"/>
        <w:tabs>
          <w:tab w:leader="none" w:pos="11080" w:val="left"/>
        </w:tabs>
        <w:numPr>
          <w:ilvl w:val="0"/>
          <w:numId w:val="65"/>
        </w:numPr>
        <w:rPr>
          <w:rFonts w:ascii="Arial" w:cs="Arial" w:eastAsia="Arial" w:hAnsi="Arial"/>
          <w:sz w:val="23"/>
          <w:szCs w:val="23"/>
          <w:b w:val="1"/>
          <w:bCs w:val="1"/>
          <w:color w:val="53C072"/>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112395</wp:posOffset>
            </wp:positionV>
            <wp:extent cx="7151370" cy="203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-169545</wp:posOffset>
            </wp:positionV>
            <wp:extent cx="1664970" cy="1231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213"/>
        </w:trPr>
        <w:tc>
          <w:tcPr>
            <w:tcW w:w="522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6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220" w:type="dxa"/>
            <w:vAlign w:val="bottom"/>
          </w:tcPr>
          <w:p>
            <w:pPr>
              <w:spacing w:after="0"/>
              <w:rPr>
                <w:sz w:val="20"/>
                <w:szCs w:val="20"/>
                <w:color w:val="auto"/>
              </w:rPr>
            </w:pPr>
            <w:r>
              <w:rPr>
                <w:rFonts w:ascii="Arial" w:cs="Arial" w:eastAsia="Arial" w:hAnsi="Arial"/>
                <w:sz w:val="13"/>
                <w:szCs w:val="13"/>
                <w:b w:val="1"/>
                <w:bCs w:val="1"/>
                <w:color w:val="53C072"/>
              </w:rPr>
              <w:t>2020 ANNUAL</w:t>
            </w:r>
          </w:p>
        </w:tc>
        <w:tc>
          <w:tcPr>
            <w:tcW w:w="6040" w:type="dxa"/>
            <w:vAlign w:val="bottom"/>
            <w:vMerge w:val="restart"/>
          </w:tcPr>
          <w:p>
            <w:pPr>
              <w:ind w:left="3980"/>
              <w:spacing w:after="0"/>
              <w:rPr>
                <w:sz w:val="20"/>
                <w:szCs w:val="20"/>
                <w:color w:val="auto"/>
              </w:rPr>
            </w:pPr>
            <w:r>
              <w:rPr>
                <w:rFonts w:ascii="Arial" w:cs="Arial" w:eastAsia="Arial" w:hAnsi="Arial"/>
                <w:sz w:val="13"/>
                <w:szCs w:val="13"/>
                <w:color w:val="auto"/>
                <w:w w:val="98"/>
              </w:rPr>
              <w:t>Compensation of Executive Officers</w:t>
            </w:r>
          </w:p>
        </w:tc>
        <w:tc>
          <w:tcPr>
            <w:tcW w:w="0" w:type="dxa"/>
            <w:vAlign w:val="bottom"/>
          </w:tcPr>
          <w:p>
            <w:pPr>
              <w:spacing w:after="0"/>
              <w:rPr>
                <w:sz w:val="1"/>
                <w:szCs w:val="1"/>
                <w:color w:val="auto"/>
              </w:rPr>
            </w:pPr>
          </w:p>
        </w:tc>
      </w:tr>
      <w:tr>
        <w:trPr>
          <w:trHeight w:val="102"/>
        </w:trPr>
        <w:tc>
          <w:tcPr>
            <w:tcW w:w="5220" w:type="dxa"/>
            <w:vAlign w:val="bottom"/>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6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220" w:type="dxa"/>
            <w:vAlign w:val="bottom"/>
            <w:vMerge w:val="continue"/>
          </w:tcPr>
          <w:p>
            <w:pPr>
              <w:spacing w:after="0"/>
              <w:rPr>
                <w:sz w:val="7"/>
                <w:szCs w:val="7"/>
                <w:color w:val="auto"/>
              </w:rPr>
            </w:pPr>
          </w:p>
        </w:tc>
        <w:tc>
          <w:tcPr>
            <w:tcW w:w="6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840" w:right="80" w:hanging="492"/>
        <w:spacing w:after="0" w:line="243" w:lineRule="auto"/>
        <w:tabs>
          <w:tab w:leader="none" w:pos="18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For Ms. Miller, her employment agreement does not provide for a "severance payment" in the event of a termination by the Company without cause, and she is not eligible to participate in the Executive Severance Plan. For Mr. Liguori, as the table assumes termination as of June 27, 2020 and he is covered under the Executive Severance Plan, the severance amount includes the actual incentive earned in fiscal year 2020. For Messrs. Amelio, Bartolotta and Gallagher, as the table assumes termination as of June 27, 2020 and their severance payments are covered under their employment agreements, the severance amount includes their target incentive for fiscal year 2020. For Mr. O'Neill, as his employment ended on March 31, 2020, the severance amount was paid prior to the end of the fiscal year.</w:t>
      </w:r>
    </w:p>
    <w:p>
      <w:pPr>
        <w:spacing w:after="0" w:line="164" w:lineRule="exact"/>
        <w:rPr>
          <w:rFonts w:ascii="Arial" w:cs="Arial" w:eastAsia="Arial" w:hAnsi="Arial"/>
          <w:sz w:val="16"/>
          <w:szCs w:val="16"/>
          <w:color w:val="auto"/>
        </w:rPr>
      </w:pPr>
    </w:p>
    <w:p>
      <w:pPr>
        <w:ind w:left="1840" w:right="120" w:hanging="492"/>
        <w:spacing w:after="0" w:line="275" w:lineRule="auto"/>
        <w:tabs>
          <w:tab w:leader="none" w:pos="18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value of RSUs reflected in the table above under death and change of control equals the value of all RSUs allocated to the NEOs but not yet vested at June 27, 2020.</w:t>
      </w:r>
    </w:p>
    <w:p>
      <w:pPr>
        <w:spacing w:after="0" w:line="124" w:lineRule="exact"/>
        <w:rPr>
          <w:rFonts w:ascii="Arial" w:cs="Arial" w:eastAsia="Arial" w:hAnsi="Arial"/>
          <w:sz w:val="16"/>
          <w:szCs w:val="16"/>
          <w:color w:val="auto"/>
        </w:rPr>
      </w:pPr>
    </w:p>
    <w:p>
      <w:pPr>
        <w:ind w:left="1840" w:right="20" w:hanging="492"/>
        <w:spacing w:after="0" w:line="245" w:lineRule="auto"/>
        <w:tabs>
          <w:tab w:leader="none" w:pos="18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NEOs awarded PSUs would be entitled to receive a pro-rata number of PSUs in the case of death or disability and all of the PSUs in the case of a change of control. The value shown for the settlement of PSUs in the table above is calculated with the assumption that the triggering event has occurred on June 27, 2020. Furthermore, the value of the PSU awards for the fiscal 2018—fiscal 2020 performance cycle is included in the table above because, while the actual PSU settlements were not issued until September 2020, the PSU awards were fully vested on June 27, 2020. Additionally, the value of the PSUs covering the fiscal 2019—fiscal 2021 and fiscal 2020—fiscal 2022 performance periods assumes that the target number of shares is awarded to the NEOs.</w:t>
      </w:r>
    </w:p>
    <w:p>
      <w:pPr>
        <w:spacing w:after="0" w:line="147" w:lineRule="exact"/>
        <w:rPr>
          <w:rFonts w:ascii="Arial" w:cs="Arial" w:eastAsia="Arial" w:hAnsi="Arial"/>
          <w:sz w:val="16"/>
          <w:szCs w:val="16"/>
          <w:color w:val="auto"/>
        </w:rPr>
      </w:pPr>
    </w:p>
    <w:p>
      <w:pPr>
        <w:ind w:left="1840" w:right="700" w:hanging="492"/>
        <w:spacing w:after="0" w:line="275" w:lineRule="auto"/>
        <w:tabs>
          <w:tab w:leader="none" w:pos="18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Per the terms of Mr. O'Neill's separation agreement, his outstanding stock options, RSUs and PSUs would continue to vest in accordance with the terms of such awards as if he remained employed by the Company.</w:t>
      </w:r>
    </w:p>
    <w:p>
      <w:pPr>
        <w:spacing w:after="0" w:line="136" w:lineRule="exact"/>
        <w:rPr>
          <w:rFonts w:ascii="Arial" w:cs="Arial" w:eastAsia="Arial" w:hAnsi="Arial"/>
          <w:sz w:val="16"/>
          <w:szCs w:val="16"/>
          <w:color w:val="auto"/>
        </w:rPr>
      </w:pPr>
    </w:p>
    <w:p>
      <w:pPr>
        <w:ind w:left="1840" w:right="40" w:hanging="492"/>
        <w:spacing w:after="0" w:line="246" w:lineRule="auto"/>
        <w:tabs>
          <w:tab w:leader="none" w:pos="18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Since Ms. Miller and Mr. Gallagher are retirement eligible under the applicable equity compensation plans, the amount of potential payouts regarding RSUs in the event of a disability or termination by the Company without cause is the same as that under Retirement because the amount received upon retirement is greater than would be received upon a disability or termination without cause. Similarly, the amount of potential payouts regarding PSUs under disability and termination by the Company without cause is the same as that under Retirement since that amount is greater.</w:t>
      </w:r>
    </w:p>
    <w:p>
      <w:pPr>
        <w:spacing w:after="0" w:line="149" w:lineRule="exact"/>
        <w:rPr>
          <w:rFonts w:ascii="Arial" w:cs="Arial" w:eastAsia="Arial" w:hAnsi="Arial"/>
          <w:sz w:val="16"/>
          <w:szCs w:val="16"/>
          <w:color w:val="auto"/>
        </w:rPr>
      </w:pPr>
    </w:p>
    <w:p>
      <w:pPr>
        <w:ind w:left="1840" w:right="160" w:hanging="492"/>
        <w:spacing w:after="0" w:line="256" w:lineRule="auto"/>
        <w:tabs>
          <w:tab w:leader="none" w:pos="18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For Ms. Miller and Mr. Gallagher, the amounts included with respect to the SERP are calculated based on the present value of the benefit described above relating to Pension Benefits, discounted to reflect the earliest age at which the executive can begin receiving such benefit.</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66</w:t>
      </w:r>
      <w:r>
        <w:rPr>
          <w:sz w:val="20"/>
          <w:szCs w:val="20"/>
          <w:color w:val="auto"/>
        </w:rPr>
        <w:tab/>
      </w:r>
      <w:r>
        <w:rPr>
          <w:rFonts w:ascii="Arial" w:cs="Arial" w:eastAsia="Arial" w:hAnsi="Arial"/>
          <w:sz w:val="23"/>
          <w:szCs w:val="23"/>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118745</wp:posOffset>
            </wp:positionV>
            <wp:extent cx="7151370" cy="203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-163195</wp:posOffset>
            </wp:positionV>
            <wp:extent cx="1664970" cy="1231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b w:val="1"/>
          <w:bCs w:val="1"/>
          <w:color w:val="53C072"/>
        </w:rPr>
        <w:t>2020 ANNUAL</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118110</wp:posOffset>
            </wp:positionV>
            <wp:extent cx="7146290" cy="2546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6290" cy="254635"/>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FFFE"/>
        </w:rPr>
        <w:t>CEO PAY RATIO</w:t>
      </w:r>
    </w:p>
    <w:p>
      <w:pPr>
        <w:spacing w:after="0" w:line="220"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As required by Section 953(b) of the Dodd-Frank Wall Street Reform and Consumer Protection Act and Item 402(u) of Regulation S-K, the Company is providing the following information about the relationship of the annual total compensation paid to its median employee and the annual total compensation of its former CEO, Mr. Amelio, who had served as CEO for the full fiscal year 2020. For fiscal 2020, the annual total compensation of the Company's median employee (not including the CEO) was $53,540 and the annual total compensation for the CEO was $7,714,793. Based on this information, the CEO's total compensation was 144 times that of the median employee.</w:t>
      </w:r>
    </w:p>
    <w:p>
      <w:pPr>
        <w:spacing w:after="0" w:line="162"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As permitted, the Company used the 2019 median employee for purposes of calculating the 2020 pay ratio after it was determined that there had been no changes to the employee population or employee compensation arrangements in fiscal 2020 that the Company believes would significantly affect the pay ratio disclosure and thus require identification of a new median employee.</w:t>
      </w:r>
    </w:p>
    <w:p>
      <w:pPr>
        <w:spacing w:after="0" w:line="152" w:lineRule="exact"/>
        <w:rPr>
          <w:sz w:val="20"/>
          <w:szCs w:val="20"/>
          <w:color w:val="auto"/>
        </w:rPr>
      </w:pPr>
    </w:p>
    <w:p>
      <w:pPr>
        <w:ind w:right="540"/>
        <w:spacing w:after="0" w:line="256" w:lineRule="auto"/>
        <w:rPr>
          <w:sz w:val="20"/>
          <w:szCs w:val="20"/>
          <w:color w:val="auto"/>
        </w:rPr>
      </w:pPr>
      <w:r>
        <w:rPr>
          <w:rFonts w:ascii="Arial" w:cs="Arial" w:eastAsia="Arial" w:hAnsi="Arial"/>
          <w:sz w:val="16"/>
          <w:szCs w:val="16"/>
          <w:color w:val="auto"/>
        </w:rPr>
        <w:t>The 2019 median employee's total compensation for fiscal year 2020 was calculated based on the same methodology used to determine the NEO's compensation as disclosed in the Summary Compensation Table in the Proxy Statement. Further, the CEO's total compensation for fiscal year 2020 is the amount reported in the "Total" column of the same Summary Compensation Table.</w:t>
      </w:r>
    </w:p>
    <w:p>
      <w:pPr>
        <w:spacing w:after="0" w:line="123" w:lineRule="exact"/>
        <w:rPr>
          <w:sz w:val="20"/>
          <w:szCs w:val="20"/>
          <w:color w:val="auto"/>
        </w:rPr>
      </w:pPr>
    </w:p>
    <w:p>
      <w:pPr>
        <w:jc w:val="both"/>
        <w:ind w:left="10720"/>
        <w:spacing w:after="0"/>
        <w:tabs>
          <w:tab w:leader="none" w:pos="11060" w:val="left"/>
        </w:tabs>
        <w:rPr>
          <w:sz w:val="20"/>
          <w:szCs w:val="20"/>
          <w:color w:val="auto"/>
        </w:rPr>
      </w:pPr>
      <w:r>
        <w:rPr>
          <w:rFonts w:ascii="Arial" w:cs="Arial" w:eastAsia="Arial" w:hAnsi="Arial"/>
          <w:sz w:val="23"/>
          <w:szCs w:val="23"/>
          <w:b w:val="1"/>
          <w:bCs w:val="1"/>
          <w:color w:val="53C072"/>
        </w:rPr>
        <w:t>|</w:t>
      </w:r>
      <w:r>
        <w:rPr>
          <w:sz w:val="20"/>
          <w:szCs w:val="20"/>
          <w:color w:val="auto"/>
        </w:rPr>
        <w:tab/>
      </w: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7151370" cy="203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-130175</wp:posOffset>
            </wp:positionV>
            <wp:extent cx="1664970" cy="1231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b w:val="1"/>
          <w:bCs w:val="1"/>
          <w:color w:val="53C072"/>
        </w:rPr>
        <w:t>2020 ANNUAL</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118110</wp:posOffset>
            </wp:positionV>
            <wp:extent cx="7146290" cy="6858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6290" cy="685800"/>
                    </a:xfrm>
                    <a:prstGeom prst="rect">
                      <a:avLst/>
                    </a:prstGeom>
                    <a:noFill/>
                  </pic:spPr>
                </pic:pic>
              </a:graphicData>
            </a:graphic>
          </wp:anchor>
        </w:drawing>
      </w:r>
    </w:p>
    <w:p>
      <w:pPr>
        <w:spacing w:after="0" w:line="190" w:lineRule="exact"/>
        <w:rPr>
          <w:sz w:val="20"/>
          <w:szCs w:val="20"/>
          <w:color w:val="auto"/>
        </w:rPr>
      </w:pPr>
    </w:p>
    <w:p>
      <w:pPr>
        <w:jc w:val="center"/>
        <w:ind w:left="360" w:right="2640"/>
        <w:spacing w:after="0" w:line="272" w:lineRule="auto"/>
        <w:rPr>
          <w:sz w:val="20"/>
          <w:szCs w:val="20"/>
          <w:color w:val="auto"/>
        </w:rPr>
      </w:pPr>
      <w:r>
        <w:rPr>
          <w:rFonts w:ascii="Arial" w:cs="Arial" w:eastAsia="Arial" w:hAnsi="Arial"/>
          <w:sz w:val="29"/>
          <w:szCs w:val="29"/>
          <w:b w:val="1"/>
          <w:bCs w:val="1"/>
          <w:color w:val="FFFFFE"/>
        </w:rPr>
        <w:t>PROPOSAL 3: RATIFICATION OF APPOINTMENT OF INDEPENDENT REGISTERED PUBLIC ACCOUNTING FIRM</w:t>
      </w:r>
    </w:p>
    <w:p>
      <w:pPr>
        <w:spacing w:after="0" w:line="92" w:lineRule="exact"/>
        <w:rPr>
          <w:sz w:val="20"/>
          <w:szCs w:val="20"/>
          <w:color w:val="auto"/>
        </w:rPr>
      </w:pPr>
    </w:p>
    <w:p>
      <w:pPr>
        <w:spacing w:after="0"/>
        <w:rPr>
          <w:sz w:val="20"/>
          <w:szCs w:val="20"/>
          <w:color w:val="auto"/>
        </w:rPr>
      </w:pPr>
      <w:r>
        <w:rPr>
          <w:sz w:val="1"/>
          <w:szCs w:val="1"/>
          <w:color w:val="auto"/>
        </w:rPr>
        <w:drawing>
          <wp:inline distT="0" distB="0" distL="0" distR="0">
            <wp:extent cx="61595" cy="12319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1595" cy="123190"/>
                    </a:xfrm>
                    <a:prstGeom prst="rect">
                      <a:avLst/>
                    </a:prstGeom>
                    <a:noFill/>
                    <a:ln>
                      <a:noFill/>
                    </a:ln>
                  </pic:spPr>
                </pic:pic>
              </a:graphicData>
            </a:graphic>
          </wp:inline>
        </w:drawing>
      </w:r>
      <w:r>
        <w:rPr>
          <w:rFonts w:ascii="Arial" w:cs="Arial" w:eastAsia="Arial" w:hAnsi="Arial"/>
          <w:sz w:val="16"/>
          <w:szCs w:val="16"/>
          <w:b w:val="1"/>
          <w:bCs w:val="1"/>
          <w:color w:val="FFFFFE"/>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-128905</wp:posOffset>
            </wp:positionV>
            <wp:extent cx="7146290" cy="5549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6290" cy="554990"/>
                    </a:xfrm>
                    <a:prstGeom prst="rect">
                      <a:avLst/>
                    </a:prstGeom>
                    <a:noFill/>
                  </pic:spPr>
                </pic:pic>
              </a:graphicData>
            </a:graphic>
          </wp:anchor>
        </w:drawing>
      </w:r>
    </w:p>
    <w:p>
      <w:pPr>
        <w:spacing w:after="0" w:line="97" w:lineRule="exact"/>
        <w:rPr>
          <w:sz w:val="20"/>
          <w:szCs w:val="20"/>
          <w:color w:val="auto"/>
        </w:rPr>
      </w:pPr>
    </w:p>
    <w:p>
      <w:pPr>
        <w:ind w:left="1060" w:right="360"/>
        <w:spacing w:after="0" w:line="288" w:lineRule="auto"/>
        <w:rPr>
          <w:sz w:val="20"/>
          <w:szCs w:val="20"/>
          <w:color w:val="auto"/>
        </w:rPr>
      </w:pPr>
      <w:r>
        <w:rPr>
          <w:rFonts w:ascii="Arial" w:cs="Arial" w:eastAsia="Arial" w:hAnsi="Arial"/>
          <w:sz w:val="16"/>
          <w:szCs w:val="16"/>
          <w:b w:val="1"/>
          <w:bCs w:val="1"/>
          <w:color w:val="auto"/>
        </w:rPr>
        <w:t xml:space="preserve">The Board recommends that shareholders vote </w:t>
      </w:r>
      <w:r>
        <w:rPr>
          <w:rFonts w:ascii="Arial" w:cs="Arial" w:eastAsia="Arial" w:hAnsi="Arial"/>
          <w:sz w:val="16"/>
          <w:szCs w:val="16"/>
          <w:b w:val="1"/>
          <w:bCs w:val="1"/>
          <w:color w:val="53C072"/>
        </w:rPr>
        <w:t>FOR</w:t>
      </w:r>
      <w:r>
        <w:rPr>
          <w:rFonts w:ascii="Arial" w:cs="Arial" w:eastAsia="Arial" w:hAnsi="Arial"/>
          <w:sz w:val="16"/>
          <w:szCs w:val="16"/>
          <w:b w:val="1"/>
          <w:bCs w:val="1"/>
          <w:color w:val="auto"/>
        </w:rPr>
        <w:t xml:space="preserve"> the ratification of KPMG LLP as the Company's independent registered public accounting firm for Fiscal 2021.</w:t>
      </w: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DESCRIPTION OF PROPOSAL</w:t>
      </w:r>
    </w:p>
    <w:p>
      <w:pPr>
        <w:spacing w:after="0" w:line="209"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Audit Committee has approved the selection of KPMG LLP ("KPMG") to serve as the Company's independent registered public accounting firm for the fiscal year ending July 3, 2021.</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In determining whether to reappoint the independent registered public accounting firm, the Audit Committee annually considers several factors including:</w:t>
      </w:r>
    </w:p>
    <w:p>
      <w:pPr>
        <w:spacing w:after="0" w:line="192" w:lineRule="exact"/>
        <w:rPr>
          <w:sz w:val="20"/>
          <w:szCs w:val="20"/>
          <w:color w:val="auto"/>
        </w:rPr>
      </w:pPr>
    </w:p>
    <w:p>
      <w:pPr>
        <w:ind w:left="960" w:hanging="477"/>
        <w:spacing w:after="0"/>
        <w:tabs>
          <w:tab w:leader="none" w:pos="960" w:val="left"/>
        </w:tabs>
        <w:numPr>
          <w:ilvl w:val="0"/>
          <w:numId w:val="67"/>
        </w:numPr>
        <w:rPr>
          <w:rFonts w:ascii="Arial" w:cs="Arial" w:eastAsia="Arial" w:hAnsi="Arial"/>
          <w:sz w:val="16"/>
          <w:szCs w:val="16"/>
          <w:color w:val="53C072"/>
        </w:rPr>
      </w:pPr>
      <w:r>
        <w:rPr>
          <w:rFonts w:ascii="Arial" w:cs="Arial" w:eastAsia="Arial" w:hAnsi="Arial"/>
          <w:sz w:val="16"/>
          <w:szCs w:val="16"/>
          <w:color w:val="auto"/>
        </w:rPr>
        <w:t>the firm's independence and objectivity;</w:t>
      </w:r>
    </w:p>
    <w:p>
      <w:pPr>
        <w:spacing w:after="0" w:line="192" w:lineRule="exact"/>
        <w:rPr>
          <w:rFonts w:ascii="Arial" w:cs="Arial" w:eastAsia="Arial" w:hAnsi="Arial"/>
          <w:sz w:val="16"/>
          <w:szCs w:val="16"/>
          <w:color w:val="53C072"/>
        </w:rPr>
      </w:pPr>
    </w:p>
    <w:p>
      <w:pPr>
        <w:ind w:left="960" w:hanging="477"/>
        <w:spacing w:after="0" w:line="275" w:lineRule="auto"/>
        <w:tabs>
          <w:tab w:leader="none" w:pos="960" w:val="left"/>
        </w:tabs>
        <w:numPr>
          <w:ilvl w:val="0"/>
          <w:numId w:val="67"/>
        </w:numPr>
        <w:rPr>
          <w:rFonts w:ascii="Arial" w:cs="Arial" w:eastAsia="Arial" w:hAnsi="Arial"/>
          <w:sz w:val="16"/>
          <w:szCs w:val="16"/>
          <w:color w:val="53C072"/>
        </w:rPr>
      </w:pPr>
      <w:r>
        <w:rPr>
          <w:rFonts w:ascii="Arial" w:cs="Arial" w:eastAsia="Arial" w:hAnsi="Arial"/>
          <w:sz w:val="16"/>
          <w:szCs w:val="16"/>
          <w:color w:val="auto"/>
        </w:rPr>
        <w:t>the firm's capability and expertise in handling the breadth and complexity of the Company's global operations, including the expertise and capability of the lead audit partner;</w:t>
      </w:r>
    </w:p>
    <w:p>
      <w:pPr>
        <w:spacing w:after="0" w:line="124" w:lineRule="exact"/>
        <w:rPr>
          <w:rFonts w:ascii="Arial" w:cs="Arial" w:eastAsia="Arial" w:hAnsi="Arial"/>
          <w:sz w:val="16"/>
          <w:szCs w:val="16"/>
          <w:color w:val="53C072"/>
        </w:rPr>
      </w:pPr>
    </w:p>
    <w:p>
      <w:pPr>
        <w:ind w:left="960" w:right="400" w:hanging="477"/>
        <w:spacing w:after="0" w:line="275" w:lineRule="auto"/>
        <w:tabs>
          <w:tab w:leader="none" w:pos="960" w:val="left"/>
        </w:tabs>
        <w:numPr>
          <w:ilvl w:val="0"/>
          <w:numId w:val="67"/>
        </w:numPr>
        <w:rPr>
          <w:rFonts w:ascii="Arial" w:cs="Arial" w:eastAsia="Arial" w:hAnsi="Arial"/>
          <w:sz w:val="16"/>
          <w:szCs w:val="16"/>
          <w:color w:val="53C072"/>
        </w:rPr>
      </w:pPr>
      <w:r>
        <w:rPr>
          <w:rFonts w:ascii="Arial" w:cs="Arial" w:eastAsia="Arial" w:hAnsi="Arial"/>
          <w:sz w:val="16"/>
          <w:szCs w:val="16"/>
          <w:color w:val="auto"/>
        </w:rPr>
        <w:t>historical and recent performance, including the extent and quality of the firm's communications with the Audit Committee, and management's views of the firm's overall performance;</w:t>
      </w:r>
    </w:p>
    <w:p>
      <w:pPr>
        <w:spacing w:after="0" w:line="124" w:lineRule="exact"/>
        <w:rPr>
          <w:rFonts w:ascii="Arial" w:cs="Arial" w:eastAsia="Arial" w:hAnsi="Arial"/>
          <w:sz w:val="16"/>
          <w:szCs w:val="16"/>
          <w:color w:val="53C072"/>
        </w:rPr>
      </w:pPr>
    </w:p>
    <w:p>
      <w:pPr>
        <w:ind w:left="960" w:hanging="477"/>
        <w:spacing w:after="0"/>
        <w:tabs>
          <w:tab w:leader="none" w:pos="960" w:val="left"/>
        </w:tabs>
        <w:numPr>
          <w:ilvl w:val="0"/>
          <w:numId w:val="67"/>
        </w:numPr>
        <w:rPr>
          <w:rFonts w:ascii="Arial" w:cs="Arial" w:eastAsia="Arial" w:hAnsi="Arial"/>
          <w:sz w:val="16"/>
          <w:szCs w:val="16"/>
          <w:color w:val="53C072"/>
        </w:rPr>
      </w:pPr>
      <w:r>
        <w:rPr>
          <w:rFonts w:ascii="Arial" w:cs="Arial" w:eastAsia="Arial" w:hAnsi="Arial"/>
          <w:sz w:val="16"/>
          <w:szCs w:val="16"/>
          <w:color w:val="auto"/>
        </w:rPr>
        <w:t>data related to audit quality and performance, including recent Public Company Accounting Oversight Board inspection reports on the firm; and</w:t>
      </w:r>
    </w:p>
    <w:p>
      <w:pPr>
        <w:spacing w:after="0" w:line="192" w:lineRule="exact"/>
        <w:rPr>
          <w:rFonts w:ascii="Arial" w:cs="Arial" w:eastAsia="Arial" w:hAnsi="Arial"/>
          <w:sz w:val="16"/>
          <w:szCs w:val="16"/>
          <w:color w:val="53C072"/>
        </w:rPr>
      </w:pPr>
    </w:p>
    <w:p>
      <w:pPr>
        <w:ind w:left="960" w:hanging="477"/>
        <w:spacing w:after="0"/>
        <w:tabs>
          <w:tab w:leader="none" w:pos="960" w:val="left"/>
        </w:tabs>
        <w:numPr>
          <w:ilvl w:val="0"/>
          <w:numId w:val="67"/>
        </w:numPr>
        <w:rPr>
          <w:rFonts w:ascii="Arial" w:cs="Arial" w:eastAsia="Arial" w:hAnsi="Arial"/>
          <w:sz w:val="16"/>
          <w:szCs w:val="16"/>
          <w:color w:val="53C072"/>
        </w:rPr>
      </w:pPr>
      <w:r>
        <w:rPr>
          <w:rFonts w:ascii="Arial" w:cs="Arial" w:eastAsia="Arial" w:hAnsi="Arial"/>
          <w:sz w:val="16"/>
          <w:szCs w:val="16"/>
          <w:color w:val="auto"/>
        </w:rPr>
        <w:t>the appropriateness of the firm's fees, both on an absolute basis and as compared with its peers.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For a summary of the fees that were paid to KPMG in fiscal years 2019 and 2020, please see "Principal Accounting Firm Fees."</w:t>
      </w:r>
    </w:p>
    <w:p>
      <w:pPr>
        <w:spacing w:after="0" w:line="192"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Company expects that representatives of KPMG will be present at the Annual Meeting. The representatives will have an opportunity to make a statement as they may desire, and will be available to respond to appropriate questions from shareholders.</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VOTE REQUIRED FOR APPROVAL</w:t>
      </w:r>
    </w:p>
    <w:p>
      <w:pPr>
        <w:spacing w:after="0" w:line="209"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For approval, this proposal requires the affirmative vote of the majority of the votes cast by the shareholders present in person or by proxy, provided a quorum is present, at the Annual Meeting. Abstentions are not counted in determining the votes cast. Brokers who hold shares of Common Stock as nominees will have discretionary authority to vote such shares if they have not received timely voting instructions from the beneficial owners.</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PROXY</w:t>
      </w:r>
    </w:p>
    <w:p>
      <w:pPr>
        <w:spacing w:after="0" w:line="209"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Unless otherwise directed by the shareholder, it is the intention of the persons named as proxies in the proxy card to vote each properly signed and returned proxy card FOR the ratification of KPMG LLP as the Company's independent registered public accounting firm for Fiscal 2021.</w:t>
      </w:r>
    </w:p>
    <w:p>
      <w:pPr>
        <w:spacing w:after="0" w:line="148"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68</w:t>
      </w:r>
      <w:r>
        <w:rPr>
          <w:sz w:val="20"/>
          <w:szCs w:val="20"/>
          <w:color w:val="auto"/>
        </w:rPr>
        <w:tab/>
      </w:r>
      <w:r>
        <w:rPr>
          <w:rFonts w:ascii="Arial" w:cs="Arial" w:eastAsia="Arial" w:hAnsi="Arial"/>
          <w:sz w:val="23"/>
          <w:szCs w:val="23"/>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7151370" cy="203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-155575</wp:posOffset>
            </wp:positionV>
            <wp:extent cx="1664970" cy="1231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b w:val="1"/>
          <w:bCs w:val="1"/>
          <w:color w:val="53C072"/>
        </w:rPr>
        <w:t>2020 ANNUAL</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118110</wp:posOffset>
            </wp:positionV>
            <wp:extent cx="7146290" cy="2546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6290" cy="254635"/>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FFFE"/>
        </w:rPr>
        <w:t>PRINCIPAL ACCOUNTING FIRM FEES</w:t>
      </w:r>
    </w:p>
    <w:p>
      <w:pPr>
        <w:spacing w:after="0" w:line="220"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The table below provides information relating to fees charged for services performed by KPMG, the Company's independent registered public accounting firm, in both fiscal 2019 and fiscal 2020. All the services described in the table were approved in conformity with the Audit Committee's pre-approval process for independent registered public accounting firm fees.</w:t>
      </w:r>
    </w:p>
    <w:p>
      <w:pPr>
        <w:spacing w:after="0" w:line="169" w:lineRule="exact"/>
        <w:rPr>
          <w:sz w:val="20"/>
          <w:szCs w:val="20"/>
          <w:color w:val="auto"/>
        </w:rPr>
      </w:pPr>
    </w:p>
    <w:tbl>
      <w:tblPr>
        <w:tblLayout w:type="fixed"/>
        <w:tblInd w:w="1340" w:type="dxa"/>
        <w:tblCellMar>
          <w:top w:w="0" w:type="dxa"/>
          <w:left w:w="0" w:type="dxa"/>
          <w:bottom w:w="0" w:type="dxa"/>
          <w:right w:w="0" w:type="dxa"/>
        </w:tblCellMar>
      </w:tblPr>
      <w:tr>
        <w:trPr>
          <w:trHeight w:val="194"/>
        </w:trPr>
        <w:tc>
          <w:tcPr>
            <w:tcW w:w="5400" w:type="dxa"/>
            <w:vAlign w:val="bottom"/>
            <w:shd w:val="clear" w:color="auto" w:fill="53C072"/>
          </w:tcPr>
          <w:p>
            <w:pPr>
              <w:spacing w:after="0"/>
              <w:rPr>
                <w:sz w:val="16"/>
                <w:szCs w:val="16"/>
                <w:color w:val="auto"/>
              </w:rPr>
            </w:pPr>
          </w:p>
        </w:tc>
        <w:tc>
          <w:tcPr>
            <w:tcW w:w="320" w:type="dxa"/>
            <w:vAlign w:val="bottom"/>
            <w:shd w:val="clear" w:color="auto" w:fill="53C072"/>
          </w:tcPr>
          <w:p>
            <w:pPr>
              <w:spacing w:after="0"/>
              <w:rPr>
                <w:sz w:val="16"/>
                <w:szCs w:val="16"/>
                <w:color w:val="auto"/>
              </w:rPr>
            </w:pPr>
          </w:p>
        </w:tc>
        <w:tc>
          <w:tcPr>
            <w:tcW w:w="1140" w:type="dxa"/>
            <w:vAlign w:val="bottom"/>
            <w:shd w:val="clear" w:color="auto" w:fill="53C072"/>
          </w:tcPr>
          <w:p>
            <w:pPr>
              <w:jc w:val="right"/>
              <w:ind w:right="1"/>
              <w:spacing w:after="0"/>
              <w:rPr>
                <w:sz w:val="20"/>
                <w:szCs w:val="20"/>
                <w:color w:val="auto"/>
              </w:rPr>
            </w:pPr>
            <w:r>
              <w:rPr>
                <w:rFonts w:ascii="Arial" w:cs="Arial" w:eastAsia="Arial" w:hAnsi="Arial"/>
                <w:sz w:val="16"/>
                <w:szCs w:val="16"/>
                <w:b w:val="1"/>
                <w:bCs w:val="1"/>
                <w:color w:val="FFFFFE"/>
              </w:rPr>
              <w:t>Fiscal 2019</w:t>
            </w:r>
          </w:p>
        </w:tc>
        <w:tc>
          <w:tcPr>
            <w:tcW w:w="380" w:type="dxa"/>
            <w:vAlign w:val="bottom"/>
            <w:shd w:val="clear" w:color="auto" w:fill="53C072"/>
          </w:tcPr>
          <w:p>
            <w:pPr>
              <w:spacing w:after="0"/>
              <w:rPr>
                <w:sz w:val="16"/>
                <w:szCs w:val="16"/>
                <w:color w:val="auto"/>
              </w:rPr>
            </w:pPr>
          </w:p>
        </w:tc>
        <w:tc>
          <w:tcPr>
            <w:tcW w:w="1060" w:type="dxa"/>
            <w:vAlign w:val="bottom"/>
            <w:shd w:val="clear" w:color="auto" w:fill="53C072"/>
          </w:tcPr>
          <w:p>
            <w:pPr>
              <w:jc w:val="right"/>
              <w:spacing w:after="0"/>
              <w:rPr>
                <w:sz w:val="20"/>
                <w:szCs w:val="20"/>
                <w:color w:val="auto"/>
              </w:rPr>
            </w:pPr>
            <w:r>
              <w:rPr>
                <w:rFonts w:ascii="Arial" w:cs="Arial" w:eastAsia="Arial" w:hAnsi="Arial"/>
                <w:sz w:val="16"/>
                <w:szCs w:val="16"/>
                <w:b w:val="1"/>
                <w:bCs w:val="1"/>
                <w:color w:val="FFFFFE"/>
              </w:rPr>
              <w:t>Fiscal 2020</w:t>
            </w:r>
          </w:p>
        </w:tc>
      </w:tr>
      <w:tr>
        <w:trPr>
          <w:trHeight w:val="182"/>
        </w:trPr>
        <w:tc>
          <w:tcPr>
            <w:tcW w:w="5400" w:type="dxa"/>
            <w:vAlign w:val="bottom"/>
          </w:tcPr>
          <w:p>
            <w:pPr>
              <w:spacing w:after="0" w:line="182" w:lineRule="exact"/>
              <w:rPr>
                <w:sz w:val="20"/>
                <w:szCs w:val="20"/>
                <w:color w:val="auto"/>
              </w:rPr>
            </w:pPr>
            <w:r>
              <w:rPr>
                <w:rFonts w:ascii="Arial" w:cs="Arial" w:eastAsia="Arial" w:hAnsi="Arial"/>
                <w:sz w:val="16"/>
                <w:szCs w:val="16"/>
                <w:color w:val="auto"/>
              </w:rPr>
              <w:t>Audit Fees</w:t>
            </w:r>
          </w:p>
        </w:tc>
        <w:tc>
          <w:tcPr>
            <w:tcW w:w="320" w:type="dxa"/>
            <w:vAlign w:val="bottom"/>
          </w:tcPr>
          <w:p>
            <w:pPr>
              <w:jc w:val="right"/>
              <w:ind w:right="141"/>
              <w:spacing w:after="0" w:line="182" w:lineRule="exact"/>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
              <w:spacing w:after="0" w:line="182" w:lineRule="exact"/>
              <w:rPr>
                <w:sz w:val="20"/>
                <w:szCs w:val="20"/>
                <w:color w:val="auto"/>
              </w:rPr>
            </w:pPr>
            <w:r>
              <w:rPr>
                <w:rFonts w:ascii="Arial" w:cs="Arial" w:eastAsia="Arial" w:hAnsi="Arial"/>
                <w:sz w:val="16"/>
                <w:szCs w:val="16"/>
                <w:color w:val="auto"/>
              </w:rPr>
              <w:t>5,400,000</w:t>
            </w:r>
          </w:p>
        </w:tc>
        <w:tc>
          <w:tcPr>
            <w:tcW w:w="380" w:type="dxa"/>
            <w:vAlign w:val="bottom"/>
          </w:tcPr>
          <w:p>
            <w:pPr>
              <w:jc w:val="right"/>
              <w:ind w:right="141"/>
              <w:spacing w:after="0" w:line="182"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82" w:lineRule="exact"/>
              <w:rPr>
                <w:sz w:val="20"/>
                <w:szCs w:val="20"/>
                <w:color w:val="auto"/>
              </w:rPr>
            </w:pPr>
            <w:r>
              <w:rPr>
                <w:rFonts w:ascii="Arial" w:cs="Arial" w:eastAsia="Arial" w:hAnsi="Arial"/>
                <w:sz w:val="16"/>
                <w:szCs w:val="16"/>
                <w:color w:val="auto"/>
              </w:rPr>
              <w:t>6,147,300</w:t>
            </w:r>
          </w:p>
        </w:tc>
      </w:tr>
      <w:tr>
        <w:trPr>
          <w:trHeight w:val="182"/>
        </w:trPr>
        <w:tc>
          <w:tcPr>
            <w:tcW w:w="5400" w:type="dxa"/>
            <w:vAlign w:val="bottom"/>
            <w:shd w:val="clear" w:color="auto" w:fill="E8F5EA"/>
          </w:tcPr>
          <w:p>
            <w:pPr>
              <w:spacing w:after="0" w:line="182" w:lineRule="exact"/>
              <w:rPr>
                <w:sz w:val="20"/>
                <w:szCs w:val="20"/>
                <w:color w:val="auto"/>
              </w:rPr>
            </w:pPr>
            <w:r>
              <w:rPr>
                <w:rFonts w:ascii="Arial" w:cs="Arial" w:eastAsia="Arial" w:hAnsi="Arial"/>
                <w:sz w:val="16"/>
                <w:szCs w:val="16"/>
                <w:color w:val="auto"/>
              </w:rPr>
              <w:t>Audit-Related Fees</w:t>
            </w:r>
          </w:p>
        </w:tc>
        <w:tc>
          <w:tcPr>
            <w:tcW w:w="320" w:type="dxa"/>
            <w:vAlign w:val="bottom"/>
            <w:shd w:val="clear" w:color="auto" w:fill="E8F5EA"/>
          </w:tcPr>
          <w:p>
            <w:pPr>
              <w:spacing w:after="0"/>
              <w:rPr>
                <w:sz w:val="15"/>
                <w:szCs w:val="15"/>
                <w:color w:val="auto"/>
              </w:rPr>
            </w:pPr>
          </w:p>
        </w:tc>
        <w:tc>
          <w:tcPr>
            <w:tcW w:w="1140" w:type="dxa"/>
            <w:vAlign w:val="bottom"/>
            <w:shd w:val="clear" w:color="auto" w:fill="E8F5EA"/>
          </w:tcPr>
          <w:p>
            <w:pPr>
              <w:jc w:val="right"/>
              <w:ind w:right="1"/>
              <w:spacing w:after="0" w:line="182" w:lineRule="exact"/>
              <w:rPr>
                <w:sz w:val="20"/>
                <w:szCs w:val="20"/>
                <w:color w:val="auto"/>
              </w:rPr>
            </w:pPr>
            <w:r>
              <w:rPr>
                <w:rFonts w:ascii="Arial" w:cs="Arial" w:eastAsia="Arial" w:hAnsi="Arial"/>
                <w:sz w:val="16"/>
                <w:szCs w:val="16"/>
                <w:color w:val="auto"/>
              </w:rPr>
              <w:t>89,000</w:t>
            </w:r>
          </w:p>
        </w:tc>
        <w:tc>
          <w:tcPr>
            <w:tcW w:w="380" w:type="dxa"/>
            <w:vAlign w:val="bottom"/>
            <w:shd w:val="clear" w:color="auto" w:fill="E8F5EA"/>
          </w:tcPr>
          <w:p>
            <w:pPr>
              <w:spacing w:after="0"/>
              <w:rPr>
                <w:sz w:val="15"/>
                <w:szCs w:val="15"/>
                <w:color w:val="auto"/>
              </w:rPr>
            </w:pPr>
          </w:p>
        </w:tc>
        <w:tc>
          <w:tcPr>
            <w:tcW w:w="106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44,570</w:t>
            </w:r>
          </w:p>
        </w:tc>
      </w:tr>
      <w:tr>
        <w:trPr>
          <w:trHeight w:val="182"/>
        </w:trPr>
        <w:tc>
          <w:tcPr>
            <w:tcW w:w="5400" w:type="dxa"/>
            <w:vAlign w:val="bottom"/>
          </w:tcPr>
          <w:p>
            <w:pPr>
              <w:spacing w:after="0" w:line="182" w:lineRule="exact"/>
              <w:rPr>
                <w:sz w:val="20"/>
                <w:szCs w:val="20"/>
                <w:color w:val="auto"/>
              </w:rPr>
            </w:pPr>
            <w:r>
              <w:rPr>
                <w:rFonts w:ascii="Arial" w:cs="Arial" w:eastAsia="Arial" w:hAnsi="Arial"/>
                <w:sz w:val="16"/>
                <w:szCs w:val="16"/>
                <w:color w:val="auto"/>
              </w:rPr>
              <w:t>Tax Fees</w:t>
            </w:r>
          </w:p>
        </w:tc>
        <w:tc>
          <w:tcPr>
            <w:tcW w:w="320" w:type="dxa"/>
            <w:vAlign w:val="bottom"/>
            <w:tcBorders>
              <w:bottom w:val="single" w:sz="8" w:color="53C072"/>
            </w:tcBorders>
          </w:tcPr>
          <w:p>
            <w:pPr>
              <w:spacing w:after="0"/>
              <w:rPr>
                <w:sz w:val="15"/>
                <w:szCs w:val="15"/>
                <w:color w:val="auto"/>
              </w:rPr>
            </w:pPr>
          </w:p>
        </w:tc>
        <w:tc>
          <w:tcPr>
            <w:tcW w:w="1140" w:type="dxa"/>
            <w:vAlign w:val="bottom"/>
            <w:tcBorders>
              <w:bottom w:val="single" w:sz="8" w:color="53C072"/>
            </w:tcBorders>
          </w:tcPr>
          <w:p>
            <w:pPr>
              <w:jc w:val="right"/>
              <w:ind w:right="1"/>
              <w:spacing w:after="0" w:line="182" w:lineRule="exact"/>
              <w:rPr>
                <w:sz w:val="20"/>
                <w:szCs w:val="20"/>
                <w:color w:val="auto"/>
              </w:rPr>
            </w:pPr>
            <w:r>
              <w:rPr>
                <w:rFonts w:ascii="Arial" w:cs="Arial" w:eastAsia="Arial" w:hAnsi="Arial"/>
                <w:sz w:val="16"/>
                <w:szCs w:val="16"/>
                <w:color w:val="auto"/>
              </w:rPr>
              <w:t>878,000</w:t>
            </w:r>
          </w:p>
        </w:tc>
        <w:tc>
          <w:tcPr>
            <w:tcW w:w="380" w:type="dxa"/>
            <w:vAlign w:val="bottom"/>
            <w:tcBorders>
              <w:bottom w:val="single" w:sz="8" w:color="53C072"/>
            </w:tcBorders>
          </w:tcPr>
          <w:p>
            <w:pPr>
              <w:spacing w:after="0"/>
              <w:rPr>
                <w:sz w:val="15"/>
                <w:szCs w:val="15"/>
                <w:color w:val="auto"/>
              </w:rPr>
            </w:pPr>
          </w:p>
        </w:tc>
        <w:tc>
          <w:tcPr>
            <w:tcW w:w="1060" w:type="dxa"/>
            <w:vAlign w:val="bottom"/>
            <w:tcBorders>
              <w:bottom w:val="single" w:sz="8" w:color="53C072"/>
            </w:tcBorders>
          </w:tcPr>
          <w:p>
            <w:pPr>
              <w:jc w:val="right"/>
              <w:spacing w:after="0" w:line="182" w:lineRule="exact"/>
              <w:rPr>
                <w:sz w:val="20"/>
                <w:szCs w:val="20"/>
                <w:color w:val="auto"/>
              </w:rPr>
            </w:pPr>
            <w:r>
              <w:rPr>
                <w:rFonts w:ascii="Arial" w:cs="Arial" w:eastAsia="Arial" w:hAnsi="Arial"/>
                <w:sz w:val="16"/>
                <w:szCs w:val="16"/>
                <w:color w:val="auto"/>
              </w:rPr>
              <w:t>309,100</w:t>
            </w:r>
          </w:p>
        </w:tc>
      </w:tr>
      <w:tr>
        <w:trPr>
          <w:trHeight w:val="191"/>
        </w:trPr>
        <w:tc>
          <w:tcPr>
            <w:tcW w:w="5400" w:type="dxa"/>
            <w:vAlign w:val="bottom"/>
            <w:tcBorders>
              <w:bottom w:val="single" w:sz="8" w:color="53C072"/>
            </w:tcBorders>
            <w:shd w:val="clear" w:color="auto" w:fill="E8F5EA"/>
          </w:tcPr>
          <w:p>
            <w:pPr>
              <w:spacing w:after="0" w:line="175" w:lineRule="exact"/>
              <w:rPr>
                <w:sz w:val="20"/>
                <w:szCs w:val="20"/>
                <w:color w:val="auto"/>
              </w:rPr>
            </w:pPr>
            <w:r>
              <w:rPr>
                <w:rFonts w:ascii="Arial" w:cs="Arial" w:eastAsia="Arial" w:hAnsi="Arial"/>
                <w:sz w:val="16"/>
                <w:szCs w:val="16"/>
                <w:color w:val="auto"/>
              </w:rPr>
              <w:t>TOTAL</w:t>
            </w:r>
          </w:p>
        </w:tc>
        <w:tc>
          <w:tcPr>
            <w:tcW w:w="320" w:type="dxa"/>
            <w:vAlign w:val="bottom"/>
            <w:tcBorders>
              <w:bottom w:val="single" w:sz="8" w:color="53C072"/>
            </w:tcBorders>
            <w:shd w:val="clear" w:color="auto" w:fill="E8F5EA"/>
          </w:tcPr>
          <w:p>
            <w:pPr>
              <w:jc w:val="right"/>
              <w:ind w:right="141"/>
              <w:spacing w:after="0" w:line="175"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53C072"/>
            </w:tcBorders>
            <w:shd w:val="clear" w:color="auto" w:fill="E8F5EA"/>
          </w:tcPr>
          <w:p>
            <w:pPr>
              <w:jc w:val="right"/>
              <w:ind w:right="1"/>
              <w:spacing w:after="0" w:line="175" w:lineRule="exact"/>
              <w:rPr>
                <w:sz w:val="20"/>
                <w:szCs w:val="20"/>
                <w:color w:val="auto"/>
              </w:rPr>
            </w:pPr>
            <w:r>
              <w:rPr>
                <w:rFonts w:ascii="Arial" w:cs="Arial" w:eastAsia="Arial" w:hAnsi="Arial"/>
                <w:sz w:val="16"/>
                <w:szCs w:val="16"/>
                <w:color w:val="auto"/>
              </w:rPr>
              <w:t>6,367,000</w:t>
            </w:r>
          </w:p>
        </w:tc>
        <w:tc>
          <w:tcPr>
            <w:tcW w:w="380" w:type="dxa"/>
            <w:vAlign w:val="bottom"/>
            <w:tcBorders>
              <w:bottom w:val="single" w:sz="8" w:color="53C072"/>
            </w:tcBorders>
            <w:shd w:val="clear" w:color="auto" w:fill="E8F5EA"/>
          </w:tcPr>
          <w:p>
            <w:pPr>
              <w:jc w:val="right"/>
              <w:ind w:right="141"/>
              <w:spacing w:after="0" w:line="175"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53C072"/>
            </w:tcBorders>
            <w:shd w:val="clear" w:color="auto" w:fill="E8F5EA"/>
          </w:tcPr>
          <w:p>
            <w:pPr>
              <w:jc w:val="right"/>
              <w:spacing w:after="0" w:line="175" w:lineRule="exact"/>
              <w:rPr>
                <w:sz w:val="20"/>
                <w:szCs w:val="20"/>
                <w:color w:val="auto"/>
              </w:rPr>
            </w:pPr>
            <w:r>
              <w:rPr>
                <w:rFonts w:ascii="Arial" w:cs="Arial" w:eastAsia="Arial" w:hAnsi="Arial"/>
                <w:sz w:val="16"/>
                <w:szCs w:val="16"/>
                <w:color w:val="auto"/>
              </w:rPr>
              <w:t>6,500,970</w:t>
            </w:r>
          </w:p>
        </w:tc>
      </w:tr>
    </w:tbl>
    <w:p>
      <w:pPr>
        <w:spacing w:after="0" w:line="17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b w:val="1"/>
          <w:bCs w:val="1"/>
          <w:color w:val="53C072"/>
        </w:rPr>
        <w:t xml:space="preserve">Audit Fees. </w:t>
      </w:r>
      <w:r>
        <w:rPr>
          <w:rFonts w:ascii="Arial" w:cs="Arial" w:eastAsia="Arial" w:hAnsi="Arial"/>
          <w:sz w:val="16"/>
          <w:szCs w:val="16"/>
          <w:color w:val="000000"/>
        </w:rPr>
        <w:t>In both fiscal years, Audit Fees consisted of fees incurred in connection with work performed by KPMG associated with the audit of the Company's</w:t>
      </w:r>
      <w:r>
        <w:rPr>
          <w:rFonts w:ascii="Arial" w:cs="Arial" w:eastAsia="Arial" w:hAnsi="Arial"/>
          <w:sz w:val="16"/>
          <w:szCs w:val="16"/>
          <w:b w:val="1"/>
          <w:bCs w:val="1"/>
          <w:color w:val="53C072"/>
        </w:rPr>
        <w:t xml:space="preserve"> </w:t>
      </w:r>
      <w:r>
        <w:rPr>
          <w:rFonts w:ascii="Arial" w:cs="Arial" w:eastAsia="Arial" w:hAnsi="Arial"/>
          <w:sz w:val="16"/>
          <w:szCs w:val="16"/>
          <w:color w:val="000000"/>
        </w:rPr>
        <w:t>consolidated financial statements, including reviews performed on the Company's Form 10-Q filings, certain statutory audits required for the Company's subsidiaries, and fees in connection with the audit of internal controls over financial reporting pursuant to Section 404 of the Sarbanes-Oxley Act of 2002. Audit fees also included fees in connection with registration statements filed by the Company, including consents.</w:t>
      </w:r>
    </w:p>
    <w:p>
      <w:pPr>
        <w:spacing w:after="0" w:line="156" w:lineRule="exact"/>
        <w:rPr>
          <w:sz w:val="20"/>
          <w:szCs w:val="20"/>
          <w:color w:val="auto"/>
        </w:rPr>
      </w:pPr>
    </w:p>
    <w:p>
      <w:pPr>
        <w:spacing w:after="0"/>
        <w:tabs>
          <w:tab w:leader="none" w:pos="1620" w:val="left"/>
        </w:tabs>
        <w:rPr>
          <w:sz w:val="20"/>
          <w:szCs w:val="20"/>
          <w:color w:val="auto"/>
        </w:rPr>
      </w:pPr>
      <w:r>
        <w:rPr>
          <w:rFonts w:ascii="Arial" w:cs="Arial" w:eastAsia="Arial" w:hAnsi="Arial"/>
          <w:sz w:val="16"/>
          <w:szCs w:val="16"/>
          <w:b w:val="1"/>
          <w:bCs w:val="1"/>
          <w:color w:val="53C072"/>
        </w:rPr>
        <w:t>Audit-Related Fees.</w:t>
      </w:r>
      <w:r>
        <w:rPr>
          <w:sz w:val="20"/>
          <w:szCs w:val="20"/>
          <w:color w:val="auto"/>
        </w:rPr>
        <w:tab/>
      </w:r>
      <w:r>
        <w:rPr>
          <w:rFonts w:ascii="Arial" w:cs="Arial" w:eastAsia="Arial" w:hAnsi="Arial"/>
          <w:sz w:val="15"/>
          <w:szCs w:val="15"/>
          <w:color w:val="auto"/>
        </w:rPr>
        <w:t>In both fiscal years, Audit-Related Fees included fees in connection with certain compliance-related services.</w:t>
      </w:r>
    </w:p>
    <w:p>
      <w:pPr>
        <w:spacing w:after="0" w:line="192"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b w:val="1"/>
          <w:bCs w:val="1"/>
          <w:color w:val="53C072"/>
        </w:rPr>
        <w:t xml:space="preserve">Tax Fees. </w:t>
      </w:r>
      <w:r>
        <w:rPr>
          <w:rFonts w:ascii="Arial" w:cs="Arial" w:eastAsia="Arial" w:hAnsi="Arial"/>
          <w:sz w:val="16"/>
          <w:szCs w:val="16"/>
          <w:color w:val="000000"/>
        </w:rPr>
        <w:t>In fiscal 2020, Tax Fees consisted of fees primarily in connection with assistance with respect to global tax compliance (federal, international, state</w:t>
      </w:r>
      <w:r>
        <w:rPr>
          <w:rFonts w:ascii="Arial" w:cs="Arial" w:eastAsia="Arial" w:hAnsi="Arial"/>
          <w:sz w:val="16"/>
          <w:szCs w:val="16"/>
          <w:b w:val="1"/>
          <w:bCs w:val="1"/>
          <w:color w:val="53C072"/>
        </w:rPr>
        <w:t xml:space="preserve"> </w:t>
      </w:r>
      <w:r>
        <w:rPr>
          <w:rFonts w:ascii="Arial" w:cs="Arial" w:eastAsia="Arial" w:hAnsi="Arial"/>
          <w:sz w:val="16"/>
          <w:szCs w:val="16"/>
          <w:color w:val="000000"/>
        </w:rPr>
        <w:t>and local) and tax audits. In fiscal 2019, Tax Fees consisted of fees primarily in connection with assistance with respect to global tax compliance (federal, international, state and local), tax audits and tax advice associated with organizational structure.</w:t>
      </w:r>
    </w:p>
    <w:p>
      <w:pPr>
        <w:spacing w:after="0" w:line="151"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All services to be provided by the Company's independent registered public accounting firm are subject to pre-approval by the Audit Committee. The Audit Committee has adopted an External Auditor Scope of Services Policy ("Scope Policy"), which requires the Audit Committee's pre-approval of all services to be performed by the Company's independent registered public accounting firm. In each case, pre-approval is required either by the Audit Committee or by the Chair of the Audit Committee, who is authorized to approve individual projects up to $250,000 with the total for such projects not to exceed $500,000, and must then report them to the full Audit Committee by the next Audit Committee meeting. In fiscal 2020, as permitted by the SEC, the Audit Committee has also adopted a pre-approval policy ("Pre-Approval Policy"), whereby certain types of services up to specified cost levels have been pre-approved by the Audit Committee and approval has been delegated to management. Types of services not covered by the Pre-Approval Policy or services exceeding the pre-approved cost levels continue to be subject to pre-approval by the Audit Committee under the Scope Policy. Management provides quarterly reports to the Audit Committee regarding pre-approval requests related to the fees for projects requiring services by KPMG covered by the Scope Policy and regarding the nature and fee amounts for all pre-approved services under the Pre-Approval Policy. All services performed and related fees billed by KPMG during fiscal years 2019 and 2020 were pre-approved by the Audit Committee pursuant to regulations of the SEC.</w:t>
      </w:r>
    </w:p>
    <w:p>
      <w:pPr>
        <w:spacing w:after="0" w:line="136" w:lineRule="exact"/>
        <w:rPr>
          <w:sz w:val="20"/>
          <w:szCs w:val="20"/>
          <w:color w:val="auto"/>
        </w:rPr>
      </w:pPr>
    </w:p>
    <w:p>
      <w:pPr>
        <w:jc w:val="both"/>
        <w:ind w:left="10720"/>
        <w:spacing w:after="0"/>
        <w:tabs>
          <w:tab w:leader="none" w:pos="11060" w:val="left"/>
        </w:tabs>
        <w:rPr>
          <w:sz w:val="20"/>
          <w:szCs w:val="20"/>
          <w:color w:val="auto"/>
        </w:rPr>
      </w:pPr>
      <w:r>
        <w:rPr>
          <w:rFonts w:ascii="Arial" w:cs="Arial" w:eastAsia="Arial" w:hAnsi="Arial"/>
          <w:sz w:val="23"/>
          <w:szCs w:val="23"/>
          <w:b w:val="1"/>
          <w:bCs w:val="1"/>
          <w:color w:val="53C072"/>
        </w:rPr>
        <w:t>|</w:t>
      </w:r>
      <w:r>
        <w:rPr>
          <w:sz w:val="20"/>
          <w:szCs w:val="20"/>
          <w:color w:val="auto"/>
        </w:rPr>
        <w:tab/>
      </w: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7151370" cy="203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-130175</wp:posOffset>
            </wp:positionV>
            <wp:extent cx="1664970" cy="1231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b w:val="1"/>
          <w:bCs w:val="1"/>
          <w:color w:val="53C072"/>
        </w:rPr>
        <w:t>2020 ANNUAL</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118110</wp:posOffset>
            </wp:positionV>
            <wp:extent cx="7146290" cy="2546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6290" cy="254635"/>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FFFE"/>
        </w:rPr>
        <w:t>AUDIT COMMITTEE REPORT</w:t>
      </w:r>
    </w:p>
    <w:p>
      <w:pPr>
        <w:spacing w:after="0" w:line="220"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 xml:space="preserve">The Audit Committee represents and assists the Board in fulfilling its oversight responsibilities with respect to the integrity of the Company's financial statements, the independence, qualification and performance of the Company's corporate internal audit function and its independent registered public accounting firm, and compliance with legal and regulatory requirements. The Audit Committee operates under a written charter, which sets forth its purpose, member qualifications, authority and responsibilities. The Audit Committee evaluates and assesses the effectiveness of the Audit Committee and the adequacy of its charter on an annual basis. The charter is available on the Company's website at </w:t>
      </w:r>
      <w:r>
        <w:rPr>
          <w:rFonts w:ascii="Arial" w:cs="Arial" w:eastAsia="Arial" w:hAnsi="Arial"/>
          <w:sz w:val="16"/>
          <w:szCs w:val="16"/>
          <w:u w:val="single" w:color="auto"/>
          <w:color w:val="auto"/>
        </w:rPr>
        <w:t>www.ir.avnet.com/documents-charters</w:t>
      </w:r>
      <w:r>
        <w:rPr>
          <w:rFonts w:ascii="Arial" w:cs="Arial" w:eastAsia="Arial" w:hAnsi="Arial"/>
          <w:sz w:val="16"/>
          <w:szCs w:val="16"/>
          <w:color w:val="auto"/>
        </w:rPr>
        <w:t>.</w:t>
      </w:r>
    </w:p>
    <w:p>
      <w:pPr>
        <w:spacing w:after="0" w:line="162"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auto"/>
        </w:rPr>
        <w:t>The Audit Committee monitors the activities and performance of the Company's internal audit function, including scope of reviews, department staffing levels, and reporting and follow-up procedures. The Audit Committee also oversees policies with respect to risk assessment and risk management. In addition, the Audit Committee oversees the Company's internal ethics and compliance program and receives quarterly reports from the General Counsel or Chief Ethics and Compliance Officer. The Audit Committee also meets regularly with KPMG LLP, the Company's independent registered public accounting firm ("KPMG"), in executive sessions. Management has responsibility for the preparation, presentation and integrity of the Company's financial statements and the reporting process, including the system of internal controls.</w:t>
      </w:r>
    </w:p>
    <w:p>
      <w:pPr>
        <w:spacing w:after="0" w:line="160"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color w:val="auto"/>
        </w:rPr>
        <w:t>The Audit Committee meets with KPMG and management to review the Company's financial results before publication of the Company's quarterly earnings press releases and the filing of the Company's quarterly reports on Form 10-Q and annual report on Form 10-K. The Audit Committee also monitors the activities and performance of KPMG, including audit scope, audit fees, auditor independence and non-audit services performed by KPMG. All services to be performed by the Company's independent registered public accounting firm are subject to pre-approval by the Audit Committee. As permitted by the SEC, the Audit Committee has approved a pre-approval policy, whereby certain types of services up to specified cost levels have been pre-approved by the Committee and approval has been delegated to management. Types of services not covered by the policy or services exceeding the pre-approved cost levels continue to be subject to pre-approval by the Audit Committee. Management provides quarterly reports to the Audit Committee on the nature and fee amounts for all such pre-approved services.</w:t>
      </w:r>
    </w:p>
    <w:p>
      <w:pPr>
        <w:spacing w:after="0" w:line="151" w:lineRule="exact"/>
        <w:rPr>
          <w:sz w:val="20"/>
          <w:szCs w:val="20"/>
          <w:color w:val="auto"/>
        </w:rPr>
      </w:pPr>
    </w:p>
    <w:p>
      <w:pPr>
        <w:ind w:right="200"/>
        <w:spacing w:after="0" w:line="260" w:lineRule="auto"/>
        <w:rPr>
          <w:sz w:val="20"/>
          <w:szCs w:val="20"/>
          <w:color w:val="auto"/>
        </w:rPr>
      </w:pPr>
      <w:r>
        <w:rPr>
          <w:rFonts w:ascii="Arial" w:cs="Arial" w:eastAsia="Arial" w:hAnsi="Arial"/>
          <w:sz w:val="15"/>
          <w:szCs w:val="15"/>
          <w:color w:val="auto"/>
        </w:rPr>
        <w:t>The Audit Committee has reviewed and discussed the audited financial statements for fiscal 2020 with management and KPMG. This review included a discussion with KPMG and management of the Company's accounting principles, the reasonableness of significant estimates and judgments, including disclosure of critical accounting policies, and the conduct of the audit. The Audit Committee has discussed with KPMG the matters required to be discussed under the applicable requirements of the Public Company Accounting Oversight Board ("PCAOB") and the SEC. The Audit Committee received the written disclosures and the letter from KPMG required by the applicable requirements of the PCAOB regarding KPMG's communications with the Audit Committee concerning independence and the Audit Committee discussed with KPMG its independence. The Audit Committee has concluded that KPMG is independent from the Company and its management. KPMG also discussed with the Audit Committee its internal quality control procedures. In reliance on this review and these discussions, and the report of KPMG, the Audit Committee has recommended to the Board, and the Board has approved, the inclusion of the audited financial statements in the Company's Annual Report on Form 10-K for the year ended June 27, 2020, for filing with the Securities and Exchange Commission.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gridSpan w:val="2"/>
          </w:tcPr>
          <w:p>
            <w:pPr>
              <w:spacing w:after="0"/>
              <w:rPr>
                <w:sz w:val="20"/>
                <w:szCs w:val="20"/>
                <w:color w:val="auto"/>
              </w:rPr>
            </w:pPr>
            <w:r>
              <w:rPr>
                <w:rFonts w:ascii="Arial" w:cs="Arial" w:eastAsia="Arial" w:hAnsi="Arial"/>
                <w:sz w:val="16"/>
                <w:szCs w:val="16"/>
                <w:color w:val="auto"/>
              </w:rPr>
              <w:t>Michael A. Bradley, Chair</w:t>
            </w:r>
          </w:p>
        </w:tc>
        <w:tc>
          <w:tcPr>
            <w:tcW w:w="7440" w:type="dxa"/>
            <w:vAlign w:val="bottom"/>
          </w:tcPr>
          <w:p>
            <w:pPr>
              <w:ind w:left="2040"/>
              <w:spacing w:after="0"/>
              <w:rPr>
                <w:sz w:val="20"/>
                <w:szCs w:val="20"/>
                <w:color w:val="auto"/>
              </w:rPr>
            </w:pPr>
            <w:r>
              <w:rPr>
                <w:rFonts w:ascii="Arial" w:cs="Arial" w:eastAsia="Arial" w:hAnsi="Arial"/>
                <w:sz w:val="16"/>
                <w:szCs w:val="16"/>
                <w:color w:val="auto"/>
              </w:rPr>
              <w:t>Carlo Bozotti</w:t>
            </w:r>
          </w:p>
        </w:tc>
      </w:tr>
      <w:tr>
        <w:trPr>
          <w:trHeight w:val="182"/>
        </w:trPr>
        <w:tc>
          <w:tcPr>
            <w:tcW w:w="3820" w:type="dxa"/>
            <w:vAlign w:val="bottom"/>
            <w:gridSpan w:val="2"/>
          </w:tcPr>
          <w:p>
            <w:pPr>
              <w:spacing w:after="0" w:line="182" w:lineRule="exact"/>
              <w:rPr>
                <w:sz w:val="20"/>
                <w:szCs w:val="20"/>
                <w:color w:val="auto"/>
              </w:rPr>
            </w:pPr>
            <w:r>
              <w:rPr>
                <w:rFonts w:ascii="Arial" w:cs="Arial" w:eastAsia="Arial" w:hAnsi="Arial"/>
                <w:sz w:val="16"/>
                <w:szCs w:val="16"/>
                <w:color w:val="auto"/>
              </w:rPr>
              <w:t>Brenda L. Freeman</w:t>
            </w:r>
          </w:p>
        </w:tc>
        <w:tc>
          <w:tcPr>
            <w:tcW w:w="7440" w:type="dxa"/>
            <w:vAlign w:val="bottom"/>
          </w:tcPr>
          <w:p>
            <w:pPr>
              <w:ind w:left="2040"/>
              <w:spacing w:after="0" w:line="182" w:lineRule="exact"/>
              <w:rPr>
                <w:sz w:val="20"/>
                <w:szCs w:val="20"/>
                <w:color w:val="auto"/>
              </w:rPr>
            </w:pPr>
            <w:r>
              <w:rPr>
                <w:rFonts w:ascii="Arial" w:cs="Arial" w:eastAsia="Arial" w:hAnsi="Arial"/>
                <w:sz w:val="16"/>
                <w:szCs w:val="16"/>
                <w:color w:val="auto"/>
              </w:rPr>
              <w:t>Oleg Khaykin</w:t>
            </w:r>
          </w:p>
        </w:tc>
      </w:tr>
      <w:tr>
        <w:trPr>
          <w:trHeight w:val="213"/>
        </w:trPr>
        <w:tc>
          <w:tcPr>
            <w:tcW w:w="3820" w:type="dxa"/>
            <w:vAlign w:val="bottom"/>
            <w:gridSpan w:val="2"/>
          </w:tcPr>
          <w:p>
            <w:pPr>
              <w:spacing w:after="0"/>
              <w:rPr>
                <w:sz w:val="20"/>
                <w:szCs w:val="20"/>
                <w:color w:val="auto"/>
              </w:rPr>
            </w:pPr>
            <w:r>
              <w:rPr>
                <w:rFonts w:ascii="Arial" w:cs="Arial" w:eastAsia="Arial" w:hAnsi="Arial"/>
                <w:sz w:val="16"/>
                <w:szCs w:val="16"/>
                <w:color w:val="auto"/>
              </w:rPr>
              <w:t>Adalio T. Sanchez</w:t>
            </w:r>
          </w:p>
        </w:tc>
        <w:tc>
          <w:tcPr>
            <w:tcW w:w="7440" w:type="dxa"/>
            <w:vAlign w:val="bottom"/>
          </w:tcPr>
          <w:p>
            <w:pPr>
              <w:ind w:left="2040"/>
              <w:spacing w:after="0"/>
              <w:rPr>
                <w:sz w:val="20"/>
                <w:szCs w:val="20"/>
                <w:color w:val="auto"/>
              </w:rPr>
            </w:pPr>
            <w:r>
              <w:rPr>
                <w:rFonts w:ascii="Arial" w:cs="Arial" w:eastAsia="Arial" w:hAnsi="Arial"/>
                <w:sz w:val="16"/>
                <w:szCs w:val="16"/>
                <w:color w:val="auto"/>
              </w:rPr>
              <w:t>William H. Schumann, III</w:t>
            </w:r>
          </w:p>
        </w:tc>
      </w:tr>
      <w:tr>
        <w:trPr>
          <w:trHeight w:val="507"/>
        </w:trPr>
        <w:tc>
          <w:tcPr>
            <w:tcW w:w="320" w:type="dxa"/>
            <w:vAlign w:val="bottom"/>
          </w:tcPr>
          <w:p>
            <w:pPr>
              <w:spacing w:after="0"/>
              <w:rPr>
                <w:sz w:val="20"/>
                <w:szCs w:val="20"/>
                <w:color w:val="auto"/>
              </w:rPr>
            </w:pPr>
            <w:r>
              <w:rPr>
                <w:rFonts w:ascii="Arial" w:cs="Arial" w:eastAsia="Arial" w:hAnsi="Arial"/>
                <w:sz w:val="16"/>
                <w:szCs w:val="16"/>
                <w:color w:val="auto"/>
              </w:rPr>
              <w:t>70</w:t>
            </w:r>
          </w:p>
        </w:tc>
        <w:tc>
          <w:tcPr>
            <w:tcW w:w="3500" w:type="dxa"/>
            <w:vAlign w:val="bottom"/>
          </w:tcPr>
          <w:p>
            <w:pPr>
              <w:jc w:val="right"/>
              <w:ind w:right="3187"/>
              <w:spacing w:after="0"/>
              <w:rPr>
                <w:sz w:val="20"/>
                <w:szCs w:val="20"/>
                <w:color w:val="auto"/>
              </w:rPr>
            </w:pPr>
            <w:r>
              <w:rPr>
                <w:rFonts w:ascii="Arial" w:cs="Arial" w:eastAsia="Arial" w:hAnsi="Arial"/>
                <w:sz w:val="23"/>
                <w:szCs w:val="23"/>
                <w:b w:val="1"/>
                <w:bCs w:val="1"/>
                <w:color w:val="53C072"/>
              </w:rPr>
              <w:t>|</w:t>
            </w:r>
          </w:p>
        </w:tc>
        <w:tc>
          <w:tcPr>
            <w:tcW w:w="7440" w:type="dxa"/>
            <w:vAlign w:val="bottom"/>
          </w:tcPr>
          <w:p>
            <w:pPr>
              <w:spacing w:after="0"/>
              <w:rPr>
                <w:sz w:val="24"/>
                <w:szCs w:val="24"/>
                <w:color w:val="auto"/>
              </w:rPr>
            </w:pPr>
          </w:p>
        </w:tc>
      </w:tr>
      <w:tr>
        <w:trPr>
          <w:trHeight w:val="143"/>
        </w:trPr>
        <w:tc>
          <w:tcPr>
            <w:tcW w:w="320" w:type="dxa"/>
            <w:vAlign w:val="bottom"/>
            <w:tcBorders>
              <w:bottom w:val="single" w:sz="8" w:color="808080"/>
            </w:tcBorders>
          </w:tcPr>
          <w:p>
            <w:pPr>
              <w:spacing w:after="0"/>
              <w:rPr>
                <w:sz w:val="12"/>
                <w:szCs w:val="12"/>
                <w:color w:val="auto"/>
              </w:rPr>
            </w:pPr>
          </w:p>
        </w:tc>
        <w:tc>
          <w:tcPr>
            <w:tcW w:w="3500" w:type="dxa"/>
            <w:vAlign w:val="bottom"/>
            <w:tcBorders>
              <w:bottom w:val="single" w:sz="8" w:color="808080"/>
            </w:tcBorders>
          </w:tcPr>
          <w:p>
            <w:pPr>
              <w:spacing w:after="0"/>
              <w:rPr>
                <w:sz w:val="12"/>
                <w:szCs w:val="12"/>
                <w:color w:val="auto"/>
              </w:rPr>
            </w:pPr>
          </w:p>
        </w:tc>
        <w:tc>
          <w:tcPr>
            <w:tcW w:w="74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-13335</wp:posOffset>
            </wp:positionV>
            <wp:extent cx="12700" cy="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-302260</wp:posOffset>
            </wp:positionV>
            <wp:extent cx="1664970" cy="1231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b w:val="1"/>
          <w:bCs w:val="1"/>
          <w:color w:val="53C072"/>
        </w:rPr>
        <w:t>2020 ANNUAL</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118110</wp:posOffset>
            </wp:positionV>
            <wp:extent cx="7146290" cy="2546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6290" cy="254635"/>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FFFE"/>
        </w:rPr>
        <w:t>SHAREHOLDER PROPOSALS AND NOMINATIONS</w:t>
      </w:r>
    </w:p>
    <w:p>
      <w:pPr>
        <w:spacing w:after="0" w:line="220"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In regards to the 2020 Annual Meeting, the Company did not receive a request from any shareholder that a matter be submitted to a vote at the Annual Meeting or that a Director nominee be included in the Company's 2020 proxy statement.</w:t>
      </w:r>
    </w:p>
    <w:p>
      <w:pPr>
        <w:spacing w:after="0" w:line="137" w:lineRule="exact"/>
        <w:rPr>
          <w:sz w:val="20"/>
          <w:szCs w:val="20"/>
          <w:color w:val="auto"/>
        </w:rPr>
      </w:pPr>
    </w:p>
    <w:p>
      <w:pPr>
        <w:jc w:val="both"/>
        <w:ind w:right="80"/>
        <w:spacing w:after="0" w:line="256" w:lineRule="auto"/>
        <w:rPr>
          <w:sz w:val="20"/>
          <w:szCs w:val="20"/>
          <w:color w:val="auto"/>
        </w:rPr>
      </w:pPr>
      <w:r>
        <w:rPr>
          <w:rFonts w:ascii="Arial" w:cs="Arial" w:eastAsia="Arial" w:hAnsi="Arial"/>
          <w:sz w:val="16"/>
          <w:szCs w:val="16"/>
          <w:color w:val="auto"/>
        </w:rPr>
        <w:t>Under SEC rules, and pursuant to the Company's By-laws, shareholders may submit proposals that they believe should be voted on at the 2021 Annual Meeting or may recommend persons for nomination to the Board of Directors. There are several alternatives a shareholder may use and a summary of those alternatives follows.</w:t>
      </w:r>
    </w:p>
    <w:p>
      <w:pPr>
        <w:spacing w:after="0" w:line="152" w:lineRule="exact"/>
        <w:rPr>
          <w:sz w:val="20"/>
          <w:szCs w:val="20"/>
          <w:color w:val="auto"/>
        </w:rPr>
      </w:pPr>
    </w:p>
    <w:p>
      <w:pPr>
        <w:jc w:val="both"/>
        <w:ind w:right="40"/>
        <w:spacing w:after="0" w:line="250" w:lineRule="auto"/>
        <w:rPr>
          <w:sz w:val="20"/>
          <w:szCs w:val="20"/>
          <w:color w:val="auto"/>
        </w:rPr>
      </w:pPr>
      <w:r>
        <w:rPr>
          <w:rFonts w:ascii="Arial" w:cs="Arial" w:eastAsia="Arial" w:hAnsi="Arial"/>
          <w:sz w:val="16"/>
          <w:szCs w:val="16"/>
          <w:color w:val="auto"/>
        </w:rPr>
        <w:t>Under Rule 14a-8 of the Exchange Act, certain shareholder proposals may be eligible to be included in the Company's 2021 proxy statement. Such shareholder proposals must be submitted, along with proof of ownership of the Company's Common Stock and other required materials, in accordance with Rule 14a-8(b) to the Company's Corporate Secretary at: Avnet, Inc., 2211 South 47th Street, Phoenix, Arizona 85034. All shareholder proposals submitted pursuant to Rule 14a-8 must be received by June 3, 2021.</w:t>
      </w:r>
    </w:p>
    <w:p>
      <w:pPr>
        <w:spacing w:after="0" w:line="156"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For information regarding how to nominate a Director for consideration by the Corporate Governance Committee, please see "Corporate Governance — Director Nominations" in this Proxy Statement.</w:t>
      </w:r>
    </w:p>
    <w:p>
      <w:pPr>
        <w:spacing w:after="0" w:line="137"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Alternatively, under the Company's By-laws, any shareholder wishing to appear at the 2021 Annual Meeting and submit a proposal or nominate a person as a Director candidate must submit the proposal or nomination to the Company's Corporate Secretary not earlier than May 4, 2021, and not later than June 3, 2021 and comply with the requirements of the Company's By-laws. Any such shareholder proposal or Director nomination will not appear in the Company's proxy statement.</w:t>
      </w:r>
    </w:p>
    <w:p>
      <w:pPr>
        <w:spacing w:after="0" w:line="156"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The persons named as proxies in the proxy materials relating to the 2021 Annual Meeting will use their discretion in voting the proxies when these matters are raised at the meeting.</w:t>
      </w:r>
    </w:p>
    <w:p>
      <w:pPr>
        <w:spacing w:after="0" w:line="137"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If notice is received by the Company after June 3, 2021, then such notice will be considered untimely. The Company reserves the right to reject, rule out of order or take other appropriate action with respect to any proposal that does not comply with these and other applicable requirements.</w:t>
      </w:r>
    </w:p>
    <w:p>
      <w:pPr>
        <w:spacing w:after="0" w:line="108" w:lineRule="exact"/>
        <w:rPr>
          <w:sz w:val="20"/>
          <w:szCs w:val="20"/>
          <w:color w:val="auto"/>
        </w:rPr>
      </w:pPr>
    </w:p>
    <w:p>
      <w:pPr>
        <w:jc w:val="both"/>
        <w:ind w:left="10720"/>
        <w:spacing w:after="0"/>
        <w:tabs>
          <w:tab w:leader="none" w:pos="11060" w:val="left"/>
        </w:tabs>
        <w:rPr>
          <w:sz w:val="20"/>
          <w:szCs w:val="20"/>
          <w:color w:val="auto"/>
        </w:rPr>
      </w:pPr>
      <w:r>
        <w:rPr>
          <w:rFonts w:ascii="Arial" w:cs="Arial" w:eastAsia="Arial" w:hAnsi="Arial"/>
          <w:sz w:val="23"/>
          <w:szCs w:val="23"/>
          <w:b w:val="1"/>
          <w:bCs w:val="1"/>
          <w:color w:val="53C072"/>
        </w:rPr>
        <w:t>|</w:t>
      </w:r>
      <w:r>
        <w:rPr>
          <w:sz w:val="20"/>
          <w:szCs w:val="20"/>
          <w:color w:val="auto"/>
        </w:rPr>
        <w:tab/>
      </w: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7151370" cy="203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-130175</wp:posOffset>
            </wp:positionV>
            <wp:extent cx="1664970" cy="1231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b w:val="1"/>
          <w:bCs w:val="1"/>
          <w:color w:val="53C072"/>
        </w:rPr>
        <w:t>2020 ANNUAL</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118110</wp:posOffset>
            </wp:positionV>
            <wp:extent cx="7146290" cy="6858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6290" cy="685800"/>
                    </a:xfrm>
                    <a:prstGeom prst="rect">
                      <a:avLst/>
                    </a:prstGeom>
                    <a:noFill/>
                  </pic:spPr>
                </pic:pic>
              </a:graphicData>
            </a:graphic>
          </wp:anchor>
        </w:drawing>
      </w:r>
    </w:p>
    <w:p>
      <w:pPr>
        <w:spacing w:after="0" w:line="190" w:lineRule="exact"/>
        <w:rPr>
          <w:sz w:val="20"/>
          <w:szCs w:val="20"/>
          <w:color w:val="auto"/>
        </w:rPr>
      </w:pPr>
    </w:p>
    <w:p>
      <w:pPr>
        <w:jc w:val="center"/>
        <w:ind w:left="380" w:right="2580"/>
        <w:spacing w:after="0" w:line="272" w:lineRule="auto"/>
        <w:rPr>
          <w:sz w:val="20"/>
          <w:szCs w:val="20"/>
          <w:color w:val="auto"/>
        </w:rPr>
      </w:pPr>
      <w:r>
        <w:rPr>
          <w:rFonts w:ascii="Arial" w:cs="Arial" w:eastAsia="Arial" w:hAnsi="Arial"/>
          <w:sz w:val="29"/>
          <w:szCs w:val="29"/>
          <w:b w:val="1"/>
          <w:bCs w:val="1"/>
          <w:color w:val="FFFFFE"/>
        </w:rPr>
        <w:t>DELIVERY OF DOCUMENTS TO SHAREHOLDERS WITH SAME LAST NAME AND ADDRESS</w:t>
      </w:r>
    </w:p>
    <w:p>
      <w:pPr>
        <w:spacing w:after="0" w:line="100" w:lineRule="exact"/>
        <w:rPr>
          <w:sz w:val="20"/>
          <w:szCs w:val="20"/>
          <w:color w:val="auto"/>
        </w:rPr>
      </w:pPr>
    </w:p>
    <w:p>
      <w:pPr>
        <w:ind w:right="380"/>
        <w:spacing w:after="0" w:line="281" w:lineRule="auto"/>
        <w:rPr>
          <w:sz w:val="20"/>
          <w:szCs w:val="20"/>
          <w:color w:val="auto"/>
        </w:rPr>
      </w:pPr>
      <w:r>
        <w:rPr>
          <w:rFonts w:ascii="Arial" w:cs="Arial" w:eastAsia="Arial" w:hAnsi="Arial"/>
          <w:sz w:val="15"/>
          <w:szCs w:val="15"/>
          <w:color w:val="auto"/>
        </w:rPr>
        <w:t>Pursuant to SEC rules, the Company is sending only a single copy of its proxy materials or Notice of Availability of Proxy Materials, as applicable, to shareholders who share the same last name and address, unless they have notified the Company that they want to continue receiving multiple copies. This practice, known as "householding," is designed to reduce duplicate mailings and save significant printing and postage costs as well as natural resources.</w:t>
      </w:r>
    </w:p>
    <w:p>
      <w:pPr>
        <w:spacing w:after="0" w:line="135"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Householding for bank and brokerage accounts is limited to accounts within the same bank or brokerage firm. For example, if you and your spouse share the same last name and address, and you and your spouse each have two accounts containing the Company's Common Stock at two different brokerage firms, your household will receive two copies of the Company's proxy materials, one from each brokerage firm.</w:t>
      </w:r>
    </w:p>
    <w:p>
      <w:pPr>
        <w:spacing w:after="0" w:line="15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If you received a householded mailing this year and you would like to have separate proxy materials mailed to you, or you would like to opt out of this practice for future mailings, please submit your request to Investor Relations by mail to Investor Relations, 2211 South 47th Street, Phoenix, Arizona 85034 or by email to investorrelations@avnet.com. Similarly, you may also contact the Company if you received multiple copies of the proxy materials and would prefer to receive a single copy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109855</wp:posOffset>
            </wp:positionV>
            <wp:extent cx="7146290" cy="2546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6290" cy="254635"/>
                    </a:xfrm>
                    <a:prstGeom prst="rect">
                      <a:avLst/>
                    </a:prstGeom>
                    <a:noFill/>
                  </pic:spPr>
                </pic:pic>
              </a:graphicData>
            </a:graphic>
          </wp:anchor>
        </w:drawing>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FFFFFE"/>
        </w:rPr>
        <w:t>GENERAL</w:t>
      </w:r>
    </w:p>
    <w:p>
      <w:pPr>
        <w:spacing w:after="0" w:line="220"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Upon written request of any shareholder entitled to receive this Proxy Statement, the Company will provide, without charge, a copy of its Annual Report on Form 10-K, including the consolidated financial statements, the notes thereto and financial statement schedules, as filed with the SEC. Any such request should be addressed to the Corporate Secretary, Avnet, Inc., 2211 South 47th Street, Phoenix, Arizona 85034. This request must include a representation by the shareholder that as of September 18, 2020, the shareholder is entitled to vote at the Annual Meeting.</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PLEASE SIGN, DATE AND MAIL YOUR PROXY NOW</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OR SUBMIT YOUR PROXY BY TELEPHONE OR THE INTERNET.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i w:val="1"/>
          <w:iCs w:val="1"/>
          <w:color w:val="auto"/>
        </w:rPr>
        <w:t>THE COMPANY APPRECIATES YOUR PROMPT RESPONSE!</w:t>
      </w:r>
    </w:p>
    <w:p>
      <w:pPr>
        <w:spacing w:after="0" w:line="213"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23"/>
          <w:szCs w:val="23"/>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118745</wp:posOffset>
            </wp:positionV>
            <wp:extent cx="7151370" cy="203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-163195</wp:posOffset>
            </wp:positionV>
            <wp:extent cx="1664970" cy="1231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b w:val="1"/>
          <w:bCs w:val="1"/>
          <w:color w:val="53C072"/>
        </w:rPr>
        <w:t>2020 ANNUAL</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118110</wp:posOffset>
            </wp:positionV>
            <wp:extent cx="7146290" cy="2546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6290" cy="254635"/>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FFFE"/>
        </w:rPr>
        <w:t>APPENDIX A</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53C072"/>
        </w:rPr>
        <w:t>RECONCILIATION OF NON-GAAP MEASURES</w:t>
      </w:r>
    </w:p>
    <w:p>
      <w:pPr>
        <w:spacing w:after="0" w:line="209" w:lineRule="exact"/>
        <w:rPr>
          <w:sz w:val="20"/>
          <w:szCs w:val="20"/>
          <w:color w:val="auto"/>
        </w:rPr>
      </w:pPr>
    </w:p>
    <w:p>
      <w:pPr>
        <w:ind w:right="660"/>
        <w:spacing w:after="0" w:line="275" w:lineRule="auto"/>
        <w:rPr>
          <w:sz w:val="20"/>
          <w:szCs w:val="20"/>
          <w:color w:val="auto"/>
        </w:rPr>
      </w:pPr>
      <w:r>
        <w:rPr>
          <w:rFonts w:ascii="Arial" w:cs="Arial" w:eastAsia="Arial" w:hAnsi="Arial"/>
          <w:sz w:val="16"/>
          <w:szCs w:val="16"/>
          <w:color w:val="auto"/>
        </w:rPr>
        <w:t>The table below presents a reconciliation of each non-GAAP financial measure included in this Proxy Statement to the most comparable GAAP financial measure for the fiscal years 2020 through 2018.</w:t>
      </w:r>
    </w:p>
    <w:p>
      <w:pPr>
        <w:spacing w:after="0" w:line="154" w:lineRule="exact"/>
        <w:rPr>
          <w:sz w:val="20"/>
          <w:szCs w:val="20"/>
          <w:color w:val="auto"/>
        </w:rPr>
      </w:pPr>
    </w:p>
    <w:tbl>
      <w:tblPr>
        <w:tblLayout w:type="fixed"/>
        <w:tblInd w:w="1340" w:type="dxa"/>
        <w:tblCellMar>
          <w:top w:w="0" w:type="dxa"/>
          <w:left w:w="0" w:type="dxa"/>
          <w:bottom w:w="0" w:type="dxa"/>
          <w:right w:w="0" w:type="dxa"/>
        </w:tblCellMar>
      </w:tblPr>
      <w:tr>
        <w:trPr>
          <w:trHeight w:val="194"/>
        </w:trPr>
        <w:tc>
          <w:tcPr>
            <w:tcW w:w="4940" w:type="dxa"/>
            <w:vAlign w:val="bottom"/>
            <w:shd w:val="clear" w:color="auto" w:fill="53C072"/>
          </w:tcPr>
          <w:p>
            <w:pPr>
              <w:spacing w:after="0"/>
              <w:rPr>
                <w:sz w:val="16"/>
                <w:szCs w:val="16"/>
                <w:color w:val="auto"/>
              </w:rPr>
            </w:pPr>
          </w:p>
        </w:tc>
        <w:tc>
          <w:tcPr>
            <w:tcW w:w="100" w:type="dxa"/>
            <w:vAlign w:val="bottom"/>
            <w:shd w:val="clear" w:color="auto" w:fill="53C072"/>
          </w:tcPr>
          <w:p>
            <w:pPr>
              <w:spacing w:after="0"/>
              <w:rPr>
                <w:sz w:val="16"/>
                <w:szCs w:val="16"/>
                <w:color w:val="auto"/>
              </w:rPr>
            </w:pPr>
          </w:p>
        </w:tc>
        <w:tc>
          <w:tcPr>
            <w:tcW w:w="60" w:type="dxa"/>
            <w:vAlign w:val="bottom"/>
            <w:shd w:val="clear" w:color="auto" w:fill="53C072"/>
          </w:tcPr>
          <w:p>
            <w:pPr>
              <w:spacing w:after="0"/>
              <w:rPr>
                <w:sz w:val="16"/>
                <w:szCs w:val="16"/>
                <w:color w:val="auto"/>
              </w:rPr>
            </w:pPr>
          </w:p>
        </w:tc>
        <w:tc>
          <w:tcPr>
            <w:tcW w:w="100" w:type="dxa"/>
            <w:vAlign w:val="bottom"/>
            <w:shd w:val="clear" w:color="auto" w:fill="53C072"/>
          </w:tcPr>
          <w:p>
            <w:pPr>
              <w:spacing w:after="0"/>
              <w:rPr>
                <w:sz w:val="16"/>
                <w:szCs w:val="16"/>
                <w:color w:val="auto"/>
              </w:rPr>
            </w:pPr>
          </w:p>
        </w:tc>
        <w:tc>
          <w:tcPr>
            <w:tcW w:w="2100" w:type="dxa"/>
            <w:vAlign w:val="bottom"/>
            <w:gridSpan w:val="4"/>
            <w:shd w:val="clear" w:color="auto" w:fill="53C072"/>
          </w:tcPr>
          <w:p>
            <w:pPr>
              <w:jc w:val="center"/>
              <w:ind w:right="41"/>
              <w:spacing w:after="0"/>
              <w:rPr>
                <w:sz w:val="20"/>
                <w:szCs w:val="20"/>
                <w:color w:val="auto"/>
              </w:rPr>
            </w:pPr>
            <w:r>
              <w:rPr>
                <w:rFonts w:ascii="Arial" w:cs="Arial" w:eastAsia="Arial" w:hAnsi="Arial"/>
                <w:sz w:val="16"/>
                <w:szCs w:val="16"/>
                <w:b w:val="1"/>
                <w:bCs w:val="1"/>
                <w:color w:val="FFFFFE"/>
                <w:w w:val="97"/>
              </w:rPr>
              <w:t>Fiscal Year 2020</w:t>
            </w:r>
          </w:p>
        </w:tc>
        <w:tc>
          <w:tcPr>
            <w:tcW w:w="140" w:type="dxa"/>
            <w:vAlign w:val="bottom"/>
            <w:shd w:val="clear" w:color="auto" w:fill="53C072"/>
          </w:tcPr>
          <w:p>
            <w:pPr>
              <w:spacing w:after="0"/>
              <w:rPr>
                <w:sz w:val="16"/>
                <w:szCs w:val="16"/>
                <w:color w:val="auto"/>
              </w:rPr>
            </w:pPr>
          </w:p>
        </w:tc>
        <w:tc>
          <w:tcPr>
            <w:tcW w:w="860" w:type="dxa"/>
            <w:vAlign w:val="bottom"/>
            <w:vMerge w:val="restart"/>
            <w:shd w:val="clear" w:color="auto" w:fill="53C072"/>
          </w:tcPr>
          <w:p>
            <w:pPr>
              <w:jc w:val="center"/>
              <w:spacing w:after="0"/>
              <w:rPr>
                <w:sz w:val="20"/>
                <w:szCs w:val="20"/>
                <w:color w:val="auto"/>
              </w:rPr>
            </w:pPr>
            <w:r>
              <w:rPr>
                <w:rFonts w:ascii="Arial" w:cs="Arial" w:eastAsia="Arial" w:hAnsi="Arial"/>
                <w:sz w:val="16"/>
                <w:szCs w:val="16"/>
                <w:b w:val="1"/>
                <w:bCs w:val="1"/>
                <w:color w:val="FFFFFE"/>
                <w:w w:val="99"/>
              </w:rPr>
              <w:t>Diluted</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940" w:type="dxa"/>
            <w:vAlign w:val="bottom"/>
            <w:tcBorders>
              <w:top w:val="single" w:sz="8" w:color="53C072"/>
            </w:tcBorders>
            <w:shd w:val="clear" w:color="auto" w:fill="53C072"/>
          </w:tcPr>
          <w:p>
            <w:pPr>
              <w:spacing w:after="0"/>
              <w:rPr>
                <w:sz w:val="13"/>
                <w:szCs w:val="13"/>
                <w:color w:val="auto"/>
              </w:rPr>
            </w:pPr>
          </w:p>
        </w:tc>
        <w:tc>
          <w:tcPr>
            <w:tcW w:w="100" w:type="dxa"/>
            <w:vAlign w:val="bottom"/>
            <w:tcBorders>
              <w:top w:val="single" w:sz="8" w:color="53C072"/>
            </w:tcBorders>
            <w:shd w:val="clear" w:color="auto" w:fill="53C072"/>
          </w:tcPr>
          <w:p>
            <w:pPr>
              <w:spacing w:after="0"/>
              <w:rPr>
                <w:sz w:val="13"/>
                <w:szCs w:val="13"/>
                <w:color w:val="auto"/>
              </w:rPr>
            </w:pPr>
          </w:p>
        </w:tc>
        <w:tc>
          <w:tcPr>
            <w:tcW w:w="60" w:type="dxa"/>
            <w:vAlign w:val="bottom"/>
            <w:tcBorders>
              <w:top w:val="single" w:sz="8" w:color="53C072"/>
            </w:tcBorders>
            <w:shd w:val="clear" w:color="auto" w:fill="53C072"/>
          </w:tcPr>
          <w:p>
            <w:pPr>
              <w:spacing w:after="0"/>
              <w:rPr>
                <w:sz w:val="13"/>
                <w:szCs w:val="13"/>
                <w:color w:val="auto"/>
              </w:rPr>
            </w:pPr>
          </w:p>
        </w:tc>
        <w:tc>
          <w:tcPr>
            <w:tcW w:w="100" w:type="dxa"/>
            <w:vAlign w:val="bottom"/>
            <w:tcBorders>
              <w:top w:val="single" w:sz="8" w:color="auto"/>
            </w:tcBorders>
            <w:shd w:val="clear" w:color="auto" w:fill="53C072"/>
          </w:tcPr>
          <w:p>
            <w:pPr>
              <w:spacing w:after="0"/>
              <w:rPr>
                <w:sz w:val="13"/>
                <w:szCs w:val="13"/>
                <w:color w:val="auto"/>
              </w:rPr>
            </w:pPr>
          </w:p>
        </w:tc>
        <w:tc>
          <w:tcPr>
            <w:tcW w:w="920" w:type="dxa"/>
            <w:vAlign w:val="bottom"/>
            <w:tcBorders>
              <w:top w:val="single" w:sz="8" w:color="auto"/>
            </w:tcBorders>
            <w:shd w:val="clear" w:color="auto" w:fill="53C072"/>
          </w:tcPr>
          <w:p>
            <w:pPr>
              <w:spacing w:after="0"/>
              <w:rPr>
                <w:sz w:val="13"/>
                <w:szCs w:val="13"/>
                <w:color w:val="auto"/>
              </w:rPr>
            </w:pPr>
          </w:p>
        </w:tc>
        <w:tc>
          <w:tcPr>
            <w:tcW w:w="180" w:type="dxa"/>
            <w:vAlign w:val="bottom"/>
            <w:tcBorders>
              <w:top w:val="single" w:sz="8" w:color="auto"/>
            </w:tcBorders>
            <w:shd w:val="clear" w:color="auto" w:fill="53C072"/>
          </w:tcPr>
          <w:p>
            <w:pPr>
              <w:spacing w:after="0"/>
              <w:rPr>
                <w:sz w:val="13"/>
                <w:szCs w:val="13"/>
                <w:color w:val="auto"/>
              </w:rPr>
            </w:pPr>
          </w:p>
        </w:tc>
        <w:tc>
          <w:tcPr>
            <w:tcW w:w="860" w:type="dxa"/>
            <w:vAlign w:val="bottom"/>
            <w:tcBorders>
              <w:top w:val="single" w:sz="8" w:color="auto"/>
            </w:tcBorders>
            <w:shd w:val="clear" w:color="auto" w:fill="53C072"/>
          </w:tcPr>
          <w:p>
            <w:pPr>
              <w:spacing w:after="0"/>
              <w:rPr>
                <w:sz w:val="13"/>
                <w:szCs w:val="13"/>
                <w:color w:val="auto"/>
              </w:rPr>
            </w:pPr>
          </w:p>
        </w:tc>
        <w:tc>
          <w:tcPr>
            <w:tcW w:w="140" w:type="dxa"/>
            <w:vAlign w:val="bottom"/>
            <w:tcBorders>
              <w:top w:val="single" w:sz="8" w:color="53C072"/>
            </w:tcBorders>
            <w:shd w:val="clear" w:color="auto" w:fill="53C072"/>
          </w:tcPr>
          <w:p>
            <w:pPr>
              <w:spacing w:after="0"/>
              <w:rPr>
                <w:sz w:val="13"/>
                <w:szCs w:val="13"/>
                <w:color w:val="auto"/>
              </w:rPr>
            </w:pPr>
          </w:p>
        </w:tc>
        <w:tc>
          <w:tcPr>
            <w:tcW w:w="140" w:type="dxa"/>
            <w:vAlign w:val="bottom"/>
            <w:tcBorders>
              <w:top w:val="single" w:sz="8" w:color="53C072"/>
            </w:tcBorders>
            <w:shd w:val="clear" w:color="auto" w:fill="53C072"/>
          </w:tcPr>
          <w:p>
            <w:pPr>
              <w:spacing w:after="0"/>
              <w:rPr>
                <w:sz w:val="13"/>
                <w:szCs w:val="13"/>
                <w:color w:val="auto"/>
              </w:rPr>
            </w:pPr>
          </w:p>
        </w:tc>
        <w:tc>
          <w:tcPr>
            <w:tcW w:w="860" w:type="dxa"/>
            <w:vAlign w:val="bottom"/>
            <w:tcBorders>
              <w:top w:val="single" w:sz="8" w:color="53C072"/>
            </w:tcBorders>
            <w:vMerge w:val="continue"/>
            <w:shd w:val="clear" w:color="auto" w:fill="53C07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940" w:type="dxa"/>
            <w:vAlign w:val="bottom"/>
            <w:shd w:val="clear" w:color="auto" w:fill="53C072"/>
          </w:tcPr>
          <w:p>
            <w:pPr>
              <w:spacing w:after="0"/>
              <w:rPr>
                <w:sz w:val="15"/>
                <w:szCs w:val="15"/>
                <w:color w:val="auto"/>
              </w:rPr>
            </w:pPr>
          </w:p>
        </w:tc>
        <w:tc>
          <w:tcPr>
            <w:tcW w:w="100" w:type="dxa"/>
            <w:vAlign w:val="bottom"/>
            <w:shd w:val="clear" w:color="auto" w:fill="53C072"/>
          </w:tcPr>
          <w:p>
            <w:pPr>
              <w:spacing w:after="0"/>
              <w:rPr>
                <w:sz w:val="15"/>
                <w:szCs w:val="15"/>
                <w:color w:val="auto"/>
              </w:rPr>
            </w:pPr>
          </w:p>
        </w:tc>
        <w:tc>
          <w:tcPr>
            <w:tcW w:w="60" w:type="dxa"/>
            <w:vAlign w:val="bottom"/>
            <w:shd w:val="clear" w:color="auto" w:fill="53C072"/>
          </w:tcPr>
          <w:p>
            <w:pPr>
              <w:spacing w:after="0"/>
              <w:rPr>
                <w:sz w:val="15"/>
                <w:szCs w:val="15"/>
                <w:color w:val="auto"/>
              </w:rPr>
            </w:pPr>
          </w:p>
        </w:tc>
        <w:tc>
          <w:tcPr>
            <w:tcW w:w="100" w:type="dxa"/>
            <w:vAlign w:val="bottom"/>
            <w:shd w:val="clear" w:color="auto" w:fill="53C072"/>
          </w:tcPr>
          <w:p>
            <w:pPr>
              <w:spacing w:after="0"/>
              <w:rPr>
                <w:sz w:val="15"/>
                <w:szCs w:val="15"/>
                <w:color w:val="auto"/>
              </w:rPr>
            </w:pPr>
          </w:p>
        </w:tc>
        <w:tc>
          <w:tcPr>
            <w:tcW w:w="920" w:type="dxa"/>
            <w:vAlign w:val="bottom"/>
            <w:shd w:val="clear" w:color="auto" w:fill="53C072"/>
          </w:tcPr>
          <w:p>
            <w:pPr>
              <w:spacing w:after="0"/>
              <w:rPr>
                <w:sz w:val="15"/>
                <w:szCs w:val="15"/>
                <w:color w:val="auto"/>
              </w:rPr>
            </w:pPr>
          </w:p>
        </w:tc>
        <w:tc>
          <w:tcPr>
            <w:tcW w:w="180" w:type="dxa"/>
            <w:vAlign w:val="bottom"/>
            <w:shd w:val="clear" w:color="auto" w:fill="53C072"/>
          </w:tcPr>
          <w:p>
            <w:pPr>
              <w:spacing w:after="0"/>
              <w:rPr>
                <w:sz w:val="15"/>
                <w:szCs w:val="15"/>
                <w:color w:val="auto"/>
              </w:rPr>
            </w:pPr>
          </w:p>
        </w:tc>
        <w:tc>
          <w:tcPr>
            <w:tcW w:w="860" w:type="dxa"/>
            <w:vAlign w:val="bottom"/>
            <w:shd w:val="clear" w:color="auto" w:fill="53C072"/>
          </w:tcPr>
          <w:p>
            <w:pPr>
              <w:spacing w:after="0"/>
              <w:rPr>
                <w:sz w:val="15"/>
                <w:szCs w:val="15"/>
                <w:color w:val="auto"/>
              </w:rPr>
            </w:pPr>
          </w:p>
        </w:tc>
        <w:tc>
          <w:tcPr>
            <w:tcW w:w="140" w:type="dxa"/>
            <w:vAlign w:val="bottom"/>
            <w:shd w:val="clear" w:color="auto" w:fill="53C072"/>
          </w:tcPr>
          <w:p>
            <w:pPr>
              <w:spacing w:after="0"/>
              <w:rPr>
                <w:sz w:val="15"/>
                <w:szCs w:val="15"/>
                <w:color w:val="auto"/>
              </w:rPr>
            </w:pPr>
          </w:p>
        </w:tc>
        <w:tc>
          <w:tcPr>
            <w:tcW w:w="140" w:type="dxa"/>
            <w:vAlign w:val="bottom"/>
            <w:shd w:val="clear" w:color="auto" w:fill="53C072"/>
          </w:tcPr>
          <w:p>
            <w:pPr>
              <w:spacing w:after="0"/>
              <w:rPr>
                <w:sz w:val="15"/>
                <w:szCs w:val="15"/>
                <w:color w:val="auto"/>
              </w:rPr>
            </w:pPr>
          </w:p>
        </w:tc>
        <w:tc>
          <w:tcPr>
            <w:tcW w:w="860" w:type="dxa"/>
            <w:vAlign w:val="bottom"/>
            <w:shd w:val="clear" w:color="auto" w:fill="53C072"/>
          </w:tcPr>
          <w:p>
            <w:pPr>
              <w:jc w:val="center"/>
              <w:spacing w:after="0" w:line="182" w:lineRule="exact"/>
              <w:rPr>
                <w:sz w:val="20"/>
                <w:szCs w:val="20"/>
                <w:color w:val="auto"/>
              </w:rPr>
            </w:pPr>
            <w:r>
              <w:rPr>
                <w:rFonts w:ascii="Arial" w:cs="Arial" w:eastAsia="Arial" w:hAnsi="Arial"/>
                <w:sz w:val="16"/>
                <w:szCs w:val="16"/>
                <w:b w:val="1"/>
                <w:bCs w:val="1"/>
                <w:color w:val="FFFFFE"/>
                <w:w w:val="99"/>
              </w:rPr>
              <w:t>(Loss)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40" w:type="dxa"/>
            <w:vAlign w:val="bottom"/>
            <w:shd w:val="clear" w:color="auto" w:fill="53C072"/>
          </w:tcPr>
          <w:p>
            <w:pPr>
              <w:spacing w:after="0"/>
              <w:rPr>
                <w:sz w:val="15"/>
                <w:szCs w:val="15"/>
                <w:color w:val="auto"/>
              </w:rPr>
            </w:pPr>
          </w:p>
        </w:tc>
        <w:tc>
          <w:tcPr>
            <w:tcW w:w="100" w:type="dxa"/>
            <w:vAlign w:val="bottom"/>
            <w:shd w:val="clear" w:color="auto" w:fill="53C072"/>
          </w:tcPr>
          <w:p>
            <w:pPr>
              <w:spacing w:after="0"/>
              <w:rPr>
                <w:sz w:val="15"/>
                <w:szCs w:val="15"/>
                <w:color w:val="auto"/>
              </w:rPr>
            </w:pPr>
          </w:p>
        </w:tc>
        <w:tc>
          <w:tcPr>
            <w:tcW w:w="60" w:type="dxa"/>
            <w:vAlign w:val="bottom"/>
            <w:shd w:val="clear" w:color="auto" w:fill="53C072"/>
          </w:tcPr>
          <w:p>
            <w:pPr>
              <w:spacing w:after="0"/>
              <w:rPr>
                <w:sz w:val="15"/>
                <w:szCs w:val="15"/>
                <w:color w:val="auto"/>
              </w:rPr>
            </w:pPr>
          </w:p>
        </w:tc>
        <w:tc>
          <w:tcPr>
            <w:tcW w:w="100" w:type="dxa"/>
            <w:vAlign w:val="bottom"/>
            <w:shd w:val="clear" w:color="auto" w:fill="53C072"/>
          </w:tcPr>
          <w:p>
            <w:pPr>
              <w:spacing w:after="0"/>
              <w:rPr>
                <w:sz w:val="15"/>
                <w:szCs w:val="15"/>
                <w:color w:val="auto"/>
              </w:rPr>
            </w:pPr>
          </w:p>
        </w:tc>
        <w:tc>
          <w:tcPr>
            <w:tcW w:w="920" w:type="dxa"/>
            <w:vAlign w:val="bottom"/>
            <w:shd w:val="clear" w:color="auto" w:fill="53C072"/>
          </w:tcPr>
          <w:p>
            <w:pPr>
              <w:spacing w:after="0"/>
              <w:rPr>
                <w:sz w:val="15"/>
                <w:szCs w:val="15"/>
                <w:color w:val="auto"/>
              </w:rPr>
            </w:pPr>
          </w:p>
        </w:tc>
        <w:tc>
          <w:tcPr>
            <w:tcW w:w="180" w:type="dxa"/>
            <w:vAlign w:val="bottom"/>
            <w:shd w:val="clear" w:color="auto" w:fill="53C072"/>
          </w:tcPr>
          <w:p>
            <w:pPr>
              <w:spacing w:after="0"/>
              <w:rPr>
                <w:sz w:val="15"/>
                <w:szCs w:val="15"/>
                <w:color w:val="auto"/>
              </w:rPr>
            </w:pPr>
          </w:p>
        </w:tc>
        <w:tc>
          <w:tcPr>
            <w:tcW w:w="860" w:type="dxa"/>
            <w:vAlign w:val="bottom"/>
            <w:shd w:val="clear" w:color="auto" w:fill="53C072"/>
          </w:tcPr>
          <w:p>
            <w:pPr>
              <w:jc w:val="center"/>
              <w:spacing w:after="0" w:line="182" w:lineRule="exact"/>
              <w:rPr>
                <w:sz w:val="20"/>
                <w:szCs w:val="20"/>
                <w:color w:val="auto"/>
              </w:rPr>
            </w:pPr>
            <w:r>
              <w:rPr>
                <w:rFonts w:ascii="Arial" w:cs="Arial" w:eastAsia="Arial" w:hAnsi="Arial"/>
                <w:sz w:val="16"/>
                <w:szCs w:val="16"/>
                <w:b w:val="1"/>
                <w:bCs w:val="1"/>
                <w:color w:val="FFFFFE"/>
              </w:rPr>
              <w:t>Loss</w:t>
            </w:r>
          </w:p>
        </w:tc>
        <w:tc>
          <w:tcPr>
            <w:tcW w:w="140" w:type="dxa"/>
            <w:vAlign w:val="bottom"/>
            <w:shd w:val="clear" w:color="auto" w:fill="53C072"/>
          </w:tcPr>
          <w:p>
            <w:pPr>
              <w:spacing w:after="0"/>
              <w:rPr>
                <w:sz w:val="15"/>
                <w:szCs w:val="15"/>
                <w:color w:val="auto"/>
              </w:rPr>
            </w:pPr>
          </w:p>
        </w:tc>
        <w:tc>
          <w:tcPr>
            <w:tcW w:w="140" w:type="dxa"/>
            <w:vAlign w:val="bottom"/>
            <w:shd w:val="clear" w:color="auto" w:fill="53C072"/>
          </w:tcPr>
          <w:p>
            <w:pPr>
              <w:spacing w:after="0"/>
              <w:rPr>
                <w:sz w:val="15"/>
                <w:szCs w:val="15"/>
                <w:color w:val="auto"/>
              </w:rPr>
            </w:pPr>
          </w:p>
        </w:tc>
        <w:tc>
          <w:tcPr>
            <w:tcW w:w="860" w:type="dxa"/>
            <w:vAlign w:val="bottom"/>
            <w:shd w:val="clear" w:color="auto" w:fill="53C072"/>
          </w:tcPr>
          <w:p>
            <w:pPr>
              <w:jc w:val="center"/>
              <w:spacing w:after="0" w:line="182" w:lineRule="exact"/>
              <w:rPr>
                <w:sz w:val="20"/>
                <w:szCs w:val="20"/>
                <w:color w:val="auto"/>
              </w:rPr>
            </w:pPr>
            <w:r>
              <w:rPr>
                <w:rFonts w:ascii="Arial" w:cs="Arial" w:eastAsia="Arial" w:hAnsi="Arial"/>
                <w:sz w:val="16"/>
                <w:szCs w:val="16"/>
                <w:b w:val="1"/>
                <w:bCs w:val="1"/>
                <w:color w:val="FFFFFE"/>
                <w:w w:val="99"/>
              </w:rPr>
              <w:t>Earnings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40" w:type="dxa"/>
            <w:vAlign w:val="bottom"/>
            <w:shd w:val="clear" w:color="auto" w:fill="53C072"/>
          </w:tcPr>
          <w:p>
            <w:pPr>
              <w:spacing w:after="0"/>
              <w:rPr>
                <w:sz w:val="15"/>
                <w:szCs w:val="15"/>
                <w:color w:val="auto"/>
              </w:rPr>
            </w:pPr>
          </w:p>
        </w:tc>
        <w:tc>
          <w:tcPr>
            <w:tcW w:w="100" w:type="dxa"/>
            <w:vAlign w:val="bottom"/>
            <w:shd w:val="clear" w:color="auto" w:fill="53C072"/>
          </w:tcPr>
          <w:p>
            <w:pPr>
              <w:spacing w:after="0"/>
              <w:rPr>
                <w:sz w:val="15"/>
                <w:szCs w:val="15"/>
                <w:color w:val="auto"/>
              </w:rPr>
            </w:pPr>
          </w:p>
        </w:tc>
        <w:tc>
          <w:tcPr>
            <w:tcW w:w="60" w:type="dxa"/>
            <w:vAlign w:val="bottom"/>
            <w:shd w:val="clear" w:color="auto" w:fill="53C072"/>
          </w:tcPr>
          <w:p>
            <w:pPr>
              <w:spacing w:after="0"/>
              <w:rPr>
                <w:sz w:val="15"/>
                <w:szCs w:val="15"/>
                <w:color w:val="auto"/>
              </w:rPr>
            </w:pPr>
          </w:p>
        </w:tc>
        <w:tc>
          <w:tcPr>
            <w:tcW w:w="100" w:type="dxa"/>
            <w:vAlign w:val="bottom"/>
            <w:shd w:val="clear" w:color="auto" w:fill="53C072"/>
          </w:tcPr>
          <w:p>
            <w:pPr>
              <w:spacing w:after="0"/>
              <w:rPr>
                <w:sz w:val="15"/>
                <w:szCs w:val="15"/>
                <w:color w:val="auto"/>
              </w:rPr>
            </w:pPr>
          </w:p>
        </w:tc>
        <w:tc>
          <w:tcPr>
            <w:tcW w:w="920" w:type="dxa"/>
            <w:vAlign w:val="bottom"/>
            <w:shd w:val="clear" w:color="auto" w:fill="53C072"/>
          </w:tcPr>
          <w:p>
            <w:pPr>
              <w:spacing w:after="0"/>
              <w:rPr>
                <w:sz w:val="15"/>
                <w:szCs w:val="15"/>
                <w:color w:val="auto"/>
              </w:rPr>
            </w:pPr>
          </w:p>
        </w:tc>
        <w:tc>
          <w:tcPr>
            <w:tcW w:w="180" w:type="dxa"/>
            <w:vAlign w:val="bottom"/>
            <w:shd w:val="clear" w:color="auto" w:fill="53C072"/>
          </w:tcPr>
          <w:p>
            <w:pPr>
              <w:spacing w:after="0"/>
              <w:rPr>
                <w:sz w:val="15"/>
                <w:szCs w:val="15"/>
                <w:color w:val="auto"/>
              </w:rPr>
            </w:pPr>
          </w:p>
        </w:tc>
        <w:tc>
          <w:tcPr>
            <w:tcW w:w="860" w:type="dxa"/>
            <w:vAlign w:val="bottom"/>
            <w:shd w:val="clear" w:color="auto" w:fill="53C072"/>
          </w:tcPr>
          <w:p>
            <w:pPr>
              <w:jc w:val="center"/>
              <w:spacing w:after="0" w:line="182" w:lineRule="exact"/>
              <w:rPr>
                <w:sz w:val="20"/>
                <w:szCs w:val="20"/>
                <w:color w:val="auto"/>
              </w:rPr>
            </w:pPr>
            <w:r>
              <w:rPr>
                <w:rFonts w:ascii="Arial" w:cs="Arial" w:eastAsia="Arial" w:hAnsi="Arial"/>
                <w:sz w:val="16"/>
                <w:szCs w:val="16"/>
                <w:b w:val="1"/>
                <w:bCs w:val="1"/>
                <w:color w:val="FFFFFE"/>
                <w:w w:val="95"/>
              </w:rPr>
              <w:t>from</w:t>
            </w:r>
          </w:p>
        </w:tc>
        <w:tc>
          <w:tcPr>
            <w:tcW w:w="140" w:type="dxa"/>
            <w:vAlign w:val="bottom"/>
            <w:shd w:val="clear" w:color="auto" w:fill="53C072"/>
          </w:tcPr>
          <w:p>
            <w:pPr>
              <w:spacing w:after="0"/>
              <w:rPr>
                <w:sz w:val="15"/>
                <w:szCs w:val="15"/>
                <w:color w:val="auto"/>
              </w:rPr>
            </w:pPr>
          </w:p>
        </w:tc>
        <w:tc>
          <w:tcPr>
            <w:tcW w:w="140" w:type="dxa"/>
            <w:vAlign w:val="bottom"/>
            <w:shd w:val="clear" w:color="auto" w:fill="53C072"/>
          </w:tcPr>
          <w:p>
            <w:pPr>
              <w:spacing w:after="0"/>
              <w:rPr>
                <w:sz w:val="15"/>
                <w:szCs w:val="15"/>
                <w:color w:val="auto"/>
              </w:rPr>
            </w:pPr>
          </w:p>
        </w:tc>
        <w:tc>
          <w:tcPr>
            <w:tcW w:w="860" w:type="dxa"/>
            <w:vAlign w:val="bottom"/>
            <w:shd w:val="clear" w:color="auto" w:fill="53C072"/>
          </w:tcPr>
          <w:p>
            <w:pPr>
              <w:jc w:val="center"/>
              <w:spacing w:after="0" w:line="182" w:lineRule="exact"/>
              <w:rPr>
                <w:sz w:val="20"/>
                <w:szCs w:val="20"/>
                <w:color w:val="auto"/>
              </w:rPr>
            </w:pPr>
            <w:r>
              <w:rPr>
                <w:rFonts w:ascii="Arial" w:cs="Arial" w:eastAsia="Arial" w:hAnsi="Arial"/>
                <w:sz w:val="16"/>
                <w:szCs w:val="16"/>
                <w:b w:val="1"/>
                <w:bCs w:val="1"/>
                <w:color w:val="FFFFFE"/>
                <w:w w:val="98"/>
              </w:rPr>
              <w:t>Per Share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40" w:type="dxa"/>
            <w:vAlign w:val="bottom"/>
            <w:shd w:val="clear" w:color="auto" w:fill="53C072"/>
          </w:tcPr>
          <w:p>
            <w:pPr>
              <w:spacing w:after="0"/>
              <w:rPr>
                <w:sz w:val="15"/>
                <w:szCs w:val="15"/>
                <w:color w:val="auto"/>
              </w:rPr>
            </w:pPr>
          </w:p>
        </w:tc>
        <w:tc>
          <w:tcPr>
            <w:tcW w:w="100" w:type="dxa"/>
            <w:vAlign w:val="bottom"/>
            <w:shd w:val="clear" w:color="auto" w:fill="53C072"/>
          </w:tcPr>
          <w:p>
            <w:pPr>
              <w:spacing w:after="0"/>
              <w:rPr>
                <w:sz w:val="15"/>
                <w:szCs w:val="15"/>
                <w:color w:val="auto"/>
              </w:rPr>
            </w:pPr>
          </w:p>
        </w:tc>
        <w:tc>
          <w:tcPr>
            <w:tcW w:w="60" w:type="dxa"/>
            <w:vAlign w:val="bottom"/>
            <w:shd w:val="clear" w:color="auto" w:fill="53C072"/>
          </w:tcPr>
          <w:p>
            <w:pPr>
              <w:spacing w:after="0"/>
              <w:rPr>
                <w:sz w:val="15"/>
                <w:szCs w:val="15"/>
                <w:color w:val="auto"/>
              </w:rPr>
            </w:pPr>
          </w:p>
        </w:tc>
        <w:tc>
          <w:tcPr>
            <w:tcW w:w="100" w:type="dxa"/>
            <w:vAlign w:val="bottom"/>
            <w:shd w:val="clear" w:color="auto" w:fill="53C072"/>
          </w:tcPr>
          <w:p>
            <w:pPr>
              <w:spacing w:after="0"/>
              <w:rPr>
                <w:sz w:val="15"/>
                <w:szCs w:val="15"/>
                <w:color w:val="auto"/>
              </w:rPr>
            </w:pPr>
          </w:p>
        </w:tc>
        <w:tc>
          <w:tcPr>
            <w:tcW w:w="920" w:type="dxa"/>
            <w:vAlign w:val="bottom"/>
            <w:shd w:val="clear" w:color="auto" w:fill="53C072"/>
          </w:tcPr>
          <w:p>
            <w:pPr>
              <w:spacing w:after="0"/>
              <w:rPr>
                <w:sz w:val="15"/>
                <w:szCs w:val="15"/>
                <w:color w:val="auto"/>
              </w:rPr>
            </w:pPr>
          </w:p>
        </w:tc>
        <w:tc>
          <w:tcPr>
            <w:tcW w:w="180" w:type="dxa"/>
            <w:vAlign w:val="bottom"/>
            <w:shd w:val="clear" w:color="auto" w:fill="53C072"/>
          </w:tcPr>
          <w:p>
            <w:pPr>
              <w:spacing w:after="0"/>
              <w:rPr>
                <w:sz w:val="15"/>
                <w:szCs w:val="15"/>
                <w:color w:val="auto"/>
              </w:rPr>
            </w:pPr>
          </w:p>
        </w:tc>
        <w:tc>
          <w:tcPr>
            <w:tcW w:w="860" w:type="dxa"/>
            <w:vAlign w:val="bottom"/>
            <w:shd w:val="clear" w:color="auto" w:fill="53C072"/>
          </w:tcPr>
          <w:p>
            <w:pPr>
              <w:jc w:val="center"/>
              <w:spacing w:after="0" w:line="182" w:lineRule="exact"/>
              <w:rPr>
                <w:sz w:val="20"/>
                <w:szCs w:val="20"/>
                <w:color w:val="auto"/>
              </w:rPr>
            </w:pPr>
            <w:r>
              <w:rPr>
                <w:rFonts w:ascii="Arial" w:cs="Arial" w:eastAsia="Arial" w:hAnsi="Arial"/>
                <w:sz w:val="16"/>
                <w:szCs w:val="16"/>
                <w:b w:val="1"/>
                <w:bCs w:val="1"/>
                <w:color w:val="FFFFFE"/>
                <w:w w:val="97"/>
              </w:rPr>
              <w:t>Continuing</w:t>
            </w:r>
          </w:p>
        </w:tc>
        <w:tc>
          <w:tcPr>
            <w:tcW w:w="140" w:type="dxa"/>
            <w:vAlign w:val="bottom"/>
            <w:shd w:val="clear" w:color="auto" w:fill="53C072"/>
          </w:tcPr>
          <w:p>
            <w:pPr>
              <w:spacing w:after="0"/>
              <w:rPr>
                <w:sz w:val="15"/>
                <w:szCs w:val="15"/>
                <w:color w:val="auto"/>
              </w:rPr>
            </w:pPr>
          </w:p>
        </w:tc>
        <w:tc>
          <w:tcPr>
            <w:tcW w:w="140" w:type="dxa"/>
            <w:vAlign w:val="bottom"/>
            <w:shd w:val="clear" w:color="auto" w:fill="53C072"/>
          </w:tcPr>
          <w:p>
            <w:pPr>
              <w:spacing w:after="0"/>
              <w:rPr>
                <w:sz w:val="15"/>
                <w:szCs w:val="15"/>
                <w:color w:val="auto"/>
              </w:rPr>
            </w:pPr>
          </w:p>
        </w:tc>
        <w:tc>
          <w:tcPr>
            <w:tcW w:w="860" w:type="dxa"/>
            <w:vAlign w:val="bottom"/>
            <w:shd w:val="clear" w:color="auto" w:fill="53C072"/>
          </w:tcPr>
          <w:p>
            <w:pPr>
              <w:jc w:val="center"/>
              <w:spacing w:after="0" w:line="182" w:lineRule="exact"/>
              <w:rPr>
                <w:sz w:val="20"/>
                <w:szCs w:val="20"/>
                <w:color w:val="auto"/>
              </w:rPr>
            </w:pPr>
            <w:r>
              <w:rPr>
                <w:rFonts w:ascii="Arial" w:cs="Arial" w:eastAsia="Arial" w:hAnsi="Arial"/>
                <w:sz w:val="16"/>
                <w:szCs w:val="16"/>
                <w:b w:val="1"/>
                <w:bCs w:val="1"/>
                <w:color w:val="FFFFFE"/>
              </w:rPr>
              <w:t>from</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40" w:type="dxa"/>
            <w:vAlign w:val="bottom"/>
            <w:shd w:val="clear" w:color="auto" w:fill="53C072"/>
          </w:tcPr>
          <w:p>
            <w:pPr>
              <w:spacing w:after="0"/>
              <w:rPr>
                <w:sz w:val="15"/>
                <w:szCs w:val="15"/>
                <w:color w:val="auto"/>
              </w:rPr>
            </w:pPr>
          </w:p>
        </w:tc>
        <w:tc>
          <w:tcPr>
            <w:tcW w:w="100" w:type="dxa"/>
            <w:vAlign w:val="bottom"/>
            <w:shd w:val="clear" w:color="auto" w:fill="53C072"/>
          </w:tcPr>
          <w:p>
            <w:pPr>
              <w:spacing w:after="0"/>
              <w:rPr>
                <w:sz w:val="15"/>
                <w:szCs w:val="15"/>
                <w:color w:val="auto"/>
              </w:rPr>
            </w:pPr>
          </w:p>
        </w:tc>
        <w:tc>
          <w:tcPr>
            <w:tcW w:w="60" w:type="dxa"/>
            <w:vAlign w:val="bottom"/>
            <w:shd w:val="clear" w:color="auto" w:fill="53C072"/>
          </w:tcPr>
          <w:p>
            <w:pPr>
              <w:spacing w:after="0"/>
              <w:rPr>
                <w:sz w:val="15"/>
                <w:szCs w:val="15"/>
                <w:color w:val="auto"/>
              </w:rPr>
            </w:pPr>
          </w:p>
        </w:tc>
        <w:tc>
          <w:tcPr>
            <w:tcW w:w="100" w:type="dxa"/>
            <w:vAlign w:val="bottom"/>
            <w:shd w:val="clear" w:color="auto" w:fill="53C072"/>
          </w:tcPr>
          <w:p>
            <w:pPr>
              <w:spacing w:after="0"/>
              <w:rPr>
                <w:sz w:val="15"/>
                <w:szCs w:val="15"/>
                <w:color w:val="auto"/>
              </w:rPr>
            </w:pPr>
          </w:p>
        </w:tc>
        <w:tc>
          <w:tcPr>
            <w:tcW w:w="920" w:type="dxa"/>
            <w:vAlign w:val="bottom"/>
            <w:shd w:val="clear" w:color="auto" w:fill="53C072"/>
          </w:tcPr>
          <w:p>
            <w:pPr>
              <w:jc w:val="right"/>
              <w:ind w:right="41"/>
              <w:spacing w:after="0" w:line="182" w:lineRule="exact"/>
              <w:rPr>
                <w:sz w:val="20"/>
                <w:szCs w:val="20"/>
                <w:color w:val="auto"/>
              </w:rPr>
            </w:pPr>
            <w:r>
              <w:rPr>
                <w:rFonts w:ascii="Arial" w:cs="Arial" w:eastAsia="Arial" w:hAnsi="Arial"/>
                <w:sz w:val="16"/>
                <w:szCs w:val="16"/>
                <w:b w:val="1"/>
                <w:bCs w:val="1"/>
                <w:color w:val="FFFFFE"/>
              </w:rPr>
              <w:t>Operating</w:t>
            </w:r>
          </w:p>
        </w:tc>
        <w:tc>
          <w:tcPr>
            <w:tcW w:w="180" w:type="dxa"/>
            <w:vAlign w:val="bottom"/>
            <w:shd w:val="clear" w:color="auto" w:fill="53C072"/>
          </w:tcPr>
          <w:p>
            <w:pPr>
              <w:spacing w:after="0"/>
              <w:rPr>
                <w:sz w:val="15"/>
                <w:szCs w:val="15"/>
                <w:color w:val="auto"/>
              </w:rPr>
            </w:pPr>
          </w:p>
        </w:tc>
        <w:tc>
          <w:tcPr>
            <w:tcW w:w="860" w:type="dxa"/>
            <w:vAlign w:val="bottom"/>
            <w:shd w:val="clear" w:color="auto" w:fill="53C072"/>
          </w:tcPr>
          <w:p>
            <w:pPr>
              <w:jc w:val="center"/>
              <w:spacing w:after="0" w:line="182" w:lineRule="exact"/>
              <w:rPr>
                <w:sz w:val="20"/>
                <w:szCs w:val="20"/>
                <w:color w:val="auto"/>
              </w:rPr>
            </w:pPr>
            <w:r>
              <w:rPr>
                <w:rFonts w:ascii="Arial" w:cs="Arial" w:eastAsia="Arial" w:hAnsi="Arial"/>
                <w:sz w:val="16"/>
                <w:szCs w:val="16"/>
                <w:b w:val="1"/>
                <w:bCs w:val="1"/>
                <w:color w:val="FFFFFE"/>
                <w:w w:val="97"/>
              </w:rPr>
              <w:t>Operations</w:t>
            </w:r>
          </w:p>
        </w:tc>
        <w:tc>
          <w:tcPr>
            <w:tcW w:w="140" w:type="dxa"/>
            <w:vAlign w:val="bottom"/>
            <w:shd w:val="clear" w:color="auto" w:fill="53C072"/>
          </w:tcPr>
          <w:p>
            <w:pPr>
              <w:spacing w:after="0"/>
              <w:rPr>
                <w:sz w:val="15"/>
                <w:szCs w:val="15"/>
                <w:color w:val="auto"/>
              </w:rPr>
            </w:pPr>
          </w:p>
        </w:tc>
        <w:tc>
          <w:tcPr>
            <w:tcW w:w="140" w:type="dxa"/>
            <w:vAlign w:val="bottom"/>
            <w:shd w:val="clear" w:color="auto" w:fill="53C072"/>
          </w:tcPr>
          <w:p>
            <w:pPr>
              <w:spacing w:after="0"/>
              <w:rPr>
                <w:sz w:val="15"/>
                <w:szCs w:val="15"/>
                <w:color w:val="auto"/>
              </w:rPr>
            </w:pPr>
          </w:p>
        </w:tc>
        <w:tc>
          <w:tcPr>
            <w:tcW w:w="860" w:type="dxa"/>
            <w:vAlign w:val="bottom"/>
            <w:shd w:val="clear" w:color="auto" w:fill="53C072"/>
          </w:tcPr>
          <w:p>
            <w:pPr>
              <w:jc w:val="center"/>
              <w:spacing w:after="0" w:line="182" w:lineRule="exact"/>
              <w:rPr>
                <w:sz w:val="20"/>
                <w:szCs w:val="20"/>
                <w:color w:val="auto"/>
              </w:rPr>
            </w:pPr>
            <w:r>
              <w:rPr>
                <w:rFonts w:ascii="Arial" w:cs="Arial" w:eastAsia="Arial" w:hAnsi="Arial"/>
                <w:sz w:val="16"/>
                <w:szCs w:val="16"/>
                <w:b w:val="1"/>
                <w:bCs w:val="1"/>
                <w:color w:val="FFFFFE"/>
                <w:w w:val="99"/>
              </w:rPr>
              <w:t>Continuing</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940" w:type="dxa"/>
            <w:vAlign w:val="bottom"/>
            <w:shd w:val="clear" w:color="auto" w:fill="53C072"/>
          </w:tcPr>
          <w:p>
            <w:pPr>
              <w:spacing w:after="0"/>
              <w:rPr>
                <w:sz w:val="17"/>
                <w:szCs w:val="17"/>
                <w:color w:val="auto"/>
              </w:rPr>
            </w:pPr>
          </w:p>
        </w:tc>
        <w:tc>
          <w:tcPr>
            <w:tcW w:w="100" w:type="dxa"/>
            <w:vAlign w:val="bottom"/>
            <w:shd w:val="clear" w:color="auto" w:fill="53C072"/>
          </w:tcPr>
          <w:p>
            <w:pPr>
              <w:spacing w:after="0"/>
              <w:rPr>
                <w:sz w:val="17"/>
                <w:szCs w:val="17"/>
                <w:color w:val="auto"/>
              </w:rPr>
            </w:pPr>
          </w:p>
        </w:tc>
        <w:tc>
          <w:tcPr>
            <w:tcW w:w="60" w:type="dxa"/>
            <w:vAlign w:val="bottom"/>
            <w:shd w:val="clear" w:color="auto" w:fill="53C072"/>
          </w:tcPr>
          <w:p>
            <w:pPr>
              <w:spacing w:after="0"/>
              <w:rPr>
                <w:sz w:val="17"/>
                <w:szCs w:val="17"/>
                <w:color w:val="auto"/>
              </w:rPr>
            </w:pPr>
          </w:p>
        </w:tc>
        <w:tc>
          <w:tcPr>
            <w:tcW w:w="100" w:type="dxa"/>
            <w:vAlign w:val="bottom"/>
            <w:shd w:val="clear" w:color="auto" w:fill="53C072"/>
          </w:tcPr>
          <w:p>
            <w:pPr>
              <w:spacing w:after="0"/>
              <w:rPr>
                <w:sz w:val="17"/>
                <w:szCs w:val="17"/>
                <w:color w:val="auto"/>
              </w:rPr>
            </w:pPr>
          </w:p>
        </w:tc>
        <w:tc>
          <w:tcPr>
            <w:tcW w:w="920" w:type="dxa"/>
            <w:vAlign w:val="bottom"/>
            <w:shd w:val="clear" w:color="auto" w:fill="53C072"/>
          </w:tcPr>
          <w:p>
            <w:pPr>
              <w:jc w:val="right"/>
              <w:ind w:right="221"/>
              <w:spacing w:after="0"/>
              <w:rPr>
                <w:sz w:val="20"/>
                <w:szCs w:val="20"/>
                <w:color w:val="auto"/>
              </w:rPr>
            </w:pPr>
            <w:r>
              <w:rPr>
                <w:rFonts w:ascii="Arial" w:cs="Arial" w:eastAsia="Arial" w:hAnsi="Arial"/>
                <w:sz w:val="16"/>
                <w:szCs w:val="16"/>
                <w:b w:val="1"/>
                <w:bCs w:val="1"/>
                <w:color w:val="FFFFFE"/>
              </w:rPr>
              <w:t>Loss</w:t>
            </w:r>
          </w:p>
        </w:tc>
        <w:tc>
          <w:tcPr>
            <w:tcW w:w="180" w:type="dxa"/>
            <w:vAlign w:val="bottom"/>
            <w:shd w:val="clear" w:color="auto" w:fill="53C072"/>
          </w:tcPr>
          <w:p>
            <w:pPr>
              <w:spacing w:after="0"/>
              <w:rPr>
                <w:sz w:val="17"/>
                <w:szCs w:val="17"/>
                <w:color w:val="auto"/>
              </w:rPr>
            </w:pPr>
          </w:p>
        </w:tc>
        <w:tc>
          <w:tcPr>
            <w:tcW w:w="860" w:type="dxa"/>
            <w:vAlign w:val="bottom"/>
            <w:shd w:val="clear" w:color="auto" w:fill="53C072"/>
          </w:tcPr>
          <w:p>
            <w:pPr>
              <w:jc w:val="center"/>
              <w:spacing w:after="0"/>
              <w:rPr>
                <w:sz w:val="20"/>
                <w:szCs w:val="20"/>
                <w:color w:val="auto"/>
              </w:rPr>
            </w:pPr>
            <w:r>
              <w:rPr>
                <w:rFonts w:ascii="Arial" w:cs="Arial" w:eastAsia="Arial" w:hAnsi="Arial"/>
                <w:sz w:val="16"/>
                <w:szCs w:val="16"/>
                <w:b w:val="1"/>
                <w:bCs w:val="1"/>
                <w:color w:val="FFFFFE"/>
              </w:rPr>
              <w:t>(net of tax)</w:t>
            </w:r>
          </w:p>
        </w:tc>
        <w:tc>
          <w:tcPr>
            <w:tcW w:w="140" w:type="dxa"/>
            <w:vAlign w:val="bottom"/>
            <w:shd w:val="clear" w:color="auto" w:fill="53C072"/>
          </w:tcPr>
          <w:p>
            <w:pPr>
              <w:spacing w:after="0"/>
              <w:rPr>
                <w:sz w:val="17"/>
                <w:szCs w:val="17"/>
                <w:color w:val="auto"/>
              </w:rPr>
            </w:pPr>
          </w:p>
        </w:tc>
        <w:tc>
          <w:tcPr>
            <w:tcW w:w="140" w:type="dxa"/>
            <w:vAlign w:val="bottom"/>
            <w:shd w:val="clear" w:color="auto" w:fill="53C072"/>
          </w:tcPr>
          <w:p>
            <w:pPr>
              <w:spacing w:after="0"/>
              <w:rPr>
                <w:sz w:val="17"/>
                <w:szCs w:val="17"/>
                <w:color w:val="auto"/>
              </w:rPr>
            </w:pPr>
          </w:p>
        </w:tc>
        <w:tc>
          <w:tcPr>
            <w:tcW w:w="860" w:type="dxa"/>
            <w:vAlign w:val="bottom"/>
            <w:shd w:val="clear" w:color="auto" w:fill="53C072"/>
          </w:tcPr>
          <w:p>
            <w:pPr>
              <w:jc w:val="center"/>
              <w:spacing w:after="0"/>
              <w:rPr>
                <w:sz w:val="20"/>
                <w:szCs w:val="20"/>
                <w:color w:val="auto"/>
              </w:rPr>
            </w:pPr>
            <w:r>
              <w:rPr>
                <w:rFonts w:ascii="Arial" w:cs="Arial" w:eastAsia="Arial" w:hAnsi="Arial"/>
                <w:sz w:val="16"/>
                <w:szCs w:val="16"/>
                <w:b w:val="1"/>
                <w:bCs w:val="1"/>
                <w:color w:val="FFFFFE"/>
                <w:w w:val="99"/>
              </w:rPr>
              <w:t>Operations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940" w:type="dxa"/>
            <w:vAlign w:val="bottom"/>
            <w:shd w:val="clear" w:color="auto" w:fill="53C072"/>
          </w:tcPr>
          <w:p>
            <w:pPr>
              <w:spacing w:after="0"/>
              <w:rPr>
                <w:sz w:val="16"/>
                <w:szCs w:val="16"/>
                <w:color w:val="auto"/>
              </w:rPr>
            </w:pPr>
          </w:p>
        </w:tc>
        <w:tc>
          <w:tcPr>
            <w:tcW w:w="100" w:type="dxa"/>
            <w:vAlign w:val="bottom"/>
            <w:shd w:val="clear" w:color="auto" w:fill="53C072"/>
          </w:tcPr>
          <w:p>
            <w:pPr>
              <w:spacing w:after="0"/>
              <w:rPr>
                <w:sz w:val="16"/>
                <w:szCs w:val="16"/>
                <w:color w:val="auto"/>
              </w:rPr>
            </w:pPr>
          </w:p>
        </w:tc>
        <w:tc>
          <w:tcPr>
            <w:tcW w:w="60" w:type="dxa"/>
            <w:vAlign w:val="bottom"/>
            <w:shd w:val="clear" w:color="auto" w:fill="53C072"/>
          </w:tcPr>
          <w:p>
            <w:pPr>
              <w:spacing w:after="0"/>
              <w:rPr>
                <w:sz w:val="16"/>
                <w:szCs w:val="16"/>
                <w:color w:val="auto"/>
              </w:rPr>
            </w:pPr>
          </w:p>
        </w:tc>
        <w:tc>
          <w:tcPr>
            <w:tcW w:w="100" w:type="dxa"/>
            <w:vAlign w:val="bottom"/>
            <w:shd w:val="clear" w:color="auto" w:fill="53C072"/>
          </w:tcPr>
          <w:p>
            <w:pPr>
              <w:spacing w:after="0"/>
              <w:rPr>
                <w:sz w:val="16"/>
                <w:szCs w:val="16"/>
                <w:color w:val="auto"/>
              </w:rPr>
            </w:pPr>
          </w:p>
        </w:tc>
        <w:tc>
          <w:tcPr>
            <w:tcW w:w="1960" w:type="dxa"/>
            <w:vAlign w:val="bottom"/>
            <w:gridSpan w:val="3"/>
            <w:shd w:val="clear" w:color="auto" w:fill="53C072"/>
          </w:tcPr>
          <w:p>
            <w:pPr>
              <w:jc w:val="right"/>
              <w:spacing w:after="0"/>
              <w:rPr>
                <w:sz w:val="20"/>
                <w:szCs w:val="20"/>
                <w:color w:val="auto"/>
              </w:rPr>
            </w:pPr>
            <w:r>
              <w:rPr>
                <w:rFonts w:ascii="Arial" w:cs="Arial" w:eastAsia="Arial" w:hAnsi="Arial"/>
                <w:sz w:val="16"/>
                <w:szCs w:val="16"/>
                <w:b w:val="1"/>
                <w:bCs w:val="1"/>
                <w:color w:val="FFFFFE"/>
              </w:rPr>
              <w:t>(thousands except per</w:t>
            </w:r>
          </w:p>
        </w:tc>
        <w:tc>
          <w:tcPr>
            <w:tcW w:w="1140" w:type="dxa"/>
            <w:vAlign w:val="bottom"/>
            <w:gridSpan w:val="3"/>
            <w:shd w:val="clear" w:color="auto" w:fill="53C072"/>
          </w:tcPr>
          <w:p>
            <w:pPr>
              <w:jc w:val="right"/>
              <w:ind w:right="181"/>
              <w:spacing w:after="0"/>
              <w:rPr>
                <w:sz w:val="20"/>
                <w:szCs w:val="20"/>
                <w:color w:val="auto"/>
              </w:rPr>
            </w:pPr>
            <w:r>
              <w:rPr>
                <w:rFonts w:ascii="Arial" w:cs="Arial" w:eastAsia="Arial" w:hAnsi="Arial"/>
                <w:sz w:val="16"/>
                <w:szCs w:val="16"/>
                <w:b w:val="1"/>
                <w:bCs w:val="1"/>
                <w:color w:val="FFFFFE"/>
              </w:rPr>
              <w:t>share data)</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2"/>
        </w:trPr>
        <w:tc>
          <w:tcPr>
            <w:tcW w:w="4940" w:type="dxa"/>
            <w:vAlign w:val="bottom"/>
          </w:tcPr>
          <w:p>
            <w:pPr>
              <w:spacing w:after="0" w:line="182" w:lineRule="exact"/>
              <w:rPr>
                <w:sz w:val="20"/>
                <w:szCs w:val="20"/>
                <w:color w:val="auto"/>
              </w:rPr>
            </w:pPr>
            <w:r>
              <w:rPr>
                <w:rFonts w:ascii="Arial" w:cs="Arial" w:eastAsia="Arial" w:hAnsi="Arial"/>
                <w:sz w:val="16"/>
                <w:szCs w:val="16"/>
                <w:b w:val="1"/>
                <w:bCs w:val="1"/>
                <w:color w:val="auto"/>
              </w:rPr>
              <w:t>GAAP results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line="182" w:lineRule="exact"/>
              <w:rPr>
                <w:sz w:val="20"/>
                <w:szCs w:val="20"/>
                <w:color w:val="auto"/>
              </w:rPr>
            </w:pPr>
            <w:r>
              <w:rPr>
                <w:rFonts w:ascii="Arial" w:cs="Arial" w:eastAsia="Arial" w:hAnsi="Arial"/>
                <w:sz w:val="16"/>
                <w:szCs w:val="16"/>
                <w:b w:val="1"/>
                <w:bCs w:val="1"/>
                <w:color w:val="auto"/>
              </w:rPr>
              <w:t>(4,628</w:t>
            </w:r>
            <w:r>
              <w:rPr>
                <w:rFonts w:ascii="Arial" w:cs="Arial" w:eastAsia="Arial" w:hAnsi="Arial"/>
                <w:sz w:val="16"/>
                <w:szCs w:val="16"/>
                <w:color w:val="auto"/>
              </w:rPr>
              <w:t>)</w:t>
            </w:r>
          </w:p>
        </w:tc>
        <w:tc>
          <w:tcPr>
            <w:tcW w:w="180" w:type="dxa"/>
            <w:vAlign w:val="bottom"/>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1000" w:type="dxa"/>
            <w:vAlign w:val="bottom"/>
            <w:gridSpan w:val="2"/>
          </w:tcPr>
          <w:p>
            <w:pPr>
              <w:jc w:val="right"/>
              <w:ind w:right="1"/>
              <w:spacing w:after="0" w:line="182" w:lineRule="exact"/>
              <w:rPr>
                <w:sz w:val="20"/>
                <w:szCs w:val="20"/>
                <w:color w:val="auto"/>
              </w:rPr>
            </w:pPr>
            <w:r>
              <w:rPr>
                <w:rFonts w:ascii="Arial" w:cs="Arial" w:eastAsia="Arial" w:hAnsi="Arial"/>
                <w:sz w:val="16"/>
                <w:szCs w:val="16"/>
                <w:b w:val="1"/>
                <w:bCs w:val="1"/>
                <w:color w:val="auto"/>
              </w:rPr>
              <w:t>(29,533</w:t>
            </w:r>
            <w:r>
              <w:rPr>
                <w:rFonts w:ascii="Arial" w:cs="Arial" w:eastAsia="Arial" w:hAnsi="Arial"/>
                <w:sz w:val="16"/>
                <w:szCs w:val="16"/>
                <w:color w:val="auto"/>
              </w:rPr>
              <w:t>)</w:t>
            </w:r>
          </w:p>
        </w:tc>
        <w:tc>
          <w:tcPr>
            <w:tcW w:w="140" w:type="dxa"/>
            <w:vAlign w:val="bottom"/>
          </w:tcPr>
          <w:p>
            <w:pPr>
              <w:jc w:val="right"/>
              <w:spacing w:after="0" w:line="182" w:lineRule="exact"/>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spacing w:after="0" w:line="182" w:lineRule="exact"/>
              <w:rPr>
                <w:sz w:val="20"/>
                <w:szCs w:val="20"/>
                <w:color w:val="auto"/>
              </w:rPr>
            </w:pPr>
            <w:r>
              <w:rPr>
                <w:rFonts w:ascii="Arial" w:cs="Arial" w:eastAsia="Arial" w:hAnsi="Arial"/>
                <w:sz w:val="16"/>
                <w:szCs w:val="16"/>
                <w:b w:val="1"/>
                <w:bCs w:val="1"/>
                <w:color w:val="auto"/>
              </w:rPr>
              <w:t>(0.29</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40" w:type="dxa"/>
            <w:vAlign w:val="bottom"/>
            <w:shd w:val="clear" w:color="auto" w:fill="E8F5EA"/>
          </w:tcPr>
          <w:p>
            <w:pPr>
              <w:ind w:left="180"/>
              <w:spacing w:after="0" w:line="182" w:lineRule="exact"/>
              <w:rPr>
                <w:sz w:val="20"/>
                <w:szCs w:val="20"/>
                <w:color w:val="auto"/>
              </w:rPr>
            </w:pPr>
            <w:r>
              <w:rPr>
                <w:rFonts w:ascii="Arial" w:cs="Arial" w:eastAsia="Arial" w:hAnsi="Arial"/>
                <w:sz w:val="16"/>
                <w:szCs w:val="16"/>
                <w:color w:val="auto"/>
              </w:rPr>
              <w:t>Restructuring, integration and other expenses</w:t>
            </w:r>
          </w:p>
        </w:tc>
        <w:tc>
          <w:tcPr>
            <w:tcW w:w="100" w:type="dxa"/>
            <w:vAlign w:val="bottom"/>
            <w:shd w:val="clear" w:color="auto" w:fill="E8F5EA"/>
          </w:tcPr>
          <w:p>
            <w:pPr>
              <w:spacing w:after="0"/>
              <w:rPr>
                <w:sz w:val="15"/>
                <w:szCs w:val="15"/>
                <w:color w:val="auto"/>
              </w:rPr>
            </w:pPr>
          </w:p>
        </w:tc>
        <w:tc>
          <w:tcPr>
            <w:tcW w:w="60" w:type="dxa"/>
            <w:vAlign w:val="bottom"/>
            <w:shd w:val="clear" w:color="auto" w:fill="E8F5EA"/>
          </w:tcPr>
          <w:p>
            <w:pPr>
              <w:spacing w:after="0"/>
              <w:rPr>
                <w:sz w:val="15"/>
                <w:szCs w:val="15"/>
                <w:color w:val="auto"/>
              </w:rPr>
            </w:pPr>
          </w:p>
        </w:tc>
        <w:tc>
          <w:tcPr>
            <w:tcW w:w="100" w:type="dxa"/>
            <w:vAlign w:val="bottom"/>
            <w:shd w:val="clear" w:color="auto" w:fill="E8F5EA"/>
          </w:tcPr>
          <w:p>
            <w:pPr>
              <w:spacing w:after="0"/>
              <w:rPr>
                <w:sz w:val="15"/>
                <w:szCs w:val="15"/>
                <w:color w:val="auto"/>
              </w:rPr>
            </w:pPr>
          </w:p>
        </w:tc>
        <w:tc>
          <w:tcPr>
            <w:tcW w:w="920" w:type="dxa"/>
            <w:vAlign w:val="bottom"/>
            <w:shd w:val="clear" w:color="auto" w:fill="E8F5EA"/>
          </w:tcPr>
          <w:p>
            <w:pPr>
              <w:jc w:val="right"/>
              <w:ind w:right="1"/>
              <w:spacing w:after="0" w:line="182" w:lineRule="exact"/>
              <w:rPr>
                <w:sz w:val="20"/>
                <w:szCs w:val="20"/>
                <w:color w:val="auto"/>
              </w:rPr>
            </w:pPr>
            <w:r>
              <w:rPr>
                <w:rFonts w:ascii="Arial" w:cs="Arial" w:eastAsia="Arial" w:hAnsi="Arial"/>
                <w:sz w:val="16"/>
                <w:szCs w:val="16"/>
                <w:color w:val="auto"/>
              </w:rPr>
              <w:t>81,870</w:t>
            </w:r>
          </w:p>
        </w:tc>
        <w:tc>
          <w:tcPr>
            <w:tcW w:w="180" w:type="dxa"/>
            <w:vAlign w:val="bottom"/>
            <w:shd w:val="clear" w:color="auto" w:fill="E8F5EA"/>
          </w:tcPr>
          <w:p>
            <w:pPr>
              <w:spacing w:after="0"/>
              <w:rPr>
                <w:sz w:val="15"/>
                <w:szCs w:val="15"/>
                <w:color w:val="auto"/>
              </w:rPr>
            </w:pPr>
          </w:p>
        </w:tc>
        <w:tc>
          <w:tcPr>
            <w:tcW w:w="1000" w:type="dxa"/>
            <w:vAlign w:val="bottom"/>
            <w:gridSpan w:val="2"/>
            <w:shd w:val="clear" w:color="auto" w:fill="E8F5EA"/>
          </w:tcPr>
          <w:p>
            <w:pPr>
              <w:jc w:val="right"/>
              <w:ind w:right="41"/>
              <w:spacing w:after="0" w:line="182" w:lineRule="exact"/>
              <w:rPr>
                <w:sz w:val="20"/>
                <w:szCs w:val="20"/>
                <w:color w:val="auto"/>
              </w:rPr>
            </w:pPr>
            <w:r>
              <w:rPr>
                <w:rFonts w:ascii="Arial" w:cs="Arial" w:eastAsia="Arial" w:hAnsi="Arial"/>
                <w:sz w:val="16"/>
                <w:szCs w:val="16"/>
                <w:color w:val="auto"/>
              </w:rPr>
              <w:t>63,222</w:t>
            </w:r>
          </w:p>
        </w:tc>
        <w:tc>
          <w:tcPr>
            <w:tcW w:w="140" w:type="dxa"/>
            <w:vAlign w:val="bottom"/>
            <w:shd w:val="clear" w:color="auto" w:fill="E8F5EA"/>
          </w:tcPr>
          <w:p>
            <w:pPr>
              <w:spacing w:after="0"/>
              <w:rPr>
                <w:sz w:val="15"/>
                <w:szCs w:val="15"/>
                <w:color w:val="auto"/>
              </w:rPr>
            </w:pPr>
          </w:p>
        </w:tc>
        <w:tc>
          <w:tcPr>
            <w:tcW w:w="86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0.63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40" w:type="dxa"/>
            <w:vAlign w:val="bottom"/>
          </w:tcPr>
          <w:p>
            <w:pPr>
              <w:ind w:left="180"/>
              <w:spacing w:after="0" w:line="182" w:lineRule="exact"/>
              <w:rPr>
                <w:sz w:val="20"/>
                <w:szCs w:val="20"/>
                <w:color w:val="auto"/>
              </w:rPr>
            </w:pPr>
            <w:r>
              <w:rPr>
                <w:rFonts w:ascii="Arial" w:cs="Arial" w:eastAsia="Arial" w:hAnsi="Arial"/>
                <w:sz w:val="16"/>
                <w:szCs w:val="16"/>
                <w:color w:val="auto"/>
              </w:rPr>
              <w:t>Amortization of intangible assets and other</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1"/>
              <w:spacing w:after="0" w:line="182" w:lineRule="exact"/>
              <w:rPr>
                <w:sz w:val="20"/>
                <w:szCs w:val="20"/>
                <w:color w:val="auto"/>
              </w:rPr>
            </w:pPr>
            <w:r>
              <w:rPr>
                <w:rFonts w:ascii="Arial" w:cs="Arial" w:eastAsia="Arial" w:hAnsi="Arial"/>
                <w:sz w:val="16"/>
                <w:szCs w:val="16"/>
                <w:color w:val="auto"/>
              </w:rPr>
              <w:t>81,555</w:t>
            </w:r>
          </w:p>
        </w:tc>
        <w:tc>
          <w:tcPr>
            <w:tcW w:w="180" w:type="dxa"/>
            <w:vAlign w:val="bottom"/>
          </w:tcPr>
          <w:p>
            <w:pPr>
              <w:spacing w:after="0"/>
              <w:rPr>
                <w:sz w:val="15"/>
                <w:szCs w:val="15"/>
                <w:color w:val="auto"/>
              </w:rPr>
            </w:pPr>
          </w:p>
        </w:tc>
        <w:tc>
          <w:tcPr>
            <w:tcW w:w="1000" w:type="dxa"/>
            <w:vAlign w:val="bottom"/>
            <w:gridSpan w:val="2"/>
          </w:tcPr>
          <w:p>
            <w:pPr>
              <w:jc w:val="right"/>
              <w:ind w:right="41"/>
              <w:spacing w:after="0" w:line="182" w:lineRule="exact"/>
              <w:rPr>
                <w:sz w:val="20"/>
                <w:szCs w:val="20"/>
                <w:color w:val="auto"/>
              </w:rPr>
            </w:pPr>
            <w:r>
              <w:rPr>
                <w:rFonts w:ascii="Arial" w:cs="Arial" w:eastAsia="Arial" w:hAnsi="Arial"/>
                <w:sz w:val="16"/>
                <w:szCs w:val="16"/>
                <w:color w:val="auto"/>
              </w:rPr>
              <w:t>65,436</w:t>
            </w:r>
          </w:p>
        </w:tc>
        <w:tc>
          <w:tcPr>
            <w:tcW w:w="140" w:type="dxa"/>
            <w:vAlign w:val="bottom"/>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6"/>
                <w:szCs w:val="16"/>
                <w:color w:val="auto"/>
              </w:rPr>
              <w:t>0.65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40" w:type="dxa"/>
            <w:vAlign w:val="bottom"/>
            <w:shd w:val="clear" w:color="auto" w:fill="E8F5EA"/>
          </w:tcPr>
          <w:p>
            <w:pPr>
              <w:ind w:left="180"/>
              <w:spacing w:after="0" w:line="182" w:lineRule="exact"/>
              <w:rPr>
                <w:sz w:val="20"/>
                <w:szCs w:val="20"/>
                <w:color w:val="auto"/>
              </w:rPr>
            </w:pPr>
            <w:r>
              <w:rPr>
                <w:rFonts w:ascii="Arial" w:cs="Arial" w:eastAsia="Arial" w:hAnsi="Arial"/>
                <w:sz w:val="16"/>
                <w:szCs w:val="16"/>
                <w:color w:val="auto"/>
              </w:rPr>
              <w:t>Goodwill and intangible asset impairment expenses</w:t>
            </w:r>
          </w:p>
        </w:tc>
        <w:tc>
          <w:tcPr>
            <w:tcW w:w="100" w:type="dxa"/>
            <w:vAlign w:val="bottom"/>
            <w:shd w:val="clear" w:color="auto" w:fill="E8F5EA"/>
          </w:tcPr>
          <w:p>
            <w:pPr>
              <w:spacing w:after="0"/>
              <w:rPr>
                <w:sz w:val="15"/>
                <w:szCs w:val="15"/>
                <w:color w:val="auto"/>
              </w:rPr>
            </w:pPr>
          </w:p>
        </w:tc>
        <w:tc>
          <w:tcPr>
            <w:tcW w:w="60" w:type="dxa"/>
            <w:vAlign w:val="bottom"/>
            <w:shd w:val="clear" w:color="auto" w:fill="E8F5EA"/>
          </w:tcPr>
          <w:p>
            <w:pPr>
              <w:spacing w:after="0"/>
              <w:rPr>
                <w:sz w:val="15"/>
                <w:szCs w:val="15"/>
                <w:color w:val="auto"/>
              </w:rPr>
            </w:pPr>
          </w:p>
        </w:tc>
        <w:tc>
          <w:tcPr>
            <w:tcW w:w="100" w:type="dxa"/>
            <w:vAlign w:val="bottom"/>
            <w:shd w:val="clear" w:color="auto" w:fill="E8F5EA"/>
          </w:tcPr>
          <w:p>
            <w:pPr>
              <w:spacing w:after="0"/>
              <w:rPr>
                <w:sz w:val="15"/>
                <w:szCs w:val="15"/>
                <w:color w:val="auto"/>
              </w:rPr>
            </w:pPr>
          </w:p>
        </w:tc>
        <w:tc>
          <w:tcPr>
            <w:tcW w:w="920" w:type="dxa"/>
            <w:vAlign w:val="bottom"/>
            <w:shd w:val="clear" w:color="auto" w:fill="E8F5EA"/>
          </w:tcPr>
          <w:p>
            <w:pPr>
              <w:jc w:val="right"/>
              <w:ind w:right="1"/>
              <w:spacing w:after="0" w:line="182" w:lineRule="exact"/>
              <w:rPr>
                <w:sz w:val="20"/>
                <w:szCs w:val="20"/>
                <w:color w:val="auto"/>
              </w:rPr>
            </w:pPr>
            <w:r>
              <w:rPr>
                <w:rFonts w:ascii="Arial" w:cs="Arial" w:eastAsia="Arial" w:hAnsi="Arial"/>
                <w:sz w:val="16"/>
                <w:szCs w:val="16"/>
                <w:color w:val="auto"/>
              </w:rPr>
              <w:t>144,092</w:t>
            </w:r>
          </w:p>
        </w:tc>
        <w:tc>
          <w:tcPr>
            <w:tcW w:w="180" w:type="dxa"/>
            <w:vAlign w:val="bottom"/>
            <w:shd w:val="clear" w:color="auto" w:fill="E8F5EA"/>
          </w:tcPr>
          <w:p>
            <w:pPr>
              <w:spacing w:after="0"/>
              <w:rPr>
                <w:sz w:val="15"/>
                <w:szCs w:val="15"/>
                <w:color w:val="auto"/>
              </w:rPr>
            </w:pPr>
          </w:p>
        </w:tc>
        <w:tc>
          <w:tcPr>
            <w:tcW w:w="1000" w:type="dxa"/>
            <w:vAlign w:val="bottom"/>
            <w:gridSpan w:val="2"/>
            <w:shd w:val="clear" w:color="auto" w:fill="E8F5EA"/>
          </w:tcPr>
          <w:p>
            <w:pPr>
              <w:jc w:val="right"/>
              <w:ind w:right="41"/>
              <w:spacing w:after="0" w:line="182" w:lineRule="exact"/>
              <w:rPr>
                <w:sz w:val="20"/>
                <w:szCs w:val="20"/>
                <w:color w:val="auto"/>
              </w:rPr>
            </w:pPr>
            <w:r>
              <w:rPr>
                <w:rFonts w:ascii="Arial" w:cs="Arial" w:eastAsia="Arial" w:hAnsi="Arial"/>
                <w:sz w:val="16"/>
                <w:szCs w:val="16"/>
                <w:color w:val="auto"/>
              </w:rPr>
              <w:t>137,659</w:t>
            </w:r>
          </w:p>
        </w:tc>
        <w:tc>
          <w:tcPr>
            <w:tcW w:w="140" w:type="dxa"/>
            <w:vAlign w:val="bottom"/>
            <w:shd w:val="clear" w:color="auto" w:fill="E8F5EA"/>
          </w:tcPr>
          <w:p>
            <w:pPr>
              <w:spacing w:after="0"/>
              <w:rPr>
                <w:sz w:val="15"/>
                <w:szCs w:val="15"/>
                <w:color w:val="auto"/>
              </w:rPr>
            </w:pPr>
          </w:p>
        </w:tc>
        <w:tc>
          <w:tcPr>
            <w:tcW w:w="86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1.37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40" w:type="dxa"/>
            <w:vAlign w:val="bottom"/>
          </w:tcPr>
          <w:p>
            <w:pPr>
              <w:ind w:left="180"/>
              <w:spacing w:after="0" w:line="182" w:lineRule="exact"/>
              <w:rPr>
                <w:sz w:val="20"/>
                <w:szCs w:val="20"/>
                <w:color w:val="auto"/>
              </w:rPr>
            </w:pPr>
            <w:r>
              <w:rPr>
                <w:rFonts w:ascii="Arial" w:cs="Arial" w:eastAsia="Arial" w:hAnsi="Arial"/>
                <w:sz w:val="16"/>
                <w:szCs w:val="16"/>
                <w:color w:val="auto"/>
              </w:rPr>
              <w:t>Other special charge expenses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1"/>
              <w:spacing w:after="0" w:line="182"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41"/>
              <w:spacing w:after="0" w:line="182" w:lineRule="exact"/>
              <w:rPr>
                <w:sz w:val="20"/>
                <w:szCs w:val="20"/>
                <w:color w:val="auto"/>
              </w:rPr>
            </w:pPr>
            <w:r>
              <w:rPr>
                <w:rFonts w:ascii="Arial" w:cs="Arial" w:eastAsia="Arial" w:hAnsi="Arial"/>
                <w:sz w:val="16"/>
                <w:szCs w:val="16"/>
                <w:color w:val="auto"/>
              </w:rPr>
              <w:t>15,344</w:t>
            </w:r>
          </w:p>
        </w:tc>
        <w:tc>
          <w:tcPr>
            <w:tcW w:w="140" w:type="dxa"/>
            <w:vAlign w:val="bottom"/>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6"/>
                <w:szCs w:val="16"/>
                <w:color w:val="auto"/>
              </w:rPr>
              <w:t>0.15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40" w:type="dxa"/>
            <w:vAlign w:val="bottom"/>
            <w:shd w:val="clear" w:color="auto" w:fill="E8F5EA"/>
          </w:tcPr>
          <w:p>
            <w:pPr>
              <w:ind w:left="180"/>
              <w:spacing w:after="0" w:line="182" w:lineRule="exact"/>
              <w:rPr>
                <w:sz w:val="20"/>
                <w:szCs w:val="20"/>
                <w:color w:val="auto"/>
              </w:rPr>
            </w:pPr>
            <w:r>
              <w:rPr>
                <w:rFonts w:ascii="Arial" w:cs="Arial" w:eastAsia="Arial" w:hAnsi="Arial"/>
                <w:sz w:val="16"/>
                <w:szCs w:val="16"/>
                <w:color w:val="auto"/>
              </w:rPr>
              <w:t>Income tax adjustments</w:t>
            </w:r>
          </w:p>
        </w:tc>
        <w:tc>
          <w:tcPr>
            <w:tcW w:w="100" w:type="dxa"/>
            <w:vAlign w:val="bottom"/>
            <w:shd w:val="clear" w:color="auto" w:fill="E8F5EA"/>
          </w:tcPr>
          <w:p>
            <w:pPr>
              <w:spacing w:after="0"/>
              <w:rPr>
                <w:sz w:val="15"/>
                <w:szCs w:val="15"/>
                <w:color w:val="auto"/>
              </w:rPr>
            </w:pPr>
          </w:p>
        </w:tc>
        <w:tc>
          <w:tcPr>
            <w:tcW w:w="60" w:type="dxa"/>
            <w:vAlign w:val="bottom"/>
            <w:shd w:val="clear" w:color="auto" w:fill="E8F5EA"/>
          </w:tcPr>
          <w:p>
            <w:pPr>
              <w:spacing w:after="0"/>
              <w:rPr>
                <w:sz w:val="15"/>
                <w:szCs w:val="15"/>
                <w:color w:val="auto"/>
              </w:rPr>
            </w:pPr>
          </w:p>
        </w:tc>
        <w:tc>
          <w:tcPr>
            <w:tcW w:w="100" w:type="dxa"/>
            <w:vAlign w:val="bottom"/>
            <w:shd w:val="clear" w:color="auto" w:fill="E8F5EA"/>
          </w:tcPr>
          <w:p>
            <w:pPr>
              <w:spacing w:after="0"/>
              <w:rPr>
                <w:sz w:val="15"/>
                <w:szCs w:val="15"/>
                <w:color w:val="auto"/>
              </w:rPr>
            </w:pPr>
          </w:p>
        </w:tc>
        <w:tc>
          <w:tcPr>
            <w:tcW w:w="920" w:type="dxa"/>
            <w:vAlign w:val="bottom"/>
            <w:shd w:val="clear" w:color="auto" w:fill="E8F5EA"/>
          </w:tcPr>
          <w:p>
            <w:pPr>
              <w:jc w:val="right"/>
              <w:ind w:right="1"/>
              <w:spacing w:after="0" w:line="182" w:lineRule="exact"/>
              <w:rPr>
                <w:sz w:val="20"/>
                <w:szCs w:val="20"/>
                <w:color w:val="auto"/>
              </w:rPr>
            </w:pPr>
            <w:r>
              <w:rPr>
                <w:rFonts w:ascii="Arial" w:cs="Arial" w:eastAsia="Arial" w:hAnsi="Arial"/>
                <w:sz w:val="16"/>
                <w:szCs w:val="16"/>
                <w:color w:val="auto"/>
              </w:rPr>
              <w:t>—</w:t>
            </w:r>
          </w:p>
        </w:tc>
        <w:tc>
          <w:tcPr>
            <w:tcW w:w="180" w:type="dxa"/>
            <w:vAlign w:val="bottom"/>
            <w:shd w:val="clear" w:color="auto" w:fill="E8F5EA"/>
          </w:tcPr>
          <w:p>
            <w:pPr>
              <w:spacing w:after="0"/>
              <w:rPr>
                <w:sz w:val="15"/>
                <w:szCs w:val="15"/>
                <w:color w:val="auto"/>
              </w:rPr>
            </w:pPr>
          </w:p>
        </w:tc>
        <w:tc>
          <w:tcPr>
            <w:tcW w:w="1000" w:type="dxa"/>
            <w:vAlign w:val="bottom"/>
            <w:gridSpan w:val="2"/>
            <w:shd w:val="clear" w:color="auto" w:fill="E8F5EA"/>
          </w:tcPr>
          <w:p>
            <w:pPr>
              <w:jc w:val="right"/>
              <w:ind w:right="1"/>
              <w:spacing w:after="0" w:line="182" w:lineRule="exact"/>
              <w:rPr>
                <w:sz w:val="20"/>
                <w:szCs w:val="20"/>
                <w:color w:val="auto"/>
              </w:rPr>
            </w:pPr>
            <w:r>
              <w:rPr>
                <w:rFonts w:ascii="Arial" w:cs="Arial" w:eastAsia="Arial" w:hAnsi="Arial"/>
                <w:sz w:val="16"/>
                <w:szCs w:val="16"/>
                <w:color w:val="auto"/>
              </w:rPr>
              <w:t>(47,655)</w:t>
            </w:r>
          </w:p>
        </w:tc>
        <w:tc>
          <w:tcPr>
            <w:tcW w:w="140" w:type="dxa"/>
            <w:vAlign w:val="bottom"/>
            <w:shd w:val="clear" w:color="auto" w:fill="E8F5EA"/>
          </w:tcPr>
          <w:p>
            <w:pPr>
              <w:spacing w:after="0"/>
              <w:rPr>
                <w:sz w:val="15"/>
                <w:szCs w:val="15"/>
                <w:color w:val="auto"/>
              </w:rPr>
            </w:pPr>
          </w:p>
        </w:tc>
        <w:tc>
          <w:tcPr>
            <w:tcW w:w="86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(0.47)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40" w:type="dxa"/>
            <w:vAlign w:val="bottom"/>
          </w:tcPr>
          <w:p>
            <w:pPr>
              <w:spacing w:after="0" w:line="182" w:lineRule="exact"/>
              <w:rPr>
                <w:sz w:val="20"/>
                <w:szCs w:val="20"/>
                <w:color w:val="auto"/>
              </w:rPr>
            </w:pPr>
            <w:r>
              <w:rPr>
                <w:rFonts w:ascii="Arial" w:cs="Arial" w:eastAsia="Arial" w:hAnsi="Arial"/>
                <w:sz w:val="16"/>
                <w:szCs w:val="16"/>
                <w:color w:val="auto"/>
              </w:rPr>
              <w:t>Total adjustments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1"/>
              <w:spacing w:after="0" w:line="182" w:lineRule="exact"/>
              <w:rPr>
                <w:sz w:val="20"/>
                <w:szCs w:val="20"/>
                <w:color w:val="auto"/>
              </w:rPr>
            </w:pPr>
            <w:r>
              <w:rPr>
                <w:rFonts w:ascii="Arial" w:cs="Arial" w:eastAsia="Arial" w:hAnsi="Arial"/>
                <w:sz w:val="16"/>
                <w:szCs w:val="16"/>
                <w:color w:val="auto"/>
              </w:rPr>
              <w:t>307,517</w:t>
            </w:r>
          </w:p>
        </w:tc>
        <w:tc>
          <w:tcPr>
            <w:tcW w:w="180" w:type="dxa"/>
            <w:vAlign w:val="bottom"/>
          </w:tcPr>
          <w:p>
            <w:pPr>
              <w:spacing w:after="0"/>
              <w:rPr>
                <w:sz w:val="15"/>
                <w:szCs w:val="15"/>
                <w:color w:val="auto"/>
              </w:rPr>
            </w:pPr>
          </w:p>
        </w:tc>
        <w:tc>
          <w:tcPr>
            <w:tcW w:w="1000" w:type="dxa"/>
            <w:vAlign w:val="bottom"/>
            <w:gridSpan w:val="2"/>
          </w:tcPr>
          <w:p>
            <w:pPr>
              <w:jc w:val="right"/>
              <w:ind w:right="41"/>
              <w:spacing w:after="0" w:line="182" w:lineRule="exact"/>
              <w:rPr>
                <w:sz w:val="20"/>
                <w:szCs w:val="20"/>
                <w:color w:val="auto"/>
              </w:rPr>
            </w:pPr>
            <w:r>
              <w:rPr>
                <w:rFonts w:ascii="Arial" w:cs="Arial" w:eastAsia="Arial" w:hAnsi="Arial"/>
                <w:sz w:val="16"/>
                <w:szCs w:val="16"/>
                <w:color w:val="auto"/>
              </w:rPr>
              <w:t>234,006</w:t>
            </w:r>
          </w:p>
        </w:tc>
        <w:tc>
          <w:tcPr>
            <w:tcW w:w="140" w:type="dxa"/>
            <w:vAlign w:val="bottom"/>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6"/>
                <w:szCs w:val="16"/>
                <w:color w:val="auto"/>
              </w:rPr>
              <w:t>2.33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940" w:type="dxa"/>
            <w:vAlign w:val="bottom"/>
            <w:tcBorders>
              <w:bottom w:val="single" w:sz="8" w:color="53C072"/>
            </w:tcBorders>
            <w:shd w:val="clear" w:color="auto" w:fill="E8F5EA"/>
          </w:tcPr>
          <w:p>
            <w:pPr>
              <w:spacing w:after="0" w:line="182" w:lineRule="exact"/>
              <w:rPr>
                <w:sz w:val="20"/>
                <w:szCs w:val="20"/>
                <w:color w:val="auto"/>
              </w:rPr>
            </w:pPr>
            <w:r>
              <w:rPr>
                <w:rFonts w:ascii="Arial" w:cs="Arial" w:eastAsia="Arial" w:hAnsi="Arial"/>
                <w:sz w:val="16"/>
                <w:szCs w:val="16"/>
                <w:b w:val="1"/>
                <w:bCs w:val="1"/>
                <w:color w:val="auto"/>
              </w:rPr>
              <w:t>Adjusted non-GAAP results</w:t>
            </w:r>
          </w:p>
        </w:tc>
        <w:tc>
          <w:tcPr>
            <w:tcW w:w="260" w:type="dxa"/>
            <w:vAlign w:val="bottom"/>
            <w:tcBorders>
              <w:bottom w:val="single" w:sz="8" w:color="53C072"/>
            </w:tcBorders>
            <w:gridSpan w:val="3"/>
            <w:shd w:val="clear" w:color="auto" w:fill="E8F5EA"/>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53C072"/>
            </w:tcBorders>
            <w:shd w:val="clear" w:color="auto" w:fill="E8F5EA"/>
          </w:tcPr>
          <w:p>
            <w:pPr>
              <w:jc w:val="right"/>
              <w:ind w:right="1"/>
              <w:spacing w:after="0" w:line="182" w:lineRule="exact"/>
              <w:rPr>
                <w:sz w:val="20"/>
                <w:szCs w:val="20"/>
                <w:color w:val="auto"/>
              </w:rPr>
            </w:pPr>
            <w:r>
              <w:rPr>
                <w:rFonts w:ascii="Arial" w:cs="Arial" w:eastAsia="Arial" w:hAnsi="Arial"/>
                <w:sz w:val="16"/>
                <w:szCs w:val="16"/>
                <w:b w:val="1"/>
                <w:bCs w:val="1"/>
                <w:color w:val="auto"/>
              </w:rPr>
              <w:t>302,889</w:t>
            </w:r>
          </w:p>
        </w:tc>
        <w:tc>
          <w:tcPr>
            <w:tcW w:w="180" w:type="dxa"/>
            <w:vAlign w:val="bottom"/>
            <w:tcBorders>
              <w:bottom w:val="single" w:sz="8" w:color="53C072"/>
            </w:tcBorders>
            <w:shd w:val="clear" w:color="auto" w:fill="E8F5EA"/>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53C072"/>
            </w:tcBorders>
            <w:gridSpan w:val="2"/>
            <w:shd w:val="clear" w:color="auto" w:fill="E8F5EA"/>
          </w:tcPr>
          <w:p>
            <w:pPr>
              <w:jc w:val="right"/>
              <w:ind w:right="41"/>
              <w:spacing w:after="0" w:line="182" w:lineRule="exact"/>
              <w:rPr>
                <w:sz w:val="20"/>
                <w:szCs w:val="20"/>
                <w:color w:val="auto"/>
              </w:rPr>
            </w:pPr>
            <w:r>
              <w:rPr>
                <w:rFonts w:ascii="Arial" w:cs="Arial" w:eastAsia="Arial" w:hAnsi="Arial"/>
                <w:sz w:val="16"/>
                <w:szCs w:val="16"/>
                <w:b w:val="1"/>
                <w:bCs w:val="1"/>
                <w:color w:val="auto"/>
              </w:rPr>
              <w:t>204,473</w:t>
            </w:r>
          </w:p>
        </w:tc>
        <w:tc>
          <w:tcPr>
            <w:tcW w:w="140" w:type="dxa"/>
            <w:vAlign w:val="bottom"/>
            <w:tcBorders>
              <w:bottom w:val="single" w:sz="8" w:color="53C072"/>
            </w:tcBorders>
            <w:shd w:val="clear" w:color="auto" w:fill="E8F5EA"/>
          </w:tcPr>
          <w:p>
            <w:pPr>
              <w:jc w:val="right"/>
              <w:spacing w:after="0" w:line="182" w:lineRule="exact"/>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53C072"/>
            </w:tcBorders>
            <w:shd w:val="clear" w:color="auto" w:fill="E8F5EA"/>
          </w:tcPr>
          <w:p>
            <w:pPr>
              <w:jc w:val="right"/>
              <w:spacing w:after="0" w:line="182" w:lineRule="exact"/>
              <w:rPr>
                <w:sz w:val="20"/>
                <w:szCs w:val="20"/>
                <w:color w:val="auto"/>
              </w:rPr>
            </w:pPr>
            <w:r>
              <w:rPr>
                <w:rFonts w:ascii="Arial" w:cs="Arial" w:eastAsia="Arial" w:hAnsi="Arial"/>
                <w:sz w:val="16"/>
                <w:szCs w:val="16"/>
                <w:b w:val="1"/>
                <w:bCs w:val="1"/>
                <w:color w:val="auto"/>
              </w:rPr>
              <w:t>2.04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1"/>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940" w:type="dxa"/>
            <w:vAlign w:val="bottom"/>
            <w:shd w:val="clear" w:color="auto" w:fill="53C072"/>
          </w:tcPr>
          <w:p>
            <w:pPr>
              <w:spacing w:after="0"/>
              <w:rPr>
                <w:sz w:val="16"/>
                <w:szCs w:val="16"/>
                <w:color w:val="auto"/>
              </w:rPr>
            </w:pPr>
          </w:p>
        </w:tc>
        <w:tc>
          <w:tcPr>
            <w:tcW w:w="100" w:type="dxa"/>
            <w:vAlign w:val="bottom"/>
            <w:shd w:val="clear" w:color="auto" w:fill="53C072"/>
          </w:tcPr>
          <w:p>
            <w:pPr>
              <w:spacing w:after="0"/>
              <w:rPr>
                <w:sz w:val="16"/>
                <w:szCs w:val="16"/>
                <w:color w:val="auto"/>
              </w:rPr>
            </w:pPr>
          </w:p>
        </w:tc>
        <w:tc>
          <w:tcPr>
            <w:tcW w:w="60" w:type="dxa"/>
            <w:vAlign w:val="bottom"/>
            <w:shd w:val="clear" w:color="auto" w:fill="53C072"/>
          </w:tcPr>
          <w:p>
            <w:pPr>
              <w:spacing w:after="0"/>
              <w:rPr>
                <w:sz w:val="16"/>
                <w:szCs w:val="16"/>
                <w:color w:val="auto"/>
              </w:rPr>
            </w:pPr>
          </w:p>
        </w:tc>
        <w:tc>
          <w:tcPr>
            <w:tcW w:w="100" w:type="dxa"/>
            <w:vAlign w:val="bottom"/>
            <w:shd w:val="clear" w:color="auto" w:fill="53C072"/>
          </w:tcPr>
          <w:p>
            <w:pPr>
              <w:spacing w:after="0"/>
              <w:rPr>
                <w:sz w:val="16"/>
                <w:szCs w:val="16"/>
                <w:color w:val="auto"/>
              </w:rPr>
            </w:pPr>
          </w:p>
        </w:tc>
        <w:tc>
          <w:tcPr>
            <w:tcW w:w="2100" w:type="dxa"/>
            <w:vAlign w:val="bottom"/>
            <w:gridSpan w:val="4"/>
            <w:shd w:val="clear" w:color="auto" w:fill="53C072"/>
          </w:tcPr>
          <w:p>
            <w:pPr>
              <w:jc w:val="center"/>
              <w:ind w:right="81"/>
              <w:spacing w:after="0"/>
              <w:rPr>
                <w:sz w:val="20"/>
                <w:szCs w:val="20"/>
                <w:color w:val="auto"/>
              </w:rPr>
            </w:pPr>
            <w:r>
              <w:rPr>
                <w:rFonts w:ascii="Arial" w:cs="Arial" w:eastAsia="Arial" w:hAnsi="Arial"/>
                <w:sz w:val="16"/>
                <w:szCs w:val="16"/>
                <w:b w:val="1"/>
                <w:bCs w:val="1"/>
                <w:color w:val="FFFFFE"/>
                <w:w w:val="97"/>
              </w:rPr>
              <w:t>Fiscal Year 2019</w:t>
            </w:r>
          </w:p>
        </w:tc>
        <w:tc>
          <w:tcPr>
            <w:tcW w:w="140" w:type="dxa"/>
            <w:vAlign w:val="bottom"/>
            <w:shd w:val="clear" w:color="auto" w:fill="53C072"/>
          </w:tcPr>
          <w:p>
            <w:pPr>
              <w:spacing w:after="0"/>
              <w:rPr>
                <w:sz w:val="16"/>
                <w:szCs w:val="16"/>
                <w:color w:val="auto"/>
              </w:rPr>
            </w:pPr>
          </w:p>
        </w:tc>
        <w:tc>
          <w:tcPr>
            <w:tcW w:w="860" w:type="dxa"/>
            <w:vAlign w:val="bottom"/>
            <w:vMerge w:val="restart"/>
            <w:shd w:val="clear" w:color="auto" w:fill="53C072"/>
          </w:tcPr>
          <w:p>
            <w:pPr>
              <w:jc w:val="center"/>
              <w:spacing w:after="0"/>
              <w:rPr>
                <w:sz w:val="20"/>
                <w:szCs w:val="20"/>
                <w:color w:val="auto"/>
              </w:rPr>
            </w:pPr>
            <w:r>
              <w:rPr>
                <w:rFonts w:ascii="Arial" w:cs="Arial" w:eastAsia="Arial" w:hAnsi="Arial"/>
                <w:sz w:val="16"/>
                <w:szCs w:val="16"/>
                <w:b w:val="1"/>
                <w:bCs w:val="1"/>
                <w:color w:val="FFFFFE"/>
                <w:w w:val="99"/>
              </w:rPr>
              <w:t>Diluted</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940" w:type="dxa"/>
            <w:vAlign w:val="bottom"/>
            <w:tcBorders>
              <w:top w:val="single" w:sz="8" w:color="53C072"/>
            </w:tcBorders>
            <w:shd w:val="clear" w:color="auto" w:fill="53C072"/>
          </w:tcPr>
          <w:p>
            <w:pPr>
              <w:spacing w:after="0"/>
              <w:rPr>
                <w:sz w:val="13"/>
                <w:szCs w:val="13"/>
                <w:color w:val="auto"/>
              </w:rPr>
            </w:pPr>
          </w:p>
        </w:tc>
        <w:tc>
          <w:tcPr>
            <w:tcW w:w="100" w:type="dxa"/>
            <w:vAlign w:val="bottom"/>
            <w:tcBorders>
              <w:top w:val="single" w:sz="8" w:color="53C072"/>
            </w:tcBorders>
            <w:shd w:val="clear" w:color="auto" w:fill="53C072"/>
          </w:tcPr>
          <w:p>
            <w:pPr>
              <w:spacing w:after="0"/>
              <w:rPr>
                <w:sz w:val="13"/>
                <w:szCs w:val="13"/>
                <w:color w:val="auto"/>
              </w:rPr>
            </w:pPr>
          </w:p>
        </w:tc>
        <w:tc>
          <w:tcPr>
            <w:tcW w:w="60" w:type="dxa"/>
            <w:vAlign w:val="bottom"/>
            <w:tcBorders>
              <w:top w:val="single" w:sz="8" w:color="auto"/>
            </w:tcBorders>
            <w:shd w:val="clear" w:color="auto" w:fill="53C072"/>
          </w:tcPr>
          <w:p>
            <w:pPr>
              <w:spacing w:after="0"/>
              <w:rPr>
                <w:sz w:val="13"/>
                <w:szCs w:val="13"/>
                <w:color w:val="auto"/>
              </w:rPr>
            </w:pPr>
          </w:p>
        </w:tc>
        <w:tc>
          <w:tcPr>
            <w:tcW w:w="100" w:type="dxa"/>
            <w:vAlign w:val="bottom"/>
            <w:tcBorders>
              <w:top w:val="single" w:sz="8" w:color="auto"/>
            </w:tcBorders>
            <w:shd w:val="clear" w:color="auto" w:fill="53C072"/>
          </w:tcPr>
          <w:p>
            <w:pPr>
              <w:spacing w:after="0"/>
              <w:rPr>
                <w:sz w:val="13"/>
                <w:szCs w:val="13"/>
                <w:color w:val="auto"/>
              </w:rPr>
            </w:pPr>
          </w:p>
        </w:tc>
        <w:tc>
          <w:tcPr>
            <w:tcW w:w="920" w:type="dxa"/>
            <w:vAlign w:val="bottom"/>
            <w:tcBorders>
              <w:top w:val="single" w:sz="8" w:color="auto"/>
            </w:tcBorders>
            <w:shd w:val="clear" w:color="auto" w:fill="53C072"/>
          </w:tcPr>
          <w:p>
            <w:pPr>
              <w:spacing w:after="0"/>
              <w:rPr>
                <w:sz w:val="13"/>
                <w:szCs w:val="13"/>
                <w:color w:val="auto"/>
              </w:rPr>
            </w:pPr>
          </w:p>
        </w:tc>
        <w:tc>
          <w:tcPr>
            <w:tcW w:w="180" w:type="dxa"/>
            <w:vAlign w:val="bottom"/>
            <w:tcBorders>
              <w:top w:val="single" w:sz="8" w:color="auto"/>
            </w:tcBorders>
            <w:shd w:val="clear" w:color="auto" w:fill="53C072"/>
          </w:tcPr>
          <w:p>
            <w:pPr>
              <w:spacing w:after="0"/>
              <w:rPr>
                <w:sz w:val="13"/>
                <w:szCs w:val="13"/>
                <w:color w:val="auto"/>
              </w:rPr>
            </w:pPr>
          </w:p>
        </w:tc>
        <w:tc>
          <w:tcPr>
            <w:tcW w:w="860" w:type="dxa"/>
            <w:vAlign w:val="bottom"/>
            <w:tcBorders>
              <w:top w:val="single" w:sz="8" w:color="auto"/>
            </w:tcBorders>
            <w:shd w:val="clear" w:color="auto" w:fill="53C072"/>
          </w:tcPr>
          <w:p>
            <w:pPr>
              <w:spacing w:after="0"/>
              <w:rPr>
                <w:sz w:val="13"/>
                <w:szCs w:val="13"/>
                <w:color w:val="auto"/>
              </w:rPr>
            </w:pPr>
          </w:p>
        </w:tc>
        <w:tc>
          <w:tcPr>
            <w:tcW w:w="140" w:type="dxa"/>
            <w:vAlign w:val="bottom"/>
            <w:tcBorders>
              <w:top w:val="single" w:sz="8" w:color="53C072"/>
            </w:tcBorders>
            <w:shd w:val="clear" w:color="auto" w:fill="53C072"/>
          </w:tcPr>
          <w:p>
            <w:pPr>
              <w:spacing w:after="0"/>
              <w:rPr>
                <w:sz w:val="13"/>
                <w:szCs w:val="13"/>
                <w:color w:val="auto"/>
              </w:rPr>
            </w:pPr>
          </w:p>
        </w:tc>
        <w:tc>
          <w:tcPr>
            <w:tcW w:w="140" w:type="dxa"/>
            <w:vAlign w:val="bottom"/>
            <w:tcBorders>
              <w:top w:val="single" w:sz="8" w:color="53C072"/>
            </w:tcBorders>
            <w:shd w:val="clear" w:color="auto" w:fill="53C072"/>
          </w:tcPr>
          <w:p>
            <w:pPr>
              <w:spacing w:after="0"/>
              <w:rPr>
                <w:sz w:val="13"/>
                <w:szCs w:val="13"/>
                <w:color w:val="auto"/>
              </w:rPr>
            </w:pPr>
          </w:p>
        </w:tc>
        <w:tc>
          <w:tcPr>
            <w:tcW w:w="860" w:type="dxa"/>
            <w:vAlign w:val="bottom"/>
            <w:tcBorders>
              <w:top w:val="single" w:sz="8" w:color="53C072"/>
            </w:tcBorders>
            <w:vMerge w:val="continue"/>
            <w:shd w:val="clear" w:color="auto" w:fill="53C07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940" w:type="dxa"/>
            <w:vAlign w:val="bottom"/>
            <w:shd w:val="clear" w:color="auto" w:fill="53C072"/>
          </w:tcPr>
          <w:p>
            <w:pPr>
              <w:spacing w:after="0"/>
              <w:rPr>
                <w:sz w:val="15"/>
                <w:szCs w:val="15"/>
                <w:color w:val="auto"/>
              </w:rPr>
            </w:pPr>
          </w:p>
        </w:tc>
        <w:tc>
          <w:tcPr>
            <w:tcW w:w="100" w:type="dxa"/>
            <w:vAlign w:val="bottom"/>
            <w:shd w:val="clear" w:color="auto" w:fill="53C072"/>
          </w:tcPr>
          <w:p>
            <w:pPr>
              <w:spacing w:after="0"/>
              <w:rPr>
                <w:sz w:val="15"/>
                <w:szCs w:val="15"/>
                <w:color w:val="auto"/>
              </w:rPr>
            </w:pPr>
          </w:p>
        </w:tc>
        <w:tc>
          <w:tcPr>
            <w:tcW w:w="60" w:type="dxa"/>
            <w:vAlign w:val="bottom"/>
            <w:shd w:val="clear" w:color="auto" w:fill="53C072"/>
          </w:tcPr>
          <w:p>
            <w:pPr>
              <w:spacing w:after="0"/>
              <w:rPr>
                <w:sz w:val="15"/>
                <w:szCs w:val="15"/>
                <w:color w:val="auto"/>
              </w:rPr>
            </w:pPr>
          </w:p>
        </w:tc>
        <w:tc>
          <w:tcPr>
            <w:tcW w:w="100" w:type="dxa"/>
            <w:vAlign w:val="bottom"/>
            <w:shd w:val="clear" w:color="auto" w:fill="53C072"/>
          </w:tcPr>
          <w:p>
            <w:pPr>
              <w:spacing w:after="0"/>
              <w:rPr>
                <w:sz w:val="15"/>
                <w:szCs w:val="15"/>
                <w:color w:val="auto"/>
              </w:rPr>
            </w:pPr>
          </w:p>
        </w:tc>
        <w:tc>
          <w:tcPr>
            <w:tcW w:w="920" w:type="dxa"/>
            <w:vAlign w:val="bottom"/>
            <w:shd w:val="clear" w:color="auto" w:fill="53C072"/>
          </w:tcPr>
          <w:p>
            <w:pPr>
              <w:spacing w:after="0"/>
              <w:rPr>
                <w:sz w:val="15"/>
                <w:szCs w:val="15"/>
                <w:color w:val="auto"/>
              </w:rPr>
            </w:pPr>
          </w:p>
        </w:tc>
        <w:tc>
          <w:tcPr>
            <w:tcW w:w="180" w:type="dxa"/>
            <w:vAlign w:val="bottom"/>
            <w:shd w:val="clear" w:color="auto" w:fill="53C072"/>
          </w:tcPr>
          <w:p>
            <w:pPr>
              <w:spacing w:after="0"/>
              <w:rPr>
                <w:sz w:val="15"/>
                <w:szCs w:val="15"/>
                <w:color w:val="auto"/>
              </w:rPr>
            </w:pPr>
          </w:p>
        </w:tc>
        <w:tc>
          <w:tcPr>
            <w:tcW w:w="860" w:type="dxa"/>
            <w:vAlign w:val="bottom"/>
            <w:shd w:val="clear" w:color="auto" w:fill="53C072"/>
          </w:tcPr>
          <w:p>
            <w:pPr>
              <w:jc w:val="center"/>
              <w:spacing w:after="0" w:line="182" w:lineRule="exact"/>
              <w:rPr>
                <w:sz w:val="20"/>
                <w:szCs w:val="20"/>
                <w:color w:val="auto"/>
              </w:rPr>
            </w:pPr>
            <w:r>
              <w:rPr>
                <w:rFonts w:ascii="Arial" w:cs="Arial" w:eastAsia="Arial" w:hAnsi="Arial"/>
                <w:sz w:val="16"/>
                <w:szCs w:val="16"/>
                <w:b w:val="1"/>
                <w:bCs w:val="1"/>
                <w:color w:val="FFFFFE"/>
                <w:w w:val="99"/>
              </w:rPr>
              <w:t>Income</w:t>
            </w:r>
          </w:p>
        </w:tc>
        <w:tc>
          <w:tcPr>
            <w:tcW w:w="140" w:type="dxa"/>
            <w:vAlign w:val="bottom"/>
            <w:shd w:val="clear" w:color="auto" w:fill="53C072"/>
          </w:tcPr>
          <w:p>
            <w:pPr>
              <w:spacing w:after="0"/>
              <w:rPr>
                <w:sz w:val="15"/>
                <w:szCs w:val="15"/>
                <w:color w:val="auto"/>
              </w:rPr>
            </w:pPr>
          </w:p>
        </w:tc>
        <w:tc>
          <w:tcPr>
            <w:tcW w:w="140" w:type="dxa"/>
            <w:vAlign w:val="bottom"/>
            <w:shd w:val="clear" w:color="auto" w:fill="53C072"/>
          </w:tcPr>
          <w:p>
            <w:pPr>
              <w:spacing w:after="0"/>
              <w:rPr>
                <w:sz w:val="15"/>
                <w:szCs w:val="15"/>
                <w:color w:val="auto"/>
              </w:rPr>
            </w:pPr>
          </w:p>
        </w:tc>
        <w:tc>
          <w:tcPr>
            <w:tcW w:w="860" w:type="dxa"/>
            <w:vAlign w:val="bottom"/>
            <w:shd w:val="clear" w:color="auto" w:fill="53C072"/>
          </w:tcPr>
          <w:p>
            <w:pPr>
              <w:jc w:val="center"/>
              <w:spacing w:after="0" w:line="182" w:lineRule="exact"/>
              <w:rPr>
                <w:sz w:val="20"/>
                <w:szCs w:val="20"/>
                <w:color w:val="auto"/>
              </w:rPr>
            </w:pPr>
            <w:r>
              <w:rPr>
                <w:rFonts w:ascii="Arial" w:cs="Arial" w:eastAsia="Arial" w:hAnsi="Arial"/>
                <w:sz w:val="16"/>
                <w:szCs w:val="16"/>
                <w:b w:val="1"/>
                <w:bCs w:val="1"/>
                <w:color w:val="FFFFFE"/>
                <w:w w:val="99"/>
              </w:rPr>
              <w:t>Earnings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40" w:type="dxa"/>
            <w:vAlign w:val="bottom"/>
            <w:shd w:val="clear" w:color="auto" w:fill="53C072"/>
          </w:tcPr>
          <w:p>
            <w:pPr>
              <w:spacing w:after="0"/>
              <w:rPr>
                <w:sz w:val="15"/>
                <w:szCs w:val="15"/>
                <w:color w:val="auto"/>
              </w:rPr>
            </w:pPr>
          </w:p>
        </w:tc>
        <w:tc>
          <w:tcPr>
            <w:tcW w:w="100" w:type="dxa"/>
            <w:vAlign w:val="bottom"/>
            <w:shd w:val="clear" w:color="auto" w:fill="53C072"/>
          </w:tcPr>
          <w:p>
            <w:pPr>
              <w:spacing w:after="0"/>
              <w:rPr>
                <w:sz w:val="15"/>
                <w:szCs w:val="15"/>
                <w:color w:val="auto"/>
              </w:rPr>
            </w:pPr>
          </w:p>
        </w:tc>
        <w:tc>
          <w:tcPr>
            <w:tcW w:w="60" w:type="dxa"/>
            <w:vAlign w:val="bottom"/>
            <w:shd w:val="clear" w:color="auto" w:fill="53C072"/>
          </w:tcPr>
          <w:p>
            <w:pPr>
              <w:spacing w:after="0"/>
              <w:rPr>
                <w:sz w:val="15"/>
                <w:szCs w:val="15"/>
                <w:color w:val="auto"/>
              </w:rPr>
            </w:pPr>
          </w:p>
        </w:tc>
        <w:tc>
          <w:tcPr>
            <w:tcW w:w="100" w:type="dxa"/>
            <w:vAlign w:val="bottom"/>
            <w:shd w:val="clear" w:color="auto" w:fill="53C072"/>
          </w:tcPr>
          <w:p>
            <w:pPr>
              <w:spacing w:after="0"/>
              <w:rPr>
                <w:sz w:val="15"/>
                <w:szCs w:val="15"/>
                <w:color w:val="auto"/>
              </w:rPr>
            </w:pPr>
          </w:p>
        </w:tc>
        <w:tc>
          <w:tcPr>
            <w:tcW w:w="920" w:type="dxa"/>
            <w:vAlign w:val="bottom"/>
            <w:shd w:val="clear" w:color="auto" w:fill="53C072"/>
          </w:tcPr>
          <w:p>
            <w:pPr>
              <w:spacing w:after="0"/>
              <w:rPr>
                <w:sz w:val="15"/>
                <w:szCs w:val="15"/>
                <w:color w:val="auto"/>
              </w:rPr>
            </w:pPr>
          </w:p>
        </w:tc>
        <w:tc>
          <w:tcPr>
            <w:tcW w:w="180" w:type="dxa"/>
            <w:vAlign w:val="bottom"/>
            <w:shd w:val="clear" w:color="auto" w:fill="53C072"/>
          </w:tcPr>
          <w:p>
            <w:pPr>
              <w:spacing w:after="0"/>
              <w:rPr>
                <w:sz w:val="15"/>
                <w:szCs w:val="15"/>
                <w:color w:val="auto"/>
              </w:rPr>
            </w:pPr>
          </w:p>
        </w:tc>
        <w:tc>
          <w:tcPr>
            <w:tcW w:w="860" w:type="dxa"/>
            <w:vAlign w:val="bottom"/>
            <w:shd w:val="clear" w:color="auto" w:fill="53C072"/>
          </w:tcPr>
          <w:p>
            <w:pPr>
              <w:jc w:val="center"/>
              <w:spacing w:after="0" w:line="182" w:lineRule="exact"/>
              <w:rPr>
                <w:sz w:val="20"/>
                <w:szCs w:val="20"/>
                <w:color w:val="auto"/>
              </w:rPr>
            </w:pPr>
            <w:r>
              <w:rPr>
                <w:rFonts w:ascii="Arial" w:cs="Arial" w:eastAsia="Arial" w:hAnsi="Arial"/>
                <w:sz w:val="16"/>
                <w:szCs w:val="16"/>
                <w:b w:val="1"/>
                <w:bCs w:val="1"/>
                <w:color w:val="FFFFFE"/>
              </w:rPr>
              <w:t>from</w:t>
            </w:r>
          </w:p>
        </w:tc>
        <w:tc>
          <w:tcPr>
            <w:tcW w:w="140" w:type="dxa"/>
            <w:vAlign w:val="bottom"/>
            <w:shd w:val="clear" w:color="auto" w:fill="53C072"/>
          </w:tcPr>
          <w:p>
            <w:pPr>
              <w:spacing w:after="0"/>
              <w:rPr>
                <w:sz w:val="15"/>
                <w:szCs w:val="15"/>
                <w:color w:val="auto"/>
              </w:rPr>
            </w:pPr>
          </w:p>
        </w:tc>
        <w:tc>
          <w:tcPr>
            <w:tcW w:w="140" w:type="dxa"/>
            <w:vAlign w:val="bottom"/>
            <w:shd w:val="clear" w:color="auto" w:fill="53C072"/>
          </w:tcPr>
          <w:p>
            <w:pPr>
              <w:spacing w:after="0"/>
              <w:rPr>
                <w:sz w:val="15"/>
                <w:szCs w:val="15"/>
                <w:color w:val="auto"/>
              </w:rPr>
            </w:pPr>
          </w:p>
        </w:tc>
        <w:tc>
          <w:tcPr>
            <w:tcW w:w="860" w:type="dxa"/>
            <w:vAlign w:val="bottom"/>
            <w:shd w:val="clear" w:color="auto" w:fill="53C072"/>
          </w:tcPr>
          <w:p>
            <w:pPr>
              <w:jc w:val="center"/>
              <w:spacing w:after="0" w:line="182" w:lineRule="exact"/>
              <w:rPr>
                <w:sz w:val="20"/>
                <w:szCs w:val="20"/>
                <w:color w:val="auto"/>
              </w:rPr>
            </w:pPr>
            <w:r>
              <w:rPr>
                <w:rFonts w:ascii="Arial" w:cs="Arial" w:eastAsia="Arial" w:hAnsi="Arial"/>
                <w:sz w:val="16"/>
                <w:szCs w:val="16"/>
                <w:b w:val="1"/>
                <w:bCs w:val="1"/>
                <w:color w:val="FFFFFE"/>
                <w:w w:val="98"/>
              </w:rPr>
              <w:t>Per Share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40" w:type="dxa"/>
            <w:vAlign w:val="bottom"/>
            <w:shd w:val="clear" w:color="auto" w:fill="53C072"/>
          </w:tcPr>
          <w:p>
            <w:pPr>
              <w:spacing w:after="0"/>
              <w:rPr>
                <w:sz w:val="15"/>
                <w:szCs w:val="15"/>
                <w:color w:val="auto"/>
              </w:rPr>
            </w:pPr>
          </w:p>
        </w:tc>
        <w:tc>
          <w:tcPr>
            <w:tcW w:w="100" w:type="dxa"/>
            <w:vAlign w:val="bottom"/>
            <w:shd w:val="clear" w:color="auto" w:fill="53C072"/>
          </w:tcPr>
          <w:p>
            <w:pPr>
              <w:spacing w:after="0"/>
              <w:rPr>
                <w:sz w:val="15"/>
                <w:szCs w:val="15"/>
                <w:color w:val="auto"/>
              </w:rPr>
            </w:pPr>
          </w:p>
        </w:tc>
        <w:tc>
          <w:tcPr>
            <w:tcW w:w="60" w:type="dxa"/>
            <w:vAlign w:val="bottom"/>
            <w:shd w:val="clear" w:color="auto" w:fill="53C072"/>
          </w:tcPr>
          <w:p>
            <w:pPr>
              <w:spacing w:after="0"/>
              <w:rPr>
                <w:sz w:val="15"/>
                <w:szCs w:val="15"/>
                <w:color w:val="auto"/>
              </w:rPr>
            </w:pPr>
          </w:p>
        </w:tc>
        <w:tc>
          <w:tcPr>
            <w:tcW w:w="100" w:type="dxa"/>
            <w:vAlign w:val="bottom"/>
            <w:shd w:val="clear" w:color="auto" w:fill="53C072"/>
          </w:tcPr>
          <w:p>
            <w:pPr>
              <w:spacing w:after="0"/>
              <w:rPr>
                <w:sz w:val="15"/>
                <w:szCs w:val="15"/>
                <w:color w:val="auto"/>
              </w:rPr>
            </w:pPr>
          </w:p>
        </w:tc>
        <w:tc>
          <w:tcPr>
            <w:tcW w:w="920" w:type="dxa"/>
            <w:vAlign w:val="bottom"/>
            <w:shd w:val="clear" w:color="auto" w:fill="53C072"/>
          </w:tcPr>
          <w:p>
            <w:pPr>
              <w:spacing w:after="0"/>
              <w:rPr>
                <w:sz w:val="15"/>
                <w:szCs w:val="15"/>
                <w:color w:val="auto"/>
              </w:rPr>
            </w:pPr>
          </w:p>
        </w:tc>
        <w:tc>
          <w:tcPr>
            <w:tcW w:w="180" w:type="dxa"/>
            <w:vAlign w:val="bottom"/>
            <w:shd w:val="clear" w:color="auto" w:fill="53C072"/>
          </w:tcPr>
          <w:p>
            <w:pPr>
              <w:spacing w:after="0"/>
              <w:rPr>
                <w:sz w:val="15"/>
                <w:szCs w:val="15"/>
                <w:color w:val="auto"/>
              </w:rPr>
            </w:pPr>
          </w:p>
        </w:tc>
        <w:tc>
          <w:tcPr>
            <w:tcW w:w="860" w:type="dxa"/>
            <w:vAlign w:val="bottom"/>
            <w:shd w:val="clear" w:color="auto" w:fill="53C072"/>
          </w:tcPr>
          <w:p>
            <w:pPr>
              <w:jc w:val="center"/>
              <w:spacing w:after="0" w:line="182" w:lineRule="exact"/>
              <w:rPr>
                <w:sz w:val="20"/>
                <w:szCs w:val="20"/>
                <w:color w:val="auto"/>
              </w:rPr>
            </w:pPr>
            <w:r>
              <w:rPr>
                <w:rFonts w:ascii="Arial" w:cs="Arial" w:eastAsia="Arial" w:hAnsi="Arial"/>
                <w:sz w:val="16"/>
                <w:szCs w:val="16"/>
                <w:b w:val="1"/>
                <w:bCs w:val="1"/>
                <w:color w:val="FFFFFE"/>
                <w:w w:val="99"/>
              </w:rPr>
              <w:t>Continuing</w:t>
            </w:r>
          </w:p>
        </w:tc>
        <w:tc>
          <w:tcPr>
            <w:tcW w:w="140" w:type="dxa"/>
            <w:vAlign w:val="bottom"/>
            <w:shd w:val="clear" w:color="auto" w:fill="53C072"/>
          </w:tcPr>
          <w:p>
            <w:pPr>
              <w:spacing w:after="0"/>
              <w:rPr>
                <w:sz w:val="15"/>
                <w:szCs w:val="15"/>
                <w:color w:val="auto"/>
              </w:rPr>
            </w:pPr>
          </w:p>
        </w:tc>
        <w:tc>
          <w:tcPr>
            <w:tcW w:w="140" w:type="dxa"/>
            <w:vAlign w:val="bottom"/>
            <w:shd w:val="clear" w:color="auto" w:fill="53C072"/>
          </w:tcPr>
          <w:p>
            <w:pPr>
              <w:spacing w:after="0"/>
              <w:rPr>
                <w:sz w:val="15"/>
                <w:szCs w:val="15"/>
                <w:color w:val="auto"/>
              </w:rPr>
            </w:pPr>
          </w:p>
        </w:tc>
        <w:tc>
          <w:tcPr>
            <w:tcW w:w="860" w:type="dxa"/>
            <w:vAlign w:val="bottom"/>
            <w:shd w:val="clear" w:color="auto" w:fill="53C072"/>
          </w:tcPr>
          <w:p>
            <w:pPr>
              <w:jc w:val="center"/>
              <w:spacing w:after="0" w:line="182" w:lineRule="exact"/>
              <w:rPr>
                <w:sz w:val="20"/>
                <w:szCs w:val="20"/>
                <w:color w:val="auto"/>
              </w:rPr>
            </w:pPr>
            <w:r>
              <w:rPr>
                <w:rFonts w:ascii="Arial" w:cs="Arial" w:eastAsia="Arial" w:hAnsi="Arial"/>
                <w:sz w:val="16"/>
                <w:szCs w:val="16"/>
                <w:b w:val="1"/>
                <w:bCs w:val="1"/>
                <w:color w:val="FFFFFE"/>
              </w:rPr>
              <w:t>from</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40" w:type="dxa"/>
            <w:vAlign w:val="bottom"/>
            <w:shd w:val="clear" w:color="auto" w:fill="53C072"/>
          </w:tcPr>
          <w:p>
            <w:pPr>
              <w:spacing w:after="0"/>
              <w:rPr>
                <w:sz w:val="15"/>
                <w:szCs w:val="15"/>
                <w:color w:val="auto"/>
              </w:rPr>
            </w:pPr>
          </w:p>
        </w:tc>
        <w:tc>
          <w:tcPr>
            <w:tcW w:w="100" w:type="dxa"/>
            <w:vAlign w:val="bottom"/>
            <w:shd w:val="clear" w:color="auto" w:fill="53C072"/>
          </w:tcPr>
          <w:p>
            <w:pPr>
              <w:spacing w:after="0"/>
              <w:rPr>
                <w:sz w:val="15"/>
                <w:szCs w:val="15"/>
                <w:color w:val="auto"/>
              </w:rPr>
            </w:pPr>
          </w:p>
        </w:tc>
        <w:tc>
          <w:tcPr>
            <w:tcW w:w="60" w:type="dxa"/>
            <w:vAlign w:val="bottom"/>
            <w:shd w:val="clear" w:color="auto" w:fill="53C072"/>
          </w:tcPr>
          <w:p>
            <w:pPr>
              <w:spacing w:after="0"/>
              <w:rPr>
                <w:sz w:val="15"/>
                <w:szCs w:val="15"/>
                <w:color w:val="auto"/>
              </w:rPr>
            </w:pPr>
          </w:p>
        </w:tc>
        <w:tc>
          <w:tcPr>
            <w:tcW w:w="100" w:type="dxa"/>
            <w:vAlign w:val="bottom"/>
            <w:shd w:val="clear" w:color="auto" w:fill="53C072"/>
          </w:tcPr>
          <w:p>
            <w:pPr>
              <w:spacing w:after="0"/>
              <w:rPr>
                <w:sz w:val="15"/>
                <w:szCs w:val="15"/>
                <w:color w:val="auto"/>
              </w:rPr>
            </w:pPr>
          </w:p>
        </w:tc>
        <w:tc>
          <w:tcPr>
            <w:tcW w:w="920" w:type="dxa"/>
            <w:vAlign w:val="bottom"/>
            <w:shd w:val="clear" w:color="auto" w:fill="53C072"/>
          </w:tcPr>
          <w:p>
            <w:pPr>
              <w:jc w:val="right"/>
              <w:ind w:right="61"/>
              <w:spacing w:after="0" w:line="182" w:lineRule="exact"/>
              <w:rPr>
                <w:sz w:val="20"/>
                <w:szCs w:val="20"/>
                <w:color w:val="auto"/>
              </w:rPr>
            </w:pPr>
            <w:r>
              <w:rPr>
                <w:rFonts w:ascii="Arial" w:cs="Arial" w:eastAsia="Arial" w:hAnsi="Arial"/>
                <w:sz w:val="16"/>
                <w:szCs w:val="16"/>
                <w:b w:val="1"/>
                <w:bCs w:val="1"/>
                <w:color w:val="FFFFFE"/>
              </w:rPr>
              <w:t>Operating</w:t>
            </w:r>
          </w:p>
        </w:tc>
        <w:tc>
          <w:tcPr>
            <w:tcW w:w="180" w:type="dxa"/>
            <w:vAlign w:val="bottom"/>
            <w:shd w:val="clear" w:color="auto" w:fill="53C072"/>
          </w:tcPr>
          <w:p>
            <w:pPr>
              <w:spacing w:after="0"/>
              <w:rPr>
                <w:sz w:val="15"/>
                <w:szCs w:val="15"/>
                <w:color w:val="auto"/>
              </w:rPr>
            </w:pPr>
          </w:p>
        </w:tc>
        <w:tc>
          <w:tcPr>
            <w:tcW w:w="860" w:type="dxa"/>
            <w:vAlign w:val="bottom"/>
            <w:shd w:val="clear" w:color="auto" w:fill="53C072"/>
          </w:tcPr>
          <w:p>
            <w:pPr>
              <w:jc w:val="center"/>
              <w:spacing w:after="0" w:line="182" w:lineRule="exact"/>
              <w:rPr>
                <w:sz w:val="20"/>
                <w:szCs w:val="20"/>
                <w:color w:val="auto"/>
              </w:rPr>
            </w:pPr>
            <w:r>
              <w:rPr>
                <w:rFonts w:ascii="Arial" w:cs="Arial" w:eastAsia="Arial" w:hAnsi="Arial"/>
                <w:sz w:val="16"/>
                <w:szCs w:val="16"/>
                <w:b w:val="1"/>
                <w:bCs w:val="1"/>
                <w:color w:val="FFFFFE"/>
                <w:w w:val="99"/>
              </w:rPr>
              <w:t>Operations</w:t>
            </w:r>
          </w:p>
        </w:tc>
        <w:tc>
          <w:tcPr>
            <w:tcW w:w="140" w:type="dxa"/>
            <w:vAlign w:val="bottom"/>
            <w:shd w:val="clear" w:color="auto" w:fill="53C072"/>
          </w:tcPr>
          <w:p>
            <w:pPr>
              <w:spacing w:after="0"/>
              <w:rPr>
                <w:sz w:val="15"/>
                <w:szCs w:val="15"/>
                <w:color w:val="auto"/>
              </w:rPr>
            </w:pPr>
          </w:p>
        </w:tc>
        <w:tc>
          <w:tcPr>
            <w:tcW w:w="140" w:type="dxa"/>
            <w:vAlign w:val="bottom"/>
            <w:shd w:val="clear" w:color="auto" w:fill="53C072"/>
          </w:tcPr>
          <w:p>
            <w:pPr>
              <w:spacing w:after="0"/>
              <w:rPr>
                <w:sz w:val="15"/>
                <w:szCs w:val="15"/>
                <w:color w:val="auto"/>
              </w:rPr>
            </w:pPr>
          </w:p>
        </w:tc>
        <w:tc>
          <w:tcPr>
            <w:tcW w:w="860" w:type="dxa"/>
            <w:vAlign w:val="bottom"/>
            <w:shd w:val="clear" w:color="auto" w:fill="53C072"/>
          </w:tcPr>
          <w:p>
            <w:pPr>
              <w:jc w:val="center"/>
              <w:spacing w:after="0" w:line="182" w:lineRule="exact"/>
              <w:rPr>
                <w:sz w:val="20"/>
                <w:szCs w:val="20"/>
                <w:color w:val="auto"/>
              </w:rPr>
            </w:pPr>
            <w:r>
              <w:rPr>
                <w:rFonts w:ascii="Arial" w:cs="Arial" w:eastAsia="Arial" w:hAnsi="Arial"/>
                <w:sz w:val="16"/>
                <w:szCs w:val="16"/>
                <w:b w:val="1"/>
                <w:bCs w:val="1"/>
                <w:color w:val="FFFFFE"/>
                <w:w w:val="99"/>
              </w:rPr>
              <w:t>Continuing</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940" w:type="dxa"/>
            <w:vAlign w:val="bottom"/>
            <w:shd w:val="clear" w:color="auto" w:fill="53C072"/>
          </w:tcPr>
          <w:p>
            <w:pPr>
              <w:spacing w:after="0"/>
              <w:rPr>
                <w:sz w:val="17"/>
                <w:szCs w:val="17"/>
                <w:color w:val="auto"/>
              </w:rPr>
            </w:pPr>
          </w:p>
        </w:tc>
        <w:tc>
          <w:tcPr>
            <w:tcW w:w="100" w:type="dxa"/>
            <w:vAlign w:val="bottom"/>
            <w:shd w:val="clear" w:color="auto" w:fill="53C072"/>
          </w:tcPr>
          <w:p>
            <w:pPr>
              <w:spacing w:after="0"/>
              <w:rPr>
                <w:sz w:val="17"/>
                <w:szCs w:val="17"/>
                <w:color w:val="auto"/>
              </w:rPr>
            </w:pPr>
          </w:p>
        </w:tc>
        <w:tc>
          <w:tcPr>
            <w:tcW w:w="60" w:type="dxa"/>
            <w:vAlign w:val="bottom"/>
            <w:shd w:val="clear" w:color="auto" w:fill="53C072"/>
          </w:tcPr>
          <w:p>
            <w:pPr>
              <w:spacing w:after="0"/>
              <w:rPr>
                <w:sz w:val="17"/>
                <w:szCs w:val="17"/>
                <w:color w:val="auto"/>
              </w:rPr>
            </w:pPr>
          </w:p>
        </w:tc>
        <w:tc>
          <w:tcPr>
            <w:tcW w:w="100" w:type="dxa"/>
            <w:vAlign w:val="bottom"/>
            <w:shd w:val="clear" w:color="auto" w:fill="53C072"/>
          </w:tcPr>
          <w:p>
            <w:pPr>
              <w:spacing w:after="0"/>
              <w:rPr>
                <w:sz w:val="17"/>
                <w:szCs w:val="17"/>
                <w:color w:val="auto"/>
              </w:rPr>
            </w:pPr>
          </w:p>
        </w:tc>
        <w:tc>
          <w:tcPr>
            <w:tcW w:w="920" w:type="dxa"/>
            <w:vAlign w:val="bottom"/>
            <w:shd w:val="clear" w:color="auto" w:fill="53C072"/>
          </w:tcPr>
          <w:p>
            <w:pPr>
              <w:jc w:val="right"/>
              <w:ind w:right="161"/>
              <w:spacing w:after="0"/>
              <w:rPr>
                <w:sz w:val="20"/>
                <w:szCs w:val="20"/>
                <w:color w:val="auto"/>
              </w:rPr>
            </w:pPr>
            <w:r>
              <w:rPr>
                <w:rFonts w:ascii="Arial" w:cs="Arial" w:eastAsia="Arial" w:hAnsi="Arial"/>
                <w:sz w:val="16"/>
                <w:szCs w:val="16"/>
                <w:b w:val="1"/>
                <w:bCs w:val="1"/>
                <w:color w:val="FFFFFE"/>
              </w:rPr>
              <w:t>Income</w:t>
            </w:r>
          </w:p>
        </w:tc>
        <w:tc>
          <w:tcPr>
            <w:tcW w:w="180" w:type="dxa"/>
            <w:vAlign w:val="bottom"/>
            <w:shd w:val="clear" w:color="auto" w:fill="53C072"/>
          </w:tcPr>
          <w:p>
            <w:pPr>
              <w:spacing w:after="0"/>
              <w:rPr>
                <w:sz w:val="17"/>
                <w:szCs w:val="17"/>
                <w:color w:val="auto"/>
              </w:rPr>
            </w:pPr>
          </w:p>
        </w:tc>
        <w:tc>
          <w:tcPr>
            <w:tcW w:w="860" w:type="dxa"/>
            <w:vAlign w:val="bottom"/>
            <w:shd w:val="clear" w:color="auto" w:fill="53C072"/>
          </w:tcPr>
          <w:p>
            <w:pPr>
              <w:jc w:val="center"/>
              <w:spacing w:after="0"/>
              <w:rPr>
                <w:sz w:val="20"/>
                <w:szCs w:val="20"/>
                <w:color w:val="auto"/>
              </w:rPr>
            </w:pPr>
            <w:r>
              <w:rPr>
                <w:rFonts w:ascii="Arial" w:cs="Arial" w:eastAsia="Arial" w:hAnsi="Arial"/>
                <w:sz w:val="16"/>
                <w:szCs w:val="16"/>
                <w:b w:val="1"/>
                <w:bCs w:val="1"/>
                <w:color w:val="FFFFFE"/>
                <w:w w:val="97"/>
              </w:rPr>
              <w:t>(net of tax)</w:t>
            </w:r>
          </w:p>
        </w:tc>
        <w:tc>
          <w:tcPr>
            <w:tcW w:w="140" w:type="dxa"/>
            <w:vAlign w:val="bottom"/>
            <w:shd w:val="clear" w:color="auto" w:fill="53C072"/>
          </w:tcPr>
          <w:p>
            <w:pPr>
              <w:spacing w:after="0"/>
              <w:rPr>
                <w:sz w:val="17"/>
                <w:szCs w:val="17"/>
                <w:color w:val="auto"/>
              </w:rPr>
            </w:pPr>
          </w:p>
        </w:tc>
        <w:tc>
          <w:tcPr>
            <w:tcW w:w="140" w:type="dxa"/>
            <w:vAlign w:val="bottom"/>
            <w:shd w:val="clear" w:color="auto" w:fill="53C072"/>
          </w:tcPr>
          <w:p>
            <w:pPr>
              <w:spacing w:after="0"/>
              <w:rPr>
                <w:sz w:val="17"/>
                <w:szCs w:val="17"/>
                <w:color w:val="auto"/>
              </w:rPr>
            </w:pPr>
          </w:p>
        </w:tc>
        <w:tc>
          <w:tcPr>
            <w:tcW w:w="860" w:type="dxa"/>
            <w:vAlign w:val="bottom"/>
            <w:shd w:val="clear" w:color="auto" w:fill="53C072"/>
          </w:tcPr>
          <w:p>
            <w:pPr>
              <w:jc w:val="center"/>
              <w:spacing w:after="0"/>
              <w:rPr>
                <w:sz w:val="20"/>
                <w:szCs w:val="20"/>
                <w:color w:val="auto"/>
              </w:rPr>
            </w:pPr>
            <w:r>
              <w:rPr>
                <w:rFonts w:ascii="Arial" w:cs="Arial" w:eastAsia="Arial" w:hAnsi="Arial"/>
                <w:sz w:val="16"/>
                <w:szCs w:val="16"/>
                <w:b w:val="1"/>
                <w:bCs w:val="1"/>
                <w:color w:val="FFFFFE"/>
                <w:w w:val="99"/>
              </w:rPr>
              <w:t>Operations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940" w:type="dxa"/>
            <w:vAlign w:val="bottom"/>
            <w:shd w:val="clear" w:color="auto" w:fill="53C072"/>
          </w:tcPr>
          <w:p>
            <w:pPr>
              <w:spacing w:after="0"/>
              <w:rPr>
                <w:sz w:val="16"/>
                <w:szCs w:val="16"/>
                <w:color w:val="auto"/>
              </w:rPr>
            </w:pPr>
          </w:p>
        </w:tc>
        <w:tc>
          <w:tcPr>
            <w:tcW w:w="100" w:type="dxa"/>
            <w:vAlign w:val="bottom"/>
            <w:shd w:val="clear" w:color="auto" w:fill="53C072"/>
          </w:tcPr>
          <w:p>
            <w:pPr>
              <w:spacing w:after="0"/>
              <w:rPr>
                <w:sz w:val="16"/>
                <w:szCs w:val="16"/>
                <w:color w:val="auto"/>
              </w:rPr>
            </w:pPr>
          </w:p>
        </w:tc>
        <w:tc>
          <w:tcPr>
            <w:tcW w:w="60" w:type="dxa"/>
            <w:vAlign w:val="bottom"/>
            <w:shd w:val="clear" w:color="auto" w:fill="53C072"/>
          </w:tcPr>
          <w:p>
            <w:pPr>
              <w:spacing w:after="0"/>
              <w:rPr>
                <w:sz w:val="16"/>
                <w:szCs w:val="16"/>
                <w:color w:val="auto"/>
              </w:rPr>
            </w:pPr>
          </w:p>
        </w:tc>
        <w:tc>
          <w:tcPr>
            <w:tcW w:w="100" w:type="dxa"/>
            <w:vAlign w:val="bottom"/>
            <w:shd w:val="clear" w:color="auto" w:fill="53C072"/>
          </w:tcPr>
          <w:p>
            <w:pPr>
              <w:spacing w:after="0"/>
              <w:rPr>
                <w:sz w:val="16"/>
                <w:szCs w:val="16"/>
                <w:color w:val="auto"/>
              </w:rPr>
            </w:pPr>
          </w:p>
        </w:tc>
        <w:tc>
          <w:tcPr>
            <w:tcW w:w="1960" w:type="dxa"/>
            <w:vAlign w:val="bottom"/>
            <w:gridSpan w:val="3"/>
            <w:shd w:val="clear" w:color="auto" w:fill="53C072"/>
          </w:tcPr>
          <w:p>
            <w:pPr>
              <w:jc w:val="right"/>
              <w:spacing w:after="0"/>
              <w:rPr>
                <w:sz w:val="20"/>
                <w:szCs w:val="20"/>
                <w:color w:val="auto"/>
              </w:rPr>
            </w:pPr>
            <w:r>
              <w:rPr>
                <w:rFonts w:ascii="Arial" w:cs="Arial" w:eastAsia="Arial" w:hAnsi="Arial"/>
                <w:sz w:val="16"/>
                <w:szCs w:val="16"/>
                <w:b w:val="1"/>
                <w:bCs w:val="1"/>
                <w:color w:val="FFFFFE"/>
              </w:rPr>
              <w:t>(thousands except per</w:t>
            </w:r>
          </w:p>
        </w:tc>
        <w:tc>
          <w:tcPr>
            <w:tcW w:w="1140" w:type="dxa"/>
            <w:vAlign w:val="bottom"/>
            <w:gridSpan w:val="3"/>
            <w:shd w:val="clear" w:color="auto" w:fill="53C072"/>
          </w:tcPr>
          <w:p>
            <w:pPr>
              <w:jc w:val="right"/>
              <w:ind w:right="181"/>
              <w:spacing w:after="0"/>
              <w:rPr>
                <w:sz w:val="20"/>
                <w:szCs w:val="20"/>
                <w:color w:val="auto"/>
              </w:rPr>
            </w:pPr>
            <w:r>
              <w:rPr>
                <w:rFonts w:ascii="Arial" w:cs="Arial" w:eastAsia="Arial" w:hAnsi="Arial"/>
                <w:sz w:val="16"/>
                <w:szCs w:val="16"/>
                <w:b w:val="1"/>
                <w:bCs w:val="1"/>
                <w:color w:val="FFFFFE"/>
              </w:rPr>
              <w:t>share data)</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940" w:type="dxa"/>
            <w:vAlign w:val="bottom"/>
          </w:tcPr>
          <w:p>
            <w:pPr>
              <w:spacing w:after="0" w:line="182" w:lineRule="exact"/>
              <w:rPr>
                <w:sz w:val="20"/>
                <w:szCs w:val="20"/>
                <w:color w:val="auto"/>
              </w:rPr>
            </w:pPr>
            <w:r>
              <w:rPr>
                <w:rFonts w:ascii="Arial" w:cs="Arial" w:eastAsia="Arial" w:hAnsi="Arial"/>
                <w:sz w:val="16"/>
                <w:szCs w:val="16"/>
                <w:b w:val="1"/>
                <w:bCs w:val="1"/>
                <w:color w:val="auto"/>
              </w:rPr>
              <w:t>GAAP results</w:t>
            </w:r>
          </w:p>
        </w:tc>
        <w:tc>
          <w:tcPr>
            <w:tcW w:w="100" w:type="dxa"/>
            <w:vAlign w:val="bottom"/>
          </w:tcPr>
          <w:p>
            <w:pPr>
              <w:spacing w:after="0"/>
              <w:rPr>
                <w:sz w:val="15"/>
                <w:szCs w:val="15"/>
                <w:color w:val="auto"/>
              </w:rPr>
            </w:pPr>
          </w:p>
        </w:tc>
        <w:tc>
          <w:tcPr>
            <w:tcW w:w="160" w:type="dxa"/>
            <w:vAlign w:val="bottom"/>
            <w:gridSpan w:val="2"/>
          </w:tcPr>
          <w:p>
            <w:pPr>
              <w:jc w:val="right"/>
              <w:spacing w:after="0" w:line="182" w:lineRule="exact"/>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21"/>
              <w:spacing w:after="0" w:line="182" w:lineRule="exact"/>
              <w:rPr>
                <w:sz w:val="20"/>
                <w:szCs w:val="20"/>
                <w:color w:val="auto"/>
              </w:rPr>
            </w:pPr>
            <w:r>
              <w:rPr>
                <w:rFonts w:ascii="Arial" w:cs="Arial" w:eastAsia="Arial" w:hAnsi="Arial"/>
                <w:sz w:val="16"/>
                <w:szCs w:val="16"/>
                <w:b w:val="1"/>
                <w:bCs w:val="1"/>
                <w:color w:val="auto"/>
              </w:rPr>
              <w:t>365,911</w:t>
            </w:r>
          </w:p>
        </w:tc>
        <w:tc>
          <w:tcPr>
            <w:tcW w:w="1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6"/>
                <w:szCs w:val="16"/>
                <w:b w:val="1"/>
                <w:bCs w:val="1"/>
                <w:color w:val="auto"/>
              </w:rPr>
              <w:t>180,111</w:t>
            </w:r>
          </w:p>
        </w:tc>
        <w:tc>
          <w:tcPr>
            <w:tcW w:w="140" w:type="dxa"/>
            <w:vAlign w:val="bottom"/>
          </w:tcPr>
          <w:p>
            <w:pPr>
              <w:spacing w:after="0"/>
              <w:rPr>
                <w:sz w:val="15"/>
                <w:szCs w:val="15"/>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spacing w:after="0" w:line="182" w:lineRule="exact"/>
              <w:rPr>
                <w:sz w:val="20"/>
                <w:szCs w:val="20"/>
                <w:color w:val="auto"/>
              </w:rPr>
            </w:pPr>
            <w:r>
              <w:rPr>
                <w:rFonts w:ascii="Arial" w:cs="Arial" w:eastAsia="Arial" w:hAnsi="Arial"/>
                <w:sz w:val="16"/>
                <w:szCs w:val="16"/>
                <w:b w:val="1"/>
                <w:bCs w:val="1"/>
                <w:color w:val="auto"/>
              </w:rPr>
              <w:t>1.63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40" w:type="dxa"/>
            <w:vAlign w:val="bottom"/>
            <w:shd w:val="clear" w:color="auto" w:fill="E8F5EA"/>
          </w:tcPr>
          <w:p>
            <w:pPr>
              <w:ind w:left="180"/>
              <w:spacing w:after="0" w:line="182" w:lineRule="exact"/>
              <w:rPr>
                <w:sz w:val="20"/>
                <w:szCs w:val="20"/>
                <w:color w:val="auto"/>
              </w:rPr>
            </w:pPr>
            <w:r>
              <w:rPr>
                <w:rFonts w:ascii="Arial" w:cs="Arial" w:eastAsia="Arial" w:hAnsi="Arial"/>
                <w:sz w:val="16"/>
                <w:szCs w:val="16"/>
                <w:color w:val="auto"/>
              </w:rPr>
              <w:t>Restructuring, integration and other expenses</w:t>
            </w:r>
          </w:p>
        </w:tc>
        <w:tc>
          <w:tcPr>
            <w:tcW w:w="100" w:type="dxa"/>
            <w:vAlign w:val="bottom"/>
            <w:shd w:val="clear" w:color="auto" w:fill="E8F5EA"/>
          </w:tcPr>
          <w:p>
            <w:pPr>
              <w:spacing w:after="0"/>
              <w:rPr>
                <w:sz w:val="15"/>
                <w:szCs w:val="15"/>
                <w:color w:val="auto"/>
              </w:rPr>
            </w:pPr>
          </w:p>
        </w:tc>
        <w:tc>
          <w:tcPr>
            <w:tcW w:w="60" w:type="dxa"/>
            <w:vAlign w:val="bottom"/>
            <w:shd w:val="clear" w:color="auto" w:fill="E8F5EA"/>
          </w:tcPr>
          <w:p>
            <w:pPr>
              <w:spacing w:after="0"/>
              <w:rPr>
                <w:sz w:val="15"/>
                <w:szCs w:val="15"/>
                <w:color w:val="auto"/>
              </w:rPr>
            </w:pPr>
          </w:p>
        </w:tc>
        <w:tc>
          <w:tcPr>
            <w:tcW w:w="100" w:type="dxa"/>
            <w:vAlign w:val="bottom"/>
            <w:shd w:val="clear" w:color="auto" w:fill="E8F5EA"/>
          </w:tcPr>
          <w:p>
            <w:pPr>
              <w:spacing w:after="0"/>
              <w:rPr>
                <w:sz w:val="15"/>
                <w:szCs w:val="15"/>
                <w:color w:val="auto"/>
              </w:rPr>
            </w:pPr>
          </w:p>
        </w:tc>
        <w:tc>
          <w:tcPr>
            <w:tcW w:w="920" w:type="dxa"/>
            <w:vAlign w:val="bottom"/>
            <w:shd w:val="clear" w:color="auto" w:fill="E8F5EA"/>
          </w:tcPr>
          <w:p>
            <w:pPr>
              <w:jc w:val="right"/>
              <w:ind w:right="21"/>
              <w:spacing w:after="0" w:line="182" w:lineRule="exact"/>
              <w:rPr>
                <w:sz w:val="20"/>
                <w:szCs w:val="20"/>
                <w:color w:val="auto"/>
              </w:rPr>
            </w:pPr>
            <w:r>
              <w:rPr>
                <w:rFonts w:ascii="Arial" w:cs="Arial" w:eastAsia="Arial" w:hAnsi="Arial"/>
                <w:sz w:val="16"/>
                <w:szCs w:val="16"/>
                <w:color w:val="auto"/>
              </w:rPr>
              <w:t>108,144</w:t>
            </w:r>
          </w:p>
        </w:tc>
        <w:tc>
          <w:tcPr>
            <w:tcW w:w="180" w:type="dxa"/>
            <w:vAlign w:val="bottom"/>
            <w:shd w:val="clear" w:color="auto" w:fill="E8F5EA"/>
          </w:tcPr>
          <w:p>
            <w:pPr>
              <w:spacing w:after="0"/>
              <w:rPr>
                <w:sz w:val="15"/>
                <w:szCs w:val="15"/>
                <w:color w:val="auto"/>
              </w:rPr>
            </w:pPr>
          </w:p>
        </w:tc>
        <w:tc>
          <w:tcPr>
            <w:tcW w:w="86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81,398</w:t>
            </w:r>
          </w:p>
        </w:tc>
        <w:tc>
          <w:tcPr>
            <w:tcW w:w="140" w:type="dxa"/>
            <w:vAlign w:val="bottom"/>
            <w:shd w:val="clear" w:color="auto" w:fill="E8F5EA"/>
          </w:tcPr>
          <w:p>
            <w:pPr>
              <w:spacing w:after="0"/>
              <w:rPr>
                <w:sz w:val="15"/>
                <w:szCs w:val="15"/>
                <w:color w:val="auto"/>
              </w:rPr>
            </w:pPr>
          </w:p>
        </w:tc>
        <w:tc>
          <w:tcPr>
            <w:tcW w:w="140" w:type="dxa"/>
            <w:vAlign w:val="bottom"/>
            <w:shd w:val="clear" w:color="auto" w:fill="E8F5EA"/>
          </w:tcPr>
          <w:p>
            <w:pPr>
              <w:spacing w:after="0"/>
              <w:rPr>
                <w:sz w:val="15"/>
                <w:szCs w:val="15"/>
                <w:color w:val="auto"/>
              </w:rPr>
            </w:pPr>
          </w:p>
        </w:tc>
        <w:tc>
          <w:tcPr>
            <w:tcW w:w="86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0.74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40" w:type="dxa"/>
            <w:vAlign w:val="bottom"/>
          </w:tcPr>
          <w:p>
            <w:pPr>
              <w:ind w:left="180"/>
              <w:spacing w:after="0" w:line="182" w:lineRule="exact"/>
              <w:rPr>
                <w:sz w:val="20"/>
                <w:szCs w:val="20"/>
                <w:color w:val="auto"/>
              </w:rPr>
            </w:pPr>
            <w:r>
              <w:rPr>
                <w:rFonts w:ascii="Arial" w:cs="Arial" w:eastAsia="Arial" w:hAnsi="Arial"/>
                <w:sz w:val="16"/>
                <w:szCs w:val="16"/>
                <w:color w:val="auto"/>
              </w:rPr>
              <w:t>Amortization of intangible assets and other</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1"/>
              <w:spacing w:after="0" w:line="182" w:lineRule="exact"/>
              <w:rPr>
                <w:sz w:val="20"/>
                <w:szCs w:val="20"/>
                <w:color w:val="auto"/>
              </w:rPr>
            </w:pPr>
            <w:r>
              <w:rPr>
                <w:rFonts w:ascii="Arial" w:cs="Arial" w:eastAsia="Arial" w:hAnsi="Arial"/>
                <w:sz w:val="16"/>
                <w:szCs w:val="16"/>
                <w:color w:val="auto"/>
              </w:rPr>
              <w:t>84,257</w:t>
            </w:r>
          </w:p>
        </w:tc>
        <w:tc>
          <w:tcPr>
            <w:tcW w:w="180" w:type="dxa"/>
            <w:vAlign w:val="bottom"/>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6"/>
                <w:szCs w:val="16"/>
                <w:color w:val="auto"/>
              </w:rPr>
              <w:t>66,271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6"/>
                <w:szCs w:val="16"/>
                <w:color w:val="auto"/>
              </w:rPr>
              <w:t>0.60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40" w:type="dxa"/>
            <w:vAlign w:val="bottom"/>
            <w:shd w:val="clear" w:color="auto" w:fill="E8F5EA"/>
          </w:tcPr>
          <w:p>
            <w:pPr>
              <w:ind w:left="180"/>
              <w:spacing w:after="0" w:line="182" w:lineRule="exact"/>
              <w:rPr>
                <w:sz w:val="20"/>
                <w:szCs w:val="20"/>
                <w:color w:val="auto"/>
              </w:rPr>
            </w:pPr>
            <w:r>
              <w:rPr>
                <w:rFonts w:ascii="Arial" w:cs="Arial" w:eastAsia="Arial" w:hAnsi="Arial"/>
                <w:sz w:val="16"/>
                <w:szCs w:val="16"/>
                <w:color w:val="auto"/>
              </w:rPr>
              <w:t>Goodwill impairment expense</w:t>
            </w:r>
          </w:p>
        </w:tc>
        <w:tc>
          <w:tcPr>
            <w:tcW w:w="100" w:type="dxa"/>
            <w:vAlign w:val="bottom"/>
            <w:shd w:val="clear" w:color="auto" w:fill="E8F5EA"/>
          </w:tcPr>
          <w:p>
            <w:pPr>
              <w:spacing w:after="0"/>
              <w:rPr>
                <w:sz w:val="15"/>
                <w:szCs w:val="15"/>
                <w:color w:val="auto"/>
              </w:rPr>
            </w:pPr>
          </w:p>
        </w:tc>
        <w:tc>
          <w:tcPr>
            <w:tcW w:w="60" w:type="dxa"/>
            <w:vAlign w:val="bottom"/>
            <w:shd w:val="clear" w:color="auto" w:fill="E8F5EA"/>
          </w:tcPr>
          <w:p>
            <w:pPr>
              <w:spacing w:after="0"/>
              <w:rPr>
                <w:sz w:val="15"/>
                <w:szCs w:val="15"/>
                <w:color w:val="auto"/>
              </w:rPr>
            </w:pPr>
          </w:p>
        </w:tc>
        <w:tc>
          <w:tcPr>
            <w:tcW w:w="100" w:type="dxa"/>
            <w:vAlign w:val="bottom"/>
            <w:shd w:val="clear" w:color="auto" w:fill="E8F5EA"/>
          </w:tcPr>
          <w:p>
            <w:pPr>
              <w:spacing w:after="0"/>
              <w:rPr>
                <w:sz w:val="15"/>
                <w:szCs w:val="15"/>
                <w:color w:val="auto"/>
              </w:rPr>
            </w:pPr>
          </w:p>
        </w:tc>
        <w:tc>
          <w:tcPr>
            <w:tcW w:w="920" w:type="dxa"/>
            <w:vAlign w:val="bottom"/>
            <w:shd w:val="clear" w:color="auto" w:fill="E8F5EA"/>
          </w:tcPr>
          <w:p>
            <w:pPr>
              <w:jc w:val="right"/>
              <w:ind w:right="21"/>
              <w:spacing w:after="0" w:line="182" w:lineRule="exact"/>
              <w:rPr>
                <w:sz w:val="20"/>
                <w:szCs w:val="20"/>
                <w:color w:val="auto"/>
              </w:rPr>
            </w:pPr>
            <w:r>
              <w:rPr>
                <w:rFonts w:ascii="Arial" w:cs="Arial" w:eastAsia="Arial" w:hAnsi="Arial"/>
                <w:sz w:val="16"/>
                <w:szCs w:val="16"/>
                <w:color w:val="auto"/>
              </w:rPr>
              <w:t>137,396</w:t>
            </w:r>
          </w:p>
        </w:tc>
        <w:tc>
          <w:tcPr>
            <w:tcW w:w="180" w:type="dxa"/>
            <w:vAlign w:val="bottom"/>
            <w:shd w:val="clear" w:color="auto" w:fill="E8F5EA"/>
          </w:tcPr>
          <w:p>
            <w:pPr>
              <w:spacing w:after="0"/>
              <w:rPr>
                <w:sz w:val="15"/>
                <w:szCs w:val="15"/>
                <w:color w:val="auto"/>
              </w:rPr>
            </w:pPr>
          </w:p>
        </w:tc>
        <w:tc>
          <w:tcPr>
            <w:tcW w:w="86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118,830</w:t>
            </w:r>
          </w:p>
        </w:tc>
        <w:tc>
          <w:tcPr>
            <w:tcW w:w="140" w:type="dxa"/>
            <w:vAlign w:val="bottom"/>
            <w:shd w:val="clear" w:color="auto" w:fill="E8F5EA"/>
          </w:tcPr>
          <w:p>
            <w:pPr>
              <w:spacing w:after="0"/>
              <w:rPr>
                <w:sz w:val="15"/>
                <w:szCs w:val="15"/>
                <w:color w:val="auto"/>
              </w:rPr>
            </w:pPr>
          </w:p>
        </w:tc>
        <w:tc>
          <w:tcPr>
            <w:tcW w:w="140" w:type="dxa"/>
            <w:vAlign w:val="bottom"/>
            <w:shd w:val="clear" w:color="auto" w:fill="E8F5EA"/>
          </w:tcPr>
          <w:p>
            <w:pPr>
              <w:spacing w:after="0"/>
              <w:rPr>
                <w:sz w:val="15"/>
                <w:szCs w:val="15"/>
                <w:color w:val="auto"/>
              </w:rPr>
            </w:pPr>
          </w:p>
        </w:tc>
        <w:tc>
          <w:tcPr>
            <w:tcW w:w="86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1.07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40" w:type="dxa"/>
            <w:vAlign w:val="bottom"/>
          </w:tcPr>
          <w:p>
            <w:pPr>
              <w:ind w:left="180"/>
              <w:spacing w:after="0" w:line="182" w:lineRule="exact"/>
              <w:rPr>
                <w:sz w:val="20"/>
                <w:szCs w:val="20"/>
                <w:color w:val="auto"/>
              </w:rPr>
            </w:pPr>
            <w:r>
              <w:rPr>
                <w:rFonts w:ascii="Arial" w:cs="Arial" w:eastAsia="Arial" w:hAnsi="Arial"/>
                <w:sz w:val="16"/>
                <w:szCs w:val="16"/>
                <w:color w:val="auto"/>
              </w:rPr>
              <w:t>Other special charge expenses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1"/>
              <w:spacing w:after="0" w:line="182"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6"/>
                <w:szCs w:val="16"/>
                <w:color w:val="auto"/>
              </w:rPr>
              <w:t>452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40" w:type="dxa"/>
            <w:vAlign w:val="bottom"/>
            <w:shd w:val="clear" w:color="auto" w:fill="E8F5EA"/>
          </w:tcPr>
          <w:p>
            <w:pPr>
              <w:ind w:left="180"/>
              <w:spacing w:after="0" w:line="182" w:lineRule="exact"/>
              <w:rPr>
                <w:sz w:val="20"/>
                <w:szCs w:val="20"/>
                <w:color w:val="auto"/>
              </w:rPr>
            </w:pPr>
            <w:r>
              <w:rPr>
                <w:rFonts w:ascii="Arial" w:cs="Arial" w:eastAsia="Arial" w:hAnsi="Arial"/>
                <w:sz w:val="16"/>
                <w:szCs w:val="16"/>
                <w:color w:val="auto"/>
              </w:rPr>
              <w:t>Income tax adjustments</w:t>
            </w:r>
          </w:p>
        </w:tc>
        <w:tc>
          <w:tcPr>
            <w:tcW w:w="100" w:type="dxa"/>
            <w:vAlign w:val="bottom"/>
            <w:shd w:val="clear" w:color="auto" w:fill="E8F5EA"/>
          </w:tcPr>
          <w:p>
            <w:pPr>
              <w:spacing w:after="0"/>
              <w:rPr>
                <w:sz w:val="15"/>
                <w:szCs w:val="15"/>
                <w:color w:val="auto"/>
              </w:rPr>
            </w:pPr>
          </w:p>
        </w:tc>
        <w:tc>
          <w:tcPr>
            <w:tcW w:w="60" w:type="dxa"/>
            <w:vAlign w:val="bottom"/>
            <w:shd w:val="clear" w:color="auto" w:fill="E8F5EA"/>
          </w:tcPr>
          <w:p>
            <w:pPr>
              <w:spacing w:after="0"/>
              <w:rPr>
                <w:sz w:val="15"/>
                <w:szCs w:val="15"/>
                <w:color w:val="auto"/>
              </w:rPr>
            </w:pPr>
          </w:p>
        </w:tc>
        <w:tc>
          <w:tcPr>
            <w:tcW w:w="100" w:type="dxa"/>
            <w:vAlign w:val="bottom"/>
            <w:shd w:val="clear" w:color="auto" w:fill="E8F5EA"/>
          </w:tcPr>
          <w:p>
            <w:pPr>
              <w:spacing w:after="0"/>
              <w:rPr>
                <w:sz w:val="15"/>
                <w:szCs w:val="15"/>
                <w:color w:val="auto"/>
              </w:rPr>
            </w:pPr>
          </w:p>
        </w:tc>
        <w:tc>
          <w:tcPr>
            <w:tcW w:w="920" w:type="dxa"/>
            <w:vAlign w:val="bottom"/>
            <w:shd w:val="clear" w:color="auto" w:fill="E8F5EA"/>
          </w:tcPr>
          <w:p>
            <w:pPr>
              <w:jc w:val="right"/>
              <w:ind w:right="21"/>
              <w:spacing w:after="0" w:line="182" w:lineRule="exact"/>
              <w:rPr>
                <w:sz w:val="20"/>
                <w:szCs w:val="20"/>
                <w:color w:val="auto"/>
              </w:rPr>
            </w:pPr>
            <w:r>
              <w:rPr>
                <w:rFonts w:ascii="Arial" w:cs="Arial" w:eastAsia="Arial" w:hAnsi="Arial"/>
                <w:sz w:val="16"/>
                <w:szCs w:val="16"/>
                <w:color w:val="auto"/>
              </w:rPr>
              <w:t>—</w:t>
            </w:r>
          </w:p>
        </w:tc>
        <w:tc>
          <w:tcPr>
            <w:tcW w:w="180" w:type="dxa"/>
            <w:vAlign w:val="bottom"/>
            <w:shd w:val="clear" w:color="auto" w:fill="E8F5EA"/>
          </w:tcPr>
          <w:p>
            <w:pPr>
              <w:spacing w:after="0"/>
              <w:rPr>
                <w:sz w:val="15"/>
                <w:szCs w:val="15"/>
                <w:color w:val="auto"/>
              </w:rPr>
            </w:pPr>
          </w:p>
        </w:tc>
        <w:tc>
          <w:tcPr>
            <w:tcW w:w="86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8,143</w:t>
            </w:r>
          </w:p>
        </w:tc>
        <w:tc>
          <w:tcPr>
            <w:tcW w:w="140" w:type="dxa"/>
            <w:vAlign w:val="bottom"/>
            <w:shd w:val="clear" w:color="auto" w:fill="E8F5EA"/>
          </w:tcPr>
          <w:p>
            <w:pPr>
              <w:spacing w:after="0"/>
              <w:rPr>
                <w:sz w:val="15"/>
                <w:szCs w:val="15"/>
                <w:color w:val="auto"/>
              </w:rPr>
            </w:pPr>
          </w:p>
        </w:tc>
        <w:tc>
          <w:tcPr>
            <w:tcW w:w="140" w:type="dxa"/>
            <w:vAlign w:val="bottom"/>
            <w:shd w:val="clear" w:color="auto" w:fill="E8F5EA"/>
          </w:tcPr>
          <w:p>
            <w:pPr>
              <w:spacing w:after="0"/>
              <w:rPr>
                <w:sz w:val="15"/>
                <w:szCs w:val="15"/>
                <w:color w:val="auto"/>
              </w:rPr>
            </w:pPr>
          </w:p>
        </w:tc>
        <w:tc>
          <w:tcPr>
            <w:tcW w:w="86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0.07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40" w:type="dxa"/>
            <w:vAlign w:val="bottom"/>
          </w:tcPr>
          <w:p>
            <w:pPr>
              <w:spacing w:after="0" w:line="182" w:lineRule="exact"/>
              <w:rPr>
                <w:sz w:val="20"/>
                <w:szCs w:val="20"/>
                <w:color w:val="auto"/>
              </w:rPr>
            </w:pPr>
            <w:r>
              <w:rPr>
                <w:rFonts w:ascii="Arial" w:cs="Arial" w:eastAsia="Arial" w:hAnsi="Arial"/>
                <w:sz w:val="16"/>
                <w:szCs w:val="16"/>
                <w:color w:val="auto"/>
              </w:rPr>
              <w:t>Total adjustments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1"/>
              <w:spacing w:after="0" w:line="182" w:lineRule="exact"/>
              <w:rPr>
                <w:sz w:val="20"/>
                <w:szCs w:val="20"/>
                <w:color w:val="auto"/>
              </w:rPr>
            </w:pPr>
            <w:r>
              <w:rPr>
                <w:rFonts w:ascii="Arial" w:cs="Arial" w:eastAsia="Arial" w:hAnsi="Arial"/>
                <w:sz w:val="16"/>
                <w:szCs w:val="16"/>
                <w:color w:val="auto"/>
              </w:rPr>
              <w:t>329,797</w:t>
            </w:r>
          </w:p>
        </w:tc>
        <w:tc>
          <w:tcPr>
            <w:tcW w:w="180" w:type="dxa"/>
            <w:vAlign w:val="bottom"/>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6"/>
                <w:szCs w:val="16"/>
                <w:color w:val="auto"/>
              </w:rPr>
              <w:t>275,094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6"/>
                <w:szCs w:val="16"/>
                <w:color w:val="auto"/>
              </w:rPr>
              <w:t>2.48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940" w:type="dxa"/>
            <w:vAlign w:val="bottom"/>
            <w:tcBorders>
              <w:bottom w:val="single" w:sz="8" w:color="53C072"/>
            </w:tcBorders>
            <w:shd w:val="clear" w:color="auto" w:fill="E8F5EA"/>
          </w:tcPr>
          <w:p>
            <w:pPr>
              <w:spacing w:after="0" w:line="182" w:lineRule="exact"/>
              <w:rPr>
                <w:sz w:val="20"/>
                <w:szCs w:val="20"/>
                <w:color w:val="auto"/>
              </w:rPr>
            </w:pPr>
            <w:r>
              <w:rPr>
                <w:rFonts w:ascii="Arial" w:cs="Arial" w:eastAsia="Arial" w:hAnsi="Arial"/>
                <w:sz w:val="16"/>
                <w:szCs w:val="16"/>
                <w:b w:val="1"/>
                <w:bCs w:val="1"/>
                <w:color w:val="auto"/>
              </w:rPr>
              <w:t>Adjusted non-GAAP results</w:t>
            </w:r>
          </w:p>
        </w:tc>
        <w:tc>
          <w:tcPr>
            <w:tcW w:w="260" w:type="dxa"/>
            <w:vAlign w:val="bottom"/>
            <w:tcBorders>
              <w:bottom w:val="single" w:sz="8" w:color="53C072"/>
            </w:tcBorders>
            <w:gridSpan w:val="3"/>
            <w:shd w:val="clear" w:color="auto" w:fill="E8F5EA"/>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53C072"/>
            </w:tcBorders>
            <w:shd w:val="clear" w:color="auto" w:fill="E8F5EA"/>
          </w:tcPr>
          <w:p>
            <w:pPr>
              <w:jc w:val="right"/>
              <w:ind w:right="21"/>
              <w:spacing w:after="0" w:line="182" w:lineRule="exact"/>
              <w:rPr>
                <w:sz w:val="20"/>
                <w:szCs w:val="20"/>
                <w:color w:val="auto"/>
              </w:rPr>
            </w:pPr>
            <w:r>
              <w:rPr>
                <w:rFonts w:ascii="Arial" w:cs="Arial" w:eastAsia="Arial" w:hAnsi="Arial"/>
                <w:sz w:val="16"/>
                <w:szCs w:val="16"/>
                <w:b w:val="1"/>
                <w:bCs w:val="1"/>
                <w:color w:val="auto"/>
              </w:rPr>
              <w:t>695,708</w:t>
            </w:r>
          </w:p>
        </w:tc>
        <w:tc>
          <w:tcPr>
            <w:tcW w:w="180" w:type="dxa"/>
            <w:vAlign w:val="bottom"/>
            <w:tcBorders>
              <w:bottom w:val="single" w:sz="8" w:color="53C072"/>
            </w:tcBorders>
            <w:shd w:val="clear" w:color="auto" w:fill="E8F5EA"/>
          </w:tcPr>
          <w:p>
            <w:pPr>
              <w:jc w:val="center"/>
              <w:spacing w:after="0" w:line="182" w:lineRule="exact"/>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53C072"/>
            </w:tcBorders>
            <w:shd w:val="clear" w:color="auto" w:fill="E8F5EA"/>
          </w:tcPr>
          <w:p>
            <w:pPr>
              <w:jc w:val="right"/>
              <w:spacing w:after="0" w:line="182" w:lineRule="exact"/>
              <w:rPr>
                <w:sz w:val="20"/>
                <w:szCs w:val="20"/>
                <w:color w:val="auto"/>
              </w:rPr>
            </w:pPr>
            <w:r>
              <w:rPr>
                <w:rFonts w:ascii="Arial" w:cs="Arial" w:eastAsia="Arial" w:hAnsi="Arial"/>
                <w:sz w:val="16"/>
                <w:szCs w:val="16"/>
                <w:b w:val="1"/>
                <w:bCs w:val="1"/>
                <w:color w:val="auto"/>
              </w:rPr>
              <w:t>455,205</w:t>
            </w:r>
          </w:p>
        </w:tc>
        <w:tc>
          <w:tcPr>
            <w:tcW w:w="140" w:type="dxa"/>
            <w:vAlign w:val="bottom"/>
            <w:tcBorders>
              <w:bottom w:val="single" w:sz="8" w:color="53C072"/>
            </w:tcBorders>
            <w:shd w:val="clear" w:color="auto" w:fill="E8F5EA"/>
          </w:tcPr>
          <w:p>
            <w:pPr>
              <w:spacing w:after="0"/>
              <w:rPr>
                <w:sz w:val="17"/>
                <w:szCs w:val="17"/>
                <w:color w:val="auto"/>
              </w:rPr>
            </w:pPr>
          </w:p>
        </w:tc>
        <w:tc>
          <w:tcPr>
            <w:tcW w:w="140" w:type="dxa"/>
            <w:vAlign w:val="bottom"/>
            <w:tcBorders>
              <w:bottom w:val="single" w:sz="8" w:color="53C072"/>
            </w:tcBorders>
            <w:shd w:val="clear" w:color="auto" w:fill="E8F5EA"/>
          </w:tcPr>
          <w:p>
            <w:pPr>
              <w:jc w:val="right"/>
              <w:spacing w:after="0" w:line="182" w:lineRule="exact"/>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53C072"/>
            </w:tcBorders>
            <w:shd w:val="clear" w:color="auto" w:fill="E8F5EA"/>
          </w:tcPr>
          <w:p>
            <w:pPr>
              <w:jc w:val="right"/>
              <w:spacing w:after="0" w:line="182" w:lineRule="exact"/>
              <w:rPr>
                <w:sz w:val="20"/>
                <w:szCs w:val="20"/>
                <w:color w:val="auto"/>
              </w:rPr>
            </w:pPr>
            <w:r>
              <w:rPr>
                <w:rFonts w:ascii="Arial" w:cs="Arial" w:eastAsia="Arial" w:hAnsi="Arial"/>
                <w:sz w:val="16"/>
                <w:szCs w:val="16"/>
                <w:b w:val="1"/>
                <w:bCs w:val="1"/>
                <w:color w:val="auto"/>
              </w:rPr>
              <w:t>4.11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10720"/>
        <w:spacing w:after="0"/>
        <w:tabs>
          <w:tab w:leader="none" w:pos="11060" w:val="left"/>
        </w:tabs>
        <w:rPr>
          <w:sz w:val="20"/>
          <w:szCs w:val="20"/>
          <w:color w:val="auto"/>
        </w:rPr>
      </w:pPr>
      <w:r>
        <w:rPr>
          <w:rFonts w:ascii="Arial" w:cs="Arial" w:eastAsia="Arial" w:hAnsi="Arial"/>
          <w:sz w:val="23"/>
          <w:szCs w:val="23"/>
          <w:b w:val="1"/>
          <w:bCs w:val="1"/>
          <w:color w:val="53C072"/>
        </w:rPr>
        <w:t>|</w:t>
      </w:r>
      <w:r>
        <w:rPr>
          <w:sz w:val="20"/>
          <w:szCs w:val="20"/>
          <w:color w:val="auto"/>
        </w:rPr>
        <w:tab/>
      </w: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7151370" cy="203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-130175</wp:posOffset>
            </wp:positionV>
            <wp:extent cx="1664970" cy="1231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13"/>
        </w:trPr>
        <w:tc>
          <w:tcPr>
            <w:tcW w:w="6400" w:type="dxa"/>
            <w:vAlign w:val="bottom"/>
            <w:gridSpan w:val="2"/>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6400" w:type="dxa"/>
            <w:vAlign w:val="bottom"/>
            <w:gridSpan w:val="2"/>
          </w:tcPr>
          <w:p>
            <w:pPr>
              <w:spacing w:after="0"/>
              <w:rPr>
                <w:sz w:val="20"/>
                <w:szCs w:val="20"/>
                <w:color w:val="auto"/>
              </w:rPr>
            </w:pPr>
            <w:r>
              <w:rPr>
                <w:rFonts w:ascii="Arial" w:cs="Arial" w:eastAsia="Arial" w:hAnsi="Arial"/>
                <w:sz w:val="13"/>
                <w:szCs w:val="13"/>
                <w:b w:val="1"/>
                <w:bCs w:val="1"/>
                <w:color w:val="53C072"/>
              </w:rPr>
              <w:t>2020 ANNUAL</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vMerge w:val="restart"/>
          </w:tcPr>
          <w:p>
            <w:pPr>
              <w:jc w:val="right"/>
              <w:spacing w:after="0"/>
              <w:rPr>
                <w:sz w:val="20"/>
                <w:szCs w:val="20"/>
                <w:color w:val="auto"/>
              </w:rPr>
            </w:pPr>
            <w:r>
              <w:rPr>
                <w:rFonts w:ascii="Arial" w:cs="Arial" w:eastAsia="Arial" w:hAnsi="Arial"/>
                <w:sz w:val="13"/>
                <w:szCs w:val="13"/>
                <w:color w:val="auto"/>
              </w:rPr>
              <w:t>Appendix A</w:t>
            </w:r>
          </w:p>
        </w:tc>
        <w:tc>
          <w:tcPr>
            <w:tcW w:w="0" w:type="dxa"/>
            <w:vAlign w:val="bottom"/>
          </w:tcPr>
          <w:p>
            <w:pPr>
              <w:spacing w:after="0"/>
              <w:rPr>
                <w:sz w:val="1"/>
                <w:szCs w:val="1"/>
                <w:color w:val="auto"/>
              </w:rPr>
            </w:pPr>
          </w:p>
        </w:tc>
      </w:tr>
      <w:tr>
        <w:trPr>
          <w:trHeight w:val="102"/>
        </w:trPr>
        <w:tc>
          <w:tcPr>
            <w:tcW w:w="64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PROXY STATEMENT</w:t>
            </w: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64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7"/>
        </w:trPr>
        <w:tc>
          <w:tcPr>
            <w:tcW w:w="13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340" w:type="dxa"/>
            <w:vAlign w:val="bottom"/>
          </w:tcPr>
          <w:p>
            <w:pPr>
              <w:spacing w:after="0"/>
              <w:rPr>
                <w:sz w:val="16"/>
                <w:szCs w:val="16"/>
                <w:color w:val="auto"/>
              </w:rPr>
            </w:pPr>
          </w:p>
        </w:tc>
        <w:tc>
          <w:tcPr>
            <w:tcW w:w="5060" w:type="dxa"/>
            <w:vAlign w:val="bottom"/>
            <w:shd w:val="clear" w:color="auto" w:fill="53C072"/>
          </w:tcPr>
          <w:p>
            <w:pPr>
              <w:spacing w:after="0"/>
              <w:rPr>
                <w:sz w:val="16"/>
                <w:szCs w:val="16"/>
                <w:color w:val="auto"/>
              </w:rPr>
            </w:pPr>
          </w:p>
        </w:tc>
        <w:tc>
          <w:tcPr>
            <w:tcW w:w="140" w:type="dxa"/>
            <w:vAlign w:val="bottom"/>
            <w:shd w:val="clear" w:color="auto" w:fill="53C072"/>
          </w:tcPr>
          <w:p>
            <w:pPr>
              <w:spacing w:after="0"/>
              <w:rPr>
                <w:sz w:val="16"/>
                <w:szCs w:val="16"/>
                <w:color w:val="auto"/>
              </w:rPr>
            </w:pPr>
          </w:p>
        </w:tc>
        <w:tc>
          <w:tcPr>
            <w:tcW w:w="2220" w:type="dxa"/>
            <w:vAlign w:val="bottom"/>
            <w:gridSpan w:val="5"/>
            <w:shd w:val="clear" w:color="auto" w:fill="53C072"/>
          </w:tcPr>
          <w:p>
            <w:pPr>
              <w:jc w:val="right"/>
              <w:ind w:right="541"/>
              <w:spacing w:after="0"/>
              <w:rPr>
                <w:sz w:val="20"/>
                <w:szCs w:val="20"/>
                <w:color w:val="auto"/>
              </w:rPr>
            </w:pPr>
            <w:r>
              <w:rPr>
                <w:rFonts w:ascii="Arial" w:cs="Arial" w:eastAsia="Arial" w:hAnsi="Arial"/>
                <w:sz w:val="16"/>
                <w:szCs w:val="16"/>
                <w:b w:val="1"/>
                <w:bCs w:val="1"/>
                <w:color w:val="FFFFFE"/>
              </w:rPr>
              <w:t>Fiscal Year 2018</w:t>
            </w:r>
          </w:p>
        </w:tc>
        <w:tc>
          <w:tcPr>
            <w:tcW w:w="880" w:type="dxa"/>
            <w:vAlign w:val="bottom"/>
            <w:vMerge w:val="restart"/>
            <w:shd w:val="clear" w:color="auto" w:fill="53C072"/>
          </w:tcPr>
          <w:p>
            <w:pPr>
              <w:jc w:val="center"/>
              <w:spacing w:after="0"/>
              <w:rPr>
                <w:sz w:val="20"/>
                <w:szCs w:val="20"/>
                <w:color w:val="auto"/>
              </w:rPr>
            </w:pPr>
            <w:r>
              <w:rPr>
                <w:rFonts w:ascii="Arial" w:cs="Arial" w:eastAsia="Arial" w:hAnsi="Arial"/>
                <w:sz w:val="16"/>
                <w:szCs w:val="16"/>
                <w:b w:val="1"/>
                <w:bCs w:val="1"/>
                <w:color w:val="FFFFFE"/>
                <w:w w:val="99"/>
              </w:rPr>
              <w:t>Diluted</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5060" w:type="dxa"/>
            <w:vAlign w:val="bottom"/>
            <w:tcBorders>
              <w:top w:val="single" w:sz="8" w:color="53C072"/>
            </w:tcBorders>
            <w:shd w:val="clear" w:color="auto" w:fill="53C072"/>
          </w:tcPr>
          <w:p>
            <w:pPr>
              <w:spacing w:after="0"/>
              <w:rPr>
                <w:sz w:val="13"/>
                <w:szCs w:val="13"/>
                <w:color w:val="auto"/>
              </w:rPr>
            </w:pPr>
          </w:p>
        </w:tc>
        <w:tc>
          <w:tcPr>
            <w:tcW w:w="140" w:type="dxa"/>
            <w:vAlign w:val="bottom"/>
            <w:tcBorders>
              <w:top w:val="single" w:sz="8" w:color="auto"/>
            </w:tcBorders>
            <w:shd w:val="clear" w:color="auto" w:fill="53C072"/>
          </w:tcPr>
          <w:p>
            <w:pPr>
              <w:spacing w:after="0"/>
              <w:rPr>
                <w:sz w:val="13"/>
                <w:szCs w:val="13"/>
                <w:color w:val="auto"/>
              </w:rPr>
            </w:pPr>
          </w:p>
        </w:tc>
        <w:tc>
          <w:tcPr>
            <w:tcW w:w="900" w:type="dxa"/>
            <w:vAlign w:val="bottom"/>
            <w:tcBorders>
              <w:top w:val="single" w:sz="8" w:color="auto"/>
            </w:tcBorders>
            <w:shd w:val="clear" w:color="auto" w:fill="53C072"/>
          </w:tcPr>
          <w:p>
            <w:pPr>
              <w:spacing w:after="0"/>
              <w:rPr>
                <w:sz w:val="13"/>
                <w:szCs w:val="13"/>
                <w:color w:val="auto"/>
              </w:rPr>
            </w:pPr>
          </w:p>
        </w:tc>
        <w:tc>
          <w:tcPr>
            <w:tcW w:w="200" w:type="dxa"/>
            <w:vAlign w:val="bottom"/>
            <w:tcBorders>
              <w:top w:val="single" w:sz="8" w:color="auto"/>
            </w:tcBorders>
            <w:shd w:val="clear" w:color="auto" w:fill="53C072"/>
          </w:tcPr>
          <w:p>
            <w:pPr>
              <w:spacing w:after="0"/>
              <w:rPr>
                <w:sz w:val="13"/>
                <w:szCs w:val="13"/>
                <w:color w:val="auto"/>
              </w:rPr>
            </w:pPr>
          </w:p>
        </w:tc>
        <w:tc>
          <w:tcPr>
            <w:tcW w:w="860" w:type="dxa"/>
            <w:vAlign w:val="bottom"/>
            <w:tcBorders>
              <w:top w:val="single" w:sz="8" w:color="auto"/>
            </w:tcBorders>
            <w:shd w:val="clear" w:color="auto" w:fill="53C072"/>
          </w:tcPr>
          <w:p>
            <w:pPr>
              <w:spacing w:after="0"/>
              <w:rPr>
                <w:sz w:val="13"/>
                <w:szCs w:val="13"/>
                <w:color w:val="auto"/>
              </w:rPr>
            </w:pPr>
          </w:p>
        </w:tc>
        <w:tc>
          <w:tcPr>
            <w:tcW w:w="140" w:type="dxa"/>
            <w:vAlign w:val="bottom"/>
            <w:tcBorders>
              <w:top w:val="single" w:sz="8" w:color="53C072"/>
            </w:tcBorders>
            <w:shd w:val="clear" w:color="auto" w:fill="53C072"/>
          </w:tcPr>
          <w:p>
            <w:pPr>
              <w:spacing w:after="0"/>
              <w:rPr>
                <w:sz w:val="13"/>
                <w:szCs w:val="13"/>
                <w:color w:val="auto"/>
              </w:rPr>
            </w:pPr>
          </w:p>
        </w:tc>
        <w:tc>
          <w:tcPr>
            <w:tcW w:w="120" w:type="dxa"/>
            <w:vAlign w:val="bottom"/>
            <w:tcBorders>
              <w:top w:val="single" w:sz="8" w:color="53C072"/>
            </w:tcBorders>
            <w:shd w:val="clear" w:color="auto" w:fill="53C072"/>
          </w:tcPr>
          <w:p>
            <w:pPr>
              <w:spacing w:after="0"/>
              <w:rPr>
                <w:sz w:val="13"/>
                <w:szCs w:val="13"/>
                <w:color w:val="auto"/>
              </w:rPr>
            </w:pPr>
          </w:p>
        </w:tc>
        <w:tc>
          <w:tcPr>
            <w:tcW w:w="880" w:type="dxa"/>
            <w:vAlign w:val="bottom"/>
            <w:tcBorders>
              <w:top w:val="single" w:sz="8" w:color="53C072"/>
            </w:tcBorders>
            <w:vMerge w:val="continue"/>
            <w:shd w:val="clear" w:color="auto" w:fill="53C072"/>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340" w:type="dxa"/>
            <w:vAlign w:val="bottom"/>
          </w:tcPr>
          <w:p>
            <w:pPr>
              <w:spacing w:after="0"/>
              <w:rPr>
                <w:sz w:val="15"/>
                <w:szCs w:val="15"/>
                <w:color w:val="auto"/>
              </w:rPr>
            </w:pPr>
          </w:p>
        </w:tc>
        <w:tc>
          <w:tcPr>
            <w:tcW w:w="5060" w:type="dxa"/>
            <w:vAlign w:val="bottom"/>
            <w:shd w:val="clear" w:color="auto" w:fill="53C072"/>
          </w:tcPr>
          <w:p>
            <w:pPr>
              <w:spacing w:after="0"/>
              <w:rPr>
                <w:sz w:val="15"/>
                <w:szCs w:val="15"/>
                <w:color w:val="auto"/>
              </w:rPr>
            </w:pPr>
          </w:p>
        </w:tc>
        <w:tc>
          <w:tcPr>
            <w:tcW w:w="140" w:type="dxa"/>
            <w:vAlign w:val="bottom"/>
            <w:shd w:val="clear" w:color="auto" w:fill="53C072"/>
          </w:tcPr>
          <w:p>
            <w:pPr>
              <w:spacing w:after="0"/>
              <w:rPr>
                <w:sz w:val="15"/>
                <w:szCs w:val="15"/>
                <w:color w:val="auto"/>
              </w:rPr>
            </w:pPr>
          </w:p>
        </w:tc>
        <w:tc>
          <w:tcPr>
            <w:tcW w:w="900" w:type="dxa"/>
            <w:vAlign w:val="bottom"/>
            <w:shd w:val="clear" w:color="auto" w:fill="53C072"/>
          </w:tcPr>
          <w:p>
            <w:pPr>
              <w:spacing w:after="0"/>
              <w:rPr>
                <w:sz w:val="15"/>
                <w:szCs w:val="15"/>
                <w:color w:val="auto"/>
              </w:rPr>
            </w:pPr>
          </w:p>
        </w:tc>
        <w:tc>
          <w:tcPr>
            <w:tcW w:w="200" w:type="dxa"/>
            <w:vAlign w:val="bottom"/>
            <w:shd w:val="clear" w:color="auto" w:fill="53C072"/>
          </w:tcPr>
          <w:p>
            <w:pPr>
              <w:spacing w:after="0"/>
              <w:rPr>
                <w:sz w:val="15"/>
                <w:szCs w:val="15"/>
                <w:color w:val="auto"/>
              </w:rPr>
            </w:pPr>
          </w:p>
        </w:tc>
        <w:tc>
          <w:tcPr>
            <w:tcW w:w="860" w:type="dxa"/>
            <w:vAlign w:val="bottom"/>
            <w:shd w:val="clear" w:color="auto" w:fill="53C072"/>
          </w:tcPr>
          <w:p>
            <w:pPr>
              <w:jc w:val="center"/>
              <w:spacing w:after="0" w:line="182" w:lineRule="exact"/>
              <w:rPr>
                <w:sz w:val="20"/>
                <w:szCs w:val="20"/>
                <w:color w:val="auto"/>
              </w:rPr>
            </w:pPr>
            <w:r>
              <w:rPr>
                <w:rFonts w:ascii="Arial" w:cs="Arial" w:eastAsia="Arial" w:hAnsi="Arial"/>
                <w:sz w:val="16"/>
                <w:szCs w:val="16"/>
                <w:b w:val="1"/>
                <w:bCs w:val="1"/>
                <w:color w:val="FFFFFE"/>
                <w:w w:val="99"/>
              </w:rPr>
              <w:t>Income</w:t>
            </w:r>
          </w:p>
        </w:tc>
        <w:tc>
          <w:tcPr>
            <w:tcW w:w="140" w:type="dxa"/>
            <w:vAlign w:val="bottom"/>
            <w:shd w:val="clear" w:color="auto" w:fill="53C072"/>
          </w:tcPr>
          <w:p>
            <w:pPr>
              <w:spacing w:after="0"/>
              <w:rPr>
                <w:sz w:val="15"/>
                <w:szCs w:val="15"/>
                <w:color w:val="auto"/>
              </w:rPr>
            </w:pPr>
          </w:p>
        </w:tc>
        <w:tc>
          <w:tcPr>
            <w:tcW w:w="120" w:type="dxa"/>
            <w:vAlign w:val="bottom"/>
            <w:shd w:val="clear" w:color="auto" w:fill="53C072"/>
          </w:tcPr>
          <w:p>
            <w:pPr>
              <w:spacing w:after="0"/>
              <w:rPr>
                <w:sz w:val="15"/>
                <w:szCs w:val="15"/>
                <w:color w:val="auto"/>
              </w:rPr>
            </w:pPr>
          </w:p>
        </w:tc>
        <w:tc>
          <w:tcPr>
            <w:tcW w:w="880" w:type="dxa"/>
            <w:vAlign w:val="bottom"/>
            <w:shd w:val="clear" w:color="auto" w:fill="53C072"/>
          </w:tcPr>
          <w:p>
            <w:pPr>
              <w:jc w:val="center"/>
              <w:spacing w:after="0" w:line="182" w:lineRule="exact"/>
              <w:rPr>
                <w:sz w:val="20"/>
                <w:szCs w:val="20"/>
                <w:color w:val="auto"/>
              </w:rPr>
            </w:pPr>
            <w:r>
              <w:rPr>
                <w:rFonts w:ascii="Arial" w:cs="Arial" w:eastAsia="Arial" w:hAnsi="Arial"/>
                <w:sz w:val="16"/>
                <w:szCs w:val="16"/>
                <w:b w:val="1"/>
                <w:bCs w:val="1"/>
                <w:color w:val="FFFFFE"/>
                <w:w w:val="99"/>
              </w:rPr>
              <w:t>Earnings</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40" w:type="dxa"/>
            <w:vAlign w:val="bottom"/>
          </w:tcPr>
          <w:p>
            <w:pPr>
              <w:spacing w:after="0"/>
              <w:rPr>
                <w:sz w:val="15"/>
                <w:szCs w:val="15"/>
                <w:color w:val="auto"/>
              </w:rPr>
            </w:pPr>
          </w:p>
        </w:tc>
        <w:tc>
          <w:tcPr>
            <w:tcW w:w="5060" w:type="dxa"/>
            <w:vAlign w:val="bottom"/>
            <w:shd w:val="clear" w:color="auto" w:fill="53C072"/>
          </w:tcPr>
          <w:p>
            <w:pPr>
              <w:spacing w:after="0"/>
              <w:rPr>
                <w:sz w:val="15"/>
                <w:szCs w:val="15"/>
                <w:color w:val="auto"/>
              </w:rPr>
            </w:pPr>
          </w:p>
        </w:tc>
        <w:tc>
          <w:tcPr>
            <w:tcW w:w="140" w:type="dxa"/>
            <w:vAlign w:val="bottom"/>
            <w:shd w:val="clear" w:color="auto" w:fill="53C072"/>
          </w:tcPr>
          <w:p>
            <w:pPr>
              <w:spacing w:after="0"/>
              <w:rPr>
                <w:sz w:val="15"/>
                <w:szCs w:val="15"/>
                <w:color w:val="auto"/>
              </w:rPr>
            </w:pPr>
          </w:p>
        </w:tc>
        <w:tc>
          <w:tcPr>
            <w:tcW w:w="900" w:type="dxa"/>
            <w:vAlign w:val="bottom"/>
            <w:shd w:val="clear" w:color="auto" w:fill="53C072"/>
          </w:tcPr>
          <w:p>
            <w:pPr>
              <w:spacing w:after="0"/>
              <w:rPr>
                <w:sz w:val="15"/>
                <w:szCs w:val="15"/>
                <w:color w:val="auto"/>
              </w:rPr>
            </w:pPr>
          </w:p>
        </w:tc>
        <w:tc>
          <w:tcPr>
            <w:tcW w:w="200" w:type="dxa"/>
            <w:vAlign w:val="bottom"/>
            <w:shd w:val="clear" w:color="auto" w:fill="53C072"/>
          </w:tcPr>
          <w:p>
            <w:pPr>
              <w:spacing w:after="0"/>
              <w:rPr>
                <w:sz w:val="15"/>
                <w:szCs w:val="15"/>
                <w:color w:val="auto"/>
              </w:rPr>
            </w:pPr>
          </w:p>
        </w:tc>
        <w:tc>
          <w:tcPr>
            <w:tcW w:w="860" w:type="dxa"/>
            <w:vAlign w:val="bottom"/>
            <w:shd w:val="clear" w:color="auto" w:fill="53C072"/>
          </w:tcPr>
          <w:p>
            <w:pPr>
              <w:jc w:val="center"/>
              <w:spacing w:after="0" w:line="182" w:lineRule="exact"/>
              <w:rPr>
                <w:sz w:val="20"/>
                <w:szCs w:val="20"/>
                <w:color w:val="auto"/>
              </w:rPr>
            </w:pPr>
            <w:r>
              <w:rPr>
                <w:rFonts w:ascii="Arial" w:cs="Arial" w:eastAsia="Arial" w:hAnsi="Arial"/>
                <w:sz w:val="16"/>
                <w:szCs w:val="16"/>
                <w:b w:val="1"/>
                <w:bCs w:val="1"/>
                <w:color w:val="FFFFFE"/>
              </w:rPr>
              <w:t>from</w:t>
            </w:r>
          </w:p>
        </w:tc>
        <w:tc>
          <w:tcPr>
            <w:tcW w:w="140" w:type="dxa"/>
            <w:vAlign w:val="bottom"/>
            <w:shd w:val="clear" w:color="auto" w:fill="53C072"/>
          </w:tcPr>
          <w:p>
            <w:pPr>
              <w:spacing w:after="0"/>
              <w:rPr>
                <w:sz w:val="15"/>
                <w:szCs w:val="15"/>
                <w:color w:val="auto"/>
              </w:rPr>
            </w:pPr>
          </w:p>
        </w:tc>
        <w:tc>
          <w:tcPr>
            <w:tcW w:w="120" w:type="dxa"/>
            <w:vAlign w:val="bottom"/>
            <w:shd w:val="clear" w:color="auto" w:fill="53C072"/>
          </w:tcPr>
          <w:p>
            <w:pPr>
              <w:spacing w:after="0"/>
              <w:rPr>
                <w:sz w:val="15"/>
                <w:szCs w:val="15"/>
                <w:color w:val="auto"/>
              </w:rPr>
            </w:pPr>
          </w:p>
        </w:tc>
        <w:tc>
          <w:tcPr>
            <w:tcW w:w="880" w:type="dxa"/>
            <w:vAlign w:val="bottom"/>
            <w:shd w:val="clear" w:color="auto" w:fill="53C072"/>
          </w:tcPr>
          <w:p>
            <w:pPr>
              <w:jc w:val="center"/>
              <w:spacing w:after="0" w:line="182" w:lineRule="exact"/>
              <w:rPr>
                <w:sz w:val="20"/>
                <w:szCs w:val="20"/>
                <w:color w:val="auto"/>
              </w:rPr>
            </w:pPr>
            <w:r>
              <w:rPr>
                <w:rFonts w:ascii="Arial" w:cs="Arial" w:eastAsia="Arial" w:hAnsi="Arial"/>
                <w:sz w:val="16"/>
                <w:szCs w:val="16"/>
                <w:b w:val="1"/>
                <w:bCs w:val="1"/>
                <w:color w:val="FFFFFE"/>
                <w:w w:val="98"/>
              </w:rPr>
              <w:t>Per Share</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40" w:type="dxa"/>
            <w:vAlign w:val="bottom"/>
          </w:tcPr>
          <w:p>
            <w:pPr>
              <w:spacing w:after="0"/>
              <w:rPr>
                <w:sz w:val="15"/>
                <w:szCs w:val="15"/>
                <w:color w:val="auto"/>
              </w:rPr>
            </w:pPr>
          </w:p>
        </w:tc>
        <w:tc>
          <w:tcPr>
            <w:tcW w:w="5060" w:type="dxa"/>
            <w:vAlign w:val="bottom"/>
            <w:shd w:val="clear" w:color="auto" w:fill="53C072"/>
          </w:tcPr>
          <w:p>
            <w:pPr>
              <w:spacing w:after="0"/>
              <w:rPr>
                <w:sz w:val="15"/>
                <w:szCs w:val="15"/>
                <w:color w:val="auto"/>
              </w:rPr>
            </w:pPr>
          </w:p>
        </w:tc>
        <w:tc>
          <w:tcPr>
            <w:tcW w:w="140" w:type="dxa"/>
            <w:vAlign w:val="bottom"/>
            <w:shd w:val="clear" w:color="auto" w:fill="53C072"/>
          </w:tcPr>
          <w:p>
            <w:pPr>
              <w:spacing w:after="0"/>
              <w:rPr>
                <w:sz w:val="15"/>
                <w:szCs w:val="15"/>
                <w:color w:val="auto"/>
              </w:rPr>
            </w:pPr>
          </w:p>
        </w:tc>
        <w:tc>
          <w:tcPr>
            <w:tcW w:w="900" w:type="dxa"/>
            <w:vAlign w:val="bottom"/>
            <w:shd w:val="clear" w:color="auto" w:fill="53C072"/>
          </w:tcPr>
          <w:p>
            <w:pPr>
              <w:spacing w:after="0"/>
              <w:rPr>
                <w:sz w:val="15"/>
                <w:szCs w:val="15"/>
                <w:color w:val="auto"/>
              </w:rPr>
            </w:pPr>
          </w:p>
        </w:tc>
        <w:tc>
          <w:tcPr>
            <w:tcW w:w="200" w:type="dxa"/>
            <w:vAlign w:val="bottom"/>
            <w:shd w:val="clear" w:color="auto" w:fill="53C072"/>
          </w:tcPr>
          <w:p>
            <w:pPr>
              <w:spacing w:after="0"/>
              <w:rPr>
                <w:sz w:val="15"/>
                <w:szCs w:val="15"/>
                <w:color w:val="auto"/>
              </w:rPr>
            </w:pPr>
          </w:p>
        </w:tc>
        <w:tc>
          <w:tcPr>
            <w:tcW w:w="860" w:type="dxa"/>
            <w:vAlign w:val="bottom"/>
            <w:shd w:val="clear" w:color="auto" w:fill="53C072"/>
          </w:tcPr>
          <w:p>
            <w:pPr>
              <w:jc w:val="center"/>
              <w:spacing w:after="0" w:line="182" w:lineRule="exact"/>
              <w:rPr>
                <w:sz w:val="20"/>
                <w:szCs w:val="20"/>
                <w:color w:val="auto"/>
              </w:rPr>
            </w:pPr>
            <w:r>
              <w:rPr>
                <w:rFonts w:ascii="Arial" w:cs="Arial" w:eastAsia="Arial" w:hAnsi="Arial"/>
                <w:sz w:val="16"/>
                <w:szCs w:val="16"/>
                <w:b w:val="1"/>
                <w:bCs w:val="1"/>
                <w:color w:val="FFFFFE"/>
                <w:w w:val="99"/>
              </w:rPr>
              <w:t>Continuing</w:t>
            </w:r>
          </w:p>
        </w:tc>
        <w:tc>
          <w:tcPr>
            <w:tcW w:w="140" w:type="dxa"/>
            <w:vAlign w:val="bottom"/>
            <w:shd w:val="clear" w:color="auto" w:fill="53C072"/>
          </w:tcPr>
          <w:p>
            <w:pPr>
              <w:spacing w:after="0"/>
              <w:rPr>
                <w:sz w:val="15"/>
                <w:szCs w:val="15"/>
                <w:color w:val="auto"/>
              </w:rPr>
            </w:pPr>
          </w:p>
        </w:tc>
        <w:tc>
          <w:tcPr>
            <w:tcW w:w="120" w:type="dxa"/>
            <w:vAlign w:val="bottom"/>
            <w:shd w:val="clear" w:color="auto" w:fill="53C072"/>
          </w:tcPr>
          <w:p>
            <w:pPr>
              <w:spacing w:after="0"/>
              <w:rPr>
                <w:sz w:val="15"/>
                <w:szCs w:val="15"/>
                <w:color w:val="auto"/>
              </w:rPr>
            </w:pPr>
          </w:p>
        </w:tc>
        <w:tc>
          <w:tcPr>
            <w:tcW w:w="880" w:type="dxa"/>
            <w:vAlign w:val="bottom"/>
            <w:shd w:val="clear" w:color="auto" w:fill="53C072"/>
          </w:tcPr>
          <w:p>
            <w:pPr>
              <w:jc w:val="center"/>
              <w:spacing w:after="0" w:line="182" w:lineRule="exact"/>
              <w:rPr>
                <w:sz w:val="20"/>
                <w:szCs w:val="20"/>
                <w:color w:val="auto"/>
              </w:rPr>
            </w:pPr>
            <w:r>
              <w:rPr>
                <w:rFonts w:ascii="Arial" w:cs="Arial" w:eastAsia="Arial" w:hAnsi="Arial"/>
                <w:sz w:val="16"/>
                <w:szCs w:val="16"/>
                <w:b w:val="1"/>
                <w:bCs w:val="1"/>
                <w:color w:val="FFFFFE"/>
              </w:rPr>
              <w:t>from</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40" w:type="dxa"/>
            <w:vAlign w:val="bottom"/>
          </w:tcPr>
          <w:p>
            <w:pPr>
              <w:spacing w:after="0"/>
              <w:rPr>
                <w:sz w:val="15"/>
                <w:szCs w:val="15"/>
                <w:color w:val="auto"/>
              </w:rPr>
            </w:pPr>
          </w:p>
        </w:tc>
        <w:tc>
          <w:tcPr>
            <w:tcW w:w="5060" w:type="dxa"/>
            <w:vAlign w:val="bottom"/>
            <w:shd w:val="clear" w:color="auto" w:fill="53C072"/>
          </w:tcPr>
          <w:p>
            <w:pPr>
              <w:spacing w:after="0"/>
              <w:rPr>
                <w:sz w:val="15"/>
                <w:szCs w:val="15"/>
                <w:color w:val="auto"/>
              </w:rPr>
            </w:pPr>
          </w:p>
        </w:tc>
        <w:tc>
          <w:tcPr>
            <w:tcW w:w="140" w:type="dxa"/>
            <w:vAlign w:val="bottom"/>
            <w:shd w:val="clear" w:color="auto" w:fill="53C072"/>
          </w:tcPr>
          <w:p>
            <w:pPr>
              <w:spacing w:after="0"/>
              <w:rPr>
                <w:sz w:val="15"/>
                <w:szCs w:val="15"/>
                <w:color w:val="auto"/>
              </w:rPr>
            </w:pPr>
          </w:p>
        </w:tc>
        <w:tc>
          <w:tcPr>
            <w:tcW w:w="900" w:type="dxa"/>
            <w:vAlign w:val="bottom"/>
            <w:shd w:val="clear" w:color="auto" w:fill="53C072"/>
          </w:tcPr>
          <w:p>
            <w:pPr>
              <w:jc w:val="right"/>
              <w:ind w:right="21"/>
              <w:spacing w:after="0" w:line="182" w:lineRule="exact"/>
              <w:rPr>
                <w:sz w:val="20"/>
                <w:szCs w:val="20"/>
                <w:color w:val="auto"/>
              </w:rPr>
            </w:pPr>
            <w:r>
              <w:rPr>
                <w:rFonts w:ascii="Arial" w:cs="Arial" w:eastAsia="Arial" w:hAnsi="Arial"/>
                <w:sz w:val="16"/>
                <w:szCs w:val="16"/>
                <w:b w:val="1"/>
                <w:bCs w:val="1"/>
                <w:color w:val="FFFFFE"/>
              </w:rPr>
              <w:t>Operating</w:t>
            </w:r>
          </w:p>
        </w:tc>
        <w:tc>
          <w:tcPr>
            <w:tcW w:w="200" w:type="dxa"/>
            <w:vAlign w:val="bottom"/>
            <w:shd w:val="clear" w:color="auto" w:fill="53C072"/>
          </w:tcPr>
          <w:p>
            <w:pPr>
              <w:spacing w:after="0"/>
              <w:rPr>
                <w:sz w:val="15"/>
                <w:szCs w:val="15"/>
                <w:color w:val="auto"/>
              </w:rPr>
            </w:pPr>
          </w:p>
        </w:tc>
        <w:tc>
          <w:tcPr>
            <w:tcW w:w="860" w:type="dxa"/>
            <w:vAlign w:val="bottom"/>
            <w:shd w:val="clear" w:color="auto" w:fill="53C072"/>
          </w:tcPr>
          <w:p>
            <w:pPr>
              <w:jc w:val="center"/>
              <w:spacing w:after="0" w:line="182" w:lineRule="exact"/>
              <w:rPr>
                <w:sz w:val="20"/>
                <w:szCs w:val="20"/>
                <w:color w:val="auto"/>
              </w:rPr>
            </w:pPr>
            <w:r>
              <w:rPr>
                <w:rFonts w:ascii="Arial" w:cs="Arial" w:eastAsia="Arial" w:hAnsi="Arial"/>
                <w:sz w:val="16"/>
                <w:szCs w:val="16"/>
                <w:b w:val="1"/>
                <w:bCs w:val="1"/>
                <w:color w:val="FFFFFE"/>
                <w:w w:val="99"/>
              </w:rPr>
              <w:t>Operations</w:t>
            </w:r>
          </w:p>
        </w:tc>
        <w:tc>
          <w:tcPr>
            <w:tcW w:w="140" w:type="dxa"/>
            <w:vAlign w:val="bottom"/>
            <w:shd w:val="clear" w:color="auto" w:fill="53C072"/>
          </w:tcPr>
          <w:p>
            <w:pPr>
              <w:spacing w:after="0"/>
              <w:rPr>
                <w:sz w:val="15"/>
                <w:szCs w:val="15"/>
                <w:color w:val="auto"/>
              </w:rPr>
            </w:pPr>
          </w:p>
        </w:tc>
        <w:tc>
          <w:tcPr>
            <w:tcW w:w="120" w:type="dxa"/>
            <w:vAlign w:val="bottom"/>
            <w:shd w:val="clear" w:color="auto" w:fill="53C072"/>
          </w:tcPr>
          <w:p>
            <w:pPr>
              <w:spacing w:after="0"/>
              <w:rPr>
                <w:sz w:val="15"/>
                <w:szCs w:val="15"/>
                <w:color w:val="auto"/>
              </w:rPr>
            </w:pPr>
          </w:p>
        </w:tc>
        <w:tc>
          <w:tcPr>
            <w:tcW w:w="880" w:type="dxa"/>
            <w:vAlign w:val="bottom"/>
            <w:shd w:val="clear" w:color="auto" w:fill="53C072"/>
          </w:tcPr>
          <w:p>
            <w:pPr>
              <w:jc w:val="center"/>
              <w:spacing w:after="0" w:line="182" w:lineRule="exact"/>
              <w:rPr>
                <w:sz w:val="20"/>
                <w:szCs w:val="20"/>
                <w:color w:val="auto"/>
              </w:rPr>
            </w:pPr>
            <w:r>
              <w:rPr>
                <w:rFonts w:ascii="Arial" w:cs="Arial" w:eastAsia="Arial" w:hAnsi="Arial"/>
                <w:sz w:val="16"/>
                <w:szCs w:val="16"/>
                <w:b w:val="1"/>
                <w:bCs w:val="1"/>
                <w:color w:val="FFFFFE"/>
                <w:w w:val="99"/>
              </w:rPr>
              <w:t>Continuing</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340" w:type="dxa"/>
            <w:vAlign w:val="bottom"/>
          </w:tcPr>
          <w:p>
            <w:pPr>
              <w:spacing w:after="0"/>
              <w:rPr>
                <w:sz w:val="17"/>
                <w:szCs w:val="17"/>
                <w:color w:val="auto"/>
              </w:rPr>
            </w:pPr>
          </w:p>
        </w:tc>
        <w:tc>
          <w:tcPr>
            <w:tcW w:w="5060" w:type="dxa"/>
            <w:vAlign w:val="bottom"/>
            <w:shd w:val="clear" w:color="auto" w:fill="53C072"/>
          </w:tcPr>
          <w:p>
            <w:pPr>
              <w:spacing w:after="0"/>
              <w:rPr>
                <w:sz w:val="17"/>
                <w:szCs w:val="17"/>
                <w:color w:val="auto"/>
              </w:rPr>
            </w:pPr>
          </w:p>
        </w:tc>
        <w:tc>
          <w:tcPr>
            <w:tcW w:w="140" w:type="dxa"/>
            <w:vAlign w:val="bottom"/>
            <w:shd w:val="clear" w:color="auto" w:fill="53C072"/>
          </w:tcPr>
          <w:p>
            <w:pPr>
              <w:spacing w:after="0"/>
              <w:rPr>
                <w:sz w:val="17"/>
                <w:szCs w:val="17"/>
                <w:color w:val="auto"/>
              </w:rPr>
            </w:pPr>
          </w:p>
        </w:tc>
        <w:tc>
          <w:tcPr>
            <w:tcW w:w="900" w:type="dxa"/>
            <w:vAlign w:val="bottom"/>
            <w:shd w:val="clear" w:color="auto" w:fill="53C072"/>
          </w:tcPr>
          <w:p>
            <w:pPr>
              <w:jc w:val="right"/>
              <w:ind w:right="121"/>
              <w:spacing w:after="0"/>
              <w:rPr>
                <w:sz w:val="20"/>
                <w:szCs w:val="20"/>
                <w:color w:val="auto"/>
              </w:rPr>
            </w:pPr>
            <w:r>
              <w:rPr>
                <w:rFonts w:ascii="Arial" w:cs="Arial" w:eastAsia="Arial" w:hAnsi="Arial"/>
                <w:sz w:val="16"/>
                <w:szCs w:val="16"/>
                <w:b w:val="1"/>
                <w:bCs w:val="1"/>
                <w:color w:val="FFFFFE"/>
              </w:rPr>
              <w:t>Income</w:t>
            </w:r>
          </w:p>
        </w:tc>
        <w:tc>
          <w:tcPr>
            <w:tcW w:w="200" w:type="dxa"/>
            <w:vAlign w:val="bottom"/>
            <w:shd w:val="clear" w:color="auto" w:fill="53C072"/>
          </w:tcPr>
          <w:p>
            <w:pPr>
              <w:spacing w:after="0"/>
              <w:rPr>
                <w:sz w:val="17"/>
                <w:szCs w:val="17"/>
                <w:color w:val="auto"/>
              </w:rPr>
            </w:pPr>
          </w:p>
        </w:tc>
        <w:tc>
          <w:tcPr>
            <w:tcW w:w="860" w:type="dxa"/>
            <w:vAlign w:val="bottom"/>
            <w:shd w:val="clear" w:color="auto" w:fill="53C072"/>
          </w:tcPr>
          <w:p>
            <w:pPr>
              <w:jc w:val="center"/>
              <w:spacing w:after="0"/>
              <w:rPr>
                <w:sz w:val="20"/>
                <w:szCs w:val="20"/>
                <w:color w:val="auto"/>
              </w:rPr>
            </w:pPr>
            <w:r>
              <w:rPr>
                <w:rFonts w:ascii="Arial" w:cs="Arial" w:eastAsia="Arial" w:hAnsi="Arial"/>
                <w:sz w:val="16"/>
                <w:szCs w:val="16"/>
                <w:b w:val="1"/>
                <w:bCs w:val="1"/>
                <w:color w:val="FFFFFE"/>
                <w:w w:val="97"/>
              </w:rPr>
              <w:t>(net of tax)</w:t>
            </w:r>
          </w:p>
        </w:tc>
        <w:tc>
          <w:tcPr>
            <w:tcW w:w="140" w:type="dxa"/>
            <w:vAlign w:val="bottom"/>
            <w:shd w:val="clear" w:color="auto" w:fill="53C072"/>
          </w:tcPr>
          <w:p>
            <w:pPr>
              <w:spacing w:after="0"/>
              <w:rPr>
                <w:sz w:val="17"/>
                <w:szCs w:val="17"/>
                <w:color w:val="auto"/>
              </w:rPr>
            </w:pPr>
          </w:p>
        </w:tc>
        <w:tc>
          <w:tcPr>
            <w:tcW w:w="120" w:type="dxa"/>
            <w:vAlign w:val="bottom"/>
            <w:shd w:val="clear" w:color="auto" w:fill="53C072"/>
          </w:tcPr>
          <w:p>
            <w:pPr>
              <w:spacing w:after="0"/>
              <w:rPr>
                <w:sz w:val="17"/>
                <w:szCs w:val="17"/>
                <w:color w:val="auto"/>
              </w:rPr>
            </w:pPr>
          </w:p>
        </w:tc>
        <w:tc>
          <w:tcPr>
            <w:tcW w:w="880" w:type="dxa"/>
            <w:vAlign w:val="bottom"/>
            <w:shd w:val="clear" w:color="auto" w:fill="53C072"/>
          </w:tcPr>
          <w:p>
            <w:pPr>
              <w:jc w:val="center"/>
              <w:spacing w:after="0"/>
              <w:rPr>
                <w:sz w:val="20"/>
                <w:szCs w:val="20"/>
                <w:color w:val="auto"/>
              </w:rPr>
            </w:pPr>
            <w:r>
              <w:rPr>
                <w:rFonts w:ascii="Arial" w:cs="Arial" w:eastAsia="Arial" w:hAnsi="Arial"/>
                <w:sz w:val="16"/>
                <w:szCs w:val="16"/>
                <w:b w:val="1"/>
                <w:bCs w:val="1"/>
                <w:color w:val="FFFFFE"/>
                <w:w w:val="99"/>
              </w:rPr>
              <w:t>Operations</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340" w:type="dxa"/>
            <w:vAlign w:val="bottom"/>
          </w:tcPr>
          <w:p>
            <w:pPr>
              <w:spacing w:after="0"/>
              <w:rPr>
                <w:sz w:val="16"/>
                <w:szCs w:val="16"/>
                <w:color w:val="auto"/>
              </w:rPr>
            </w:pPr>
          </w:p>
        </w:tc>
        <w:tc>
          <w:tcPr>
            <w:tcW w:w="5060" w:type="dxa"/>
            <w:vAlign w:val="bottom"/>
            <w:shd w:val="clear" w:color="auto" w:fill="53C072"/>
          </w:tcPr>
          <w:p>
            <w:pPr>
              <w:spacing w:after="0"/>
              <w:rPr>
                <w:sz w:val="16"/>
                <w:szCs w:val="16"/>
                <w:color w:val="auto"/>
              </w:rPr>
            </w:pPr>
          </w:p>
        </w:tc>
        <w:tc>
          <w:tcPr>
            <w:tcW w:w="140" w:type="dxa"/>
            <w:vAlign w:val="bottom"/>
            <w:shd w:val="clear" w:color="auto" w:fill="53C072"/>
          </w:tcPr>
          <w:p>
            <w:pPr>
              <w:spacing w:after="0"/>
              <w:rPr>
                <w:sz w:val="16"/>
                <w:szCs w:val="16"/>
                <w:color w:val="auto"/>
              </w:rPr>
            </w:pPr>
          </w:p>
        </w:tc>
        <w:tc>
          <w:tcPr>
            <w:tcW w:w="1960" w:type="dxa"/>
            <w:vAlign w:val="bottom"/>
            <w:gridSpan w:val="3"/>
            <w:shd w:val="clear" w:color="auto" w:fill="53C072"/>
          </w:tcPr>
          <w:p>
            <w:pPr>
              <w:jc w:val="right"/>
              <w:spacing w:after="0"/>
              <w:rPr>
                <w:sz w:val="20"/>
                <w:szCs w:val="20"/>
                <w:color w:val="auto"/>
              </w:rPr>
            </w:pPr>
            <w:r>
              <w:rPr>
                <w:rFonts w:ascii="Arial" w:cs="Arial" w:eastAsia="Arial" w:hAnsi="Arial"/>
                <w:sz w:val="16"/>
                <w:szCs w:val="16"/>
                <w:b w:val="1"/>
                <w:bCs w:val="1"/>
                <w:color w:val="FFFFFE"/>
              </w:rPr>
              <w:t>(thousands except per</w:t>
            </w:r>
          </w:p>
        </w:tc>
        <w:tc>
          <w:tcPr>
            <w:tcW w:w="140" w:type="dxa"/>
            <w:vAlign w:val="bottom"/>
            <w:shd w:val="clear" w:color="auto" w:fill="53C072"/>
          </w:tcPr>
          <w:p>
            <w:pPr>
              <w:spacing w:after="0"/>
              <w:rPr>
                <w:sz w:val="16"/>
                <w:szCs w:val="16"/>
                <w:color w:val="auto"/>
              </w:rPr>
            </w:pPr>
          </w:p>
        </w:tc>
        <w:tc>
          <w:tcPr>
            <w:tcW w:w="1000" w:type="dxa"/>
            <w:vAlign w:val="bottom"/>
            <w:gridSpan w:val="2"/>
            <w:shd w:val="clear" w:color="auto" w:fill="53C072"/>
          </w:tcPr>
          <w:p>
            <w:pPr>
              <w:jc w:val="right"/>
              <w:ind w:right="181"/>
              <w:spacing w:after="0"/>
              <w:rPr>
                <w:sz w:val="20"/>
                <w:szCs w:val="20"/>
                <w:color w:val="auto"/>
              </w:rPr>
            </w:pPr>
            <w:r>
              <w:rPr>
                <w:rFonts w:ascii="Arial" w:cs="Arial" w:eastAsia="Arial" w:hAnsi="Arial"/>
                <w:sz w:val="16"/>
                <w:szCs w:val="16"/>
                <w:b w:val="1"/>
                <w:bCs w:val="1"/>
                <w:color w:val="FFFFFE"/>
                <w:w w:val="84"/>
              </w:rPr>
              <w:t>share data)</w:t>
            </w:r>
          </w:p>
        </w:tc>
        <w:tc>
          <w:tcPr>
            <w:tcW w:w="1620" w:type="dxa"/>
            <w:vAlign w:val="bottom"/>
            <w:vMerge w:val="restart"/>
          </w:tcPr>
          <w:p>
            <w:pPr>
              <w:jc w:val="right"/>
              <w:ind w:right="148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2"/>
        </w:trPr>
        <w:tc>
          <w:tcPr>
            <w:tcW w:w="1340" w:type="dxa"/>
            <w:vAlign w:val="bottom"/>
          </w:tcPr>
          <w:p>
            <w:pPr>
              <w:spacing w:after="0"/>
              <w:rPr>
                <w:sz w:val="15"/>
                <w:szCs w:val="15"/>
                <w:color w:val="auto"/>
              </w:rPr>
            </w:pPr>
          </w:p>
        </w:tc>
        <w:tc>
          <w:tcPr>
            <w:tcW w:w="5060" w:type="dxa"/>
            <w:vAlign w:val="bottom"/>
          </w:tcPr>
          <w:p>
            <w:pPr>
              <w:spacing w:after="0" w:line="182" w:lineRule="exact"/>
              <w:rPr>
                <w:sz w:val="20"/>
                <w:szCs w:val="20"/>
                <w:color w:val="auto"/>
              </w:rPr>
            </w:pPr>
            <w:r>
              <w:rPr>
                <w:rFonts w:ascii="Arial" w:cs="Arial" w:eastAsia="Arial" w:hAnsi="Arial"/>
                <w:sz w:val="16"/>
                <w:szCs w:val="16"/>
                <w:b w:val="1"/>
                <w:bCs w:val="1"/>
                <w:color w:val="auto"/>
              </w:rPr>
              <w:t>GAAP results</w:t>
            </w:r>
          </w:p>
        </w:tc>
        <w:tc>
          <w:tcPr>
            <w:tcW w:w="140" w:type="dxa"/>
            <w:vAlign w:val="bottom"/>
          </w:tcPr>
          <w:p>
            <w:pPr>
              <w:jc w:val="right"/>
              <w:spacing w:after="0" w:line="182" w:lineRule="exact"/>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spacing w:after="0" w:line="182" w:lineRule="exact"/>
              <w:rPr>
                <w:sz w:val="20"/>
                <w:szCs w:val="20"/>
                <w:color w:val="auto"/>
              </w:rPr>
            </w:pPr>
            <w:r>
              <w:rPr>
                <w:rFonts w:ascii="Arial" w:cs="Arial" w:eastAsia="Arial" w:hAnsi="Arial"/>
                <w:sz w:val="16"/>
                <w:szCs w:val="16"/>
                <w:b w:val="1"/>
                <w:bCs w:val="1"/>
                <w:color w:val="auto"/>
              </w:rPr>
              <w:t>209,218</w:t>
            </w:r>
          </w:p>
        </w:tc>
        <w:tc>
          <w:tcPr>
            <w:tcW w:w="200" w:type="dxa"/>
            <w:vAlign w:val="bottom"/>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1120" w:type="dxa"/>
            <w:vAlign w:val="bottom"/>
            <w:gridSpan w:val="3"/>
          </w:tcPr>
          <w:p>
            <w:pPr>
              <w:jc w:val="right"/>
              <w:spacing w:after="0" w:line="182" w:lineRule="exact"/>
              <w:rPr>
                <w:sz w:val="20"/>
                <w:szCs w:val="20"/>
                <w:color w:val="auto"/>
              </w:rPr>
            </w:pPr>
            <w:r>
              <w:rPr>
                <w:rFonts w:ascii="Arial" w:cs="Arial" w:eastAsia="Arial" w:hAnsi="Arial"/>
                <w:sz w:val="16"/>
                <w:szCs w:val="16"/>
                <w:b w:val="1"/>
                <w:bCs w:val="1"/>
                <w:color w:val="auto"/>
              </w:rPr>
              <w:t>(142,889</w:t>
            </w:r>
            <w:r>
              <w:rPr>
                <w:rFonts w:ascii="Arial" w:cs="Arial" w:eastAsia="Arial" w:hAnsi="Arial"/>
                <w:sz w:val="16"/>
                <w:szCs w:val="16"/>
                <w:color w:val="auto"/>
              </w:rPr>
              <w:t>)</w:t>
            </w:r>
            <w:r>
              <w:rPr>
                <w:rFonts w:ascii="Arial" w:cs="Arial" w:eastAsia="Arial" w:hAnsi="Arial"/>
                <w:sz w:val="16"/>
                <w:szCs w:val="16"/>
                <w:b w:val="1"/>
                <w:bCs w:val="1"/>
                <w:color w:val="auto"/>
              </w:rPr>
              <w:t xml:space="preserve"> $</w:t>
            </w:r>
          </w:p>
        </w:tc>
        <w:tc>
          <w:tcPr>
            <w:tcW w:w="880" w:type="dxa"/>
            <w:vAlign w:val="bottom"/>
          </w:tcPr>
          <w:p>
            <w:pPr>
              <w:jc w:val="right"/>
              <w:spacing w:after="0" w:line="182" w:lineRule="exact"/>
              <w:rPr>
                <w:sz w:val="20"/>
                <w:szCs w:val="20"/>
                <w:color w:val="auto"/>
              </w:rPr>
            </w:pPr>
            <w:r>
              <w:rPr>
                <w:rFonts w:ascii="Arial" w:cs="Arial" w:eastAsia="Arial" w:hAnsi="Arial"/>
                <w:sz w:val="16"/>
                <w:szCs w:val="16"/>
                <w:b w:val="1"/>
                <w:bCs w:val="1"/>
                <w:color w:val="auto"/>
              </w:rPr>
              <w:t>(1.19</w:t>
            </w: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40" w:type="dxa"/>
            <w:vAlign w:val="bottom"/>
          </w:tcPr>
          <w:p>
            <w:pPr>
              <w:spacing w:after="0"/>
              <w:rPr>
                <w:sz w:val="15"/>
                <w:szCs w:val="15"/>
                <w:color w:val="auto"/>
              </w:rPr>
            </w:pPr>
          </w:p>
        </w:tc>
        <w:tc>
          <w:tcPr>
            <w:tcW w:w="5060" w:type="dxa"/>
            <w:vAlign w:val="bottom"/>
            <w:shd w:val="clear" w:color="auto" w:fill="E8F5EA"/>
          </w:tcPr>
          <w:p>
            <w:pPr>
              <w:ind w:left="180"/>
              <w:spacing w:after="0" w:line="182" w:lineRule="exact"/>
              <w:rPr>
                <w:sz w:val="20"/>
                <w:szCs w:val="20"/>
                <w:color w:val="auto"/>
              </w:rPr>
            </w:pPr>
            <w:r>
              <w:rPr>
                <w:rFonts w:ascii="Arial" w:cs="Arial" w:eastAsia="Arial" w:hAnsi="Arial"/>
                <w:sz w:val="16"/>
                <w:szCs w:val="16"/>
                <w:color w:val="auto"/>
              </w:rPr>
              <w:t>Restructuring, integration and other expenses</w:t>
            </w:r>
          </w:p>
        </w:tc>
        <w:tc>
          <w:tcPr>
            <w:tcW w:w="140" w:type="dxa"/>
            <w:vAlign w:val="bottom"/>
            <w:shd w:val="clear" w:color="auto" w:fill="E8F5EA"/>
          </w:tcPr>
          <w:p>
            <w:pPr>
              <w:spacing w:after="0"/>
              <w:rPr>
                <w:sz w:val="15"/>
                <w:szCs w:val="15"/>
                <w:color w:val="auto"/>
              </w:rPr>
            </w:pPr>
          </w:p>
        </w:tc>
        <w:tc>
          <w:tcPr>
            <w:tcW w:w="90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145,125</w:t>
            </w:r>
          </w:p>
        </w:tc>
        <w:tc>
          <w:tcPr>
            <w:tcW w:w="200" w:type="dxa"/>
            <w:vAlign w:val="bottom"/>
            <w:shd w:val="clear" w:color="auto" w:fill="E8F5EA"/>
          </w:tcPr>
          <w:p>
            <w:pPr>
              <w:spacing w:after="0"/>
              <w:rPr>
                <w:sz w:val="15"/>
                <w:szCs w:val="15"/>
                <w:color w:val="auto"/>
              </w:rPr>
            </w:pPr>
          </w:p>
        </w:tc>
        <w:tc>
          <w:tcPr>
            <w:tcW w:w="1000" w:type="dxa"/>
            <w:vAlign w:val="bottom"/>
            <w:gridSpan w:val="2"/>
            <w:shd w:val="clear" w:color="auto" w:fill="E8F5EA"/>
          </w:tcPr>
          <w:p>
            <w:pPr>
              <w:jc w:val="right"/>
              <w:ind w:right="140"/>
              <w:spacing w:after="0" w:line="182" w:lineRule="exact"/>
              <w:rPr>
                <w:sz w:val="20"/>
                <w:szCs w:val="20"/>
                <w:color w:val="auto"/>
              </w:rPr>
            </w:pPr>
            <w:r>
              <w:rPr>
                <w:rFonts w:ascii="Arial" w:cs="Arial" w:eastAsia="Arial" w:hAnsi="Arial"/>
                <w:sz w:val="16"/>
                <w:szCs w:val="16"/>
                <w:color w:val="auto"/>
              </w:rPr>
              <w:t>103,665</w:t>
            </w:r>
          </w:p>
        </w:tc>
        <w:tc>
          <w:tcPr>
            <w:tcW w:w="120" w:type="dxa"/>
            <w:vAlign w:val="bottom"/>
            <w:shd w:val="clear" w:color="auto" w:fill="E8F5EA"/>
          </w:tcPr>
          <w:p>
            <w:pPr>
              <w:spacing w:after="0"/>
              <w:rPr>
                <w:sz w:val="15"/>
                <w:szCs w:val="15"/>
                <w:color w:val="auto"/>
              </w:rPr>
            </w:pPr>
          </w:p>
        </w:tc>
        <w:tc>
          <w:tcPr>
            <w:tcW w:w="88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0.86</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40" w:type="dxa"/>
            <w:vAlign w:val="bottom"/>
          </w:tcPr>
          <w:p>
            <w:pPr>
              <w:spacing w:after="0"/>
              <w:rPr>
                <w:sz w:val="15"/>
                <w:szCs w:val="15"/>
                <w:color w:val="auto"/>
              </w:rPr>
            </w:pPr>
          </w:p>
        </w:tc>
        <w:tc>
          <w:tcPr>
            <w:tcW w:w="5060" w:type="dxa"/>
            <w:vAlign w:val="bottom"/>
          </w:tcPr>
          <w:p>
            <w:pPr>
              <w:ind w:left="180"/>
              <w:spacing w:after="0" w:line="182" w:lineRule="exact"/>
              <w:rPr>
                <w:sz w:val="20"/>
                <w:szCs w:val="20"/>
                <w:color w:val="auto"/>
              </w:rPr>
            </w:pPr>
            <w:r>
              <w:rPr>
                <w:rFonts w:ascii="Arial" w:cs="Arial" w:eastAsia="Arial" w:hAnsi="Arial"/>
                <w:sz w:val="16"/>
                <w:szCs w:val="16"/>
                <w:color w:val="auto"/>
              </w:rPr>
              <w:t>Goodwill impairment expense</w:t>
            </w:r>
          </w:p>
        </w:tc>
        <w:tc>
          <w:tcPr>
            <w:tcW w:w="14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6"/>
                <w:szCs w:val="16"/>
                <w:color w:val="auto"/>
              </w:rPr>
              <w:t>181,440</w:t>
            </w:r>
          </w:p>
        </w:tc>
        <w:tc>
          <w:tcPr>
            <w:tcW w:w="200" w:type="dxa"/>
            <w:vAlign w:val="bottom"/>
          </w:tcPr>
          <w:p>
            <w:pPr>
              <w:spacing w:after="0"/>
              <w:rPr>
                <w:sz w:val="15"/>
                <w:szCs w:val="15"/>
                <w:color w:val="auto"/>
              </w:rPr>
            </w:pPr>
          </w:p>
        </w:tc>
        <w:tc>
          <w:tcPr>
            <w:tcW w:w="1000" w:type="dxa"/>
            <w:vAlign w:val="bottom"/>
            <w:gridSpan w:val="2"/>
          </w:tcPr>
          <w:p>
            <w:pPr>
              <w:jc w:val="right"/>
              <w:ind w:right="140"/>
              <w:spacing w:after="0" w:line="182" w:lineRule="exact"/>
              <w:rPr>
                <w:sz w:val="20"/>
                <w:szCs w:val="20"/>
                <w:color w:val="auto"/>
              </w:rPr>
            </w:pPr>
            <w:r>
              <w:rPr>
                <w:rFonts w:ascii="Arial" w:cs="Arial" w:eastAsia="Arial" w:hAnsi="Arial"/>
                <w:sz w:val="16"/>
                <w:szCs w:val="16"/>
                <w:color w:val="auto"/>
              </w:rPr>
              <w:t>181,440</w:t>
            </w:r>
          </w:p>
        </w:tc>
        <w:tc>
          <w:tcPr>
            <w:tcW w:w="120" w:type="dxa"/>
            <w:vAlign w:val="bottom"/>
          </w:tcPr>
          <w:p>
            <w:pPr>
              <w:spacing w:after="0"/>
              <w:rPr>
                <w:sz w:val="15"/>
                <w:szCs w:val="15"/>
                <w:color w:val="auto"/>
              </w:rPr>
            </w:pPr>
          </w:p>
        </w:tc>
        <w:tc>
          <w:tcPr>
            <w:tcW w:w="880" w:type="dxa"/>
            <w:vAlign w:val="bottom"/>
          </w:tcPr>
          <w:p>
            <w:pPr>
              <w:jc w:val="right"/>
              <w:spacing w:after="0" w:line="182" w:lineRule="exact"/>
              <w:rPr>
                <w:sz w:val="20"/>
                <w:szCs w:val="20"/>
                <w:color w:val="auto"/>
              </w:rPr>
            </w:pPr>
            <w:r>
              <w:rPr>
                <w:rFonts w:ascii="Arial" w:cs="Arial" w:eastAsia="Arial" w:hAnsi="Arial"/>
                <w:sz w:val="16"/>
                <w:szCs w:val="16"/>
                <w:color w:val="auto"/>
              </w:rPr>
              <w:t>1.52</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40" w:type="dxa"/>
            <w:vAlign w:val="bottom"/>
          </w:tcPr>
          <w:p>
            <w:pPr>
              <w:spacing w:after="0"/>
              <w:rPr>
                <w:sz w:val="15"/>
                <w:szCs w:val="15"/>
                <w:color w:val="auto"/>
              </w:rPr>
            </w:pPr>
          </w:p>
        </w:tc>
        <w:tc>
          <w:tcPr>
            <w:tcW w:w="5060" w:type="dxa"/>
            <w:vAlign w:val="bottom"/>
            <w:shd w:val="clear" w:color="auto" w:fill="E8F5EA"/>
          </w:tcPr>
          <w:p>
            <w:pPr>
              <w:ind w:left="180"/>
              <w:spacing w:after="0" w:line="182" w:lineRule="exact"/>
              <w:rPr>
                <w:sz w:val="20"/>
                <w:szCs w:val="20"/>
                <w:color w:val="auto"/>
              </w:rPr>
            </w:pPr>
            <w:r>
              <w:rPr>
                <w:rFonts w:ascii="Arial" w:cs="Arial" w:eastAsia="Arial" w:hAnsi="Arial"/>
                <w:sz w:val="16"/>
                <w:szCs w:val="16"/>
                <w:color w:val="auto"/>
              </w:rPr>
              <w:t>Amortization of intangible assets and other</w:t>
            </w:r>
          </w:p>
        </w:tc>
        <w:tc>
          <w:tcPr>
            <w:tcW w:w="140" w:type="dxa"/>
            <w:vAlign w:val="bottom"/>
            <w:shd w:val="clear" w:color="auto" w:fill="E8F5EA"/>
          </w:tcPr>
          <w:p>
            <w:pPr>
              <w:spacing w:after="0"/>
              <w:rPr>
                <w:sz w:val="15"/>
                <w:szCs w:val="15"/>
                <w:color w:val="auto"/>
              </w:rPr>
            </w:pPr>
          </w:p>
        </w:tc>
        <w:tc>
          <w:tcPr>
            <w:tcW w:w="90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91,923</w:t>
            </w:r>
          </w:p>
        </w:tc>
        <w:tc>
          <w:tcPr>
            <w:tcW w:w="200" w:type="dxa"/>
            <w:vAlign w:val="bottom"/>
            <w:shd w:val="clear" w:color="auto" w:fill="E8F5EA"/>
          </w:tcPr>
          <w:p>
            <w:pPr>
              <w:spacing w:after="0"/>
              <w:rPr>
                <w:sz w:val="15"/>
                <w:szCs w:val="15"/>
                <w:color w:val="auto"/>
              </w:rPr>
            </w:pPr>
          </w:p>
        </w:tc>
        <w:tc>
          <w:tcPr>
            <w:tcW w:w="1000" w:type="dxa"/>
            <w:vAlign w:val="bottom"/>
            <w:gridSpan w:val="2"/>
            <w:shd w:val="clear" w:color="auto" w:fill="E8F5EA"/>
          </w:tcPr>
          <w:p>
            <w:pPr>
              <w:jc w:val="right"/>
              <w:ind w:right="140"/>
              <w:spacing w:after="0" w:line="182" w:lineRule="exact"/>
              <w:rPr>
                <w:sz w:val="20"/>
                <w:szCs w:val="20"/>
                <w:color w:val="auto"/>
              </w:rPr>
            </w:pPr>
            <w:r>
              <w:rPr>
                <w:rFonts w:ascii="Arial" w:cs="Arial" w:eastAsia="Arial" w:hAnsi="Arial"/>
                <w:sz w:val="16"/>
                <w:szCs w:val="16"/>
                <w:color w:val="auto"/>
              </w:rPr>
              <w:t>73,367</w:t>
            </w:r>
          </w:p>
        </w:tc>
        <w:tc>
          <w:tcPr>
            <w:tcW w:w="120" w:type="dxa"/>
            <w:vAlign w:val="bottom"/>
            <w:shd w:val="clear" w:color="auto" w:fill="E8F5EA"/>
          </w:tcPr>
          <w:p>
            <w:pPr>
              <w:spacing w:after="0"/>
              <w:rPr>
                <w:sz w:val="15"/>
                <w:szCs w:val="15"/>
                <w:color w:val="auto"/>
              </w:rPr>
            </w:pPr>
          </w:p>
        </w:tc>
        <w:tc>
          <w:tcPr>
            <w:tcW w:w="88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0.61</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40" w:type="dxa"/>
            <w:vAlign w:val="bottom"/>
          </w:tcPr>
          <w:p>
            <w:pPr>
              <w:spacing w:after="0"/>
              <w:rPr>
                <w:sz w:val="15"/>
                <w:szCs w:val="15"/>
                <w:color w:val="auto"/>
              </w:rPr>
            </w:pPr>
          </w:p>
        </w:tc>
        <w:tc>
          <w:tcPr>
            <w:tcW w:w="5060" w:type="dxa"/>
            <w:vAlign w:val="bottom"/>
          </w:tcPr>
          <w:p>
            <w:pPr>
              <w:ind w:left="180"/>
              <w:spacing w:after="0" w:line="182" w:lineRule="exact"/>
              <w:rPr>
                <w:sz w:val="20"/>
                <w:szCs w:val="20"/>
                <w:color w:val="auto"/>
              </w:rPr>
            </w:pPr>
            <w:r>
              <w:rPr>
                <w:rFonts w:ascii="Arial" w:cs="Arial" w:eastAsia="Arial" w:hAnsi="Arial"/>
                <w:sz w:val="16"/>
                <w:szCs w:val="16"/>
                <w:color w:val="auto"/>
              </w:rPr>
              <w:t>Foreign currency (gain) loss and other expenses</w:t>
            </w:r>
          </w:p>
        </w:tc>
        <w:tc>
          <w:tcPr>
            <w:tcW w:w="14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80"/>
              <w:spacing w:after="0" w:line="182" w:lineRule="exact"/>
              <w:rPr>
                <w:sz w:val="20"/>
                <w:szCs w:val="20"/>
                <w:color w:val="auto"/>
              </w:rPr>
            </w:pPr>
            <w:r>
              <w:rPr>
                <w:rFonts w:ascii="Arial" w:cs="Arial" w:eastAsia="Arial" w:hAnsi="Arial"/>
                <w:sz w:val="16"/>
                <w:szCs w:val="16"/>
                <w:color w:val="auto"/>
              </w:rPr>
              <w:t>(6,268)</w:t>
            </w:r>
          </w:p>
        </w:tc>
        <w:tc>
          <w:tcPr>
            <w:tcW w:w="120" w:type="dxa"/>
            <w:vAlign w:val="bottom"/>
          </w:tcPr>
          <w:p>
            <w:pPr>
              <w:spacing w:after="0"/>
              <w:rPr>
                <w:sz w:val="15"/>
                <w:szCs w:val="15"/>
                <w:color w:val="auto"/>
              </w:rPr>
            </w:pPr>
          </w:p>
        </w:tc>
        <w:tc>
          <w:tcPr>
            <w:tcW w:w="880" w:type="dxa"/>
            <w:vAlign w:val="bottom"/>
          </w:tcPr>
          <w:p>
            <w:pPr>
              <w:jc w:val="right"/>
              <w:spacing w:after="0" w:line="182" w:lineRule="exact"/>
              <w:rPr>
                <w:sz w:val="20"/>
                <w:szCs w:val="20"/>
                <w:color w:val="auto"/>
              </w:rPr>
            </w:pPr>
            <w:r>
              <w:rPr>
                <w:rFonts w:ascii="Arial" w:cs="Arial" w:eastAsia="Arial" w:hAnsi="Arial"/>
                <w:sz w:val="16"/>
                <w:szCs w:val="16"/>
                <w:color w:val="auto"/>
              </w:rPr>
              <w:t>(0.05)</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40" w:type="dxa"/>
            <w:vAlign w:val="bottom"/>
          </w:tcPr>
          <w:p>
            <w:pPr>
              <w:spacing w:after="0"/>
              <w:rPr>
                <w:sz w:val="15"/>
                <w:szCs w:val="15"/>
                <w:color w:val="auto"/>
              </w:rPr>
            </w:pPr>
          </w:p>
        </w:tc>
        <w:tc>
          <w:tcPr>
            <w:tcW w:w="5060" w:type="dxa"/>
            <w:vAlign w:val="bottom"/>
            <w:shd w:val="clear" w:color="auto" w:fill="E8F5EA"/>
          </w:tcPr>
          <w:p>
            <w:pPr>
              <w:ind w:left="180"/>
              <w:spacing w:after="0" w:line="182" w:lineRule="exact"/>
              <w:rPr>
                <w:sz w:val="20"/>
                <w:szCs w:val="20"/>
                <w:color w:val="auto"/>
              </w:rPr>
            </w:pPr>
            <w:r>
              <w:rPr>
                <w:rFonts w:ascii="Arial" w:cs="Arial" w:eastAsia="Arial" w:hAnsi="Arial"/>
                <w:sz w:val="16"/>
                <w:szCs w:val="16"/>
                <w:color w:val="auto"/>
              </w:rPr>
              <w:t>Income tax adjustments</w:t>
            </w:r>
          </w:p>
        </w:tc>
        <w:tc>
          <w:tcPr>
            <w:tcW w:w="140" w:type="dxa"/>
            <w:vAlign w:val="bottom"/>
            <w:shd w:val="clear" w:color="auto" w:fill="E8F5EA"/>
          </w:tcPr>
          <w:p>
            <w:pPr>
              <w:spacing w:after="0"/>
              <w:rPr>
                <w:sz w:val="15"/>
                <w:szCs w:val="15"/>
                <w:color w:val="auto"/>
              </w:rPr>
            </w:pPr>
          </w:p>
        </w:tc>
        <w:tc>
          <w:tcPr>
            <w:tcW w:w="90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w:t>
            </w:r>
          </w:p>
        </w:tc>
        <w:tc>
          <w:tcPr>
            <w:tcW w:w="200" w:type="dxa"/>
            <w:vAlign w:val="bottom"/>
            <w:shd w:val="clear" w:color="auto" w:fill="E8F5EA"/>
          </w:tcPr>
          <w:p>
            <w:pPr>
              <w:spacing w:after="0"/>
              <w:rPr>
                <w:sz w:val="15"/>
                <w:szCs w:val="15"/>
                <w:color w:val="auto"/>
              </w:rPr>
            </w:pPr>
          </w:p>
        </w:tc>
        <w:tc>
          <w:tcPr>
            <w:tcW w:w="1000" w:type="dxa"/>
            <w:vAlign w:val="bottom"/>
            <w:gridSpan w:val="2"/>
            <w:shd w:val="clear" w:color="auto" w:fill="E8F5EA"/>
          </w:tcPr>
          <w:p>
            <w:pPr>
              <w:jc w:val="right"/>
              <w:ind w:right="140"/>
              <w:spacing w:after="0" w:line="182" w:lineRule="exact"/>
              <w:rPr>
                <w:sz w:val="20"/>
                <w:szCs w:val="20"/>
                <w:color w:val="auto"/>
              </w:rPr>
            </w:pPr>
            <w:r>
              <w:rPr>
                <w:rFonts w:ascii="Arial" w:cs="Arial" w:eastAsia="Arial" w:hAnsi="Arial"/>
                <w:sz w:val="16"/>
                <w:szCs w:val="16"/>
                <w:color w:val="auto"/>
              </w:rPr>
              <w:t>218,444</w:t>
            </w:r>
          </w:p>
        </w:tc>
        <w:tc>
          <w:tcPr>
            <w:tcW w:w="120" w:type="dxa"/>
            <w:vAlign w:val="bottom"/>
            <w:shd w:val="clear" w:color="auto" w:fill="E8F5EA"/>
          </w:tcPr>
          <w:p>
            <w:pPr>
              <w:spacing w:after="0"/>
              <w:rPr>
                <w:sz w:val="15"/>
                <w:szCs w:val="15"/>
                <w:color w:val="auto"/>
              </w:rPr>
            </w:pPr>
          </w:p>
        </w:tc>
        <w:tc>
          <w:tcPr>
            <w:tcW w:w="880" w:type="dxa"/>
            <w:vAlign w:val="bottom"/>
            <w:shd w:val="clear" w:color="auto" w:fill="E8F5EA"/>
          </w:tcPr>
          <w:p>
            <w:pPr>
              <w:jc w:val="right"/>
              <w:spacing w:after="0" w:line="182" w:lineRule="exact"/>
              <w:rPr>
                <w:sz w:val="20"/>
                <w:szCs w:val="20"/>
                <w:color w:val="auto"/>
              </w:rPr>
            </w:pPr>
            <w:r>
              <w:rPr>
                <w:rFonts w:ascii="Arial" w:cs="Arial" w:eastAsia="Arial" w:hAnsi="Arial"/>
                <w:sz w:val="16"/>
                <w:szCs w:val="16"/>
                <w:color w:val="auto"/>
              </w:rPr>
              <w:t>1.82</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40" w:type="dxa"/>
            <w:vAlign w:val="bottom"/>
          </w:tcPr>
          <w:p>
            <w:pPr>
              <w:spacing w:after="0"/>
              <w:rPr>
                <w:sz w:val="15"/>
                <w:szCs w:val="15"/>
                <w:color w:val="auto"/>
              </w:rPr>
            </w:pPr>
          </w:p>
        </w:tc>
        <w:tc>
          <w:tcPr>
            <w:tcW w:w="5060" w:type="dxa"/>
            <w:vAlign w:val="bottom"/>
          </w:tcPr>
          <w:p>
            <w:pPr>
              <w:spacing w:after="0" w:line="182" w:lineRule="exact"/>
              <w:rPr>
                <w:sz w:val="20"/>
                <w:szCs w:val="20"/>
                <w:color w:val="auto"/>
              </w:rPr>
            </w:pPr>
            <w:r>
              <w:rPr>
                <w:rFonts w:ascii="Arial" w:cs="Arial" w:eastAsia="Arial" w:hAnsi="Arial"/>
                <w:sz w:val="16"/>
                <w:szCs w:val="16"/>
                <w:color w:val="auto"/>
              </w:rPr>
              <w:t>Total adjustments</w:t>
            </w:r>
          </w:p>
        </w:tc>
        <w:tc>
          <w:tcPr>
            <w:tcW w:w="14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6"/>
                <w:szCs w:val="16"/>
                <w:color w:val="auto"/>
              </w:rPr>
              <w:t>418,488</w:t>
            </w:r>
          </w:p>
        </w:tc>
        <w:tc>
          <w:tcPr>
            <w:tcW w:w="200" w:type="dxa"/>
            <w:vAlign w:val="bottom"/>
          </w:tcPr>
          <w:p>
            <w:pPr>
              <w:spacing w:after="0"/>
              <w:rPr>
                <w:sz w:val="15"/>
                <w:szCs w:val="15"/>
                <w:color w:val="auto"/>
              </w:rPr>
            </w:pPr>
          </w:p>
        </w:tc>
        <w:tc>
          <w:tcPr>
            <w:tcW w:w="1000" w:type="dxa"/>
            <w:vAlign w:val="bottom"/>
            <w:gridSpan w:val="2"/>
          </w:tcPr>
          <w:p>
            <w:pPr>
              <w:jc w:val="right"/>
              <w:ind w:right="140"/>
              <w:spacing w:after="0" w:line="182" w:lineRule="exact"/>
              <w:rPr>
                <w:sz w:val="20"/>
                <w:szCs w:val="20"/>
                <w:color w:val="auto"/>
              </w:rPr>
            </w:pPr>
            <w:r>
              <w:rPr>
                <w:rFonts w:ascii="Arial" w:cs="Arial" w:eastAsia="Arial" w:hAnsi="Arial"/>
                <w:sz w:val="16"/>
                <w:szCs w:val="16"/>
                <w:color w:val="auto"/>
              </w:rPr>
              <w:t>570,648</w:t>
            </w:r>
          </w:p>
        </w:tc>
        <w:tc>
          <w:tcPr>
            <w:tcW w:w="120" w:type="dxa"/>
            <w:vAlign w:val="bottom"/>
          </w:tcPr>
          <w:p>
            <w:pPr>
              <w:spacing w:after="0"/>
              <w:rPr>
                <w:sz w:val="15"/>
                <w:szCs w:val="15"/>
                <w:color w:val="auto"/>
              </w:rPr>
            </w:pPr>
          </w:p>
        </w:tc>
        <w:tc>
          <w:tcPr>
            <w:tcW w:w="880" w:type="dxa"/>
            <w:vAlign w:val="bottom"/>
          </w:tcPr>
          <w:p>
            <w:pPr>
              <w:jc w:val="right"/>
              <w:spacing w:after="0" w:line="182" w:lineRule="exact"/>
              <w:rPr>
                <w:sz w:val="20"/>
                <w:szCs w:val="20"/>
                <w:color w:val="auto"/>
              </w:rPr>
            </w:pPr>
            <w:r>
              <w:rPr>
                <w:rFonts w:ascii="Arial" w:cs="Arial" w:eastAsia="Arial" w:hAnsi="Arial"/>
                <w:sz w:val="16"/>
                <w:szCs w:val="16"/>
                <w:color w:val="auto"/>
              </w:rPr>
              <w:t>4.76</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340" w:type="dxa"/>
            <w:vAlign w:val="bottom"/>
          </w:tcPr>
          <w:p>
            <w:pPr>
              <w:spacing w:after="0"/>
              <w:rPr>
                <w:sz w:val="17"/>
                <w:szCs w:val="17"/>
                <w:color w:val="auto"/>
              </w:rPr>
            </w:pPr>
          </w:p>
        </w:tc>
        <w:tc>
          <w:tcPr>
            <w:tcW w:w="5060" w:type="dxa"/>
            <w:vAlign w:val="bottom"/>
            <w:tcBorders>
              <w:bottom w:val="single" w:sz="8" w:color="53C072"/>
            </w:tcBorders>
            <w:shd w:val="clear" w:color="auto" w:fill="E8F5EA"/>
          </w:tcPr>
          <w:p>
            <w:pPr>
              <w:spacing w:after="0" w:line="182" w:lineRule="exact"/>
              <w:rPr>
                <w:sz w:val="20"/>
                <w:szCs w:val="20"/>
                <w:color w:val="auto"/>
              </w:rPr>
            </w:pPr>
            <w:r>
              <w:rPr>
                <w:rFonts w:ascii="Arial" w:cs="Arial" w:eastAsia="Arial" w:hAnsi="Arial"/>
                <w:sz w:val="16"/>
                <w:szCs w:val="16"/>
                <w:b w:val="1"/>
                <w:bCs w:val="1"/>
                <w:color w:val="auto"/>
              </w:rPr>
              <w:t>Adjusted non-GAAP results</w:t>
            </w:r>
          </w:p>
        </w:tc>
        <w:tc>
          <w:tcPr>
            <w:tcW w:w="140" w:type="dxa"/>
            <w:vAlign w:val="bottom"/>
            <w:tcBorders>
              <w:bottom w:val="single" w:sz="8" w:color="53C072"/>
            </w:tcBorders>
            <w:shd w:val="clear" w:color="auto" w:fill="E8F5EA"/>
          </w:tcPr>
          <w:p>
            <w:pPr>
              <w:spacing w:after="0"/>
              <w:rPr>
                <w:sz w:val="17"/>
                <w:szCs w:val="17"/>
                <w:color w:val="auto"/>
              </w:rPr>
            </w:pPr>
          </w:p>
        </w:tc>
        <w:tc>
          <w:tcPr>
            <w:tcW w:w="900" w:type="dxa"/>
            <w:vAlign w:val="bottom"/>
            <w:tcBorders>
              <w:bottom w:val="single" w:sz="8" w:color="53C072"/>
            </w:tcBorders>
            <w:shd w:val="clear" w:color="auto" w:fill="E8F5EA"/>
          </w:tcPr>
          <w:p>
            <w:pPr>
              <w:jc w:val="right"/>
              <w:spacing w:after="0" w:line="182" w:lineRule="exact"/>
              <w:rPr>
                <w:sz w:val="20"/>
                <w:szCs w:val="20"/>
                <w:color w:val="auto"/>
              </w:rPr>
            </w:pPr>
            <w:r>
              <w:rPr>
                <w:rFonts w:ascii="Arial" w:cs="Arial" w:eastAsia="Arial" w:hAnsi="Arial"/>
                <w:sz w:val="16"/>
                <w:szCs w:val="16"/>
                <w:b w:val="1"/>
                <w:bCs w:val="1"/>
                <w:color w:val="auto"/>
              </w:rPr>
              <w:t>627,706</w:t>
            </w:r>
          </w:p>
        </w:tc>
        <w:tc>
          <w:tcPr>
            <w:tcW w:w="200" w:type="dxa"/>
            <w:vAlign w:val="bottom"/>
            <w:tcBorders>
              <w:bottom w:val="single" w:sz="8" w:color="53C072"/>
            </w:tcBorders>
            <w:shd w:val="clear" w:color="auto" w:fill="E8F5EA"/>
          </w:tcPr>
          <w:p>
            <w:pPr>
              <w:spacing w:after="0"/>
              <w:rPr>
                <w:sz w:val="17"/>
                <w:szCs w:val="17"/>
                <w:color w:val="auto"/>
              </w:rPr>
            </w:pPr>
          </w:p>
        </w:tc>
        <w:tc>
          <w:tcPr>
            <w:tcW w:w="1000" w:type="dxa"/>
            <w:vAlign w:val="bottom"/>
            <w:tcBorders>
              <w:bottom w:val="single" w:sz="8" w:color="53C072"/>
            </w:tcBorders>
            <w:gridSpan w:val="2"/>
            <w:shd w:val="clear" w:color="auto" w:fill="E8F5EA"/>
          </w:tcPr>
          <w:p>
            <w:pPr>
              <w:jc w:val="right"/>
              <w:ind w:right="140"/>
              <w:spacing w:after="0" w:line="182" w:lineRule="exact"/>
              <w:rPr>
                <w:sz w:val="20"/>
                <w:szCs w:val="20"/>
                <w:color w:val="auto"/>
              </w:rPr>
            </w:pPr>
            <w:r>
              <w:rPr>
                <w:rFonts w:ascii="Arial" w:cs="Arial" w:eastAsia="Arial" w:hAnsi="Arial"/>
                <w:sz w:val="16"/>
                <w:szCs w:val="16"/>
                <w:b w:val="1"/>
                <w:bCs w:val="1"/>
                <w:color w:val="auto"/>
              </w:rPr>
              <w:t>427,759</w:t>
            </w:r>
          </w:p>
        </w:tc>
        <w:tc>
          <w:tcPr>
            <w:tcW w:w="120" w:type="dxa"/>
            <w:vAlign w:val="bottom"/>
            <w:tcBorders>
              <w:bottom w:val="single" w:sz="8" w:color="53C072"/>
            </w:tcBorders>
            <w:shd w:val="clear" w:color="auto" w:fill="E8F5EA"/>
          </w:tcPr>
          <w:p>
            <w:pPr>
              <w:spacing w:after="0"/>
              <w:rPr>
                <w:sz w:val="17"/>
                <w:szCs w:val="17"/>
                <w:color w:val="auto"/>
              </w:rPr>
            </w:pPr>
          </w:p>
        </w:tc>
        <w:tc>
          <w:tcPr>
            <w:tcW w:w="880" w:type="dxa"/>
            <w:vAlign w:val="bottom"/>
            <w:tcBorders>
              <w:bottom w:val="single" w:sz="8" w:color="53C072"/>
            </w:tcBorders>
            <w:shd w:val="clear" w:color="auto" w:fill="E8F5EA"/>
          </w:tcPr>
          <w:p>
            <w:pPr>
              <w:jc w:val="right"/>
              <w:spacing w:after="0" w:line="182" w:lineRule="exact"/>
              <w:rPr>
                <w:sz w:val="20"/>
                <w:szCs w:val="20"/>
                <w:color w:val="auto"/>
              </w:rPr>
            </w:pPr>
            <w:r>
              <w:rPr>
                <w:rFonts w:ascii="Arial" w:cs="Arial" w:eastAsia="Arial" w:hAnsi="Arial"/>
                <w:sz w:val="16"/>
                <w:szCs w:val="16"/>
                <w:b w:val="1"/>
                <w:bCs w:val="1"/>
                <w:color w:val="auto"/>
              </w:rPr>
              <w:t>3.57</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Company believes that operating income adjusted for the impact of the items identified above is a useful measure to help shareholders better assess and understand the Company's operating performance, especially when comparing results with previous periods, primarily because management views the excluded items to be outside of the Company's normal operating results or non-cash in nature. The Company analyzes operating income without the impact of these items as an indicator of ongoing margin performance and underlying trends in the business.</w:t>
      </w:r>
    </w:p>
    <w:p>
      <w:pPr>
        <w:spacing w:after="0" w:line="156"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The Company believes income from continuing operations and diluted earnings per share from continuing operations, as adjusted for the impact of the items identified above, is a useful measure to shareholders because it provides a measure of the Company's net profitability on a more comparable basis to historical periods. Additionally, because of management's focus on generating shareholder value, of which net profitability is a primary driver, management believes income from continuing operations and diluted earnings per share from continuing operations, excluding the impact of these items, provides an important measure of the Company's net results of operations.</w:t>
      </w:r>
    </w:p>
    <w:p>
      <w:pPr>
        <w:spacing w:after="0" w:line="162"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For a detailed description of the items adjusting the GAAP results in the table above, refer to the respective fiscal year's Annual Report on Form 10-K filed with the Securities and Exchange Commission. Any analysis of results on a non-GAAP basis should be used as a complement to, and in conjunction with, data presented in accordance with GAAP.</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74</w:t>
      </w:r>
      <w:r>
        <w:rPr>
          <w:sz w:val="20"/>
          <w:szCs w:val="20"/>
          <w:color w:val="auto"/>
        </w:rPr>
        <w:tab/>
      </w:r>
      <w:r>
        <w:rPr>
          <w:rFonts w:ascii="Arial" w:cs="Arial" w:eastAsia="Arial" w:hAnsi="Arial"/>
          <w:sz w:val="23"/>
          <w:szCs w:val="23"/>
          <w:b w:val="1"/>
          <w:bCs w:val="1"/>
          <w:color w:val="53C07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118745</wp:posOffset>
            </wp:positionV>
            <wp:extent cx="7151370" cy="203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1370" cy="20320"/>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-163195</wp:posOffset>
            </wp:positionV>
            <wp:extent cx="1664970" cy="1231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664970" cy="12319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219710</wp:posOffset>
            </wp:positionV>
            <wp:extent cx="7202805" cy="93046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clrChange>
                        <a:clrFrom>
                          <a:srgbClr val="FFFFFF"/>
                        </a:clrFrom>
                        <a:clrTo>
                          <a:srgbClr val="FFFFFF">
                            <a:alpha val="0"/>
                          </a:srgbClr>
                        </a:clrTo>
                      </a:clrChange>
                      <a:extLst>
                        <a:ext uri="{28A0092B-C50C-407E-A947-70E740481C1C}"/>
                      </a:extLst>
                    </a:blip>
                    <a:srcRect/>
                    <a:stretch>
                      <a:fillRect/>
                    </a:stretch>
                  </pic:blipFill>
                  <pic:spPr bwMode="auto">
                    <a:xfrm>
                      <a:off x="0" y="0"/>
                      <a:ext cx="7202805" cy="9304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96520</wp:posOffset>
            </wp:positionV>
            <wp:extent cx="7202805" cy="93046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clrChange>
                        <a:clrFrom>
                          <a:srgbClr val="FFFFFF"/>
                        </a:clrFrom>
                        <a:clrTo>
                          <a:srgbClr val="FFFFFF">
                            <a:alpha val="0"/>
                          </a:srgbClr>
                        </a:clrTo>
                      </a:clrChange>
                      <a:extLst>
                        <a:ext uri="{28A0092B-C50C-407E-A947-70E740481C1C}"/>
                      </a:extLst>
                    </a:blip>
                    <a:srcRect/>
                    <a:stretch>
                      <a:fillRect/>
                    </a:stretch>
                  </pic:blipFill>
                  <pic:spPr bwMode="auto">
                    <a:xfrm>
                      <a:off x="0" y="0"/>
                      <a:ext cx="7202805" cy="93046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
      <w:numFmt w:val="bullet"/>
      <w:start w:val="1"/>
    </w:lvl>
    <w:lvl w:ilvl="1">
      <w:lvlJc w:val="left"/>
      <w:lvlText w:val="(%2)"/>
      <w:numFmt w:val="decimal"/>
      <w:start w:val="1"/>
    </w:lvl>
  </w:abstractNum>
  <w:abstractNum w:abstractNumId="2">
    <w:nsid w:val="5577F8E1"/>
    <w:multiLevelType w:val="hybridMultilevel"/>
    <w:lvl w:ilvl="0">
      <w:lvlJc w:val="left"/>
      <w:lvlText w:val=" "/>
      <w:numFmt w:val="bullet"/>
      <w:start w:val="1"/>
    </w:lvl>
    <w:lvl w:ilvl="1">
      <w:lvlJc w:val="left"/>
      <w:lvlText w:val="(%2)"/>
      <w:numFmt w:val="decimal"/>
      <w:start w:val="1"/>
    </w:lvl>
  </w:abstractNum>
  <w:abstractNum w:abstractNumId="3">
    <w:nsid w:val="440BADFC"/>
    <w:multiLevelType w:val="hybridMultilevel"/>
    <w:lvl w:ilvl="0">
      <w:lvlJc w:val="left"/>
      <w:lvlText w:val="%1."/>
      <w:numFmt w:val="decimal"/>
      <w:start w:val="1"/>
    </w:lvl>
  </w:abstractNum>
  <w:abstractNum w:abstractNumId="4">
    <w:nsid w:val="5072367"/>
    <w:multiLevelType w:val="hybridMultilevel"/>
    <w:lvl w:ilvl="0">
      <w:lvlJc w:val="left"/>
      <w:lvlText w:val="1"/>
      <w:numFmt w:val="bullet"/>
      <w:start w:val="1"/>
    </w:lvl>
  </w:abstractNum>
  <w:abstractNum w:abstractNumId="5">
    <w:nsid w:val="3804823E"/>
    <w:multiLevelType w:val="hybridMultilevel"/>
    <w:lvl w:ilvl="0">
      <w:lvlJc w:val="left"/>
      <w:lvlText w:val="2"/>
      <w:numFmt w:val="bullet"/>
      <w:start w:val="1"/>
    </w:lvl>
  </w:abstractNum>
  <w:abstractNum w:abstractNumId="6">
    <w:nsid w:val="77465F01"/>
    <w:multiLevelType w:val="hybridMultilevel"/>
    <w:lvl w:ilvl="0">
      <w:lvlJc w:val="left"/>
      <w:lvlText w:val="3"/>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1"/>
      <w:numFmt w:val="bullet"/>
      <w:start w:val="1"/>
    </w:lvl>
  </w:abstractNum>
  <w:abstractNum w:abstractNumId="10">
    <w:nsid w:val="5E884ADC"/>
    <w:multiLevelType w:val="hybridMultilevel"/>
    <w:lvl w:ilvl="0">
      <w:lvlJc w:val="left"/>
      <w:lvlText w:val="2"/>
      <w:numFmt w:val="bullet"/>
      <w:start w:val="1"/>
    </w:lvl>
  </w:abstractNum>
  <w:abstractNum w:abstractNumId="11">
    <w:nsid w:val="51EAD36B"/>
    <w:multiLevelType w:val="hybridMultilevel"/>
    <w:lvl w:ilvl="0">
      <w:lvlJc w:val="left"/>
      <w:lvlText w:val="3"/>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8"/>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1)"/>
      <w:numFmt w:val="decimal"/>
      <w:start w:val="1"/>
    </w:lvl>
  </w:abstractNum>
  <w:abstractNum w:abstractNumId="27">
    <w:nsid w:val="38437FDB"/>
    <w:multiLevelType w:val="hybridMultilevel"/>
    <w:lvl w:ilvl="0">
      <w:lvlJc w:val="left"/>
      <w:lvlText w:val="•"/>
      <w:numFmt w:val="bullet"/>
      <w:start w:val="1"/>
    </w:lvl>
    <w:lvl w:ilvl="1">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1"/>
      <w:numFmt w:val="upperLetter"/>
      <w:start w:val="61"/>
    </w:lvl>
  </w:abstractNum>
  <w:abstractNum w:abstractNumId="30">
    <w:nsid w:val="684A481A"/>
    <w:multiLevelType w:val="hybridMultilevel"/>
    <w:lvl w:ilvl="0">
      <w:lvlJc w:val="left"/>
      <w:lvlText w:val="(%1)"/>
      <w:numFmt w:val="decimal"/>
      <w:start w:val="1"/>
    </w:lvl>
  </w:abstractNum>
  <w:abstractNum w:abstractNumId="31">
    <w:nsid w:val="579478FE"/>
    <w:multiLevelType w:val="hybridMultilevel"/>
    <w:lvl w:ilvl="0">
      <w:lvlJc w:val="left"/>
      <w:lvlText w:val="(%1)"/>
      <w:numFmt w:val="decimal"/>
      <w:start w:val="1"/>
    </w:lvl>
  </w:abstractNum>
  <w:abstractNum w:abstractNumId="32">
    <w:nsid w:val="749ABB43"/>
    <w:multiLevelType w:val="hybridMultilevel"/>
    <w:lvl w:ilvl="0">
      <w:lvlJc w:val="left"/>
      <w:lvlText w:val="&amp;"/>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1)"/>
      <w:numFmt w:val="lowerLetter"/>
      <w:start w:val="1"/>
    </w:lvl>
  </w:abstractNum>
  <w:abstractNum w:abstractNumId="35">
    <w:nsid w:val="79A1DEAA"/>
    <w:multiLevelType w:val="hybridMultilevel"/>
    <w:lvl w:ilvl="0">
      <w:lvlJc w:val="left"/>
      <w:lvlText w:val="(%1)"/>
      <w:numFmt w:val="decimal"/>
      <w:start w:val="1"/>
    </w:lvl>
  </w:abstractNum>
  <w:abstractNum w:abstractNumId="36">
    <w:nsid w:val="75C6C33A"/>
    <w:multiLevelType w:val="hybridMultilevel"/>
    <w:lvl w:ilvl="0">
      <w:lvlJc w:val="left"/>
      <w:lvlText w:val="(%1)"/>
      <w:numFmt w:val="decimal"/>
      <w:start w:val="1"/>
    </w:lvl>
  </w:abstractNum>
  <w:abstractNum w:abstractNumId="37">
    <w:nsid w:val="12E685FB"/>
    <w:multiLevelType w:val="hybridMultilevel"/>
    <w:lvl w:ilvl="0">
      <w:lvlJc w:val="left"/>
      <w:lvlText w:val="(%1)"/>
      <w:numFmt w:val="decimal"/>
      <w:start w:val="3"/>
    </w:lvl>
  </w:abstractNum>
  <w:abstractNum w:abstractNumId="38">
    <w:nsid w:val="70C6A529"/>
    <w:multiLevelType w:val="hybridMultilevel"/>
    <w:lvl w:ilvl="0">
      <w:lvlJc w:val="left"/>
      <w:lvlText w:val="(%1)"/>
      <w:numFmt w:val="decimal"/>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
      <w:numFmt w:val="bullet"/>
      <w:start w:val="1"/>
    </w:lvl>
    <w:lvl w:ilvl="1">
      <w:lvlJc w:val="left"/>
      <w:lvlText w:val="➢"/>
      <w:numFmt w:val="bullet"/>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W.%1."/>
      <w:numFmt w:val="upperLetter"/>
      <w:start w:val="23"/>
    </w:lvl>
  </w:abstractNum>
  <w:abstractNum w:abstractNumId="46">
    <w:nsid w:val="1CF10FD8"/>
    <w:multiLevelType w:val="hybridMultilevel"/>
    <w:lvl w:ilvl="0">
      <w:lvlJc w:val="left"/>
      <w:lvlText w:val="(%1)"/>
      <w:numFmt w:val="decimal"/>
      <w:start w:val="1"/>
    </w:lvl>
  </w:abstractNum>
  <w:abstractNum w:abstractNumId="47">
    <w:nsid w:val="180115BE"/>
    <w:multiLevelType w:val="hybridMultilevel"/>
    <w:lvl w:ilvl="0">
      <w:lvlJc w:val="left"/>
      <w:lvlText w:val="(%1)"/>
      <w:numFmt w:val="decimal"/>
      <w:start w:val="2"/>
    </w:lvl>
  </w:abstractNum>
  <w:abstractNum w:abstractNumId="48">
    <w:nsid w:val="235BA861"/>
    <w:multiLevelType w:val="hybridMultilevel"/>
    <w:lvl w:ilvl="0">
      <w:lvlJc w:val="left"/>
      <w:lvlText w:val="*"/>
      <w:numFmt w:val="bullet"/>
      <w:start w:val="1"/>
    </w:lvl>
  </w:abstractNum>
  <w:abstractNum w:abstractNumId="49">
    <w:nsid w:val="47398C89"/>
    <w:multiLevelType w:val="hybridMultilevel"/>
    <w:lvl w:ilvl="0">
      <w:lvlJc w:val="left"/>
      <w:lvlText w:val="(%1)"/>
      <w:numFmt w:val="decimal"/>
      <w:start w:val="1"/>
    </w:lvl>
  </w:abstractNum>
  <w:abstractNum w:abstractNumId="50">
    <w:nsid w:val="354FE9F9"/>
    <w:multiLevelType w:val="hybridMultilevel"/>
    <w:lvl w:ilvl="0">
      <w:lvlJc w:val="left"/>
      <w:lvlText w:val="(%1)"/>
      <w:numFmt w:val="decimal"/>
      <w:start w:val="1"/>
    </w:lvl>
  </w:abstractNum>
  <w:abstractNum w:abstractNumId="51">
    <w:nsid w:val="15B5AF5C"/>
    <w:multiLevelType w:val="hybridMultilevel"/>
    <w:lvl w:ilvl="0">
      <w:lvlJc w:val="left"/>
      <w:lvlText w:val="(%1)"/>
      <w:numFmt w:val="decimal"/>
      <w:start w:val="1"/>
    </w:lvl>
  </w:abstractNum>
  <w:abstractNum w:abstractNumId="52">
    <w:nsid w:val="741226BB"/>
    <w:multiLevelType w:val="hybridMultilevel"/>
    <w:lvl w:ilvl="0">
      <w:lvlJc w:val="left"/>
      <w:lvlText w:val="•"/>
      <w:numFmt w:val="bullet"/>
      <w:start w:val="1"/>
    </w:lvl>
  </w:abstractNum>
  <w:abstractNum w:abstractNumId="53">
    <w:nsid w:val="D34B6A8"/>
    <w:multiLevelType w:val="hybridMultilevel"/>
    <w:lvl w:ilvl="0">
      <w:lvlJc w:val="left"/>
      <w:lvlText w:val="*"/>
      <w:numFmt w:val="bullet"/>
      <w:start w:val="1"/>
    </w:lvl>
  </w:abstractNum>
  <w:abstractNum w:abstractNumId="54">
    <w:nsid w:val="10233C99"/>
    <w:multiLevelType w:val="hybridMultilevel"/>
    <w:lvl w:ilvl="0">
      <w:lvlJc w:val="left"/>
      <w:lvlText w:val="(%1)"/>
      <w:numFmt w:val="decimal"/>
      <w:start w:val="1"/>
    </w:lvl>
  </w:abstractNum>
  <w:abstractNum w:abstractNumId="55">
    <w:nsid w:val="3F6AB60F"/>
    <w:multiLevelType w:val="hybridMultilevel"/>
    <w:lvl w:ilvl="0">
      <w:lvlJc w:val="left"/>
      <w:lvlText w:val="(%1)"/>
      <w:numFmt w:val="decimal"/>
      <w:start w:val="1"/>
    </w:lvl>
  </w:abstractNum>
  <w:abstractNum w:abstractNumId="56">
    <w:nsid w:val="61574095"/>
    <w:multiLevelType w:val="hybridMultilevel"/>
    <w:lvl w:ilvl="0">
      <w:lvlJc w:val="left"/>
      <w:lvlText w:val="(%1)"/>
      <w:numFmt w:val="decimal"/>
      <w:start w:val="3"/>
    </w:lvl>
  </w:abstractNum>
  <w:abstractNum w:abstractNumId="57">
    <w:nsid w:val="7E0C57B1"/>
    <w:multiLevelType w:val="hybridMultilevel"/>
    <w:lvl w:ilvl="0">
      <w:lvlJc w:val="left"/>
      <w:lvlText w:val="(%1)"/>
      <w:numFmt w:val="decimal"/>
      <w:start w:val="1"/>
    </w:lvl>
  </w:abstractNum>
  <w:abstractNum w:abstractNumId="58">
    <w:nsid w:val="77AE35EB"/>
    <w:multiLevelType w:val="hybridMultilevel"/>
    <w:lvl w:ilvl="0">
      <w:lvlJc w:val="left"/>
      <w:lvlText w:val="(%1)"/>
      <w:numFmt w:val="decimal"/>
      <w:start w:val="2"/>
    </w:lvl>
  </w:abstractNum>
  <w:abstractNum w:abstractNumId="59">
    <w:nsid w:val="579BE4F1"/>
    <w:multiLevelType w:val="hybridMultilevel"/>
    <w:lvl w:ilvl="0">
      <w:lvlJc w:val="left"/>
      <w:lvlText w:val="(%1)"/>
      <w:numFmt w:val="decimal"/>
      <w:start w:val="2"/>
    </w:lvl>
  </w:abstractNum>
  <w:abstractNum w:abstractNumId="60">
    <w:nsid w:val="310C50B3"/>
    <w:multiLevelType w:val="hybridMultilevel"/>
    <w:lvl w:ilvl="0">
      <w:lvlJc w:val="left"/>
      <w:lvlText w:val="(%1)"/>
      <w:numFmt w:val="decimal"/>
      <w:start w:val="1"/>
    </w:lvl>
  </w:abstractNum>
  <w:abstractNum w:abstractNumId="61">
    <w:nsid w:val="5FF87E05"/>
    <w:multiLevelType w:val="hybridMultilevel"/>
    <w:lvl w:ilvl="0">
      <w:lvlJc w:val="left"/>
      <w:lvlText w:val="•"/>
      <w:numFmt w:val="bullet"/>
      <w:start w:val="1"/>
    </w:lvl>
  </w:abstractNum>
  <w:abstractNum w:abstractNumId="62">
    <w:nsid w:val="2F305DEF"/>
    <w:multiLevelType w:val="hybridMultilevel"/>
    <w:lvl w:ilvl="0">
      <w:lvlJc w:val="left"/>
      <w:lvlText w:val="(%1)"/>
      <w:numFmt w:val="decimal"/>
      <w:start w:val="1"/>
    </w:lvl>
  </w:abstractNum>
  <w:abstractNum w:abstractNumId="63">
    <w:nsid w:val="25A70BF7"/>
    <w:multiLevelType w:val="hybridMultilevel"/>
    <w:lvl w:ilvl="0">
      <w:lvlJc w:val="left"/>
      <w:lvlText w:val="•"/>
      <w:numFmt w:val="bullet"/>
      <w:start w:val="1"/>
    </w:lvl>
  </w:abstractNum>
  <w:abstractNum w:abstractNumId="64">
    <w:nsid w:val="1DBABF00"/>
    <w:multiLevelType w:val="hybridMultilevel"/>
    <w:lvl w:ilvl="0">
      <w:lvlJc w:val="left"/>
      <w:lvlText w:val="|"/>
      <w:numFmt w:val="bullet"/>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2020-10-02T05:40:13Z</dcterms:created>
  <dcterms:modified xsi:type="dcterms:W3CDTF">2020-10-02T05:40:13Z</dcterms:modified>
</cp:coreProperties>
</file>