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237490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103505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3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quarterly period ended April 3, 2021</w:t>
      </w:r>
    </w:p>
    <w:p>
      <w:pPr>
        <w:spacing w:after="0" w:line="14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85725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AVNET</w:t>
      </w:r>
      <w:r>
        <w:rPr>
          <w:rFonts w:ascii="Arial" w:cs="Arial" w:eastAsia="Arial" w:hAnsi="Arial"/>
          <w:sz w:val="35"/>
          <w:szCs w:val="35"/>
          <w:b w:val="1"/>
          <w:bCs w:val="1"/>
          <w:color w:val="auto"/>
        </w:rPr>
        <w:t>,</w:t>
      </w:r>
      <w:r>
        <w:rPr>
          <w:rFonts w:ascii="Arial" w:cs="Arial" w:eastAsia="Arial" w:hAnsi="Arial"/>
          <w:sz w:val="29"/>
          <w:szCs w:val="29"/>
          <w:b w:val="1"/>
          <w:bCs w:val="1"/>
          <w:color w:val="auto"/>
        </w:rPr>
        <w:t xml:space="preserve">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60"/>
          </w:cols>
          <w:pgMar w:left="860" w:top="665"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Arial" w:cs="Arial" w:eastAsia="Arial" w:hAnsi="Arial"/>
          <w:sz w:val="18"/>
          <w:szCs w:val="18"/>
          <w:b w:val="1"/>
          <w:bCs w:val="1"/>
          <w:color w:val="auto"/>
        </w:rPr>
        <w:t>New York</w:t>
      </w:r>
    </w:p>
    <w:p>
      <w:pPr>
        <w:jc w:val="center"/>
        <w:ind w:right="4000"/>
        <w:spacing w:after="0" w:line="203" w:lineRule="auto"/>
        <w:rPr>
          <w:sz w:val="20"/>
          <w:szCs w:val="20"/>
          <w:color w:val="auto"/>
        </w:rPr>
      </w:pPr>
      <w:r>
        <w:rPr>
          <w:rFonts w:ascii="Arial" w:cs="Arial" w:eastAsia="Arial" w:hAnsi="Arial"/>
          <w:sz w:val="18"/>
          <w:szCs w:val="18"/>
          <w:color w:val="auto"/>
        </w:rPr>
        <w:t>(State or other jurisdiction</w:t>
      </w:r>
    </w:p>
    <w:p>
      <w:pPr>
        <w:jc w:val="center"/>
        <w:ind w:right="4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11-1890605</w:t>
      </w:r>
    </w:p>
    <w:p>
      <w:pPr>
        <w:jc w:val="center"/>
        <w:ind w:right="860"/>
        <w:spacing w:after="0" w:line="203" w:lineRule="auto"/>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5" w:right="879" w:bottom="1440" w:gutter="0" w:footer="0" w:header="0"/>
          <w:type w:val="continuous"/>
        </w:sectPr>
      </w:pP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85034</w:t>
      </w:r>
    </w:p>
    <w:p>
      <w:pPr>
        <w:jc w:val="center"/>
        <w:ind w:right="2060"/>
        <w:spacing w:after="0"/>
        <w:rPr>
          <w:sz w:val="20"/>
          <w:szCs w:val="20"/>
          <w:color w:val="auto"/>
        </w:rPr>
      </w:pPr>
      <w:r>
        <w:rPr>
          <w:rFonts w:ascii="Arial" w:cs="Arial" w:eastAsia="Arial" w:hAnsi="Arial"/>
          <w:sz w:val="16"/>
          <w:szCs w:val="16"/>
          <w:color w:val="auto"/>
        </w:rPr>
        <w:t>(Zip Code)</w:t>
      </w:r>
    </w:p>
    <w:p>
      <w:pPr>
        <w:spacing w:after="0" w:line="92" w:lineRule="exact"/>
        <w:rPr>
          <w:sz w:val="24"/>
          <w:szCs w:val="24"/>
          <w:color w:val="auto"/>
        </w:rPr>
      </w:pPr>
    </w:p>
    <w:p>
      <w:pPr>
        <w:sectPr>
          <w:pgSz w:w="11900" w:h="16838" w:orient="portrait"/>
          <w:cols w:equalWidth="0" w:num="2">
            <w:col w:w="6600" w:space="720"/>
            <w:col w:w="2840"/>
          </w:cols>
          <w:pgMar w:left="860" w:top="665" w:right="87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160"/>
          </w:cols>
          <w:pgMar w:left="860" w:top="665" w:right="87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Title of Each Class</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16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AVT</w:t>
            </w:r>
          </w:p>
        </w:tc>
        <w:tc>
          <w:tcPr>
            <w:tcW w:w="26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76835</wp:posOffset>
            </wp:positionV>
            <wp:extent cx="1611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2" w:lineRule="exact"/>
        <w:rPr>
          <w:sz w:val="24"/>
          <w:szCs w:val="24"/>
          <w:color w:val="auto"/>
        </w:rPr>
      </w:pPr>
    </w:p>
    <w:p>
      <w:pPr>
        <w:ind w:right="200" w:firstLine="42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right="560"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ind w:right="200" w:firstLine="42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5" w:right="879" w:bottom="1440" w:gutter="0" w:footer="0" w:header="0"/>
          <w:type w:val="continuous"/>
        </w:sectPr>
      </w:pPr>
    </w:p>
    <w:p>
      <w:pPr>
        <w:spacing w:after="0" w:line="5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2">
            <w:col w:w="6020" w:space="720"/>
            <w:col w:w="3420"/>
          </w:cols>
          <w:pgMar w:left="860" w:top="665" w:right="879" w:bottom="1440" w:gutter="0" w:footer="0" w:header="0"/>
          <w:type w:val="continuous"/>
        </w:sectPr>
      </w:pPr>
    </w:p>
    <w:p>
      <w:pPr>
        <w:ind w:right="500" w:firstLine="427"/>
        <w:spacing w:after="0" w:line="23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2"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ind w:right="120" w:firstLine="427"/>
        <w:spacing w:after="0" w:line="277" w:lineRule="auto"/>
        <w:rPr>
          <w:sz w:val="20"/>
          <w:szCs w:val="20"/>
          <w:color w:val="auto"/>
        </w:rPr>
      </w:pPr>
      <w:r>
        <w:rPr>
          <w:rFonts w:ascii="Arial" w:cs="Arial" w:eastAsia="Arial" w:hAnsi="Arial"/>
          <w:sz w:val="18"/>
          <w:szCs w:val="18"/>
          <w:color w:val="auto"/>
        </w:rPr>
        <w:t>As of April 21, 2021, the total number of shares outstanding of the registrant’s Common Stock was 99,502,049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622935</wp:posOffset>
            </wp:positionV>
            <wp:extent cx="64636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83185</wp:posOffset>
            </wp:positionV>
            <wp:extent cx="64636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ectPr>
          <w:pgSz w:w="11900" w:h="16838" w:orient="portrait"/>
          <w:cols w:equalWidth="0" w:num="1">
            <w:col w:w="10160"/>
          </w:cols>
          <w:pgMar w:left="860" w:top="665"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98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1"/>
          </w:tcPr>
          <w:p>
            <w:pPr>
              <w:jc w:val="center"/>
              <w:ind w:right="2120"/>
              <w:spacing w:after="0"/>
              <w:rPr>
                <w:sz w:val="20"/>
                <w:szCs w:val="20"/>
                <w:color w:val="auto"/>
              </w:rPr>
            </w:pPr>
            <w:r>
              <w:rPr>
                <w:rFonts w:ascii="Arial" w:cs="Arial" w:eastAsia="Arial" w:hAnsi="Arial"/>
                <w:sz w:val="18"/>
                <w:szCs w:val="18"/>
                <w:color w:val="auto"/>
                <w:w w:val="97"/>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0"/>
          </w:tcPr>
          <w:p>
            <w:pPr>
              <w:jc w:val="center"/>
              <w:ind w:right="2620"/>
              <w:spacing w:after="0"/>
              <w:rPr>
                <w:sz w:val="20"/>
                <w:szCs w:val="20"/>
                <w:color w:val="auto"/>
              </w:rPr>
            </w:pPr>
            <w:r>
              <w:rPr>
                <w:rFonts w:ascii="Arial" w:cs="Arial" w:eastAsia="Arial" w:hAnsi="Arial"/>
                <w:sz w:val="18"/>
                <w:szCs w:val="18"/>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13"/>
            <w:vMerge w:val="restart"/>
          </w:tcPr>
          <w:p>
            <w:pPr>
              <w:jc w:val="center"/>
              <w:ind w:right="256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40" w:type="dxa"/>
            <w:vAlign w:val="bottom"/>
            <w:gridSpan w:val="13"/>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April 3, 2021 and June 27, 2020</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third quarters and nine months ended April 3, 2021 and</w:t>
              </w:r>
            </w:hyperlink>
          </w:p>
        </w:tc>
        <w:tc>
          <w:tcPr>
            <w:tcW w:w="24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March 28, 2020</w:t>
              </w:r>
            </w:hyperlink>
          </w:p>
        </w:tc>
        <w:tc>
          <w:tcPr>
            <w:tcW w:w="6320" w:type="dxa"/>
            <w:vAlign w:val="bottom"/>
            <w:gridSpan w:val="1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third quarters and nine months ended April</w:t>
              </w:r>
            </w:hyperlink>
          </w:p>
        </w:tc>
        <w:tc>
          <w:tcPr>
            <w:tcW w:w="2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3, 2021 and March 28, 2020</w:t>
              </w:r>
            </w:hyperlink>
          </w:p>
        </w:tc>
        <w:tc>
          <w:tcPr>
            <w:tcW w:w="544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Shareholders’ Equity for the third quarters and nine months ended April 3,</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2021 and March 28, 2020</w:t>
              </w:r>
            </w:hyperlink>
          </w:p>
        </w:tc>
        <w:tc>
          <w:tcPr>
            <w:tcW w:w="5400" w:type="dxa"/>
            <w:vAlign w:val="bottom"/>
            <w:tcBorders>
              <w:top w:val="single" w:sz="8" w:color="0000EE"/>
            </w:tcBorders>
            <w:gridSpan w:val="13"/>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Statements of Cash Flows for the nine months ended April 3, 2021 and March 28, 2020</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40" w:type="dxa"/>
            <w:vAlign w:val="bottom"/>
            <w:tcBorders>
              <w:top w:val="single" w:sz="8" w:color="0000EE"/>
            </w:tcBorders>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32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PART II. OTHER INFORMATION</w:t>
              </w:r>
            </w:hyperlink>
          </w:p>
        </w:tc>
        <w:tc>
          <w:tcPr>
            <w:tcW w:w="27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604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634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2. Unregistered Sales of Equity Securities and Use of Proceeds</w:t>
              </w:r>
            </w:hyperlink>
          </w:p>
        </w:tc>
        <w:tc>
          <w:tcPr>
            <w:tcW w:w="302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Signature Page</w:t>
              </w:r>
            </w:hyperlink>
          </w:p>
        </w:tc>
        <w:tc>
          <w:tcPr>
            <w:tcW w:w="60" w:type="dxa"/>
            <w:vAlign w:val="bottom"/>
            <w:tcBorders>
              <w:top w:val="single" w:sz="8" w:color="0000EE"/>
            </w:tcBorders>
          </w:tcPr>
          <w:p>
            <w:pPr>
              <w:spacing w:after="0"/>
              <w:rPr>
                <w:sz w:val="24"/>
                <w:szCs w:val="24"/>
                <w:color w:val="auto"/>
              </w:rPr>
            </w:pPr>
          </w:p>
        </w:tc>
        <w:tc>
          <w:tcPr>
            <w:tcW w:w="678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PART I</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40" w:type="dxa"/>
            <w:vAlign w:val="bottom"/>
            <w:vMerge w:val="continue"/>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AVNET, INC. AND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June 27,</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70"/>
              <w:spacing w:after="0" w:line="184" w:lineRule="exact"/>
              <w:rPr>
                <w:sz w:val="20"/>
                <w:szCs w:val="20"/>
                <w:color w:val="auto"/>
              </w:rPr>
            </w:pPr>
            <w:r>
              <w:rPr>
                <w:rFonts w:ascii="Arial" w:cs="Arial" w:eastAsia="Arial" w:hAnsi="Arial"/>
                <w:sz w:val="18"/>
                <w:szCs w:val="18"/>
                <w:b w:val="1"/>
                <w:bCs w:val="1"/>
                <w:color w:val="auto"/>
                <w:w w:val="88"/>
              </w:rPr>
              <w:t>(Thousands, except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ind w:left="64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322,749</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3,365,677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2,928,386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Inventories</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2,760,156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2,731,988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156,023</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191,394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6,604,605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6,328,806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381,083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232,335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256,696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8,365,915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8,105,197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vMerge w:val="restart"/>
          </w:tcPr>
          <w:p>
            <w:pPr>
              <w:jc w:val="center"/>
              <w:ind w:right="87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Short-term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300,043</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1,754,078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526,974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2,885,942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2"/>
              </w:rPr>
              <w:t>2,280,366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1,424,791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250,108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396,065</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419,923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4,428,028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4,378,799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Common stock $1.00 par; authorized 300,000,000 shares; issued 99,489,060 shares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98,792,542 shares,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1,611,114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1,594,140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2,452,723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2,421,845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(225,439)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(388,380)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3,937,887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3,726,398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8,365,915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8,105,197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9"/>
              </w:rPr>
              <w:t>Third Quarters Ended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April 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March 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April 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8"/>
          </w:tcPr>
          <w:p>
            <w:pPr>
              <w:ind w:left="740"/>
              <w:spacing w:after="0" w:line="202" w:lineRule="exact"/>
              <w:rPr>
                <w:sz w:val="20"/>
                <w:szCs w:val="20"/>
                <w:color w:val="auto"/>
              </w:rPr>
            </w:pPr>
            <w:r>
              <w:rPr>
                <w:rFonts w:ascii="Arial" w:cs="Arial" w:eastAsia="Arial" w:hAnsi="Arial"/>
                <w:sz w:val="18"/>
                <w:szCs w:val="18"/>
                <w:b w:val="1"/>
                <w:bCs w:val="1"/>
                <w:color w:val="auto"/>
                <w:w w:val="83"/>
              </w:rPr>
              <w:t>(Thousands, except per share amounts)</w:t>
            </w: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4,916,714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4,309,818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14,307,945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13,474,632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4,348,364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3,790,885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12,712,262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11,886,247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463,092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469,646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1,376,333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long-lived asset impairment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Restructuring, integration and other expenses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financing expenses, net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(66,128)</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3" w:lineRule="exact"/>
              <w:rPr>
                <w:sz w:val="20"/>
                <w:szCs w:val="20"/>
                <w:color w:val="auto"/>
              </w:rPr>
            </w:pPr>
            <w:r>
              <w:rPr>
                <w:rFonts w:ascii="Arial" w:cs="Arial" w:eastAsia="Arial" w:hAnsi="Arial"/>
                <w:sz w:val="18"/>
                <w:szCs w:val="18"/>
                <w:color w:val="auto"/>
              </w:rPr>
              <w:t>Income (loss) before taxes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70,121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(158,086)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81,227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(113,442)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(30,200)</w:t>
            </w:r>
          </w:p>
        </w:tc>
        <w:tc>
          <w:tcPr>
            <w:tcW w:w="0" w:type="dxa"/>
            <w:vAlign w:val="bottom"/>
          </w:tcPr>
          <w:p>
            <w:pPr>
              <w:spacing w:after="0"/>
              <w:rPr>
                <w:sz w:val="1"/>
                <w:szCs w:val="1"/>
                <w:color w:val="auto"/>
              </w:rPr>
            </w:pPr>
          </w:p>
        </w:tc>
      </w:tr>
      <w:tr>
        <w:trPr>
          <w:trHeight w:val="243"/>
        </w:trPr>
        <w:tc>
          <w:tcPr>
            <w:tcW w:w="3880" w:type="dxa"/>
            <w:vAlign w:val="bottom"/>
            <w:gridSpan w:val="2"/>
          </w:tcPr>
          <w:p>
            <w:pPr>
              <w:spacing w:after="0" w:line="203" w:lineRule="exact"/>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107,484</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(128,661)</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107,759</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(83,242)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Shares used to compute earnings per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99,542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99,125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100,247</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99,479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100,013</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dividends paid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7"/>
              </w:rPr>
              <w:t>Third Quarters Ended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April 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4"/>
              </w:rPr>
              <w:t>April 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March 28,</w:t>
            </w:r>
          </w:p>
        </w:tc>
      </w:tr>
      <w:tr>
        <w:trPr>
          <w:trHeight w:val="241"/>
        </w:trPr>
        <w:tc>
          <w:tcPr>
            <w:tcW w:w="3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03"/>
        </w:trPr>
        <w:tc>
          <w:tcPr>
            <w:tcW w:w="3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4"/>
          </w:tcPr>
          <w:p>
            <w:pPr>
              <w:jc w:val="right"/>
              <w:ind w:right="390"/>
              <w:spacing w:after="0" w:line="202" w:lineRule="exact"/>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107,759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145,352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(105,311)</w:t>
            </w:r>
          </w:p>
        </w:tc>
      </w:tr>
      <w:tr>
        <w:trPr>
          <w:trHeight w:val="223"/>
        </w:trPr>
        <w:tc>
          <w:tcPr>
            <w:tcW w:w="3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Pension adjustments, net</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17,589</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r>
      <w:tr>
        <w:trPr>
          <w:trHeight w:val="216"/>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(221,845)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270,700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(178,405)</w:t>
            </w:r>
          </w:p>
        </w:tc>
      </w:tr>
      <w:tr>
        <w:trPr>
          <w:trHeight w:val="20"/>
        </w:trPr>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left="1500" w:right="1760"/>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SHAREHOLDERS’ EQUITY (Unaudited)</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5"/>
        </w:trPr>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180"/>
              <w:spacing w:after="0" w:line="175" w:lineRule="exact"/>
              <w:rPr>
                <w:sz w:val="20"/>
                <w:szCs w:val="20"/>
                <w:color w:val="auto"/>
              </w:rPr>
            </w:pPr>
            <w:r>
              <w:rPr>
                <w:rFonts w:ascii="Arial" w:cs="Arial" w:eastAsia="Arial" w:hAnsi="Arial"/>
                <w:sz w:val="16"/>
                <w:szCs w:val="16"/>
                <w:b w:val="1"/>
                <w:bCs w:val="1"/>
                <w:color w:val="auto"/>
                <w:w w:val="92"/>
              </w:rPr>
              <w:t>Common</w:t>
            </w:r>
          </w:p>
        </w:tc>
        <w:tc>
          <w:tcPr>
            <w:tcW w:w="20" w:type="dxa"/>
            <w:vAlign w:val="bottom"/>
          </w:tcPr>
          <w:p>
            <w:pPr>
              <w:spacing w:after="0"/>
              <w:rPr>
                <w:sz w:val="15"/>
                <w:szCs w:val="15"/>
                <w:color w:val="auto"/>
              </w:rPr>
            </w:pPr>
          </w:p>
        </w:tc>
        <w:tc>
          <w:tcPr>
            <w:tcW w:w="840" w:type="dxa"/>
            <w:vAlign w:val="bottom"/>
            <w:gridSpan w:val="2"/>
          </w:tcPr>
          <w:p>
            <w:pPr>
              <w:jc w:val="right"/>
              <w:ind w:right="80"/>
              <w:spacing w:after="0" w:line="175" w:lineRule="exact"/>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center"/>
              <w:ind w:right="460"/>
              <w:spacing w:after="0" w:line="175" w:lineRule="exact"/>
              <w:rPr>
                <w:sz w:val="20"/>
                <w:szCs w:val="20"/>
                <w:color w:val="auto"/>
              </w:rPr>
            </w:pPr>
            <w:r>
              <w:rPr>
                <w:rFonts w:ascii="Arial" w:cs="Arial" w:eastAsia="Arial" w:hAnsi="Arial"/>
                <w:sz w:val="16"/>
                <w:szCs w:val="16"/>
                <w:b w:val="1"/>
                <w:bCs w:val="1"/>
                <w:color w:val="auto"/>
                <w:w w:val="93"/>
              </w:rPr>
              <w:t>Other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ind w:right="159"/>
              <w:spacing w:after="0" w:line="175" w:lineRule="exact"/>
              <w:rPr>
                <w:sz w:val="20"/>
                <w:szCs w:val="20"/>
                <w:color w:val="auto"/>
              </w:rPr>
            </w:pPr>
            <w:r>
              <w:rPr>
                <w:rFonts w:ascii="Arial" w:cs="Arial" w:eastAsia="Arial" w:hAnsi="Arial"/>
                <w:sz w:val="16"/>
                <w:szCs w:val="16"/>
                <w:b w:val="1"/>
                <w:bCs w:val="1"/>
                <w:color w:val="auto"/>
                <w:w w:val="94"/>
              </w:rPr>
              <w:t>Total</w:t>
            </w:r>
          </w:p>
        </w:tc>
      </w:tr>
      <w:tr>
        <w:trPr>
          <w:trHeight w:val="176"/>
        </w:trPr>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60"/>
              <w:spacing w:after="0" w:line="175" w:lineRule="exact"/>
              <w:rPr>
                <w:sz w:val="20"/>
                <w:szCs w:val="20"/>
                <w:color w:val="auto"/>
              </w:rPr>
            </w:pPr>
            <w:r>
              <w:rPr>
                <w:rFonts w:ascii="Arial" w:cs="Arial" w:eastAsia="Arial" w:hAnsi="Arial"/>
                <w:sz w:val="16"/>
                <w:szCs w:val="16"/>
                <w:b w:val="1"/>
                <w:bCs w:val="1"/>
                <w:color w:val="auto"/>
                <w:w w:val="89"/>
              </w:rPr>
              <w:t>Stock-</w:t>
            </w:r>
          </w:p>
        </w:tc>
        <w:tc>
          <w:tcPr>
            <w:tcW w:w="20" w:type="dxa"/>
            <w:vAlign w:val="bottom"/>
          </w:tcPr>
          <w:p>
            <w:pPr>
              <w:spacing w:after="0"/>
              <w:rPr>
                <w:sz w:val="15"/>
                <w:szCs w:val="15"/>
                <w:color w:val="auto"/>
              </w:rPr>
            </w:pPr>
          </w:p>
        </w:tc>
        <w:tc>
          <w:tcPr>
            <w:tcW w:w="840" w:type="dxa"/>
            <w:vAlign w:val="bottom"/>
            <w:gridSpan w:val="2"/>
          </w:tcPr>
          <w:p>
            <w:pPr>
              <w:jc w:val="right"/>
              <w:ind w:right="180"/>
              <w:spacing w:after="0" w:line="175" w:lineRule="exact"/>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80"/>
              <w:spacing w:after="0" w:line="175" w:lineRule="exact"/>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5"/>
                <w:szCs w:val="15"/>
                <w:color w:val="auto"/>
              </w:rPr>
            </w:pPr>
          </w:p>
        </w:tc>
        <w:tc>
          <w:tcPr>
            <w:tcW w:w="1260" w:type="dxa"/>
            <w:vAlign w:val="bottom"/>
            <w:gridSpan w:val="4"/>
          </w:tcPr>
          <w:p>
            <w:pPr>
              <w:jc w:val="center"/>
              <w:ind w:right="180"/>
              <w:spacing w:after="0" w:line="175" w:lineRule="exact"/>
              <w:rPr>
                <w:sz w:val="20"/>
                <w:szCs w:val="20"/>
                <w:color w:val="auto"/>
              </w:rPr>
            </w:pPr>
            <w:r>
              <w:rPr>
                <w:rFonts w:ascii="Arial" w:cs="Arial" w:eastAsia="Arial" w:hAnsi="Arial"/>
                <w:sz w:val="16"/>
                <w:szCs w:val="16"/>
                <w:b w:val="1"/>
                <w:bCs w:val="1"/>
                <w:color w:val="auto"/>
                <w:w w:val="89"/>
              </w:rPr>
              <w:t>Comprehensive</w:t>
            </w:r>
          </w:p>
        </w:tc>
        <w:tc>
          <w:tcPr>
            <w:tcW w:w="20" w:type="dxa"/>
            <w:vAlign w:val="bottom"/>
          </w:tcPr>
          <w:p>
            <w:pPr>
              <w:spacing w:after="0"/>
              <w:rPr>
                <w:sz w:val="15"/>
                <w:szCs w:val="15"/>
                <w:color w:val="auto"/>
              </w:rPr>
            </w:pPr>
          </w:p>
        </w:tc>
        <w:tc>
          <w:tcPr>
            <w:tcW w:w="9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89"/>
              </w:rPr>
              <w:t>Shareholders’</w:t>
            </w:r>
          </w:p>
        </w:tc>
      </w:tr>
      <w:tr>
        <w:trPr>
          <w:trHeight w:val="210"/>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Earnings</w:t>
            </w:r>
          </w:p>
        </w:tc>
        <w:tc>
          <w:tcPr>
            <w:tcW w:w="20" w:type="dxa"/>
            <w:vAlign w:val="bottom"/>
          </w:tcPr>
          <w:p>
            <w:pPr>
              <w:spacing w:after="0"/>
              <w:rPr>
                <w:sz w:val="18"/>
                <w:szCs w:val="18"/>
                <w:color w:val="auto"/>
              </w:rPr>
            </w:pPr>
          </w:p>
        </w:tc>
        <w:tc>
          <w:tcPr>
            <w:tcW w:w="12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88"/>
              </w:rPr>
              <w:t>(Loss)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Equity</w:t>
            </w:r>
          </w:p>
        </w:tc>
      </w:tr>
      <w:tr>
        <w:trPr>
          <w:trHeight w:val="162"/>
        </w:trPr>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gridSpan w:val="2"/>
          </w:tcPr>
          <w:p>
            <w:pPr>
              <w:jc w:val="right"/>
              <w:ind w:right="19"/>
              <w:spacing w:after="0" w:line="162" w:lineRule="exact"/>
              <w:rPr>
                <w:sz w:val="20"/>
                <w:szCs w:val="20"/>
                <w:color w:val="auto"/>
              </w:rPr>
            </w:pPr>
            <w:r>
              <w:rPr>
                <w:rFonts w:ascii="Arial" w:cs="Arial" w:eastAsia="Arial" w:hAnsi="Arial"/>
                <w:sz w:val="16"/>
                <w:szCs w:val="16"/>
                <w:b w:val="1"/>
                <w:bCs w:val="1"/>
                <w:color w:val="auto"/>
                <w:w w:val="74"/>
              </w:rPr>
              <w:t>(Thousands)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7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Balance, June 27, 2020</w:t>
            </w:r>
          </w:p>
        </w:tc>
        <w:tc>
          <w:tcPr>
            <w:tcW w:w="6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98,793</w:t>
            </w:r>
          </w:p>
        </w:tc>
        <w:tc>
          <w:tcPr>
            <w:tcW w:w="84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auto"/>
              </w:rPr>
              <w:t>$ 98,793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$ 1,594,140</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auto"/>
              </w:rPr>
              <w:t>$ 2,421,845</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(388,380)</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98"/>
              </w:rPr>
              <w:t>3,726,398</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20"/>
              <w:spacing w:after="0" w:line="175" w:lineRule="exact"/>
              <w:rPr>
                <w:sz w:val="20"/>
                <w:szCs w:val="20"/>
                <w:color w:val="auto"/>
              </w:rPr>
            </w:pPr>
            <w:r>
              <w:rPr>
                <w:rFonts w:ascii="Arial" w:cs="Arial" w:eastAsia="Arial" w:hAnsi="Arial"/>
                <w:sz w:val="16"/>
                <w:szCs w:val="16"/>
                <w:color w:val="auto"/>
              </w:rPr>
              <w:t>(18,889)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(18,889)</w:t>
            </w:r>
          </w:p>
        </w:tc>
      </w:tr>
      <w:tr>
        <w:trPr>
          <w:trHeight w:val="17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Translation adjustments and other</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90,373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90,373</w:t>
            </w:r>
          </w:p>
        </w:tc>
      </w:tr>
      <w:tr>
        <w:trPr>
          <w:trHeight w:val="176"/>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Pension liability adjustments, net</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9,623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9,623</w:t>
            </w:r>
          </w:p>
        </w:tc>
      </w:tr>
      <w:tr>
        <w:trPr>
          <w:trHeight w:val="17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Cash dividends</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4"/>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(20,756)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(20,756)</w:t>
            </w:r>
          </w:p>
        </w:tc>
      </w:tr>
      <w:tr>
        <w:trPr>
          <w:trHeight w:val="176"/>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Effects of new accounting principles, net</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20"/>
              <w:spacing w:after="0" w:line="175" w:lineRule="exact"/>
              <w:rPr>
                <w:sz w:val="20"/>
                <w:szCs w:val="20"/>
                <w:color w:val="auto"/>
              </w:rPr>
            </w:pPr>
            <w:r>
              <w:rPr>
                <w:rFonts w:ascii="Arial" w:cs="Arial" w:eastAsia="Arial" w:hAnsi="Arial"/>
                <w:sz w:val="16"/>
                <w:szCs w:val="16"/>
                <w:color w:val="auto"/>
              </w:rPr>
              <w:t>(14,480)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(14,480)</w:t>
            </w:r>
          </w:p>
        </w:tc>
      </w:tr>
      <w:tr>
        <w:trPr>
          <w:trHeight w:val="19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Stock-based compensation</w:t>
            </w:r>
          </w:p>
        </w:tc>
        <w:tc>
          <w:tcPr>
            <w:tcW w:w="6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51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5,191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5,242</w:t>
            </w:r>
          </w:p>
        </w:tc>
      </w:tr>
      <w:tr>
        <w:trPr>
          <w:trHeight w:val="163"/>
        </w:trPr>
        <w:tc>
          <w:tcPr>
            <w:tcW w:w="296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6"/>
                <w:szCs w:val="16"/>
                <w:b w:val="1"/>
                <w:bCs w:val="1"/>
                <w:color w:val="auto"/>
              </w:rPr>
              <w:t>Balance, October 3, 2020</w:t>
            </w:r>
          </w:p>
        </w:tc>
        <w:tc>
          <w:tcPr>
            <w:tcW w:w="2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98,844</w:t>
            </w: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93"/>
              </w:rPr>
              <w:t>$ 98,844</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89"/>
              </w:rPr>
              <w:t>$ 1,599,331</w:t>
            </w: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89"/>
              </w:rPr>
              <w:t>$ 2,367,720</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(288,384)</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w w:val="98"/>
              </w:rPr>
              <w:t>3,777,511</w:t>
            </w:r>
          </w:p>
        </w:tc>
      </w:tr>
      <w:tr>
        <w:trPr>
          <w:trHeight w:val="17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Net income</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auto"/>
              </w:rPr>
              <w:t>19,163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19,163</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Translation adjustments and other</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120,000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120,000</w:t>
            </w:r>
          </w:p>
        </w:tc>
      </w:tr>
      <w:tr>
        <w:trPr>
          <w:trHeight w:val="17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Pension liability adjustments, net</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3,983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3,983</w:t>
            </w:r>
          </w:p>
        </w:tc>
      </w:tr>
      <w:tr>
        <w:trPr>
          <w:trHeight w:val="176"/>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Cash dividends</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20"/>
              <w:spacing w:after="0" w:line="175" w:lineRule="exact"/>
              <w:rPr>
                <w:sz w:val="20"/>
                <w:szCs w:val="20"/>
                <w:color w:val="auto"/>
              </w:rPr>
            </w:pPr>
            <w:r>
              <w:rPr>
                <w:rFonts w:ascii="Arial" w:cs="Arial" w:eastAsia="Arial" w:hAnsi="Arial"/>
                <w:sz w:val="16"/>
                <w:szCs w:val="16"/>
                <w:color w:val="auto"/>
              </w:rPr>
              <w:t>(20,756)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(20,756)</w:t>
            </w:r>
          </w:p>
        </w:tc>
      </w:tr>
      <w:tr>
        <w:trPr>
          <w:trHeight w:val="19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Stock-based compensation</w:t>
            </w:r>
          </w:p>
        </w:tc>
        <w:tc>
          <w:tcPr>
            <w:tcW w:w="6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10,814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10,832</w:t>
            </w:r>
          </w:p>
        </w:tc>
      </w:tr>
      <w:tr>
        <w:trPr>
          <w:trHeight w:val="163"/>
        </w:trPr>
        <w:tc>
          <w:tcPr>
            <w:tcW w:w="296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6"/>
                <w:szCs w:val="16"/>
                <w:b w:val="1"/>
                <w:bCs w:val="1"/>
                <w:color w:val="auto"/>
              </w:rPr>
              <w:t>Balance, January 2, 2021</w:t>
            </w:r>
          </w:p>
        </w:tc>
        <w:tc>
          <w:tcPr>
            <w:tcW w:w="2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98,862</w:t>
            </w: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93"/>
              </w:rPr>
              <w:t>$ 98,862</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89"/>
              </w:rPr>
              <w:t>$ 1,610,145</w:t>
            </w: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4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89"/>
              </w:rPr>
              <w:t>$ 2,366,127</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(164,401)</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w w:val="98"/>
              </w:rPr>
              <w:t>3,910,733</w:t>
            </w:r>
          </w:p>
        </w:tc>
      </w:tr>
      <w:tr>
        <w:trPr>
          <w:trHeight w:val="17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Net income</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auto"/>
              </w:rPr>
              <w:t>107,484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107,484</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Translation adjustments and other</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(65,021)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(65,021)</w:t>
            </w:r>
          </w:p>
        </w:tc>
      </w:tr>
      <w:tr>
        <w:trPr>
          <w:trHeight w:val="17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Pension liability adjustments, net</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3,983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3,983</w:t>
            </w:r>
          </w:p>
        </w:tc>
      </w:tr>
      <w:tr>
        <w:trPr>
          <w:trHeight w:val="176"/>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Cash dividends</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20"/>
              <w:spacing w:after="0" w:line="175" w:lineRule="exact"/>
              <w:rPr>
                <w:sz w:val="20"/>
                <w:szCs w:val="20"/>
                <w:color w:val="auto"/>
              </w:rPr>
            </w:pPr>
            <w:r>
              <w:rPr>
                <w:rFonts w:ascii="Arial" w:cs="Arial" w:eastAsia="Arial" w:hAnsi="Arial"/>
                <w:sz w:val="16"/>
                <w:szCs w:val="16"/>
                <w:color w:val="auto"/>
              </w:rPr>
              <w:t>(20,888)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(20,888)</w:t>
            </w:r>
          </w:p>
        </w:tc>
      </w:tr>
      <w:tr>
        <w:trPr>
          <w:trHeight w:val="19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Stock-based compensation</w:t>
            </w:r>
          </w:p>
        </w:tc>
        <w:tc>
          <w:tcPr>
            <w:tcW w:w="6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627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969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1,596</w:t>
            </w:r>
          </w:p>
        </w:tc>
      </w:tr>
      <w:tr>
        <w:trPr>
          <w:trHeight w:val="163"/>
        </w:trPr>
        <w:tc>
          <w:tcPr>
            <w:tcW w:w="296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6"/>
                <w:szCs w:val="16"/>
                <w:b w:val="1"/>
                <w:bCs w:val="1"/>
                <w:color w:val="auto"/>
              </w:rPr>
              <w:t>Balance, April 3, 2021</w:t>
            </w:r>
          </w:p>
        </w:tc>
        <w:tc>
          <w:tcPr>
            <w:tcW w:w="20" w:type="dxa"/>
            <w:vAlign w:val="bottom"/>
            <w:tcBorders>
              <w:top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99,489</w:t>
            </w: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93"/>
              </w:rPr>
              <w:t>$ 99,489</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89"/>
              </w:rPr>
              <w:t>$ 1,611,114</w:t>
            </w: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w w:val="89"/>
              </w:rPr>
              <w:t>$ 2,452,723</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00" w:type="dxa"/>
            <w:vAlign w:val="bottom"/>
            <w:tcBorders>
              <w:top w:val="single" w:sz="8" w:color="auto"/>
              <w:bottom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(225,439)</w:t>
            </w: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w w:val="98"/>
              </w:rPr>
              <w:t>3,937,887</w:t>
            </w:r>
          </w:p>
        </w:tc>
      </w:tr>
      <w:tr>
        <w:trPr>
          <w:trHeight w:val="20"/>
        </w:trPr>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8"/>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6"/>
        </w:trPr>
        <w:tc>
          <w:tcPr>
            <w:tcW w:w="2960" w:type="dxa"/>
            <w:vAlign w:val="bottom"/>
          </w:tcPr>
          <w:p>
            <w:pPr>
              <w:spacing w:after="0"/>
              <w:rPr>
                <w:sz w:val="15"/>
                <w:szCs w:val="15"/>
                <w:color w:val="auto"/>
              </w:rPr>
            </w:pPr>
          </w:p>
        </w:tc>
        <w:tc>
          <w:tcPr>
            <w:tcW w:w="6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180"/>
              <w:spacing w:after="0" w:line="175" w:lineRule="exact"/>
              <w:rPr>
                <w:sz w:val="20"/>
                <w:szCs w:val="20"/>
                <w:color w:val="auto"/>
              </w:rPr>
            </w:pPr>
            <w:r>
              <w:rPr>
                <w:rFonts w:ascii="Arial" w:cs="Arial" w:eastAsia="Arial" w:hAnsi="Arial"/>
                <w:sz w:val="16"/>
                <w:szCs w:val="16"/>
                <w:b w:val="1"/>
                <w:bCs w:val="1"/>
                <w:color w:val="auto"/>
                <w:w w:val="92"/>
              </w:rPr>
              <w:t>Common</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b w:val="1"/>
                <w:bCs w:val="1"/>
                <w:color w:val="auto"/>
                <w:w w:val="97"/>
              </w:rPr>
              <w:t>Additional</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center"/>
              <w:ind w:right="440"/>
              <w:spacing w:after="0" w:line="175" w:lineRule="exact"/>
              <w:rPr>
                <w:sz w:val="20"/>
                <w:szCs w:val="20"/>
                <w:color w:val="auto"/>
              </w:rPr>
            </w:pPr>
            <w:r>
              <w:rPr>
                <w:rFonts w:ascii="Arial" w:cs="Arial" w:eastAsia="Arial" w:hAnsi="Arial"/>
                <w:sz w:val="16"/>
                <w:szCs w:val="16"/>
                <w:b w:val="1"/>
                <w:bCs w:val="1"/>
                <w:color w:val="auto"/>
                <w:w w:val="98"/>
              </w:rPr>
              <w:t>Other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ind w:right="139"/>
              <w:spacing w:after="0" w:line="175" w:lineRule="exact"/>
              <w:rPr>
                <w:sz w:val="20"/>
                <w:szCs w:val="20"/>
                <w:color w:val="auto"/>
              </w:rPr>
            </w:pPr>
            <w:r>
              <w:rPr>
                <w:rFonts w:ascii="Arial" w:cs="Arial" w:eastAsia="Arial" w:hAnsi="Arial"/>
                <w:sz w:val="16"/>
                <w:szCs w:val="16"/>
                <w:b w:val="1"/>
                <w:bCs w:val="1"/>
                <w:color w:val="auto"/>
                <w:w w:val="88"/>
              </w:rPr>
              <w:t>Total</w:t>
            </w:r>
          </w:p>
        </w:tc>
      </w:tr>
      <w:tr>
        <w:trPr>
          <w:trHeight w:val="175"/>
        </w:trPr>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60"/>
              <w:spacing w:after="0" w:line="175" w:lineRule="exact"/>
              <w:rPr>
                <w:sz w:val="20"/>
                <w:szCs w:val="20"/>
                <w:color w:val="auto"/>
              </w:rPr>
            </w:pPr>
            <w:r>
              <w:rPr>
                <w:rFonts w:ascii="Arial" w:cs="Arial" w:eastAsia="Arial" w:hAnsi="Arial"/>
                <w:sz w:val="16"/>
                <w:szCs w:val="16"/>
                <w:b w:val="1"/>
                <w:bCs w:val="1"/>
                <w:color w:val="auto"/>
                <w:w w:val="89"/>
              </w:rPr>
              <w:t>Stock-</w:t>
            </w:r>
          </w:p>
        </w:tc>
        <w:tc>
          <w:tcPr>
            <w:tcW w:w="20" w:type="dxa"/>
            <w:vAlign w:val="bottom"/>
          </w:tcPr>
          <w:p>
            <w:pPr>
              <w:spacing w:after="0"/>
              <w:rPr>
                <w:sz w:val="15"/>
                <w:szCs w:val="15"/>
                <w:color w:val="auto"/>
              </w:rPr>
            </w:pPr>
          </w:p>
        </w:tc>
        <w:tc>
          <w:tcPr>
            <w:tcW w:w="840" w:type="dxa"/>
            <w:vAlign w:val="bottom"/>
            <w:gridSpan w:val="2"/>
          </w:tcPr>
          <w:p>
            <w:pPr>
              <w:jc w:val="right"/>
              <w:ind w:right="160"/>
              <w:spacing w:after="0" w:line="175" w:lineRule="exact"/>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60"/>
              <w:spacing w:after="0" w:line="175" w:lineRule="exact"/>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5"/>
                <w:szCs w:val="15"/>
                <w:color w:val="auto"/>
              </w:rPr>
            </w:pPr>
          </w:p>
        </w:tc>
        <w:tc>
          <w:tcPr>
            <w:tcW w:w="1260" w:type="dxa"/>
            <w:vAlign w:val="bottom"/>
            <w:gridSpan w:val="4"/>
          </w:tcPr>
          <w:p>
            <w:pPr>
              <w:jc w:val="center"/>
              <w:ind w:right="140"/>
              <w:spacing w:after="0" w:line="175" w:lineRule="exact"/>
              <w:rPr>
                <w:sz w:val="20"/>
                <w:szCs w:val="20"/>
                <w:color w:val="auto"/>
              </w:rPr>
            </w:pPr>
            <w:r>
              <w:rPr>
                <w:rFonts w:ascii="Arial" w:cs="Arial" w:eastAsia="Arial" w:hAnsi="Arial"/>
                <w:sz w:val="16"/>
                <w:szCs w:val="16"/>
                <w:b w:val="1"/>
                <w:bCs w:val="1"/>
                <w:color w:val="auto"/>
                <w:w w:val="89"/>
              </w:rPr>
              <w:t>Comprehensive</w:t>
            </w:r>
          </w:p>
        </w:tc>
        <w:tc>
          <w:tcPr>
            <w:tcW w:w="20" w:type="dxa"/>
            <w:vAlign w:val="bottom"/>
          </w:tcPr>
          <w:p>
            <w:pPr>
              <w:spacing w:after="0"/>
              <w:rPr>
                <w:sz w:val="15"/>
                <w:szCs w:val="15"/>
                <w:color w:val="auto"/>
              </w:rPr>
            </w:pPr>
          </w:p>
        </w:tc>
        <w:tc>
          <w:tcPr>
            <w:tcW w:w="9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91"/>
              </w:rPr>
              <w:t>Shareholders’</w:t>
            </w:r>
          </w:p>
        </w:tc>
      </w:tr>
      <w:tr>
        <w:trPr>
          <w:trHeight w:val="210"/>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5"/>
              </w:rPr>
              <w:t>Amount</w:t>
            </w:r>
          </w:p>
        </w:tc>
        <w:tc>
          <w:tcPr>
            <w:tcW w:w="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Earnings</w:t>
            </w:r>
          </w:p>
        </w:tc>
        <w:tc>
          <w:tcPr>
            <w:tcW w:w="20" w:type="dxa"/>
            <w:vAlign w:val="bottom"/>
          </w:tcPr>
          <w:p>
            <w:pPr>
              <w:spacing w:after="0"/>
              <w:rPr>
                <w:sz w:val="18"/>
                <w:szCs w:val="18"/>
                <w:color w:val="auto"/>
              </w:rPr>
            </w:pPr>
          </w:p>
        </w:tc>
        <w:tc>
          <w:tcPr>
            <w:tcW w:w="12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0"/>
              </w:rPr>
              <w:t>(Loss)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Equity</w:t>
            </w:r>
          </w:p>
        </w:tc>
      </w:tr>
      <w:tr>
        <w:trPr>
          <w:trHeight w:val="162"/>
        </w:trPr>
        <w:tc>
          <w:tcPr>
            <w:tcW w:w="29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gridSpan w:val="2"/>
          </w:tcPr>
          <w:p>
            <w:pPr>
              <w:spacing w:after="0"/>
              <w:rPr>
                <w:sz w:val="14"/>
                <w:szCs w:val="14"/>
                <w:color w:val="auto"/>
              </w:rPr>
            </w:pPr>
          </w:p>
        </w:tc>
        <w:tc>
          <w:tcPr>
            <w:tcW w:w="840" w:type="dxa"/>
            <w:vAlign w:val="bottom"/>
            <w:tcBorders>
              <w:top w:val="single" w:sz="8" w:color="auto"/>
            </w:tcBorders>
            <w:gridSpan w:val="2"/>
          </w:tcPr>
          <w:p>
            <w:pPr>
              <w:jc w:val="right"/>
              <w:ind w:right="120"/>
              <w:spacing w:after="0" w:line="162" w:lineRule="exact"/>
              <w:rPr>
                <w:sz w:val="20"/>
                <w:szCs w:val="20"/>
                <w:color w:val="auto"/>
              </w:rPr>
            </w:pPr>
            <w:r>
              <w:rPr>
                <w:rFonts w:ascii="Arial" w:cs="Arial" w:eastAsia="Arial" w:hAnsi="Arial"/>
                <w:sz w:val="16"/>
                <w:szCs w:val="16"/>
                <w:b w:val="1"/>
                <w:bCs w:val="1"/>
                <w:color w:val="auto"/>
                <w:w w:val="72"/>
              </w:rPr>
              <w:t>(Thousands)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7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Balance, June 29, 2019</w:t>
            </w:r>
          </w:p>
        </w:tc>
        <w:tc>
          <w:tcPr>
            <w:tcW w:w="6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104,038</w:t>
            </w:r>
          </w:p>
        </w:tc>
        <w:tc>
          <w:tcPr>
            <w:tcW w:w="840" w:type="dxa"/>
            <w:vAlign w:val="bottom"/>
            <w:gridSpan w:val="4"/>
            <w:shd w:val="clear" w:color="auto" w:fill="CCEEFF"/>
          </w:tcPr>
          <w:p>
            <w:pPr>
              <w:jc w:val="right"/>
              <w:spacing w:after="0" w:line="175" w:lineRule="exact"/>
              <w:rPr>
                <w:sz w:val="20"/>
                <w:szCs w:val="20"/>
                <w:color w:val="auto"/>
              </w:rPr>
            </w:pPr>
            <w:r>
              <w:rPr>
                <w:rFonts w:ascii="Arial" w:cs="Arial" w:eastAsia="Arial" w:hAnsi="Arial"/>
                <w:sz w:val="16"/>
                <w:szCs w:val="16"/>
                <w:color w:val="auto"/>
              </w:rPr>
              <w:t>$ 104,038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w w:val="92"/>
              </w:rPr>
              <w:t>$ 1,573,005</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auto"/>
              </w:rPr>
              <w:t>$ 2,767,469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(304,039)</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98"/>
              </w:rPr>
              <w:t>4,140,473</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41,752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41,752</w:t>
            </w:r>
          </w:p>
        </w:tc>
      </w:tr>
      <w:tr>
        <w:trPr>
          <w:trHeight w:val="17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Translation adjustments and other</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(102,146)</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(102,146)</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Pension liability adjustments, net</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3,813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3,813</w:t>
            </w:r>
          </w:p>
        </w:tc>
      </w:tr>
      <w:tr>
        <w:trPr>
          <w:trHeight w:val="17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Cash dividends</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40" w:type="dxa"/>
            <w:vAlign w:val="bottom"/>
            <w:gridSpan w:val="5"/>
            <w:shd w:val="clear" w:color="auto" w:fill="CCEEFF"/>
          </w:tcPr>
          <w:p>
            <w:pPr>
              <w:jc w:val="right"/>
              <w:ind w:right="140"/>
              <w:spacing w:after="0" w:line="175" w:lineRule="exact"/>
              <w:rPr>
                <w:sz w:val="20"/>
                <w:szCs w:val="20"/>
                <w:color w:val="auto"/>
              </w:rPr>
            </w:pPr>
            <w:r>
              <w:rPr>
                <w:rFonts w:ascii="Arial" w:cs="Arial" w:eastAsia="Arial" w:hAnsi="Arial"/>
                <w:sz w:val="16"/>
                <w:szCs w:val="16"/>
                <w:color w:val="auto"/>
              </w:rPr>
              <w:t>(21,451)</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(21,451)</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Repurchases of common stock</w:t>
            </w:r>
          </w:p>
        </w:tc>
        <w:tc>
          <w:tcPr>
            <w:tcW w:w="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(2,631)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(2,631)</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40" w:type="dxa"/>
            <w:vAlign w:val="bottom"/>
            <w:gridSpan w:val="5"/>
          </w:tcPr>
          <w:p>
            <w:pPr>
              <w:jc w:val="right"/>
              <w:ind w:right="140"/>
              <w:spacing w:after="0" w:line="175" w:lineRule="exact"/>
              <w:rPr>
                <w:sz w:val="20"/>
                <w:szCs w:val="20"/>
                <w:color w:val="auto"/>
              </w:rPr>
            </w:pPr>
            <w:r>
              <w:rPr>
                <w:rFonts w:ascii="Arial" w:cs="Arial" w:eastAsia="Arial" w:hAnsi="Arial"/>
                <w:sz w:val="16"/>
                <w:szCs w:val="16"/>
                <w:color w:val="auto"/>
              </w:rPr>
              <w:t>(109,504)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(112,135)</w:t>
            </w:r>
          </w:p>
        </w:tc>
      </w:tr>
      <w:tr>
        <w:trPr>
          <w:trHeight w:val="19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Stock-based compensation</w:t>
            </w:r>
          </w:p>
        </w:tc>
        <w:tc>
          <w:tcPr>
            <w:tcW w:w="6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7,701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7,765</w:t>
            </w:r>
          </w:p>
        </w:tc>
      </w:tr>
      <w:tr>
        <w:trPr>
          <w:trHeight w:val="162"/>
        </w:trPr>
        <w:tc>
          <w:tcPr>
            <w:tcW w:w="296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6"/>
                <w:szCs w:val="16"/>
                <w:b w:val="1"/>
                <w:bCs w:val="1"/>
                <w:color w:val="auto"/>
              </w:rPr>
              <w:t>Balance, September 28, 2019</w:t>
            </w:r>
          </w:p>
        </w:tc>
        <w:tc>
          <w:tcPr>
            <w:tcW w:w="66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101,471</w:t>
            </w:r>
          </w:p>
        </w:tc>
        <w:tc>
          <w:tcPr>
            <w:tcW w:w="16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gridSpan w:val="3"/>
          </w:tcPr>
          <w:p>
            <w:pPr>
              <w:jc w:val="right"/>
              <w:spacing w:after="0" w:line="162" w:lineRule="exact"/>
              <w:rPr>
                <w:sz w:val="20"/>
                <w:szCs w:val="20"/>
                <w:color w:val="auto"/>
              </w:rPr>
            </w:pPr>
            <w:r>
              <w:rPr>
                <w:rFonts w:ascii="Arial" w:cs="Arial" w:eastAsia="Arial" w:hAnsi="Arial"/>
                <w:sz w:val="16"/>
                <w:szCs w:val="16"/>
                <w:color w:val="auto"/>
                <w:w w:val="87"/>
              </w:rPr>
              <w:t>$ 101,471</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w w:val="89"/>
              </w:rPr>
              <w:t>$ 1,580,706</w:t>
            </w: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gridSpan w:val="2"/>
          </w:tcPr>
          <w:p>
            <w:pPr>
              <w:spacing w:after="0"/>
              <w:rPr>
                <w:sz w:val="14"/>
                <w:szCs w:val="14"/>
                <w:color w:val="auto"/>
              </w:rPr>
            </w:pPr>
          </w:p>
        </w:tc>
        <w:tc>
          <w:tcPr>
            <w:tcW w:w="8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w w:val="89"/>
              </w:rPr>
              <w:t>$ 2,678,266</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gridSpan w:val="2"/>
          </w:tcPr>
          <w:p>
            <w:pPr>
              <w:jc w:val="right"/>
              <w:ind w:right="20"/>
              <w:spacing w:after="0" w:line="162" w:lineRule="exact"/>
              <w:rPr>
                <w:sz w:val="20"/>
                <w:szCs w:val="20"/>
                <w:color w:val="auto"/>
              </w:rPr>
            </w:pPr>
            <w:r>
              <w:rPr>
                <w:rFonts w:ascii="Arial" w:cs="Arial" w:eastAsia="Arial" w:hAnsi="Arial"/>
                <w:sz w:val="16"/>
                <w:szCs w:val="16"/>
                <w:color w:val="auto"/>
              </w:rPr>
              <w:t>(402,372)</w:t>
            </w: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w w:val="98"/>
              </w:rPr>
              <w:t>3,958,071</w:t>
            </w:r>
          </w:p>
        </w:tc>
      </w:tr>
      <w:tr>
        <w:trPr>
          <w:trHeight w:val="176"/>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Net income</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auto"/>
              </w:rPr>
              <w:t>3,668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3,668</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Translation adjustments and other</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93,186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93,186</w:t>
            </w:r>
          </w:p>
        </w:tc>
      </w:tr>
      <w:tr>
        <w:trPr>
          <w:trHeight w:val="17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Pension liability adjustments, net</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3,168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3,168</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Cash dividends</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40" w:type="dxa"/>
            <w:vAlign w:val="bottom"/>
            <w:gridSpan w:val="5"/>
          </w:tcPr>
          <w:p>
            <w:pPr>
              <w:jc w:val="right"/>
              <w:ind w:right="140"/>
              <w:spacing w:after="0" w:line="175" w:lineRule="exact"/>
              <w:rPr>
                <w:sz w:val="20"/>
                <w:szCs w:val="20"/>
                <w:color w:val="auto"/>
              </w:rPr>
            </w:pPr>
            <w:r>
              <w:rPr>
                <w:rFonts w:ascii="Arial" w:cs="Arial" w:eastAsia="Arial" w:hAnsi="Arial"/>
                <w:sz w:val="16"/>
                <w:szCs w:val="16"/>
                <w:color w:val="auto"/>
              </w:rPr>
              <w:t>(20,975)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(20,975)</w:t>
            </w:r>
          </w:p>
        </w:tc>
      </w:tr>
      <w:tr>
        <w:trPr>
          <w:trHeight w:val="17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Repurchases of common stock</w:t>
            </w:r>
          </w:p>
        </w:tc>
        <w:tc>
          <w:tcPr>
            <w:tcW w:w="6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(2,135)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40"/>
              <w:spacing w:after="0" w:line="175" w:lineRule="exact"/>
              <w:rPr>
                <w:sz w:val="20"/>
                <w:szCs w:val="20"/>
                <w:color w:val="auto"/>
              </w:rPr>
            </w:pPr>
            <w:r>
              <w:rPr>
                <w:rFonts w:ascii="Arial" w:cs="Arial" w:eastAsia="Arial" w:hAnsi="Arial"/>
                <w:sz w:val="16"/>
                <w:szCs w:val="16"/>
                <w:color w:val="auto"/>
              </w:rPr>
              <w:t>(2,135)</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40" w:type="dxa"/>
            <w:vAlign w:val="bottom"/>
            <w:gridSpan w:val="5"/>
            <w:shd w:val="clear" w:color="auto" w:fill="CCEEFF"/>
          </w:tcPr>
          <w:p>
            <w:pPr>
              <w:jc w:val="right"/>
              <w:ind w:right="140"/>
              <w:spacing w:after="0" w:line="175" w:lineRule="exact"/>
              <w:rPr>
                <w:sz w:val="20"/>
                <w:szCs w:val="20"/>
                <w:color w:val="auto"/>
              </w:rPr>
            </w:pPr>
            <w:r>
              <w:rPr>
                <w:rFonts w:ascii="Arial" w:cs="Arial" w:eastAsia="Arial" w:hAnsi="Arial"/>
                <w:sz w:val="16"/>
                <w:szCs w:val="16"/>
                <w:color w:val="auto"/>
              </w:rPr>
              <w:t>(85,423)</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(87,558)</w:t>
            </w:r>
          </w:p>
        </w:tc>
      </w:tr>
      <w:tr>
        <w:trPr>
          <w:trHeight w:val="183"/>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Stock-based compensation</w:t>
            </w:r>
          </w:p>
        </w:tc>
        <w:tc>
          <w:tcPr>
            <w:tcW w:w="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7,760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7,773</w:t>
            </w:r>
          </w:p>
        </w:tc>
      </w:tr>
      <w:tr>
        <w:trPr>
          <w:trHeight w:val="175"/>
        </w:trPr>
        <w:tc>
          <w:tcPr>
            <w:tcW w:w="296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Balance, December 28, 2019</w:t>
            </w:r>
          </w:p>
        </w:tc>
        <w:tc>
          <w:tcPr>
            <w:tcW w:w="660" w:type="dxa"/>
            <w:vAlign w:val="bottom"/>
            <w:tcBorders>
              <w:top w:val="single" w:sz="8" w:color="auto"/>
            </w:tcBorders>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99,349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99,349</w:t>
            </w: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$ 1,588,466</w:t>
            </w: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$ 2,575,536</w:t>
            </w: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gridSpan w:val="2"/>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(306,018)</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8"/>
              </w:rPr>
              <w:t>3,957,333</w:t>
            </w:r>
          </w:p>
        </w:tc>
      </w:tr>
      <w:tr>
        <w:trPr>
          <w:trHeight w:val="176"/>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40" w:type="dxa"/>
            <w:vAlign w:val="bottom"/>
            <w:gridSpan w:val="5"/>
          </w:tcPr>
          <w:p>
            <w:pPr>
              <w:jc w:val="right"/>
              <w:ind w:right="140"/>
              <w:spacing w:after="0" w:line="175" w:lineRule="exact"/>
              <w:rPr>
                <w:sz w:val="20"/>
                <w:szCs w:val="20"/>
                <w:color w:val="auto"/>
              </w:rPr>
            </w:pPr>
            <w:r>
              <w:rPr>
                <w:rFonts w:ascii="Arial" w:cs="Arial" w:eastAsia="Arial" w:hAnsi="Arial"/>
                <w:sz w:val="16"/>
                <w:szCs w:val="16"/>
                <w:color w:val="auto"/>
              </w:rPr>
              <w:t>(128,661)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(128,661)</w:t>
            </w:r>
          </w:p>
        </w:tc>
      </w:tr>
      <w:tr>
        <w:trPr>
          <w:trHeight w:val="17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Translation adjustments and other</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line="175" w:lineRule="exact"/>
              <w:rPr>
                <w:sz w:val="20"/>
                <w:szCs w:val="20"/>
                <w:color w:val="auto"/>
              </w:rPr>
            </w:pPr>
            <w:r>
              <w:rPr>
                <w:rFonts w:ascii="Arial" w:cs="Arial" w:eastAsia="Arial" w:hAnsi="Arial"/>
                <w:sz w:val="16"/>
                <w:szCs w:val="16"/>
                <w:color w:val="auto"/>
              </w:rPr>
              <w:t>(96,351)</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(96,351)</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Pension liability adjustments, net</w:t>
            </w:r>
          </w:p>
        </w:tc>
        <w:tc>
          <w:tcPr>
            <w:tcW w:w="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3,167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3,167</w:t>
            </w:r>
          </w:p>
        </w:tc>
      </w:tr>
      <w:tr>
        <w:trPr>
          <w:trHeight w:val="17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Cash dividends</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40" w:type="dxa"/>
            <w:vAlign w:val="bottom"/>
            <w:gridSpan w:val="5"/>
            <w:shd w:val="clear" w:color="auto" w:fill="CCEEFF"/>
          </w:tcPr>
          <w:p>
            <w:pPr>
              <w:jc w:val="right"/>
              <w:ind w:right="140"/>
              <w:spacing w:after="0" w:line="175" w:lineRule="exact"/>
              <w:rPr>
                <w:sz w:val="20"/>
                <w:szCs w:val="20"/>
                <w:color w:val="auto"/>
              </w:rPr>
            </w:pPr>
            <w:r>
              <w:rPr>
                <w:rFonts w:ascii="Arial" w:cs="Arial" w:eastAsia="Arial" w:hAnsi="Arial"/>
                <w:sz w:val="16"/>
                <w:szCs w:val="16"/>
                <w:color w:val="auto"/>
              </w:rPr>
              <w:t>(20,810)</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(20,810)</w:t>
            </w: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Repurchases of common stock</w:t>
            </w:r>
          </w:p>
        </w:tc>
        <w:tc>
          <w:tcPr>
            <w:tcW w:w="6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(1,104)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(1,104)</w:t>
            </w:r>
          </w:p>
        </w:tc>
        <w:tc>
          <w:tcPr>
            <w:tcW w:w="20" w:type="dxa"/>
            <w:vAlign w:val="bottom"/>
          </w:tcPr>
          <w:p>
            <w:pPr>
              <w:spacing w:after="0"/>
              <w:rPr>
                <w:sz w:val="15"/>
                <w:szCs w:val="15"/>
                <w:color w:val="auto"/>
              </w:rPr>
            </w:pP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40" w:type="dxa"/>
            <w:vAlign w:val="bottom"/>
            <w:gridSpan w:val="5"/>
          </w:tcPr>
          <w:p>
            <w:pPr>
              <w:jc w:val="right"/>
              <w:ind w:right="140"/>
              <w:spacing w:after="0" w:line="175" w:lineRule="exact"/>
              <w:rPr>
                <w:sz w:val="20"/>
                <w:szCs w:val="20"/>
                <w:color w:val="auto"/>
              </w:rPr>
            </w:pPr>
            <w:r>
              <w:rPr>
                <w:rFonts w:ascii="Arial" w:cs="Arial" w:eastAsia="Arial" w:hAnsi="Arial"/>
                <w:sz w:val="16"/>
                <w:szCs w:val="16"/>
                <w:color w:val="auto"/>
              </w:rPr>
              <w:t>(35,640)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(36,744)</w:t>
            </w:r>
          </w:p>
        </w:tc>
      </w:tr>
      <w:tr>
        <w:trPr>
          <w:trHeight w:val="19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Stock-based compensation</w:t>
            </w:r>
          </w:p>
        </w:tc>
        <w:tc>
          <w:tcPr>
            <w:tcW w:w="6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516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516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auto"/>
              </w:rPr>
              <w:t>(1,172)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(656)</w:t>
            </w:r>
          </w:p>
        </w:tc>
      </w:tr>
      <w:tr>
        <w:trPr>
          <w:trHeight w:val="163"/>
        </w:trPr>
        <w:tc>
          <w:tcPr>
            <w:tcW w:w="296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6"/>
                <w:szCs w:val="16"/>
                <w:b w:val="1"/>
                <w:bCs w:val="1"/>
                <w:color w:val="auto"/>
              </w:rPr>
              <w:t>Balance, March 28, 2020</w:t>
            </w:r>
          </w:p>
        </w:tc>
        <w:tc>
          <w:tcPr>
            <w:tcW w:w="660" w:type="dxa"/>
            <w:vAlign w:val="bottom"/>
            <w:tcBorders>
              <w:top w:val="single" w:sz="8" w:color="auto"/>
              <w:bottom w:val="single" w:sz="8" w:color="auto"/>
            </w:tcBorders>
            <w:gridSpan w:val="2"/>
          </w:tcPr>
          <w:p>
            <w:pPr>
              <w:jc w:val="right"/>
              <w:spacing w:after="0" w:line="162" w:lineRule="exact"/>
              <w:rPr>
                <w:sz w:val="20"/>
                <w:szCs w:val="20"/>
                <w:color w:val="auto"/>
              </w:rPr>
            </w:pPr>
            <w:r>
              <w:rPr>
                <w:rFonts w:ascii="Arial" w:cs="Arial" w:eastAsia="Arial" w:hAnsi="Arial"/>
                <w:sz w:val="16"/>
                <w:szCs w:val="16"/>
                <w:color w:val="auto"/>
              </w:rPr>
              <w:t>98,761</w:t>
            </w: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line="163"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98,761</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w w:val="89"/>
              </w:rPr>
              <w:t>$ 1,587,294</w:t>
            </w: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CCEEFF"/>
            </w:tcBorders>
            <w:gridSpan w:val="2"/>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w w:val="89"/>
              </w:rPr>
              <w:t>$ 2,390,425</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gridSpan w:val="2"/>
          </w:tcPr>
          <w:p>
            <w:pPr>
              <w:jc w:val="right"/>
              <w:ind w:right="20"/>
              <w:spacing w:after="0" w:line="162" w:lineRule="exact"/>
              <w:rPr>
                <w:sz w:val="20"/>
                <w:szCs w:val="20"/>
                <w:color w:val="auto"/>
              </w:rPr>
            </w:pPr>
            <w:r>
              <w:rPr>
                <w:rFonts w:ascii="Arial" w:cs="Arial" w:eastAsia="Arial" w:hAnsi="Arial"/>
                <w:sz w:val="16"/>
                <w:szCs w:val="16"/>
                <w:color w:val="auto"/>
              </w:rPr>
              <w:t>(399,202)</w:t>
            </w: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w w:val="98"/>
              </w:rPr>
              <w:t>3,677,278</w:t>
            </w:r>
          </w:p>
        </w:tc>
      </w:tr>
      <w:tr>
        <w:trPr>
          <w:trHeight w:val="20"/>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April 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28,</w:t>
            </w:r>
          </w:p>
        </w:tc>
      </w:tr>
      <w:tr>
        <w:trPr>
          <w:trHeight w:val="229"/>
        </w:trPr>
        <w:tc>
          <w:tcPr>
            <w:tcW w:w="5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203"/>
        </w:trPr>
        <w:tc>
          <w:tcPr>
            <w:tcW w:w="5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(Thousands)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107,759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(83,242)</w:t>
            </w:r>
          </w:p>
        </w:tc>
      </w:tr>
      <w:tr>
        <w:trPr>
          <w:trHeight w:val="219"/>
        </w:trPr>
        <w:tc>
          <w:tcPr>
            <w:tcW w:w="5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Non-cash and other reconciling items: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75,535</w:t>
            </w:r>
          </w:p>
        </w:tc>
      </w:tr>
      <w:tr>
        <w:trPr>
          <w:trHeight w:val="213"/>
        </w:trPr>
        <w:tc>
          <w:tcPr>
            <w:tcW w:w="562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62,240</w:t>
            </w: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operating lease assets</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46,560</w:t>
            </w:r>
          </w:p>
        </w:tc>
      </w:tr>
      <w:tr>
        <w:trPr>
          <w:trHeight w:val="213"/>
        </w:trPr>
        <w:tc>
          <w:tcPr>
            <w:tcW w:w="562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(42,529)</w:t>
            </w: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20,757</w:t>
            </w:r>
          </w:p>
        </w:tc>
      </w:tr>
      <w:tr>
        <w:trPr>
          <w:trHeight w:val="213"/>
        </w:trPr>
        <w:tc>
          <w:tcPr>
            <w:tcW w:w="5620" w:type="dxa"/>
            <w:vAlign w:val="bottom"/>
          </w:tcPr>
          <w:p>
            <w:pPr>
              <w:ind w:left="320"/>
              <w:spacing w:after="0"/>
              <w:rPr>
                <w:sz w:val="20"/>
                <w:szCs w:val="20"/>
                <w:color w:val="auto"/>
              </w:rPr>
            </w:pPr>
            <w:r>
              <w:rPr>
                <w:rFonts w:ascii="Arial" w:cs="Arial" w:eastAsia="Arial" w:hAnsi="Arial"/>
                <w:sz w:val="16"/>
                <w:szCs w:val="16"/>
                <w:color w:val="auto"/>
              </w:rPr>
              <w:t>Goodwill, long-lived asset and other impairments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145,836</w:t>
            </w: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net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36,548</w:t>
            </w: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Changes in (net of effects from businesses acquired and divested):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Receivables</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150,095</w:t>
            </w:r>
          </w:p>
        </w:tc>
      </w:tr>
      <w:tr>
        <w:trPr>
          <w:trHeight w:val="213"/>
        </w:trPr>
        <w:tc>
          <w:tcPr>
            <w:tcW w:w="562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227,996</w:t>
            </w:r>
          </w:p>
        </w:tc>
      </w:tr>
      <w:tr>
        <w:trPr>
          <w:trHeight w:val="219"/>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224,151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(112,923)</w:t>
            </w:r>
          </w:p>
        </w:tc>
      </w:tr>
      <w:tr>
        <w:trPr>
          <w:trHeight w:val="223"/>
        </w:trPr>
        <w:tc>
          <w:tcPr>
            <w:tcW w:w="56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Accrued expenses and other, net</w:t>
            </w: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(84,263)</w:t>
            </w:r>
          </w:p>
        </w:tc>
      </w:tr>
      <w:tr>
        <w:trPr>
          <w:trHeight w:val="223"/>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cash flows provided by operating activities</w:t>
            </w: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197,526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442,610</w:t>
            </w:r>
          </w:p>
        </w:tc>
      </w:tr>
      <w:tr>
        <w:trPr>
          <w:trHeight w:val="216"/>
        </w:trPr>
        <w:tc>
          <w:tcPr>
            <w:tcW w:w="5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Repayments under accounts receivable securitization,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(127,400)</w:t>
            </w:r>
          </w:p>
        </w:tc>
      </w:tr>
      <w:tr>
        <w:trPr>
          <w:trHeight w:val="219"/>
        </w:trPr>
        <w:tc>
          <w:tcPr>
            <w:tcW w:w="5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under senior unsecured credit facility, net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(232,347)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Repayments under bank credit facilities and other debt,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(1,639)</w:t>
            </w:r>
          </w:p>
        </w:tc>
      </w:tr>
      <w:tr>
        <w:trPr>
          <w:trHeight w:val="219"/>
        </w:trPr>
        <w:tc>
          <w:tcPr>
            <w:tcW w:w="5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Repurchases of common stock</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(235,830)</w:t>
            </w: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(63,235)</w:t>
            </w:r>
          </w:p>
        </w:tc>
      </w:tr>
      <w:tr>
        <w:trPr>
          <w:trHeight w:val="22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(15,132)</w:t>
            </w:r>
          </w:p>
        </w:tc>
      </w:tr>
      <w:tr>
        <w:trPr>
          <w:trHeight w:val="223"/>
        </w:trPr>
        <w:tc>
          <w:tcPr>
            <w:tcW w:w="5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financing activities</w:t>
            </w: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(308,394)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(444,430)</w:t>
            </w:r>
          </w:p>
        </w:tc>
      </w:tr>
      <w:tr>
        <w:trPr>
          <w:trHeight w:val="216"/>
        </w:trPr>
        <w:tc>
          <w:tcPr>
            <w:tcW w:w="5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(61,156)</w:t>
            </w:r>
          </w:p>
        </w:tc>
      </w:tr>
      <w:tr>
        <w:trPr>
          <w:trHeight w:val="213"/>
        </w:trPr>
        <w:tc>
          <w:tcPr>
            <w:tcW w:w="5620" w:type="dxa"/>
            <w:vAlign w:val="bottom"/>
          </w:tcPr>
          <w:p>
            <w:pPr>
              <w:ind w:left="100"/>
              <w:spacing w:after="0"/>
              <w:rPr>
                <w:sz w:val="20"/>
                <w:szCs w:val="20"/>
                <w:color w:val="auto"/>
              </w:rPr>
            </w:pPr>
            <w:r>
              <w:rPr>
                <w:rFonts w:ascii="Arial" w:cs="Arial" w:eastAsia="Arial" w:hAnsi="Arial"/>
                <w:sz w:val="16"/>
                <w:szCs w:val="16"/>
                <w:color w:val="auto"/>
              </w:rPr>
              <w:t>Acquisitions of assets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(51,509)</w:t>
            </w:r>
          </w:p>
        </w:tc>
      </w:tr>
      <w:tr>
        <w:trPr>
          <w:trHeight w:val="22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6,201</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(12,547)</w:t>
            </w:r>
          </w:p>
        </w:tc>
      </w:tr>
      <w:tr>
        <w:trPr>
          <w:trHeight w:val="223"/>
        </w:trPr>
        <w:tc>
          <w:tcPr>
            <w:tcW w:w="56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flows used for investing activities</w:t>
            </w: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(51,171)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(125,212)</w:t>
            </w:r>
          </w:p>
        </w:tc>
      </w:tr>
      <w:tr>
        <w:trPr>
          <w:trHeight w:val="216"/>
        </w:trPr>
        <w:tc>
          <w:tcPr>
            <w:tcW w:w="5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(16,418)</w:t>
            </w:r>
          </w:p>
        </w:tc>
      </w:tr>
      <w:tr>
        <w:trPr>
          <w:trHeight w:val="219"/>
        </w:trPr>
        <w:tc>
          <w:tcPr>
            <w:tcW w:w="5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 decrease</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(154,289)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(143,450)</w:t>
            </w:r>
          </w:p>
        </w:tc>
      </w:tr>
      <w:tr>
        <w:trPr>
          <w:trHeight w:val="223"/>
        </w:trPr>
        <w:tc>
          <w:tcPr>
            <w:tcW w:w="5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 at beginning of period</w:t>
            </w: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477,038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546,105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 at end of period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402,655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1520" w:right="2060"/>
        <w:spacing w:after="0" w:line="313" w:lineRule="auto"/>
        <w:rPr>
          <w:sz w:val="20"/>
          <w:szCs w:val="20"/>
          <w:color w:val="auto"/>
        </w:rPr>
      </w:pPr>
      <w:r>
        <w:rPr>
          <w:rFonts w:ascii="Arial" w:cs="Arial" w:eastAsia="Arial" w:hAnsi="Arial"/>
          <w:sz w:val="18"/>
          <w:szCs w:val="18"/>
          <w:b w:val="1"/>
          <w:bCs w:val="1"/>
          <w:color w:val="auto"/>
        </w:rPr>
        <w:t>AVNET, INC. AND SUBSIDIARIES NOTES TO CONSOLIDATED FINANCIAL STATEMENTS (Unaudited)</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ind w:left="60" w:right="419" w:firstLine="427"/>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ind w:left="60" w:right="359" w:firstLine="427"/>
        <w:spacing w:after="0" w:line="286"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65" w:lineRule="exact"/>
        <w:rPr>
          <w:sz w:val="20"/>
          <w:szCs w:val="20"/>
          <w:color w:val="auto"/>
        </w:rPr>
      </w:pPr>
    </w:p>
    <w:p>
      <w:pPr>
        <w:ind w:left="60" w:right="339" w:firstLine="427"/>
        <w:spacing w:after="0" w:line="311" w:lineRule="auto"/>
        <w:rPr>
          <w:sz w:val="20"/>
          <w:szCs w:val="20"/>
          <w:color w:val="auto"/>
        </w:rPr>
      </w:pPr>
      <w:r>
        <w:rPr>
          <w:rFonts w:ascii="Arial" w:cs="Arial" w:eastAsia="Arial" w:hAnsi="Arial"/>
          <w:sz w:val="16"/>
          <w:szCs w:val="16"/>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27, 2020.</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reclassifications have been made in prior periods to conform to the current period presentation.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left="60" w:right="319" w:firstLine="427"/>
        <w:spacing w:after="0" w:line="286" w:lineRule="auto"/>
        <w:rPr>
          <w:sz w:val="20"/>
          <w:szCs w:val="20"/>
          <w:color w:val="auto"/>
        </w:rPr>
      </w:pPr>
      <w:r>
        <w:rPr>
          <w:rFonts w:ascii="Arial" w:cs="Arial" w:eastAsia="Arial" w:hAnsi="Arial"/>
          <w:sz w:val="17"/>
          <w:szCs w:val="17"/>
          <w:color w:val="auto"/>
        </w:rPr>
        <w:t>The Company operates on a “52/53 week” fiscal year, and fiscal 2021 contains 53 weeks compared to fiscal 2020, which contained 52 weeks. As a result, the first nine months of fiscal 2021 ended April 3, 2021, contained 40 weeks compared to the first nine months of fiscal 2020 ended March 28, 2020, which contained 39 weeks.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60" w:right="119" w:firstLine="427"/>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 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350-40):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No. 2018-15"). ASU No. 2018-15 aligns</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in a hosting arrangement that is a service contract with the requirements for capitalizing implementation costs incurred to develop internal-use software. The adoption of ASU No. 2018-15 in the first quarter of fiscal 2021 did not have a material impact on the Company’s consolidated financial statements.</w:t>
      </w:r>
    </w:p>
    <w:p>
      <w:pPr>
        <w:spacing w:after="0" w:line="195" w:lineRule="exact"/>
        <w:rPr>
          <w:sz w:val="20"/>
          <w:szCs w:val="20"/>
          <w:color w:val="auto"/>
        </w:rPr>
      </w:pPr>
    </w:p>
    <w:p>
      <w:pPr>
        <w:ind w:left="60" w:right="99" w:firstLine="427"/>
        <w:spacing w:after="0" w:line="289"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Credit Losses on Financial Instruments </w:t>
      </w:r>
      <w:r>
        <w:rPr>
          <w:rFonts w:ascii="Arial" w:cs="Arial" w:eastAsia="Arial" w:hAnsi="Arial"/>
          <w:sz w:val="16"/>
          <w:szCs w:val="16"/>
          <w:color w:val="auto"/>
        </w:rPr>
        <w:t>("ASU No. 2016-13") and also issued subsequent amendments to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ASU No. 2018-19, ASU No. 2019-04, ASU No. 2019-05, and ASU No. 2019-11 (collectively, Topic 326). Topic 326 revises the methodology for measuring credit losses on financial instruments and the timing of when such losses are recorded. On June 28, 2020, the Company adopted Topic 326 using a modified retrospective approach with a cumulative effect adjustment to the opening balance of retained earnings, which increased the allowance for credit losses by $17.2 million ($14.5 million, net of tax of $2.7 million). Increases in the allowance for credit losses relate to the required change from an incurred loss model to an expected loss model, and the related change in timing of loss recognition where an allowance for credit losses is now applied at the time the asset, or pool of assets, is recognized.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left="60" w:right="79" w:firstLine="427"/>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Reference Rate Reform on Financial Reporting </w:t>
      </w:r>
      <w:r>
        <w:rPr>
          <w:rFonts w:ascii="Arial" w:cs="Arial" w:eastAsia="Arial" w:hAnsi="Arial"/>
          <w:sz w:val="17"/>
          <w:szCs w:val="17"/>
          <w:color w:val="auto"/>
        </w:rPr>
        <w:t>(“ASU No. 2020-04”), which provides optional guidance to 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potential burden in accounting for reference rate reform on financial reporting. The new guidance provides optional expedients and exceptions for applying generally accepted accounting principles to transactions affected by reference rate reform if certain criteria are met. In January 2021, the FASB issued ASU No. 2021-01,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Scope </w:t>
      </w:r>
      <w:r>
        <w:rPr>
          <w:rFonts w:ascii="Arial" w:cs="Arial" w:eastAsia="Arial" w:hAnsi="Arial"/>
          <w:sz w:val="17"/>
          <w:szCs w:val="17"/>
          <w:color w:val="auto"/>
        </w:rPr>
        <w:t>(“ASU No. 2021-01”), to clarify certain optional expedients and exceptions in Topic 848 for contract modifications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hedge accounting apply to derivatives that are affected by the discounting transition. Both ASU No. 2020-04 and ASU No. 2021-01 are effective upon issuance through December 31, 2022. The Company is currently evaluating the effects of adopting the provisions of ASU No. 2020-04, but does not currently expect a material impact on the Company’s consolidated financial statements.</w:t>
      </w:r>
    </w:p>
    <w:p>
      <w:pPr>
        <w:spacing w:after="0" w:line="185" w:lineRule="exact"/>
        <w:rPr>
          <w:sz w:val="20"/>
          <w:szCs w:val="20"/>
          <w:color w:val="auto"/>
        </w:rPr>
      </w:pPr>
    </w:p>
    <w:p>
      <w:pPr>
        <w:ind w:left="60" w:right="299" w:firstLine="427"/>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xml:space="preserve"> (“ASU No. 2019-12”), which removes certain exceptions to the general principles in Topic 740 and also clarifies and amends existing guidance to improve consistent application. ASU No. 2019-12 will be effective for the Company in the first quarter of fiscal 2022, and early adoption is permitted. Depending on the amendment, adoption may be applied on a retrospective, modified retrospective or prospective basis. The Company is currently evaluating the potential effects of adopting the provisions of ASU No. 2019-12.</w:t>
      </w:r>
    </w:p>
    <w:p>
      <w:pPr>
        <w:spacing w:after="0" w:line="192" w:lineRule="exact"/>
        <w:rPr>
          <w:sz w:val="20"/>
          <w:szCs w:val="20"/>
          <w:color w:val="auto"/>
        </w:rPr>
      </w:pPr>
    </w:p>
    <w:p>
      <w:pPr>
        <w:ind w:left="60" w:right="139" w:firstLine="427"/>
        <w:spacing w:after="0" w:line="291" w:lineRule="auto"/>
        <w:rPr>
          <w:sz w:val="20"/>
          <w:szCs w:val="20"/>
          <w:color w:val="auto"/>
        </w:rPr>
      </w:pPr>
      <w:r>
        <w:rPr>
          <w:rFonts w:ascii="Arial" w:cs="Arial" w:eastAsia="Arial" w:hAnsi="Arial"/>
          <w:sz w:val="16"/>
          <w:szCs w:val="16"/>
          <w:color w:val="auto"/>
        </w:rPr>
        <w:t xml:space="preserve">In August 2018, the FASB issued ASU No. 2018-14, </w:t>
      </w:r>
      <w:r>
        <w:rPr>
          <w:rFonts w:ascii="Arial" w:cs="Arial" w:eastAsia="Arial" w:hAnsi="Arial"/>
          <w:sz w:val="16"/>
          <w:szCs w:val="16"/>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6"/>
          <w:szCs w:val="16"/>
          <w:color w:val="auto"/>
        </w:rPr>
        <w:t>(“ASU No. 2018-14”). The new guidance modifies the disclosure requirements for employers that sponsor defined benefit pension or other postretirement plans, including removing certain previous disclosure requirements, adding certain new disclosure requirements, and clarifying certain other disclosure requirements. ASU No. 2018-14 will be effective for the Company in the first quarter of fiscal 2022, and early adoption is permitted. The Company’s planned adoption of ASU No. 2018-14 is not expected to have a material impact on the Company’s consolidated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60" w:right="139" w:firstLine="427"/>
        <w:spacing w:after="0" w:line="263" w:lineRule="auto"/>
        <w:rPr>
          <w:sz w:val="20"/>
          <w:szCs w:val="20"/>
          <w:color w:val="auto"/>
        </w:rPr>
      </w:pPr>
      <w:r>
        <w:rPr>
          <w:rFonts w:ascii="Arial" w:cs="Arial" w:eastAsia="Arial" w:hAnsi="Arial"/>
          <w:sz w:val="18"/>
          <w:szCs w:val="18"/>
          <w:color w:val="auto"/>
        </w:rPr>
        <w:t>Except for the changes below, no material changes have been made to the Company’s significant accounting policies as disclosed in Note 1, Summary of Significant Accounting Policies, in its Annual Report on Form 10-K for the fiscal year ended June 27, 2020.</w:t>
      </w:r>
    </w:p>
    <w:p>
      <w:pPr>
        <w:spacing w:after="0" w:line="184" w:lineRule="exact"/>
        <w:rPr>
          <w:sz w:val="20"/>
          <w:szCs w:val="20"/>
          <w:color w:val="auto"/>
        </w:rPr>
      </w:pPr>
    </w:p>
    <w:p>
      <w:pPr>
        <w:ind w:left="60" w:right="79" w:firstLine="427"/>
        <w:spacing w:after="0" w:line="290" w:lineRule="auto"/>
        <w:rPr>
          <w:sz w:val="20"/>
          <w:szCs w:val="20"/>
          <w:color w:val="auto"/>
        </w:rPr>
      </w:pPr>
      <w:r>
        <w:rPr>
          <w:rFonts w:ascii="Arial" w:cs="Arial" w:eastAsia="Arial" w:hAnsi="Arial"/>
          <w:sz w:val="16"/>
          <w:szCs w:val="16"/>
          <w:i w:val="1"/>
          <w:iCs w:val="1"/>
          <w:color w:val="auto"/>
        </w:rPr>
        <w:t xml:space="preserve">Receivables </w:t>
      </w:r>
      <w:r>
        <w:rPr>
          <w:rFonts w:ascii="Arial" w:cs="Arial" w:eastAsia="Arial" w:hAnsi="Arial"/>
          <w:sz w:val="16"/>
          <w:szCs w:val="16"/>
          <w:color w:val="auto"/>
        </w:rPr>
        <w:t>– Receivables, predominately comprised of trade accounts and notes receivable, are reported at</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cost, net 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 specific risk characteristics such as changes in customer behavior, economic and industry changes, or other relevant factors. Expected credit losses are estimated on a pooled basis, when similar risk characteristics exist.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ind w:left="60" w:right="279" w:firstLine="427"/>
        <w:spacing w:after="0" w:line="277" w:lineRule="auto"/>
        <w:rPr>
          <w:sz w:val="20"/>
          <w:szCs w:val="20"/>
          <w:color w:val="auto"/>
        </w:rPr>
      </w:pPr>
      <w:r>
        <w:rPr>
          <w:rFonts w:ascii="Arial" w:cs="Arial" w:eastAsia="Arial" w:hAnsi="Arial"/>
          <w:sz w:val="18"/>
          <w:szCs w:val="18"/>
          <w:color w:val="auto"/>
        </w:rPr>
        <w:t>In the first quarter of fiscal 2021, the Company completed an asset acquisition. The impact of this asset acquisition was not material to the Company’s consolidated balance sheets or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4. Receivables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280" w:type="dxa"/>
            <w:vAlign w:val="bottom"/>
          </w:tcPr>
          <w:p>
            <w:pPr>
              <w:ind w:left="440"/>
              <w:spacing w:after="0"/>
              <w:rPr>
                <w:sz w:val="20"/>
                <w:szCs w:val="20"/>
                <w:color w:val="auto"/>
              </w:rPr>
            </w:pPr>
            <w:r>
              <w:rPr>
                <w:rFonts w:ascii="Arial" w:cs="Arial" w:eastAsia="Arial" w:hAnsi="Arial"/>
                <w:sz w:val="18"/>
                <w:szCs w:val="18"/>
                <w:color w:val="auto"/>
                <w:w w:val="95"/>
              </w:rPr>
              <w:t>The Company’s receivables and allowance for credit losses were as follows: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April 3,</w:t>
            </w:r>
          </w:p>
        </w:tc>
        <w:tc>
          <w:tcPr>
            <w:tcW w:w="22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6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3"/>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jc w:val="right"/>
              <w:ind w:right="73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3,451,466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2,993,404</w:t>
            </w:r>
          </w:p>
        </w:tc>
        <w:tc>
          <w:tcPr>
            <w:tcW w:w="20" w:type="dxa"/>
            <w:vAlign w:val="bottom"/>
          </w:tcPr>
          <w:p>
            <w:pPr>
              <w:spacing w:after="0"/>
              <w:rPr>
                <w:sz w:val="18"/>
                <w:szCs w:val="18"/>
                <w:color w:val="auto"/>
              </w:rPr>
            </w:pPr>
          </w:p>
        </w:tc>
      </w:tr>
      <w:tr>
        <w:trPr>
          <w:trHeight w:val="230"/>
        </w:trPr>
        <w:tc>
          <w:tcPr>
            <w:tcW w:w="628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(85,789)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(65,018)</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had the following activity in the allowance for credit losses during the first nine months of fiscal 2021:</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April 3,</w:t>
            </w:r>
          </w:p>
        </w:tc>
      </w:tr>
      <w:tr>
        <w:trPr>
          <w:trHeight w:val="241"/>
        </w:trPr>
        <w:tc>
          <w:tcPr>
            <w:tcW w:w="7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r>
      <w:tr>
        <w:trPr>
          <w:trHeight w:val="216"/>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27,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65,018</w:t>
            </w:r>
          </w:p>
        </w:tc>
        <w:tc>
          <w:tcPr>
            <w:tcW w:w="20" w:type="dxa"/>
            <w:vAlign w:val="bottom"/>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Arial" w:cs="Arial" w:eastAsia="Arial" w:hAnsi="Arial"/>
                <w:sz w:val="18"/>
                <w:szCs w:val="18"/>
                <w:color w:val="auto"/>
              </w:rPr>
              <w:t>Effect of adoption of new credit loss accounting standard (Note 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17,205</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Provisions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20" w:type="dxa"/>
            <w:vAlign w:val="bottom"/>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Arial" w:cs="Arial" w:eastAsia="Arial" w:hAnsi="Arial"/>
                <w:sz w:val="18"/>
                <w:szCs w:val="18"/>
                <w:color w:val="auto"/>
              </w:rPr>
              <w:t>Credit Loss Recoveries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Write offs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18"/>
                <w:szCs w:val="18"/>
                <w:color w:val="auto"/>
              </w:rPr>
            </w:pPr>
          </w:p>
        </w:tc>
      </w:tr>
      <w:tr>
        <w:trPr>
          <w:trHeight w:val="223"/>
        </w:trPr>
        <w:tc>
          <w:tcPr>
            <w:tcW w:w="7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Effect and 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Pr>
          <w:p>
            <w:pPr>
              <w:spacing w:after="0"/>
              <w:rPr>
                <w:sz w:val="19"/>
                <w:szCs w:val="19"/>
                <w:color w:val="auto"/>
              </w:rPr>
            </w:pPr>
          </w:p>
        </w:tc>
      </w:tr>
      <w:tr>
        <w:trPr>
          <w:trHeight w:val="21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85,789</w:t>
            </w:r>
          </w:p>
        </w:tc>
        <w:tc>
          <w:tcPr>
            <w:tcW w:w="2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80" w:right="6459" w:hanging="430"/>
        <w:spacing w:after="0" w:line="503" w:lineRule="auto"/>
        <w:tabs>
          <w:tab w:leader="none" w:pos="2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ind w:left="48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presents the change in goodwill by reportable segment for the nine months ended April 3, 2021.</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Farnell</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8"/>
              </w:rPr>
              <w:t>(Thousands)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June 27, 2020 </w:t>
            </w:r>
            <w:r>
              <w:rPr>
                <w:rFonts w:ascii="Arial" w:cs="Arial" w:eastAsia="Arial" w:hAnsi="Arial"/>
                <w:sz w:val="25"/>
                <w:szCs w:val="25"/>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475,898</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773,734</w:t>
            </w: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64,726</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April 3, 2021 </w:t>
            </w:r>
            <w:r>
              <w:rPr>
                <w:rFonts w:ascii="Arial" w:cs="Arial" w:eastAsia="Arial" w:hAnsi="Arial"/>
                <w:sz w:val="25"/>
                <w:szCs w:val="25"/>
                <w:color w:val="auto"/>
                <w:vertAlign w:val="superscript"/>
              </w:rPr>
              <w:t>(1)</w:t>
            </w: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309,978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528,482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838,460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5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300" w:right="599" w:hanging="250"/>
        <w:spacing w:after="0"/>
        <w:tabs>
          <w:tab w:leader="none" w:pos="300" w:val="left"/>
        </w:tabs>
        <w:numPr>
          <w:ilvl w:val="0"/>
          <w:numId w:val="4"/>
        </w:numPr>
        <w:rPr>
          <w:rFonts w:ascii="Arial" w:cs="Arial" w:eastAsia="Arial" w:hAnsi="Arial"/>
          <w:sz w:val="12"/>
          <w:szCs w:val="12"/>
          <w:color w:val="auto"/>
        </w:rPr>
      </w:pPr>
      <w:r>
        <w:rPr>
          <w:rFonts w:ascii="Arial" w:cs="Arial" w:eastAsia="Arial" w:hAnsi="Arial"/>
          <w:sz w:val="16"/>
          <w:szCs w:val="16"/>
          <w:color w:val="auto"/>
        </w:rPr>
        <w:t>Includes accumulated impairment of $1,045,110 from fiscal 2009, $181,440 from fiscal 2018, $137,396 from fiscal 2019 and $118,731 from fiscal 2020.</w:t>
      </w:r>
    </w:p>
    <w:p>
      <w:pPr>
        <w:spacing w:after="0" w:line="181" w:lineRule="exact"/>
        <w:rPr>
          <w:sz w:val="20"/>
          <w:szCs w:val="20"/>
          <w:color w:val="auto"/>
        </w:rPr>
      </w:pPr>
    </w:p>
    <w:p>
      <w:pPr>
        <w:ind w:left="60" w:right="139" w:firstLine="427"/>
        <w:spacing w:after="0" w:line="291" w:lineRule="auto"/>
        <w:rPr>
          <w:sz w:val="20"/>
          <w:szCs w:val="20"/>
          <w:color w:val="auto"/>
        </w:rPr>
      </w:pPr>
      <w:r>
        <w:rPr>
          <w:rFonts w:ascii="Arial" w:cs="Arial" w:eastAsia="Arial" w:hAnsi="Arial"/>
          <w:sz w:val="16"/>
          <w:szCs w:val="16"/>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 During the third quarter of fiscal 2021, the Company concluded that an interim goodwill impairment test was not required.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0" w:right="879" w:firstLine="427"/>
        <w:spacing w:after="0" w:line="277" w:lineRule="auto"/>
        <w:rPr>
          <w:sz w:val="20"/>
          <w:szCs w:val="20"/>
          <w:color w:val="auto"/>
        </w:rPr>
      </w:pPr>
      <w:r>
        <w:rPr>
          <w:rFonts w:ascii="Arial" w:cs="Arial" w:eastAsia="Arial" w:hAnsi="Arial"/>
          <w:sz w:val="18"/>
          <w:szCs w:val="18"/>
          <w:color w:val="auto"/>
        </w:rPr>
        <w:t>The following table presents the Company’s acquired intangible assets at April 3, 2021 and June 27, 2020, respectively.</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 2021</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88"/>
              </w:rPr>
              <w:t>June 27, 2020</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w w:val="94"/>
              </w:rPr>
              <w:t>Acquired</w:t>
            </w:r>
          </w:p>
        </w:tc>
        <w:tc>
          <w:tcPr>
            <w:tcW w:w="200" w:type="dxa"/>
            <w:vAlign w:val="bottom"/>
          </w:tcPr>
          <w:p>
            <w:pPr>
              <w:spacing w:after="0"/>
              <w:rPr>
                <w:sz w:val="16"/>
                <w:szCs w:val="16"/>
                <w:color w:val="auto"/>
              </w:rPr>
            </w:pPr>
          </w:p>
        </w:tc>
        <w:tc>
          <w:tcPr>
            <w:tcW w:w="104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88"/>
              </w:rPr>
              <w:t>Accumulated</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rPr>
              <w:t>Net Book</w:t>
            </w:r>
          </w:p>
        </w:tc>
        <w:tc>
          <w:tcPr>
            <w:tcW w:w="18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7"/>
              </w:rPr>
              <w:t>Acquired</w:t>
            </w:r>
          </w:p>
        </w:tc>
        <w:tc>
          <w:tcPr>
            <w:tcW w:w="200" w:type="dxa"/>
            <w:vAlign w:val="bottom"/>
          </w:tcPr>
          <w:p>
            <w:pPr>
              <w:spacing w:after="0"/>
              <w:rPr>
                <w:sz w:val="16"/>
                <w:szCs w:val="16"/>
                <w:color w:val="auto"/>
              </w:rPr>
            </w:pPr>
          </w:p>
        </w:tc>
        <w:tc>
          <w:tcPr>
            <w:tcW w:w="1300" w:type="dxa"/>
            <w:vAlign w:val="bottom"/>
            <w:gridSpan w:val="3"/>
          </w:tcPr>
          <w:p>
            <w:pPr>
              <w:jc w:val="right"/>
              <w:ind w:right="240"/>
              <w:spacing w:after="0" w:line="189" w:lineRule="exact"/>
              <w:rPr>
                <w:sz w:val="20"/>
                <w:szCs w:val="20"/>
                <w:color w:val="auto"/>
              </w:rPr>
            </w:pPr>
            <w:r>
              <w:rPr>
                <w:rFonts w:ascii="Arial" w:cs="Arial" w:eastAsia="Arial" w:hAnsi="Arial"/>
                <w:sz w:val="18"/>
                <w:szCs w:val="18"/>
                <w:b w:val="1"/>
                <w:bCs w:val="1"/>
                <w:color w:val="auto"/>
                <w:w w:val="91"/>
              </w:rPr>
              <w:t>Accumulated</w:t>
            </w:r>
          </w:p>
        </w:tc>
        <w:tc>
          <w:tcPr>
            <w:tcW w:w="20" w:type="dxa"/>
            <w:vAlign w:val="bottom"/>
          </w:tcPr>
          <w:p>
            <w:pPr>
              <w:spacing w:after="0"/>
              <w:rPr>
                <w:sz w:val="16"/>
                <w:szCs w:val="16"/>
                <w:color w:val="auto"/>
              </w:rPr>
            </w:pPr>
          </w:p>
        </w:tc>
        <w:tc>
          <w:tcPr>
            <w:tcW w:w="78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1"/>
              </w:rPr>
              <w:t>Net Book</w:t>
            </w:r>
          </w:p>
        </w:tc>
        <w:tc>
          <w:tcPr>
            <w:tcW w:w="60" w:type="dxa"/>
            <w:vAlign w:val="bottom"/>
          </w:tcPr>
          <w:p>
            <w:pPr>
              <w:spacing w:after="0"/>
              <w:rPr>
                <w:sz w:val="16"/>
                <w:szCs w:val="16"/>
                <w:color w:val="auto"/>
              </w:rPr>
            </w:pPr>
          </w:p>
        </w:tc>
      </w:tr>
      <w:tr>
        <w:trPr>
          <w:trHeight w:val="242"/>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1"/>
                <w:szCs w:val="21"/>
                <w:color w:val="auto"/>
              </w:rPr>
            </w:pPr>
          </w:p>
        </w:tc>
        <w:tc>
          <w:tcPr>
            <w:tcW w:w="820" w:type="dxa"/>
            <w:vAlign w:val="bottom"/>
            <w:gridSpan w:val="2"/>
          </w:tcPr>
          <w:p>
            <w:pPr>
              <w:ind w:left="20"/>
              <w:spacing w:after="0" w:line="242" w:lineRule="exact"/>
              <w:rPr>
                <w:sz w:val="20"/>
                <w:szCs w:val="20"/>
                <w:color w:val="auto"/>
              </w:rPr>
            </w:pPr>
            <w:r>
              <w:rPr>
                <w:rFonts w:ascii="Arial" w:cs="Arial" w:eastAsia="Arial" w:hAnsi="Arial"/>
                <w:sz w:val="18"/>
                <w:szCs w:val="18"/>
                <w:b w:val="1"/>
                <w:bCs w:val="1"/>
                <w:color w:val="auto"/>
                <w:w w:val="87"/>
              </w:rPr>
              <w:t>Amount</w:t>
            </w:r>
            <w:r>
              <w:rPr>
                <w:rFonts w:ascii="Arial" w:cs="Arial" w:eastAsia="Arial" w:hAnsi="Arial"/>
                <w:sz w:val="26"/>
                <w:szCs w:val="26"/>
                <w:b w:val="1"/>
                <w:bCs w:val="1"/>
                <w:color w:val="auto"/>
                <w:w w:val="87"/>
                <w:vertAlign w:val="superscript"/>
              </w:rPr>
              <w:t>(1)</w:t>
            </w:r>
          </w:p>
        </w:tc>
        <w:tc>
          <w:tcPr>
            <w:tcW w:w="200" w:type="dxa"/>
            <w:vAlign w:val="bottom"/>
          </w:tcPr>
          <w:p>
            <w:pPr>
              <w:spacing w:after="0"/>
              <w:rPr>
                <w:sz w:val="21"/>
                <w:szCs w:val="21"/>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Amortization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4"/>
          </w:tcPr>
          <w:p>
            <w:pPr>
              <w:jc w:val="right"/>
              <w:ind w:right="25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$ 324,923</w:t>
            </w:r>
          </w:p>
        </w:tc>
        <w:tc>
          <w:tcPr>
            <w:tcW w:w="4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$ 12,734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300,937</w:t>
            </w:r>
          </w:p>
        </w:tc>
        <w:tc>
          <w:tcPr>
            <w:tcW w:w="44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(266,759)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Trade name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57,259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14,471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19,205</w:t>
            </w: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57,756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$ 439,938</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(406,168)</w:t>
            </w:r>
          </w:p>
        </w:tc>
        <w:tc>
          <w:tcPr>
            <w:tcW w:w="18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$ 33,770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406,276</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(340,839)</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65,437</w:t>
            </w:r>
          </w:p>
        </w:tc>
        <w:tc>
          <w:tcPr>
            <w:tcW w:w="6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 w:lineRule="exact"/>
        <w:rPr>
          <w:sz w:val="20"/>
          <w:szCs w:val="20"/>
          <w:color w:val="auto"/>
        </w:rPr>
      </w:pPr>
    </w:p>
    <w:p>
      <w:pPr>
        <w:ind w:left="320" w:hanging="270"/>
        <w:spacing w:after="0"/>
        <w:tabs>
          <w:tab w:leader="none" w:pos="32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Acquired amount reduced by impairment of $17,473 from fiscal 2020.</w:t>
      </w:r>
    </w:p>
    <w:p>
      <w:pPr>
        <w:spacing w:after="0" w:line="181" w:lineRule="exact"/>
        <w:rPr>
          <w:sz w:val="20"/>
          <w:szCs w:val="20"/>
          <w:color w:val="auto"/>
        </w:rPr>
      </w:pPr>
    </w:p>
    <w:p>
      <w:pPr>
        <w:ind w:left="60" w:right="399" w:firstLine="427"/>
        <w:spacing w:after="0" w:line="301" w:lineRule="auto"/>
        <w:rPr>
          <w:sz w:val="20"/>
          <w:szCs w:val="20"/>
          <w:color w:val="auto"/>
        </w:rPr>
      </w:pPr>
      <w:r>
        <w:rPr>
          <w:rFonts w:ascii="Arial" w:cs="Arial" w:eastAsia="Arial" w:hAnsi="Arial"/>
          <w:sz w:val="16"/>
          <w:szCs w:val="16"/>
          <w:color w:val="auto"/>
        </w:rPr>
        <w:t>Intangible asset amortization expense was $5.3 million and $21.0 million for the third quarters of fiscal 2021 and 2020, respectively, and $35.7 million and $62.2 million for the first nine months of fiscal 2021 and 2020, respectively. Intangible assets have a weighted average remaining useful life of less than 3 years. The following table presents the estimated future amortization expense for the remainder of fiscal 2021 and the next five fiscal years (in thousands):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2022</w:t>
            </w:r>
          </w:p>
        </w:tc>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2024</w:t>
            </w:r>
          </w:p>
        </w:tc>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2026</w:t>
            </w:r>
          </w:p>
        </w:tc>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Short-term debt consists of the following (carrying balances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April 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w:t>
            </w:r>
          </w:p>
        </w:tc>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w w:val="97"/>
              </w:rPr>
              <w:t>June 27,</w:t>
            </w:r>
          </w:p>
        </w:tc>
      </w:tr>
      <w:tr>
        <w:trPr>
          <w:trHeight w:val="241"/>
        </w:trPr>
        <w:tc>
          <w:tcPr>
            <w:tcW w:w="5180" w:type="dxa"/>
            <w:vAlign w:val="bottom"/>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2020</w:t>
            </w:r>
          </w:p>
        </w:tc>
        <w:tc>
          <w:tcPr>
            <w:tcW w:w="60" w:type="dxa"/>
            <w:vAlign w:val="bottom"/>
          </w:tcPr>
          <w:p>
            <w:pPr>
              <w:spacing w:after="0"/>
              <w:rPr>
                <w:sz w:val="20"/>
                <w:szCs w:val="20"/>
                <w:color w:val="auto"/>
              </w:rPr>
            </w:pPr>
          </w:p>
        </w:tc>
      </w:tr>
      <w:tr>
        <w:trPr>
          <w:trHeight w:val="210"/>
        </w:trPr>
        <w:tc>
          <w:tcPr>
            <w:tcW w:w="51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gridSpan w:val="4"/>
          </w:tcPr>
          <w:p>
            <w:pPr>
              <w:jc w:val="right"/>
              <w:ind w:right="110"/>
              <w:spacing w:after="0" w:line="202" w:lineRule="exact"/>
              <w:rPr>
                <w:sz w:val="20"/>
                <w:szCs w:val="20"/>
                <w:color w:val="auto"/>
              </w:rPr>
            </w:pPr>
            <w:r>
              <w:rPr>
                <w:rFonts w:ascii="Arial" w:cs="Arial" w:eastAsia="Arial" w:hAnsi="Arial"/>
                <w:sz w:val="18"/>
                <w:szCs w:val="18"/>
                <w:b w:val="1"/>
                <w:bCs w:val="1"/>
                <w:color w:val="auto"/>
              </w:rPr>
              <w:t>Interest Rate</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6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w w:val="92"/>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Public notes due December 2021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5180" w:type="dxa"/>
            <w:vAlign w:val="bottom"/>
            <w:tcBorders>
              <w:top w:val="single" w:sz="8" w:color="CCEEFF"/>
            </w:tcBorders>
          </w:tcPr>
          <w:p>
            <w:pPr>
              <w:ind w:left="100"/>
              <w:spacing w:after="0" w:line="203" w:lineRule="exact"/>
              <w:rPr>
                <w:sz w:val="20"/>
                <w:szCs w:val="20"/>
                <w:color w:val="auto"/>
              </w:rPr>
            </w:pPr>
            <w:r>
              <w:rPr>
                <w:rFonts w:ascii="Arial" w:cs="Arial" w:eastAsia="Arial" w:hAnsi="Arial"/>
                <w:sz w:val="18"/>
                <w:szCs w:val="18"/>
                <w:color w:val="auto"/>
              </w:rPr>
              <w:t>Short-term debt</w:t>
            </w:r>
          </w:p>
        </w:tc>
        <w:tc>
          <w:tcPr>
            <w:tcW w:w="8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300,043</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60" w:type="dxa"/>
            <w:vAlign w:val="bottom"/>
            <w:tcBorders>
              <w:top w:val="single" w:sz="8" w:color="CCEEFF"/>
            </w:tcBorders>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32"/>
        <w:spacing w:after="0" w:line="263"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119" w:firstLine="427"/>
        <w:spacing w:after="0" w:line="269" w:lineRule="auto"/>
        <w:rPr>
          <w:sz w:val="20"/>
          <w:szCs w:val="20"/>
          <w:color w:val="auto"/>
        </w:rPr>
      </w:pPr>
      <w:r>
        <w:rPr>
          <w:rFonts w:ascii="Arial" w:cs="Arial" w:eastAsia="Arial" w:hAnsi="Arial"/>
          <w:sz w:val="17"/>
          <w:szCs w:val="17"/>
          <w:color w:val="auto"/>
        </w:rPr>
        <w:t>In July 2020, the Company amended and extended for one year, its trade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$450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$683.3 million and $703.8 million at April 3, 2021 and June 27, 2020, respectively. The Securitization Program contains certain covenants relating to the quality of the receivables sold. Interest on borrowings is calculated using a one-month LIBOR rate plus a spread of 1.05%. The facility fee on the unused balance of the facility is up to 0.40%.</w:t>
      </w:r>
    </w:p>
    <w:p>
      <w:pPr>
        <w:spacing w:after="0" w:line="182" w:lineRule="exact"/>
        <w:rPr>
          <w:sz w:val="20"/>
          <w:szCs w:val="20"/>
          <w:color w:val="auto"/>
        </w:rPr>
      </w:pPr>
    </w:p>
    <w:p>
      <w:pPr>
        <w:ind w:left="60" w:right="299" w:firstLine="427"/>
        <w:spacing w:after="0" w:line="279" w:lineRule="auto"/>
        <w:rPr>
          <w:sz w:val="20"/>
          <w:szCs w:val="20"/>
          <w:color w:val="auto"/>
        </w:rPr>
      </w:pPr>
      <w:r>
        <w:rPr>
          <w:rFonts w:ascii="Arial" w:cs="Arial" w:eastAsia="Arial" w:hAnsi="Arial"/>
          <w:sz w:val="17"/>
          <w:szCs w:val="17"/>
          <w:color w:val="auto"/>
        </w:rPr>
        <w:t>During the third quarter of fiscal 2021, the Company committed to an early redemption of all $300 million of its outstanding 3.75% Public notes due December 2021. The loss on debt extinguishment, primarily related to a contractual make-whole premium, is expected to be approximately $5 million and will be classified as a component of other income (expense), net upon redemption of the notes, which is expected to occur on April 30, 2021.</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consists of the following (carrying balances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5"/>
              </w:rPr>
              <w:t>June 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526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r>
      <w:tr>
        <w:trPr>
          <w:trHeight w:val="210"/>
        </w:trPr>
        <w:tc>
          <w:tcPr>
            <w:tcW w:w="5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ind w:left="300"/>
              <w:spacing w:after="0" w:line="202" w:lineRule="exact"/>
              <w:rPr>
                <w:sz w:val="20"/>
                <w:szCs w:val="20"/>
                <w:color w:val="auto"/>
              </w:rPr>
            </w:pPr>
            <w:r>
              <w:rPr>
                <w:rFonts w:ascii="Arial" w:cs="Arial" w:eastAsia="Arial" w:hAnsi="Arial"/>
                <w:sz w:val="18"/>
                <w:szCs w:val="18"/>
                <w:b w:val="1"/>
                <w:bCs w:val="1"/>
                <w:color w:val="auto"/>
                <w:w w:val="92"/>
              </w:rPr>
              <w:t>Interest</w:t>
            </w:r>
          </w:p>
        </w:tc>
        <w:tc>
          <w:tcPr>
            <w:tcW w:w="6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w w:val="92"/>
              </w:rPr>
              <w:t>Rate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gridSpan w:val="2"/>
          </w:tcPr>
          <w:p>
            <w:pPr>
              <w:jc w:val="right"/>
              <w:ind w:right="210"/>
              <w:spacing w:after="0" w:line="202" w:lineRule="exact"/>
              <w:rPr>
                <w:sz w:val="20"/>
                <w:szCs w:val="20"/>
                <w:color w:val="auto"/>
              </w:rPr>
            </w:pPr>
            <w:r>
              <w:rPr>
                <w:rFonts w:ascii="Arial" w:cs="Arial" w:eastAsia="Arial" w:hAnsi="Arial"/>
                <w:sz w:val="18"/>
                <w:szCs w:val="18"/>
                <w:b w:val="1"/>
                <w:bCs w:val="1"/>
                <w:color w:val="auto"/>
                <w:w w:val="89"/>
              </w:rPr>
              <w:t>Balance</w:t>
            </w:r>
          </w:p>
        </w:tc>
        <w:tc>
          <w:tcPr>
            <w:tcW w:w="40" w:type="dxa"/>
            <w:vAlign w:val="bottom"/>
            <w:tcBorders>
              <w:bottom w:val="single" w:sz="8" w:color="CCEEFF"/>
            </w:tcBorders>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Credit Facility (due June 2023)</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230,000</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Public notes due: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December 2021</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April 2026</w:t>
            </w:r>
          </w:p>
        </w:tc>
        <w:tc>
          <w:tcPr>
            <w:tcW w:w="720" w:type="dxa"/>
            <w:vAlign w:val="bottom"/>
          </w:tcPr>
          <w:p>
            <w:pPr>
              <w:jc w:val="right"/>
              <w:spacing w:after="0"/>
              <w:rPr>
                <w:sz w:val="20"/>
                <w:szCs w:val="20"/>
                <w:color w:val="auto"/>
              </w:rPr>
            </w:pPr>
            <w:r>
              <w:rPr>
                <w:rFonts w:ascii="Arial" w:cs="Arial" w:eastAsia="Arial" w:hAnsi="Arial"/>
                <w:sz w:val="18"/>
                <w:szCs w:val="18"/>
                <w:color w:val="auto"/>
              </w:rPr>
              <w:t>4.63 %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tcPr>
          <w:p>
            <w:pPr>
              <w:spacing w:after="0"/>
              <w:rPr>
                <w:sz w:val="18"/>
                <w:szCs w:val="18"/>
                <w:color w:val="auto"/>
              </w:rPr>
            </w:pPr>
          </w:p>
        </w:tc>
      </w:tr>
      <w:tr>
        <w:trPr>
          <w:trHeight w:val="236"/>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5260" w:type="dxa"/>
            <w:vAlign w:val="bottom"/>
          </w:tcPr>
          <w:p>
            <w:pPr>
              <w:spacing w:after="0" w:line="203" w:lineRule="exact"/>
              <w:rPr>
                <w:sz w:val="20"/>
                <w:szCs w:val="20"/>
                <w:color w:val="auto"/>
              </w:rPr>
            </w:pPr>
            <w:r>
              <w:rPr>
                <w:rFonts w:ascii="Arial" w:cs="Arial" w:eastAsia="Arial" w:hAnsi="Arial"/>
                <w:sz w:val="18"/>
                <w:szCs w:val="18"/>
                <w:color w:val="auto"/>
              </w:rPr>
              <w:t>Long-term debt before discount and debt issuance costs</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901,312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2"/>
              </w:rPr>
              <w:t>1,431,491</w:t>
            </w:r>
          </w:p>
        </w:tc>
        <w:tc>
          <w:tcPr>
            <w:tcW w:w="40" w:type="dxa"/>
            <w:vAlign w:val="bottom"/>
          </w:tcPr>
          <w:p>
            <w:pPr>
              <w:spacing w:after="0"/>
              <w:rPr>
                <w:sz w:val="17"/>
                <w:szCs w:val="17"/>
                <w:color w:val="auto"/>
              </w:rPr>
            </w:pPr>
          </w:p>
        </w:tc>
      </w:tr>
      <w:tr>
        <w:trPr>
          <w:trHeight w:val="236"/>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and debt issuance costs – unamortized</w:t>
            </w: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5260" w:type="dxa"/>
            <w:vAlign w:val="bottom"/>
          </w:tcPr>
          <w:p>
            <w:pPr>
              <w:ind w:left="320"/>
              <w:spacing w:after="0" w:line="203" w:lineRule="exact"/>
              <w:rPr>
                <w:sz w:val="20"/>
                <w:szCs w:val="20"/>
                <w:color w:val="auto"/>
              </w:rPr>
            </w:pPr>
            <w:r>
              <w:rPr>
                <w:rFonts w:ascii="Arial" w:cs="Arial" w:eastAsia="Arial" w:hAnsi="Arial"/>
                <w:sz w:val="18"/>
                <w:szCs w:val="18"/>
                <w:color w:val="auto"/>
              </w:rPr>
              <w:t>Long-term debt</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895,913</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1,424,791</w:t>
            </w:r>
          </w:p>
        </w:tc>
        <w:tc>
          <w:tcPr>
            <w:tcW w:w="4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432"/>
        <w:spacing w:after="0" w:line="253" w:lineRule="auto"/>
        <w:rPr>
          <w:sz w:val="20"/>
          <w:szCs w:val="20"/>
          <w:color w:val="auto"/>
        </w:rPr>
      </w:pPr>
      <w:r>
        <w:rPr>
          <w:rFonts w:ascii="Arial" w:cs="Arial" w:eastAsia="Arial" w:hAnsi="Arial"/>
          <w:sz w:val="18"/>
          <w:szCs w:val="18"/>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which were amended during the first quarter of fiscal 2021, requiring the Company to maintain minimum interest coverage and leverage ratios, which the Company was in compliance with as of April 3, 2021, and June 27, 2020.</w:t>
      </w:r>
    </w:p>
    <w:p>
      <w:pPr>
        <w:spacing w:after="0" w:line="196" w:lineRule="exact"/>
        <w:rPr>
          <w:sz w:val="20"/>
          <w:szCs w:val="20"/>
          <w:color w:val="auto"/>
        </w:rPr>
      </w:pPr>
    </w:p>
    <w:p>
      <w:pPr>
        <w:ind w:left="60" w:right="419" w:firstLine="432"/>
        <w:spacing w:after="0" w:line="277" w:lineRule="auto"/>
        <w:rPr>
          <w:sz w:val="20"/>
          <w:szCs w:val="20"/>
          <w:color w:val="auto"/>
        </w:rPr>
      </w:pPr>
      <w:r>
        <w:rPr>
          <w:rFonts w:ascii="Arial" w:cs="Arial" w:eastAsia="Arial" w:hAnsi="Arial"/>
          <w:sz w:val="18"/>
          <w:szCs w:val="18"/>
          <w:color w:val="auto"/>
        </w:rPr>
        <w:t>As of April 3, 2021, and June 27, 2020, there were $1.3 million and $1.6 million, respectively, in letters of credit issued under the Credit Facility.</w:t>
      </w:r>
    </w:p>
    <w:p>
      <w:pPr>
        <w:spacing w:after="0" w:line="170" w:lineRule="exact"/>
        <w:rPr>
          <w:sz w:val="20"/>
          <w:szCs w:val="20"/>
          <w:color w:val="auto"/>
        </w:rPr>
      </w:pPr>
    </w:p>
    <w:p>
      <w:pPr>
        <w:ind w:left="60" w:right="59" w:firstLine="427"/>
        <w:spacing w:after="0" w:line="286" w:lineRule="auto"/>
        <w:rPr>
          <w:sz w:val="20"/>
          <w:szCs w:val="20"/>
          <w:color w:val="auto"/>
        </w:rPr>
      </w:pPr>
      <w:r>
        <w:rPr>
          <w:rFonts w:ascii="Arial" w:cs="Arial" w:eastAsia="Arial" w:hAnsi="Arial"/>
          <w:sz w:val="17"/>
          <w:szCs w:val="17"/>
          <w:color w:val="auto"/>
        </w:rPr>
        <w:t>As of April 3, 2021, the carrying value and fair value of the Company’s total debt was $1.20 billion and $1.28 billion, respectively. At June 27, 2020, the carrying value and fair value of the Company’s total debt was $1.42 billion and $1.52 billion, respectively. Fair value for the public notes was estimated based upon quoted market prices and for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other forms of debt fair value approximates carrying value due to the market based variable nature of the interest rates on those debt facilities.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left="60" w:right="179" w:firstLine="427"/>
        <w:spacing w:after="0" w:line="259" w:lineRule="auto"/>
        <w:rPr>
          <w:sz w:val="20"/>
          <w:szCs w:val="20"/>
          <w:color w:val="auto"/>
        </w:rPr>
      </w:pPr>
      <w:r>
        <w:rPr>
          <w:rFonts w:ascii="Arial" w:cs="Arial" w:eastAsia="Arial" w:hAnsi="Arial"/>
          <w:sz w:val="18"/>
          <w:szCs w:val="18"/>
          <w:color w:val="auto"/>
        </w:rPr>
        <w:t>Substantially all the Company’s leases are classified as operating leases and are predominately related to real property for distribution centers, office space and integration facilities with a lease term of up to 17 years. The Company’s equipment leases are primarily for automobiles and equipment and are not material to the consolidated financial statements.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5"/>
          </w:tcPr>
          <w:p>
            <w:pPr>
              <w:ind w:left="40"/>
              <w:spacing w:after="0"/>
              <w:rPr>
                <w:sz w:val="20"/>
                <w:szCs w:val="20"/>
                <w:color w:val="auto"/>
              </w:rPr>
            </w:pPr>
            <w:r>
              <w:rPr>
                <w:rFonts w:ascii="Arial" w:cs="Arial" w:eastAsia="Arial" w:hAnsi="Arial"/>
                <w:sz w:val="18"/>
                <w:szCs w:val="18"/>
                <w:b w:val="1"/>
                <w:bCs w:val="1"/>
                <w:color w:val="auto"/>
              </w:rPr>
              <w:t>Third Quarters Ended</w:t>
            </w:r>
          </w:p>
        </w:tc>
        <w:tc>
          <w:tcPr>
            <w:tcW w:w="160" w:type="dxa"/>
            <w:vAlign w:val="bottom"/>
          </w:tcPr>
          <w:p>
            <w:pPr>
              <w:spacing w:after="0"/>
              <w:rPr>
                <w:sz w:val="20"/>
                <w:szCs w:val="20"/>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7"/>
              </w:rPr>
              <w:t>Nine Months Ended</w:t>
            </w:r>
          </w:p>
        </w:tc>
      </w:tr>
      <w:tr>
        <w:trPr>
          <w:trHeight w:val="198"/>
        </w:trPr>
        <w:tc>
          <w:tcPr>
            <w:tcW w:w="46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April 3,</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1"/>
              </w:rPr>
              <w:t>March 28,</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April 3,</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3"/>
              </w:rPr>
              <w:t>March 28,</w:t>
            </w:r>
          </w:p>
        </w:tc>
      </w:tr>
      <w:tr>
        <w:trPr>
          <w:trHeight w:val="241"/>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57,633</w:t>
            </w: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15,594</w:t>
            </w:r>
          </w:p>
        </w:tc>
      </w:tr>
      <w:tr>
        <w:trPr>
          <w:trHeight w:val="216"/>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73,227</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4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Future minimum operating lease payments as of April 3, 2021, are as follows (in thousands):</w:t>
      </w: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Remainder of fiscal 2021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future operating lease payments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imputed interest on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operating lease liabilities</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Other information pertaining to operating leases as of April 3, 2021, consists of the following:</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Weighted-average remaining lease term in years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1" w:hanging="421"/>
        <w:spacing w:after="0"/>
        <w:tabs>
          <w:tab w:leader="none" w:pos="421" w:val="left"/>
        </w:tabs>
        <w:numPr>
          <w:ilvl w:val="0"/>
          <w:numId w:val="6"/>
        </w:numPr>
        <w:rPr>
          <w:rFonts w:ascii="Arial" w:cs="Arial" w:eastAsia="Arial" w:hAnsi="Arial"/>
          <w:sz w:val="18"/>
          <w:szCs w:val="18"/>
          <w:color w:val="auto"/>
        </w:rPr>
      </w:pPr>
      <w:r>
        <w:rPr>
          <w:rFonts w:ascii="Arial" w:cs="Arial" w:eastAsia="Arial" w:hAnsi="Arial"/>
          <w:sz w:val="18"/>
          <w:szCs w:val="18"/>
          <w:color w:val="auto"/>
        </w:rPr>
        <w:t>18,649</w:t>
      </w:r>
    </w:p>
    <w:p>
      <w:pPr>
        <w:spacing w:after="0" w:line="23" w:lineRule="exact"/>
        <w:rPr>
          <w:rFonts w:ascii="Arial" w:cs="Arial" w:eastAsia="Arial" w:hAnsi="Arial"/>
          <w:sz w:val="18"/>
          <w:szCs w:val="18"/>
          <w:color w:val="auto"/>
        </w:rPr>
      </w:pPr>
    </w:p>
    <w:p>
      <w:pPr>
        <w:ind w:left="421"/>
        <w:spacing w:after="0"/>
        <w:rPr>
          <w:rFonts w:ascii="Arial" w:cs="Arial" w:eastAsia="Arial" w:hAnsi="Arial"/>
          <w:sz w:val="18"/>
          <w:szCs w:val="18"/>
          <w:color w:val="auto"/>
        </w:rPr>
      </w:pPr>
      <w:r>
        <w:rPr>
          <w:rFonts w:ascii="Arial" w:cs="Arial" w:eastAsia="Arial" w:hAnsi="Arial"/>
          <w:sz w:val="18"/>
          <w:szCs w:val="18"/>
          <w:color w:val="auto"/>
        </w:rPr>
        <w:t>63,946</w:t>
      </w:r>
    </w:p>
    <w:p>
      <w:pPr>
        <w:spacing w:after="0" w:line="9" w:lineRule="exact"/>
        <w:rPr>
          <w:rFonts w:ascii="Arial" w:cs="Arial" w:eastAsia="Arial" w:hAnsi="Arial"/>
          <w:sz w:val="18"/>
          <w:szCs w:val="18"/>
          <w:color w:val="auto"/>
        </w:rPr>
      </w:pPr>
    </w:p>
    <w:p>
      <w:pPr>
        <w:ind w:left="421"/>
        <w:spacing w:after="0"/>
        <w:rPr>
          <w:rFonts w:ascii="Arial" w:cs="Arial" w:eastAsia="Arial" w:hAnsi="Arial"/>
          <w:sz w:val="18"/>
          <w:szCs w:val="18"/>
          <w:color w:val="auto"/>
        </w:rPr>
      </w:pPr>
      <w:r>
        <w:rPr>
          <w:rFonts w:ascii="Arial" w:cs="Arial" w:eastAsia="Arial" w:hAnsi="Arial"/>
          <w:sz w:val="18"/>
          <w:szCs w:val="18"/>
          <w:color w:val="auto"/>
        </w:rPr>
        <w:t>54,508</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39,425</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32,493</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162,426</w:t>
      </w:r>
    </w:p>
    <w:p>
      <w:pPr>
        <w:spacing w:after="0" w:line="2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371,447</w:t>
      </w:r>
    </w:p>
    <w:p>
      <w:pPr>
        <w:spacing w:after="0" w:line="35" w:lineRule="exact"/>
        <w:rPr>
          <w:sz w:val="20"/>
          <w:szCs w:val="20"/>
          <w:color w:val="auto"/>
        </w:rPr>
      </w:pPr>
    </w:p>
    <w:p>
      <w:pPr>
        <w:ind w:left="381"/>
        <w:spacing w:after="0"/>
        <w:rPr>
          <w:sz w:val="20"/>
          <w:szCs w:val="20"/>
          <w:color w:val="auto"/>
        </w:rPr>
      </w:pPr>
      <w:r>
        <w:rPr>
          <w:rFonts w:ascii="Arial" w:cs="Arial" w:eastAsia="Arial" w:hAnsi="Arial"/>
          <w:sz w:val="16"/>
          <w:szCs w:val="16"/>
          <w:color w:val="auto"/>
        </w:rPr>
        <w:t>(64,157)</w:t>
      </w:r>
    </w:p>
    <w:p>
      <w:pPr>
        <w:spacing w:after="0" w:line="45" w:lineRule="exact"/>
        <w:rPr>
          <w:sz w:val="20"/>
          <w:szCs w:val="20"/>
          <w:color w:val="auto"/>
        </w:rPr>
      </w:pPr>
    </w:p>
    <w:p>
      <w:pPr>
        <w:ind w:left="341" w:hanging="341"/>
        <w:spacing w:after="0"/>
        <w:tabs>
          <w:tab w:leader="none" w:pos="341" w:val="left"/>
        </w:tabs>
        <w:numPr>
          <w:ilvl w:val="0"/>
          <w:numId w:val="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307,290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25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1"/>
        <w:spacing w:after="0"/>
        <w:rPr>
          <w:sz w:val="20"/>
          <w:szCs w:val="20"/>
          <w:color w:val="auto"/>
        </w:rPr>
      </w:pPr>
      <w:r>
        <w:rPr>
          <w:rFonts w:ascii="Arial" w:cs="Arial" w:eastAsia="Arial" w:hAnsi="Arial"/>
          <w:sz w:val="18"/>
          <w:szCs w:val="18"/>
          <w:color w:val="auto"/>
        </w:rPr>
        <w:t>9.2</w:t>
      </w:r>
    </w:p>
    <w:p>
      <w:pPr>
        <w:spacing w:after="0" w:line="23" w:lineRule="exact"/>
        <w:rPr>
          <w:sz w:val="20"/>
          <w:szCs w:val="20"/>
          <w:color w:val="auto"/>
        </w:rPr>
      </w:pPr>
    </w:p>
    <w:p>
      <w:pPr>
        <w:ind w:left="541"/>
        <w:spacing w:after="0"/>
        <w:rPr>
          <w:sz w:val="20"/>
          <w:szCs w:val="20"/>
          <w:color w:val="auto"/>
        </w:rPr>
      </w:pPr>
      <w:r>
        <w:rPr>
          <w:rFonts w:ascii="Arial" w:cs="Arial" w:eastAsia="Arial" w:hAnsi="Arial"/>
          <w:sz w:val="17"/>
          <w:szCs w:val="17"/>
          <w:color w:val="auto"/>
        </w:rPr>
        <w:t>3.8 %</w:t>
      </w:r>
    </w:p>
    <w:p>
      <w:pPr>
        <w:spacing w:after="0" w:line="211" w:lineRule="exact"/>
        <w:rPr>
          <w:sz w:val="20"/>
          <w:szCs w:val="20"/>
          <w:color w:val="auto"/>
        </w:rPr>
      </w:pPr>
    </w:p>
    <w:p>
      <w:pPr>
        <w:sectPr>
          <w:pgSz w:w="11900" w:h="16838" w:orient="portrait"/>
          <w:cols w:equalWidth="0" w:num="2">
            <w:col w:w="7260" w:space="539"/>
            <w:col w:w="1220"/>
          </w:cols>
          <w:pgMar w:left="1440" w:top="544" w:right="1440" w:bottom="1440" w:gutter="0" w:footer="0" w:header="0"/>
          <w:type w:val="continuous"/>
        </w:sectPr>
      </w:pPr>
    </w:p>
    <w:p>
      <w:pPr>
        <w:spacing w:after="0" w:line="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information related to the Company’s operating leases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ind w:left="3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6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140"/>
              <w:spacing w:after="0" w:line="198" w:lineRule="exact"/>
              <w:rPr>
                <w:sz w:val="20"/>
                <w:szCs w:val="20"/>
                <w:color w:val="auto"/>
              </w:rPr>
            </w:pPr>
            <w:r>
              <w:rPr>
                <w:rFonts w:ascii="Arial" w:cs="Arial" w:eastAsia="Arial" w:hAnsi="Arial"/>
                <w:sz w:val="18"/>
                <w:szCs w:val="18"/>
                <w:b w:val="1"/>
                <w:bCs w:val="1"/>
                <w:color w:val="auto"/>
              </w:rPr>
              <w:t>April 3,</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March 28,</w:t>
            </w:r>
          </w:p>
        </w:tc>
        <w:tc>
          <w:tcPr>
            <w:tcW w:w="20" w:type="dxa"/>
            <w:vAlign w:val="bottom"/>
          </w:tcPr>
          <w:p>
            <w:pPr>
              <w:spacing w:after="0"/>
              <w:rPr>
                <w:sz w:val="17"/>
                <w:szCs w:val="17"/>
                <w:color w:val="auto"/>
              </w:rPr>
            </w:pPr>
          </w:p>
        </w:tc>
      </w:tr>
      <w:tr>
        <w:trPr>
          <w:trHeight w:val="241"/>
        </w:trPr>
        <w:tc>
          <w:tcPr>
            <w:tcW w:w="6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46,418</w:t>
            </w:r>
          </w:p>
        </w:tc>
        <w:tc>
          <w:tcPr>
            <w:tcW w:w="2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20" w:type="dxa"/>
            <w:vAlign w:val="bottom"/>
          </w:tcPr>
          <w:p>
            <w:pPr>
              <w:spacing w:after="0"/>
              <w:rPr>
                <w:sz w:val="18"/>
                <w:szCs w:val="18"/>
                <w:color w:val="auto"/>
              </w:rPr>
            </w:pPr>
          </w:p>
        </w:tc>
      </w:tr>
      <w:tr>
        <w:trPr>
          <w:trHeight w:val="675"/>
        </w:trPr>
        <w:tc>
          <w:tcPr>
            <w:tcW w:w="6180" w:type="dxa"/>
            <w:vAlign w:val="bottom"/>
          </w:tcPr>
          <w:p>
            <w:pPr>
              <w:jc w:val="right"/>
              <w:ind w:right="15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Derivative financial instruments</w:t>
      </w:r>
    </w:p>
    <w:p>
      <w:pPr>
        <w:spacing w:after="0" w:line="229" w:lineRule="exact"/>
        <w:rPr>
          <w:sz w:val="20"/>
          <w:szCs w:val="20"/>
          <w:color w:val="auto"/>
        </w:rPr>
      </w:pPr>
    </w:p>
    <w:p>
      <w:pPr>
        <w:ind w:left="60" w:right="79" w:firstLine="427"/>
        <w:spacing w:after="0" w:line="283"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but no longer than one year (“economic hedges”).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April 3, 2021, and June 27,</w:t>
      </w:r>
    </w:p>
    <w:p>
      <w:pPr>
        <w:spacing w:after="0" w:line="5"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2020.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90" w:lineRule="exact"/>
        <w:rPr>
          <w:sz w:val="20"/>
          <w:szCs w:val="20"/>
          <w:color w:val="auto"/>
        </w:rPr>
      </w:pPr>
    </w:p>
    <w:p>
      <w:pPr>
        <w:ind w:left="60" w:right="179" w:firstLine="427"/>
        <w:spacing w:after="0" w:line="263"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derivative financial instruments for trading or speculative purposes and monitors the financial stability and credit standing of its counterparties.</w:t>
      </w:r>
    </w:p>
    <w:p>
      <w:pPr>
        <w:spacing w:after="0" w:line="184" w:lineRule="exact"/>
        <w:rPr>
          <w:sz w:val="20"/>
          <w:szCs w:val="20"/>
          <w:color w:val="auto"/>
        </w:rPr>
      </w:pPr>
    </w:p>
    <w:p>
      <w:pPr>
        <w:ind w:left="60" w:right="79" w:firstLine="427"/>
        <w:spacing w:after="0" w:line="275"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76" w:lineRule="exact"/>
        <w:rPr>
          <w:sz w:val="20"/>
          <w:szCs w:val="20"/>
          <w:color w:val="auto"/>
        </w:rPr>
      </w:pPr>
    </w:p>
    <w:p>
      <w:pPr>
        <w:ind w:left="60" w:right="119" w:firstLine="427"/>
        <w:spacing w:after="0" w:line="277" w:lineRule="auto"/>
        <w:rPr>
          <w:sz w:val="20"/>
          <w:szCs w:val="20"/>
          <w:color w:val="auto"/>
        </w:rPr>
      </w:pPr>
      <w:r>
        <w:rPr>
          <w:rFonts w:ascii="Arial" w:cs="Arial" w:eastAsia="Arial" w:hAnsi="Arial"/>
          <w:sz w:val="18"/>
          <w:szCs w:val="18"/>
          <w:color w:val="auto"/>
        </w:rPr>
        <w:t>The fair values of forward foreign currency exchange contracts not receiving hedge accounting treatment recorded in the Company’s consolidated balance sheets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r>
      <w:tr>
        <w:trPr>
          <w:trHeight w:val="203"/>
        </w:trPr>
        <w:tc>
          <w:tcPr>
            <w:tcW w:w="6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4"/>
          </w:tcPr>
          <w:p>
            <w:pPr>
              <w:jc w:val="right"/>
              <w:ind w:right="730"/>
              <w:spacing w:after="0" w:line="202" w:lineRule="exact"/>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7"/>
                <w:szCs w:val="17"/>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40" w:type="dxa"/>
            <w:vAlign w:val="bottom"/>
            <w:shd w:val="clear" w:color="auto" w:fill="CCEEFF"/>
          </w:tcPr>
          <w:p>
            <w:pPr>
              <w:spacing w:after="0"/>
              <w:rPr>
                <w:sz w:val="18"/>
                <w:szCs w:val="18"/>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24,196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15,605</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left="60" w:right="79" w:firstLine="427"/>
        <w:spacing w:after="0" w:line="277" w:lineRule="auto"/>
        <w:rPr>
          <w:sz w:val="20"/>
          <w:szCs w:val="20"/>
          <w:color w:val="auto"/>
        </w:rPr>
      </w:pPr>
      <w:r>
        <w:rPr>
          <w:rFonts w:ascii="Arial" w:cs="Arial" w:eastAsia="Arial" w:hAnsi="Arial"/>
          <w:sz w:val="18"/>
          <w:szCs w:val="18"/>
          <w:color w:val="auto"/>
        </w:rPr>
        <w:t>The amounts recorded to other income (expense), net, related to derivative financial instruments for economic hedges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ind w:left="60"/>
              <w:spacing w:after="0"/>
              <w:rPr>
                <w:sz w:val="20"/>
                <w:szCs w:val="20"/>
                <w:color w:val="auto"/>
              </w:rPr>
            </w:pPr>
            <w:r>
              <w:rPr>
                <w:rFonts w:ascii="Arial" w:cs="Arial" w:eastAsia="Arial" w:hAnsi="Arial"/>
                <w:sz w:val="18"/>
                <w:szCs w:val="18"/>
                <w:b w:val="1"/>
                <w:bCs w:val="1"/>
                <w:color w:val="auto"/>
              </w:rPr>
              <w:t>Third Quarters Ended</w:t>
            </w:r>
          </w:p>
        </w:tc>
        <w:tc>
          <w:tcPr>
            <w:tcW w:w="160" w:type="dxa"/>
            <w:vAlign w:val="bottom"/>
          </w:tcPr>
          <w:p>
            <w:pPr>
              <w:spacing w:after="0"/>
              <w:rPr>
                <w:sz w:val="20"/>
                <w:szCs w:val="20"/>
                <w:color w:val="auto"/>
              </w:rPr>
            </w:pPr>
          </w:p>
        </w:tc>
        <w:tc>
          <w:tcPr>
            <w:tcW w:w="20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9"/>
              </w:rPr>
              <w:t>Nine Months Ended</w:t>
            </w:r>
          </w:p>
        </w:tc>
      </w:tr>
      <w:tr>
        <w:trPr>
          <w:trHeight w:val="198"/>
        </w:trPr>
        <w:tc>
          <w:tcPr>
            <w:tcW w:w="46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April 3,</w:t>
            </w: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March 28,</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4"/>
              </w:rPr>
              <w:t>April 3,</w:t>
            </w:r>
          </w:p>
        </w:tc>
        <w:tc>
          <w:tcPr>
            <w:tcW w:w="9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3"/>
              </w:rPr>
              <w:t>March 28,</w:t>
            </w:r>
          </w:p>
        </w:tc>
      </w:tr>
      <w:tr>
        <w:trPr>
          <w:trHeight w:val="241"/>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4"/>
          </w:tcPr>
          <w:p>
            <w:pPr>
              <w:ind w:left="480"/>
              <w:spacing w:after="0" w:line="202" w:lineRule="exact"/>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financial instrument (loss) gain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r>
    </w:tbl>
    <w:p>
      <w:pPr>
        <w:spacing w:after="0" w:line="202" w:lineRule="exact"/>
        <w:rPr>
          <w:sz w:val="20"/>
          <w:szCs w:val="20"/>
          <w:color w:val="auto"/>
        </w:rPr>
      </w:pPr>
    </w:p>
    <w:p>
      <w:pPr>
        <w:ind w:left="60" w:right="339" w:firstLine="427"/>
        <w:spacing w:after="0" w:line="263"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left="60" w:right="179" w:firstLine="42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ind w:left="60" w:right="79" w:firstLine="427"/>
        <w:spacing w:after="0" w:line="273"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with regard to matters in early stages.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78" w:lineRule="exact"/>
        <w:rPr>
          <w:sz w:val="20"/>
          <w:szCs w:val="20"/>
          <w:color w:val="auto"/>
        </w:rPr>
      </w:pPr>
    </w:p>
    <w:p>
      <w:pPr>
        <w:ind w:left="60" w:right="219" w:firstLine="427"/>
        <w:spacing w:after="0" w:line="263" w:lineRule="auto"/>
        <w:rPr>
          <w:sz w:val="20"/>
          <w:szCs w:val="20"/>
          <w:color w:val="auto"/>
        </w:rPr>
      </w:pPr>
      <w:r>
        <w:rPr>
          <w:rFonts w:ascii="Arial" w:cs="Arial" w:eastAsia="Arial" w:hAnsi="Arial"/>
          <w:sz w:val="18"/>
          <w:szCs w:val="18"/>
          <w:color w:val="auto"/>
        </w:rPr>
        <w:t>As of April 3, 2021, and June 27, 2020, the Company had aggregate estimated liabilities of $14.7 million and $18.8 million, respectively, classified within accrued expenses and other for such compliance-related matters that were reasonably estimable as of such dates.</w:t>
      </w:r>
    </w:p>
    <w:p>
      <w:pPr>
        <w:spacing w:after="0" w:line="184" w:lineRule="exact"/>
        <w:rPr>
          <w:sz w:val="20"/>
          <w:szCs w:val="20"/>
          <w:color w:val="auto"/>
        </w:rPr>
      </w:pPr>
    </w:p>
    <w:p>
      <w:pPr>
        <w:ind w:left="60" w:right="199" w:firstLine="427"/>
        <w:spacing w:after="0" w:line="277" w:lineRule="auto"/>
        <w:rPr>
          <w:sz w:val="20"/>
          <w:szCs w:val="20"/>
          <w:color w:val="auto"/>
        </w:rPr>
      </w:pPr>
      <w:r>
        <w:rPr>
          <w:rFonts w:ascii="Arial" w:cs="Arial" w:eastAsia="Arial" w:hAnsi="Arial"/>
          <w:sz w:val="18"/>
          <w:szCs w:val="18"/>
          <w:color w:val="auto"/>
        </w:rPr>
        <w:t>During the first nine months of fiscal 2021, the Company recorded a gain on legal settlement of $8.2 million, which is classified as a component of Restructuring, integration and other expenses.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Company’s effective tax rate on its income before taxes was a benefit of 53.3% in the third quarter of fiscal</w:t>
      </w:r>
    </w:p>
    <w:p>
      <w:pPr>
        <w:spacing w:after="0" w:line="23" w:lineRule="exact"/>
        <w:rPr>
          <w:sz w:val="20"/>
          <w:szCs w:val="20"/>
          <w:color w:val="auto"/>
        </w:rPr>
      </w:pPr>
    </w:p>
    <w:p>
      <w:pPr>
        <w:jc w:val="both"/>
        <w:ind w:left="60" w:right="159"/>
        <w:spacing w:after="0" w:line="255" w:lineRule="auto"/>
        <w:rPr>
          <w:sz w:val="20"/>
          <w:szCs w:val="20"/>
          <w:color w:val="auto"/>
        </w:rPr>
      </w:pPr>
      <w:r>
        <w:rPr>
          <w:rFonts w:ascii="Arial" w:cs="Arial" w:eastAsia="Arial" w:hAnsi="Arial"/>
          <w:sz w:val="18"/>
          <w:szCs w:val="18"/>
          <w:color w:val="auto"/>
        </w:rPr>
        <w:t>2021. During the third quarter of fiscal 2021, the Company’s effective tax rate was favorably impacted primarily by (i) the tax benefit arising from the reduction in value of certain businesses for income tax purposes and (ii) decreases to valuation allowances, partially offset by (iii) increases to unrecognized tax benefit reserves.</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third quarter of fiscal 2020, the Company’s effective tax rate on its loss before taxes was a benefit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18.6%. During the third quarter of fiscal 2020, the Company’s effective tax rate was unfavorably impacted primarily by (i)</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impairment of goodwill that is not deductible for tax purposes, partially offset by (ii) the release of unrecognized tax</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benefit reserves net of settlements.</w:t>
      </w:r>
    </w:p>
    <w:p>
      <w:pPr>
        <w:spacing w:after="0" w:line="211"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6"/>
          <w:szCs w:val="16"/>
          <w:color w:val="auto"/>
        </w:rPr>
        <w:t>For the first nine months of fiscal 2021, the Company’s effective tax rate on its income before taxes was a benefit of 32.7%. The effective tax rate for the first nine months of fiscal 2021 was favorably impacted primarily by (i) the tax benefit arising from the reduction in value of certain businesses for income tax purposes, (ii) decreases to valuation allowances, and (iii) the mix of income in lower tax jurisdictions, partially offset by (iv) increases to unrecognized tax benefit reserves.</w:t>
      </w:r>
    </w:p>
    <w:p>
      <w:pPr>
        <w:spacing w:after="0" w:line="157" w:lineRule="exact"/>
        <w:rPr>
          <w:sz w:val="20"/>
          <w:szCs w:val="20"/>
          <w:color w:val="auto"/>
        </w:rPr>
      </w:pPr>
    </w:p>
    <w:p>
      <w:pPr>
        <w:jc w:val="both"/>
        <w:ind w:left="60" w:right="99" w:firstLine="427"/>
        <w:spacing w:after="0" w:line="287" w:lineRule="auto"/>
        <w:rPr>
          <w:sz w:val="20"/>
          <w:szCs w:val="20"/>
          <w:color w:val="auto"/>
        </w:rPr>
      </w:pPr>
      <w:r>
        <w:rPr>
          <w:rFonts w:ascii="Arial" w:cs="Arial" w:eastAsia="Arial" w:hAnsi="Arial"/>
          <w:sz w:val="16"/>
          <w:szCs w:val="16"/>
          <w:color w:val="auto"/>
        </w:rPr>
        <w:t>During the first nine months of fiscal 2020, the Company’s effective tax rate on its loss before taxes was a benefit of 26.6%. The effective tax rate for the first nine months of fiscal 2020 was favorably impacted primarily by (i) the release of unrecognized tax benefit reserves net of settlements and (ii) the mix of income in lower tax jurisdictions, partially offset by</w:t>
      </w:r>
    </w:p>
    <w:p>
      <w:pPr>
        <w:spacing w:after="0" w:line="2" w:lineRule="exact"/>
        <w:rPr>
          <w:sz w:val="20"/>
          <w:szCs w:val="20"/>
          <w:color w:val="auto"/>
        </w:rPr>
      </w:pPr>
    </w:p>
    <w:p>
      <w:pPr>
        <w:ind w:left="60" w:right="79" w:hanging="10"/>
        <w:spacing w:after="0" w:line="260" w:lineRule="auto"/>
        <w:tabs>
          <w:tab w:leader="none" w:pos="375"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impairment expense that is not deductible for tax purposes and (iv) a valuation allowance against deferred tax assets.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Pension plan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 Components of net periodic pension cost for the Plan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Third Quarters Ended</w:t>
            </w:r>
          </w:p>
        </w:tc>
        <w:tc>
          <w:tcPr>
            <w:tcW w:w="180" w:type="dxa"/>
            <w:vAlign w:val="bottom"/>
          </w:tcPr>
          <w:p>
            <w:pPr>
              <w:spacing w:after="0"/>
              <w:rPr>
                <w:sz w:val="20"/>
                <w:szCs w:val="20"/>
                <w:color w:val="auto"/>
              </w:rPr>
            </w:pPr>
          </w:p>
        </w:tc>
        <w:tc>
          <w:tcPr>
            <w:tcW w:w="23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April 3,</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March 28,</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April 3,</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28,</w:t>
            </w:r>
          </w:p>
        </w:tc>
        <w:tc>
          <w:tcPr>
            <w:tcW w:w="20" w:type="dxa"/>
            <w:vAlign w:val="bottom"/>
          </w:tcPr>
          <w:p>
            <w:pPr>
              <w:spacing w:after="0"/>
              <w:rPr>
                <w:sz w:val="17"/>
                <w:szCs w:val="17"/>
                <w:color w:val="auto"/>
              </w:rPr>
            </w:pPr>
          </w:p>
        </w:tc>
      </w:tr>
      <w:tr>
        <w:trPr>
          <w:trHeight w:val="241"/>
        </w:trPr>
        <w:tc>
          <w:tcPr>
            <w:tcW w:w="3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3"/>
        </w:trPr>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jc w:val="right"/>
              <w:ind w:right="730"/>
              <w:spacing w:after="0" w:line="202" w:lineRule="exact"/>
              <w:rPr>
                <w:sz w:val="20"/>
                <w:szCs w:val="20"/>
                <w:color w:val="auto"/>
              </w:rPr>
            </w:pPr>
            <w:r>
              <w:rPr>
                <w:rFonts w:ascii="Arial" w:cs="Arial" w:eastAsia="Arial" w:hAnsi="Arial"/>
                <w:sz w:val="18"/>
                <w:szCs w:val="18"/>
                <w:b w:val="1"/>
                <w:bCs w:val="1"/>
                <w:color w:val="auto"/>
              </w:rPr>
              <w:t>(Thousands)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20" w:type="dxa"/>
            <w:vAlign w:val="bottom"/>
          </w:tcPr>
          <w:p>
            <w:pPr>
              <w:spacing w:after="0"/>
              <w:rPr>
                <w:sz w:val="20"/>
                <w:szCs w:val="20"/>
                <w:color w:val="auto"/>
              </w:rPr>
            </w:pPr>
          </w:p>
        </w:tc>
      </w:tr>
      <w:tr>
        <w:trPr>
          <w:trHeight w:val="175"/>
        </w:trPr>
        <w:tc>
          <w:tcPr>
            <w:tcW w:w="3620" w:type="dxa"/>
            <w:vAlign w:val="bottom"/>
          </w:tcPr>
          <w:p>
            <w:pPr>
              <w:ind w:left="100"/>
              <w:spacing w:after="0" w:line="176" w:lineRule="exact"/>
              <w:rPr>
                <w:sz w:val="20"/>
                <w:szCs w:val="20"/>
                <w:color w:val="auto"/>
              </w:rPr>
            </w:pPr>
            <w:r>
              <w:rPr>
                <w:rFonts w:ascii="Arial" w:cs="Arial" w:eastAsia="Arial" w:hAnsi="Arial"/>
                <w:sz w:val="18"/>
                <w:szCs w:val="18"/>
                <w:color w:val="auto"/>
                <w:w w:val="98"/>
              </w:rPr>
              <w:t>Total net periodic pension cost within selling,</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620" w:type="dxa"/>
            <w:vAlign w:val="bottom"/>
          </w:tcPr>
          <w:p>
            <w:pPr>
              <w:ind w:left="10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11,358</w:t>
            </w:r>
          </w:p>
        </w:tc>
        <w:tc>
          <w:tcPr>
            <w:tcW w:w="2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16,914</w:t>
            </w:r>
          </w:p>
        </w:tc>
        <w:tc>
          <w:tcPr>
            <w:tcW w:w="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(37,261)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(38,003)</w:t>
            </w:r>
          </w:p>
        </w:tc>
        <w:tc>
          <w:tcPr>
            <w:tcW w:w="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1,603</w:t>
            </w:r>
          </w:p>
        </w:tc>
        <w:tc>
          <w:tcPr>
            <w:tcW w:w="20" w:type="dxa"/>
            <w:vAlign w:val="bottom"/>
          </w:tcPr>
          <w:p>
            <w:pPr>
              <w:spacing w:after="0"/>
              <w:rPr>
                <w:sz w:val="18"/>
                <w:szCs w:val="18"/>
                <w:color w:val="auto"/>
              </w:rPr>
            </w:pPr>
          </w:p>
        </w:tc>
      </w:tr>
      <w:tr>
        <w:trPr>
          <w:trHeight w:val="236"/>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15,453</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20" w:type="dxa"/>
            <w:vAlign w:val="bottom"/>
          </w:tcPr>
          <w:p>
            <w:pPr>
              <w:spacing w:after="0"/>
              <w:rPr>
                <w:sz w:val="20"/>
                <w:szCs w:val="20"/>
                <w:color w:val="auto"/>
              </w:rPr>
            </w:pPr>
          </w:p>
        </w:tc>
      </w:tr>
      <w:tr>
        <w:trPr>
          <w:trHeight w:val="175"/>
        </w:trPr>
        <w:tc>
          <w:tcPr>
            <w:tcW w:w="3620" w:type="dxa"/>
            <w:vAlign w:val="bottom"/>
          </w:tcPr>
          <w:p>
            <w:pPr>
              <w:ind w:left="100"/>
              <w:spacing w:after="0" w:line="176" w:lineRule="exact"/>
              <w:rPr>
                <w:sz w:val="20"/>
                <w:szCs w:val="20"/>
                <w:color w:val="auto"/>
              </w:rPr>
            </w:pPr>
            <w:r>
              <w:rPr>
                <w:rFonts w:ascii="Arial" w:cs="Arial" w:eastAsia="Arial" w:hAnsi="Arial"/>
                <w:sz w:val="18"/>
                <w:szCs w:val="18"/>
                <w:color w:val="auto"/>
                <w:w w:val="96"/>
              </w:rPr>
              <w:t>Total net periodic pension benefit within other</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620" w:type="dxa"/>
            <w:vAlign w:val="bottom"/>
          </w:tcPr>
          <w:p>
            <w:pPr>
              <w:ind w:left="100"/>
              <w:spacing w:after="0"/>
              <w:rPr>
                <w:sz w:val="20"/>
                <w:szCs w:val="20"/>
                <w:color w:val="auto"/>
              </w:rPr>
            </w:pPr>
            <w:r>
              <w:rPr>
                <w:rFonts w:ascii="Arial" w:cs="Arial" w:eastAsia="Arial" w:hAnsi="Arial"/>
                <w:sz w:val="18"/>
                <w:szCs w:val="18"/>
                <w:color w:val="auto"/>
              </w:rPr>
              <w:t>income (expense), net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(3,219)</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(2,838)</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(9,654)</w:t>
            </w: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(8,514)</w:t>
            </w:r>
          </w:p>
        </w:tc>
      </w:tr>
      <w:tr>
        <w:trPr>
          <w:trHeight w:val="236"/>
        </w:trPr>
        <w:tc>
          <w:tcPr>
            <w:tcW w:w="3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3620" w:type="dxa"/>
            <w:vAlign w:val="bottom"/>
          </w:tcPr>
          <w:p>
            <w:pPr>
              <w:ind w:left="100"/>
              <w:spacing w:after="0" w:line="203" w:lineRule="exact"/>
              <w:rPr>
                <w:sz w:val="20"/>
                <w:szCs w:val="20"/>
                <w:color w:val="auto"/>
              </w:rPr>
            </w:pPr>
            <w:r>
              <w:rPr>
                <w:rFonts w:ascii="Arial" w:cs="Arial" w:eastAsia="Arial" w:hAnsi="Arial"/>
                <w:sz w:val="18"/>
                <w:szCs w:val="18"/>
                <w:color w:val="auto"/>
              </w:rPr>
              <w:t>Net periodic pension cost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948</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2,159</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2,844</w:t>
            </w:r>
          </w:p>
        </w:tc>
        <w:tc>
          <w:tcPr>
            <w:tcW w:w="2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99" w:firstLine="427"/>
        <w:spacing w:after="0" w:line="277" w:lineRule="auto"/>
        <w:rPr>
          <w:sz w:val="20"/>
          <w:szCs w:val="20"/>
          <w:color w:val="auto"/>
        </w:rPr>
      </w:pPr>
      <w:r>
        <w:rPr>
          <w:rFonts w:ascii="Arial" w:cs="Arial" w:eastAsia="Arial" w:hAnsi="Arial"/>
          <w:sz w:val="18"/>
          <w:szCs w:val="18"/>
          <w:color w:val="auto"/>
        </w:rPr>
        <w:t>The Company made $12.0 million of contributions during the first nine months of fiscal 2021 and expects to make additional contributions to the Plan of $4.0 million in the remainder of fiscal 2021.</w:t>
      </w:r>
    </w:p>
    <w:p>
      <w:pPr>
        <w:spacing w:after="0" w:line="166" w:lineRule="exact"/>
        <w:rPr>
          <w:sz w:val="20"/>
          <w:szCs w:val="20"/>
          <w:color w:val="auto"/>
        </w:rPr>
      </w:pPr>
    </w:p>
    <w:p>
      <w:pPr>
        <w:ind w:left="480" w:right="6619" w:hanging="430"/>
        <w:spacing w:after="0" w:line="566" w:lineRule="auto"/>
        <w:tabs>
          <w:tab w:leader="none" w:pos="32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ind w:left="60" w:right="139" w:firstLine="427"/>
        <w:spacing w:after="0" w:line="254" w:lineRule="auto"/>
        <w:rPr>
          <w:sz w:val="20"/>
          <w:szCs w:val="20"/>
          <w:color w:val="auto"/>
        </w:rPr>
      </w:pPr>
      <w:r>
        <w:rPr>
          <w:rFonts w:ascii="Arial" w:cs="Arial" w:eastAsia="Arial" w:hAnsi="Arial"/>
          <w:sz w:val="18"/>
          <w:szCs w:val="18"/>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third quarter ended April 3, 2021, the Company did not repurchase any shares under this program. As of April 3, 2021, the Company had $469.0 million remaining under its share repurchase authorization.</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left="60" w:right="199" w:firstLine="432"/>
        <w:spacing w:after="0" w:line="277" w:lineRule="auto"/>
        <w:rPr>
          <w:sz w:val="20"/>
          <w:szCs w:val="20"/>
          <w:color w:val="auto"/>
        </w:rPr>
      </w:pPr>
      <w:r>
        <w:rPr>
          <w:rFonts w:ascii="Arial" w:cs="Arial" w:eastAsia="Arial" w:hAnsi="Arial"/>
          <w:sz w:val="18"/>
          <w:szCs w:val="18"/>
          <w:color w:val="auto"/>
        </w:rPr>
        <w:t>In February 2021, the Company’s Board of Directors approved a dividend of $0.21 per common share and dividend payments of $20.9 million were made in March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9019"/>
          </w:cols>
          <w:pgMar w:left="1440" w:top="544" w:right="1440" w:bottom="1440" w:gutter="0" w:footer="0" w:header="0"/>
        </w:sect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for basic earnings per share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effect of dilutive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Weighted average common shares for diluted earnings per share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 (loss) per share</w:t>
      </w:r>
    </w:p>
    <w:p>
      <w:pPr>
        <w:spacing w:after="0" w:line="23" w:lineRule="exact"/>
        <w:rPr>
          <w:sz w:val="20"/>
          <w:szCs w:val="20"/>
          <w:color w:val="auto"/>
        </w:rPr>
      </w:pPr>
    </w:p>
    <w:p>
      <w:pPr>
        <w:ind w:left="20" w:right="40"/>
        <w:spacing w:after="0" w:line="260" w:lineRule="auto"/>
        <w:rPr>
          <w:sz w:val="20"/>
          <w:szCs w:val="20"/>
          <w:color w:val="auto"/>
        </w:rPr>
      </w:pPr>
      <w:r>
        <w:rPr>
          <w:rFonts w:ascii="Arial" w:cs="Arial" w:eastAsia="Arial" w:hAnsi="Arial"/>
          <w:sz w:val="18"/>
          <w:szCs w:val="18"/>
          <w:color w:val="auto"/>
        </w:rPr>
        <w:t>Stock options excluded from earnings per share calculation due to anti-dilutive effect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2060" w:type="dxa"/>
            <w:vAlign w:val="bottom"/>
            <w:gridSpan w:val="5"/>
          </w:tcPr>
          <w:p>
            <w:pPr>
              <w:ind w:left="60"/>
              <w:spacing w:after="0"/>
              <w:rPr>
                <w:sz w:val="20"/>
                <w:szCs w:val="20"/>
                <w:color w:val="auto"/>
              </w:rPr>
            </w:pPr>
            <w:r>
              <w:rPr>
                <w:rFonts w:ascii="Arial" w:cs="Arial" w:eastAsia="Arial" w:hAnsi="Arial"/>
                <w:sz w:val="18"/>
                <w:szCs w:val="18"/>
                <w:b w:val="1"/>
                <w:bCs w:val="1"/>
                <w:color w:val="auto"/>
              </w:rPr>
              <w:t>Third Quarters Ended</w:t>
            </w:r>
          </w:p>
        </w:tc>
        <w:tc>
          <w:tcPr>
            <w:tcW w:w="120" w:type="dxa"/>
            <w:vAlign w:val="bottom"/>
          </w:tcPr>
          <w:p>
            <w:pPr>
              <w:spacing w:after="0"/>
              <w:rPr>
                <w:sz w:val="20"/>
                <w:szCs w:val="20"/>
                <w:color w:val="auto"/>
              </w:rPr>
            </w:pPr>
          </w:p>
        </w:tc>
        <w:tc>
          <w:tcPr>
            <w:tcW w:w="190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April 3,</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6"/>
              </w:rPr>
              <w:t>March 28,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April 3,</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6"/>
              </w:rPr>
              <w:t>March 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60" w:type="dxa"/>
            <w:vAlign w:val="bottom"/>
            <w:gridSpan w:val="5"/>
          </w:tcPr>
          <w:p>
            <w:pPr>
              <w:jc w:val="right"/>
              <w:spacing w:after="0"/>
              <w:rPr>
                <w:sz w:val="20"/>
                <w:szCs w:val="20"/>
                <w:color w:val="auto"/>
              </w:rPr>
            </w:pPr>
            <w:r>
              <w:rPr>
                <w:rFonts w:ascii="Arial" w:cs="Arial" w:eastAsia="Arial" w:hAnsi="Arial"/>
                <w:sz w:val="18"/>
                <w:szCs w:val="18"/>
                <w:b w:val="1"/>
                <w:bCs w:val="1"/>
                <w:color w:val="auto"/>
              </w:rPr>
              <w:t>(Thousands, except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per share</w:t>
            </w: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data)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107,484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(128,661)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107,759</w:t>
            </w:r>
          </w:p>
        </w:tc>
        <w:tc>
          <w:tcPr>
            <w:tcW w:w="1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(83,242)</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99,542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100,247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99,479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100,013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w:t>
            </w: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w:t>
            </w: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4620" w:space="180"/>
            <w:col w:w="4219"/>
          </w:cols>
          <w:pgMar w:left="1440" w:top="544" w:right="1440" w:bottom="1440" w:gutter="0" w:footer="0" w:header="0"/>
          <w:type w:val="continuous"/>
        </w:sectPr>
      </w:pPr>
    </w:p>
    <w:p>
      <w:pPr>
        <w:ind w:left="60" w:right="259" w:firstLine="427"/>
        <w:spacing w:after="0" w:line="277" w:lineRule="auto"/>
        <w:rPr>
          <w:sz w:val="20"/>
          <w:szCs w:val="20"/>
          <w:color w:val="auto"/>
        </w:rPr>
      </w:pPr>
      <w:r>
        <w:rPr>
          <w:rFonts w:ascii="Arial" w:cs="Arial" w:eastAsia="Arial" w:hAnsi="Arial"/>
          <w:sz w:val="18"/>
          <w:szCs w:val="18"/>
          <w:color w:val="auto"/>
        </w:rPr>
        <w:t>For the three and nine months ended March 28, 2020, the diluted net loss per share is the same as basic net loss per share as the effect of all potential common shares would be anti-dilutive.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Additional cash flow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17145</wp:posOffset>
            </wp:positionV>
            <wp:extent cx="13798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9855" cy="17145"/>
                    </a:xfrm>
                    <a:prstGeom prst="rect">
                      <a:avLst/>
                    </a:prstGeom>
                    <a:noFill/>
                  </pic:spPr>
                </pic:pic>
              </a:graphicData>
            </a:graphic>
          </wp:anchor>
        </w:drawing>
      </w:r>
    </w:p>
    <w:p>
      <w:pPr>
        <w:spacing w:after="0" w:line="16" w:lineRule="exact"/>
        <w:rPr>
          <w:sz w:val="20"/>
          <w:szCs w:val="20"/>
          <w:color w:val="auto"/>
        </w:rPr>
      </w:pPr>
    </w:p>
    <w:p>
      <w:pPr>
        <w:ind w:left="6880"/>
        <w:spacing w:after="0"/>
        <w:tabs>
          <w:tab w:leader="none" w:pos="7940" w:val="left"/>
        </w:tabs>
        <w:rPr>
          <w:sz w:val="20"/>
          <w:szCs w:val="20"/>
          <w:color w:val="auto"/>
        </w:rPr>
      </w:pPr>
      <w:r>
        <w:rPr>
          <w:rFonts w:ascii="Arial" w:cs="Arial" w:eastAsia="Arial" w:hAnsi="Arial"/>
          <w:sz w:val="18"/>
          <w:szCs w:val="18"/>
          <w:b w:val="1"/>
          <w:bCs w:val="1"/>
          <w:color w:val="auto"/>
        </w:rPr>
        <w:t>April 3,</w:t>
      </w:r>
      <w:r>
        <w:rPr>
          <w:sz w:val="20"/>
          <w:szCs w:val="20"/>
          <w:color w:val="auto"/>
        </w:rPr>
        <w:tab/>
      </w:r>
      <w:r>
        <w:rPr>
          <w:rFonts w:ascii="Arial" w:cs="Arial" w:eastAsia="Arial" w:hAnsi="Arial"/>
          <w:sz w:val="17"/>
          <w:szCs w:val="17"/>
          <w:b w:val="1"/>
          <w:bCs w:val="1"/>
          <w:color w:val="auto"/>
        </w:rPr>
        <w:t>March 28,</w:t>
      </w:r>
    </w:p>
    <w:p>
      <w:pPr>
        <w:spacing w:after="0" w:line="27" w:lineRule="exact"/>
        <w:rPr>
          <w:sz w:val="20"/>
          <w:szCs w:val="20"/>
          <w:color w:val="auto"/>
        </w:rPr>
      </w:pPr>
    </w:p>
    <w:p>
      <w:pPr>
        <w:ind w:left="7000"/>
        <w:spacing w:after="0"/>
        <w:tabs>
          <w:tab w:leader="none" w:pos="81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5715</wp:posOffset>
            </wp:positionV>
            <wp:extent cx="13798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9855" cy="17145"/>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8"/>
          <w:szCs w:val="18"/>
          <w:b w:val="1"/>
          <w:bCs w:val="1"/>
          <w:color w:val="auto"/>
        </w:rPr>
        <w:t>(Thousands)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88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5,232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5,366</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8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61,127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88,472</w:t>
            </w:r>
          </w:p>
        </w:tc>
      </w:tr>
      <w:tr>
        <w:trPr>
          <w:trHeight w:val="216"/>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net payments</w:t>
            </w: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56,135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14,689</w:t>
            </w:r>
          </w:p>
        </w:tc>
      </w:tr>
    </w:tbl>
    <w:p>
      <w:pPr>
        <w:spacing w:after="0" w:line="202" w:lineRule="exact"/>
        <w:rPr>
          <w:sz w:val="20"/>
          <w:szCs w:val="20"/>
          <w:color w:val="auto"/>
        </w:rPr>
      </w:pPr>
    </w:p>
    <w:p>
      <w:pPr>
        <w:ind w:left="60" w:right="239" w:firstLine="432"/>
        <w:spacing w:after="0" w:line="263" w:lineRule="auto"/>
        <w:rPr>
          <w:sz w:val="20"/>
          <w:szCs w:val="20"/>
          <w:color w:val="auto"/>
        </w:rPr>
      </w:pPr>
      <w:r>
        <w:rPr>
          <w:rFonts w:ascii="Arial" w:cs="Arial" w:eastAsia="Arial" w:hAnsi="Arial"/>
          <w:sz w:val="18"/>
          <w:szCs w:val="18"/>
          <w:color w:val="auto"/>
        </w:rPr>
        <w:t>Included in cash and cash equivalents as of April 3, 2021 and June 27, 2020 was $43.2 million and $20.9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ind w:left="60" w:right="99" w:firstLine="427"/>
        <w:spacing w:after="0" w:line="301" w:lineRule="auto"/>
        <w:rPr>
          <w:sz w:val="20"/>
          <w:szCs w:val="20"/>
          <w:color w:val="auto"/>
        </w:rPr>
      </w:pPr>
      <w:r>
        <w:rPr>
          <w:rFonts w:ascii="Arial" w:cs="Arial" w:eastAsia="Arial" w:hAnsi="Arial"/>
          <w:sz w:val="16"/>
          <w:szCs w:val="16"/>
          <w:color w:val="auto"/>
        </w:rPr>
        <w:t>Electronic Components (“EC”) and Farnell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5"/>
              </w:rPr>
              <w:t>Third Quarters Ended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April 3,</w:t>
            </w:r>
          </w:p>
        </w:tc>
        <w:tc>
          <w:tcPr>
            <w:tcW w:w="200" w:type="dxa"/>
            <w:vAlign w:val="bottom"/>
          </w:tcPr>
          <w:p>
            <w:pPr>
              <w:spacing w:after="0"/>
              <w:rPr>
                <w:sz w:val="17"/>
                <w:szCs w:val="17"/>
                <w:color w:val="auto"/>
              </w:rPr>
            </w:pPr>
          </w:p>
        </w:tc>
        <w:tc>
          <w:tcPr>
            <w:tcW w:w="9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3"/>
              </w:rPr>
              <w:t>March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jc w:val="right"/>
              <w:ind w:right="45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Electronic Components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4,520,608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3,974,669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13,245,143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12,472,484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396,106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335,149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1,062,802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4,916,714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4,309,818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14,307,945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13,474,632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Electronic Components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118,565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84,841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306,927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142,426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Restructuring, integration and other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Goodwill and long-lived asset impairment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Amortization of acquired intangible assets and other</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(115,760)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163,407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8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1,160,973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1,203,605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3,468,118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1,585,631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1,512,476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4,412,652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tcPr>
          <w:p>
            <w:pPr>
              <w:ind w:left="80"/>
              <w:spacing w:after="0" w:line="216" w:lineRule="exact"/>
              <w:rPr>
                <w:sz w:val="20"/>
                <w:szCs w:val="20"/>
                <w:color w:val="auto"/>
              </w:rPr>
            </w:pPr>
            <w:r>
              <w:rPr>
                <w:rFonts w:ascii="Arial" w:cs="Arial" w:eastAsia="Arial" w:hAnsi="Arial"/>
                <w:sz w:val="17"/>
                <w:szCs w:val="17"/>
                <w:color w:val="auto"/>
              </w:rPr>
              <w:t xml:space="preserve">Asia/Pacific </w:t>
            </w:r>
            <w:r>
              <w:rPr>
                <w:rFonts w:ascii="Arial" w:cs="Arial" w:eastAsia="Arial" w:hAnsi="Arial"/>
                <w:sz w:val="25"/>
                <w:szCs w:val="25"/>
                <w:color w:val="auto"/>
                <w:vertAlign w:val="superscript"/>
              </w:rPr>
              <w:t>(3)</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2,170,110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1,593,737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6,427,175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4,916,714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4,309,818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14,307,945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13,474,632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7" w:lineRule="exact"/>
        <w:rPr>
          <w:sz w:val="20"/>
          <w:szCs w:val="20"/>
          <w:color w:val="auto"/>
        </w:rPr>
      </w:pPr>
    </w:p>
    <w:p>
      <w:pPr>
        <w:jc w:val="both"/>
        <w:ind w:left="380" w:right="159" w:hanging="330"/>
        <w:spacing w:after="0" w:line="219" w:lineRule="auto"/>
        <w:tabs>
          <w:tab w:leader="none" w:pos="3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Includes sales from the United States of $1.08 billion and $1.11 billion for the third quarters ended April 3, 2021, and March 28, 2020, respectively. Includes sales from the United States of $3.24 billion and $3.37 billion for the first nine months of fiscal 2021 and 2020, respectively.</w:t>
      </w:r>
    </w:p>
    <w:p>
      <w:pPr>
        <w:spacing w:after="0" w:line="202" w:lineRule="exact"/>
        <w:rPr>
          <w:rFonts w:ascii="Arial" w:cs="Arial" w:eastAsia="Arial" w:hAnsi="Arial"/>
          <w:sz w:val="27"/>
          <w:szCs w:val="27"/>
          <w:color w:val="auto"/>
          <w:vertAlign w:val="superscript"/>
        </w:rPr>
      </w:pPr>
    </w:p>
    <w:p>
      <w:pPr>
        <w:ind w:left="380" w:right="399" w:hanging="330"/>
        <w:spacing w:after="0" w:line="258" w:lineRule="auto"/>
        <w:tabs>
          <w:tab w:leader="none" w:pos="38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Includes sales from Germany and Belgium of $619.4 million and $276.4 million, respectively, for the third quarter ended April 3, 2021; and $1.71 billion and $825.8 million, respectively, for the first nine months of fiscal 2021. Includes sales from Germany and Belgium of $568.0 million and $278.3 million, respectively, for the third quarter ended March 28, 2020; and $1.69 billion and $837.7 million, respectively, for the first nine months of fiscal 2020.</w:t>
      </w:r>
    </w:p>
    <w:p>
      <w:pPr>
        <w:spacing w:after="0" w:line="189" w:lineRule="exact"/>
        <w:rPr>
          <w:rFonts w:ascii="Arial" w:cs="Arial" w:eastAsia="Arial" w:hAnsi="Arial"/>
          <w:sz w:val="24"/>
          <w:szCs w:val="24"/>
          <w:color w:val="auto"/>
          <w:vertAlign w:val="superscript"/>
        </w:rPr>
      </w:pPr>
    </w:p>
    <w:p>
      <w:pPr>
        <w:ind w:left="380" w:right="259" w:hanging="330"/>
        <w:spacing w:after="0" w:line="233" w:lineRule="auto"/>
        <w:tabs>
          <w:tab w:leader="none" w:pos="3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Includes sales from China (including Hong Kong), Taiwan and Singapore of $717.7 million, $956.8 million and $249.5 million, respectively, for the third quarter ended April 3, 2021; and $2.02 billion, $2.95 billion and $774.1 million, respectively, for the first nine months of fiscal 2021. Includes sales from China (including Hong Kong), Taiwan and Singapore of $524.1 million, $649.7 million and $239.3 million, respectively, for the third quarter ended March 28, 2020; and $1.76 billion, $2.39 billion and $722.7 million, respectively, for the first nine months of fiscal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tbl>
      <w:tblPr>
        <w:tblLayout w:type="fixed"/>
        <w:tblInd w:w="100" w:type="dxa"/>
        <w:tblCellMar>
          <w:top w:w="0" w:type="dxa"/>
          <w:left w:w="0" w:type="dxa"/>
          <w:bottom w:w="0" w:type="dxa"/>
          <w:right w:w="0" w:type="dxa"/>
        </w:tblCellMar>
      </w:tblPr>
      <w:tr>
        <w:trPr>
          <w:trHeight w:val="207"/>
        </w:trPr>
        <w:tc>
          <w:tcPr>
            <w:tcW w:w="6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817"/>
        </w:trPr>
        <w:tc>
          <w:tcPr>
            <w:tcW w:w="1260" w:type="dxa"/>
            <w:vAlign w:val="bottom"/>
            <w:tcBorders>
              <w:top w:val="single" w:sz="8" w:color="0000EE"/>
            </w:tcBorders>
          </w:tcPr>
          <w:p>
            <w:pPr>
              <w:spacing w:after="0"/>
              <w:rPr>
                <w:sz w:val="24"/>
                <w:szCs w:val="24"/>
                <w:color w:val="auto"/>
              </w:rPr>
            </w:pPr>
          </w:p>
        </w:tc>
        <w:tc>
          <w:tcPr>
            <w:tcW w:w="4920" w:type="dxa"/>
            <w:vAlign w:val="bottom"/>
          </w:tcPr>
          <w:p>
            <w:pPr>
              <w:ind w:left="1780"/>
              <w:spacing w:after="0"/>
              <w:rPr>
                <w:sz w:val="20"/>
                <w:szCs w:val="20"/>
                <w:color w:val="auto"/>
              </w:rPr>
            </w:pPr>
            <w:r>
              <w:rPr>
                <w:rFonts w:ascii="Arial" w:cs="Arial" w:eastAsia="Arial" w:hAnsi="Arial"/>
                <w:sz w:val="18"/>
                <w:szCs w:val="18"/>
                <w:b w:val="1"/>
                <w:bCs w:val="1"/>
                <w:color w:val="auto"/>
              </w:rPr>
              <w:t>AVNET, INC. AND SUBSIDIARIES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1260" w:type="dxa"/>
            <w:vAlign w:val="bottom"/>
          </w:tcPr>
          <w:p>
            <w:pPr>
              <w:spacing w:after="0"/>
              <w:rPr>
                <w:sz w:val="22"/>
                <w:szCs w:val="22"/>
                <w:color w:val="auto"/>
              </w:rPr>
            </w:pPr>
          </w:p>
        </w:tc>
        <w:tc>
          <w:tcPr>
            <w:tcW w:w="6380" w:type="dxa"/>
            <w:vAlign w:val="bottom"/>
            <w:gridSpan w:val="4"/>
          </w:tcPr>
          <w:p>
            <w:pPr>
              <w:jc w:val="right"/>
              <w:ind w:right="211"/>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1"/>
        </w:trPr>
        <w:tc>
          <w:tcPr>
            <w:tcW w:w="12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b w:val="1"/>
                <w:bCs w:val="1"/>
                <w:color w:val="auto"/>
              </w:rPr>
              <w:t>April 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June 27,</w:t>
            </w:r>
          </w:p>
        </w:tc>
      </w:tr>
      <w:tr>
        <w:trPr>
          <w:trHeight w:val="241"/>
        </w:trPr>
        <w:tc>
          <w:tcPr>
            <w:tcW w:w="12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r>
      <w:tr>
        <w:trPr>
          <w:trHeight w:val="203"/>
        </w:trPr>
        <w:tc>
          <w:tcPr>
            <w:tcW w:w="12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440"/>
              <w:spacing w:after="0"/>
              <w:rPr>
                <w:sz w:val="20"/>
                <w:szCs w:val="20"/>
                <w:color w:val="auto"/>
              </w:rPr>
            </w:pPr>
            <w:r>
              <w:rPr>
                <w:rFonts w:ascii="Arial" w:cs="Arial" w:eastAsia="Arial" w:hAnsi="Arial"/>
                <w:sz w:val="17"/>
                <w:szCs w:val="17"/>
                <w:b w:val="1"/>
                <w:bCs w:val="1"/>
                <w:color w:val="auto"/>
                <w:w w:val="72"/>
              </w:rPr>
              <w:t>(Thousands)</w:t>
            </w:r>
          </w:p>
        </w:tc>
        <w:tc>
          <w:tcPr>
            <w:tcW w:w="8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155,834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183,892</w:t>
            </w:r>
          </w:p>
        </w:tc>
        <w:tc>
          <w:tcPr>
            <w:tcW w:w="18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183,382</w:t>
            </w:r>
          </w:p>
        </w:tc>
        <w:tc>
          <w:tcPr>
            <w:tcW w:w="180" w:type="dxa"/>
            <w:vAlign w:val="bottom"/>
            <w:shd w:val="clear" w:color="auto" w:fill="CCEEFF"/>
          </w:tcPr>
          <w:p>
            <w:pPr>
              <w:spacing w:after="0"/>
              <w:rPr>
                <w:sz w:val="18"/>
                <w:szCs w:val="18"/>
                <w:color w:val="auto"/>
              </w:rPr>
            </w:pPr>
          </w:p>
        </w:tc>
      </w:tr>
      <w:tr>
        <w:trPr>
          <w:trHeight w:val="223"/>
        </w:trPr>
        <w:tc>
          <w:tcPr>
            <w:tcW w:w="6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37,412</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37,333</w:t>
            </w:r>
          </w:p>
        </w:tc>
        <w:tc>
          <w:tcPr>
            <w:tcW w:w="180" w:type="dxa"/>
            <w:vAlign w:val="bottom"/>
            <w:tcBorders>
              <w:bottom w:val="single" w:sz="8" w:color="CCEEFF"/>
            </w:tcBorders>
          </w:tcPr>
          <w:p>
            <w:pPr>
              <w:spacing w:after="0"/>
              <w:rPr>
                <w:sz w:val="19"/>
                <w:szCs w:val="19"/>
                <w:color w:val="auto"/>
              </w:rPr>
            </w:pPr>
          </w:p>
        </w:tc>
      </w:tr>
      <w:tr>
        <w:trPr>
          <w:trHeight w:val="216"/>
        </w:trPr>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381,083</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404,607</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137160</wp:posOffset>
            </wp:positionV>
            <wp:extent cx="1414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7" w:lineRule="exact"/>
        <w:rPr>
          <w:sz w:val="20"/>
          <w:szCs w:val="20"/>
          <w:color w:val="auto"/>
        </w:rPr>
      </w:pPr>
    </w:p>
    <w:p>
      <w:pPr>
        <w:ind w:left="420" w:right="400" w:hanging="330"/>
        <w:spacing w:after="0" w:line="207" w:lineRule="auto"/>
        <w:tabs>
          <w:tab w:leader="none" w:pos="42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$152.3 million and $179.4 million as of April 3, 2021, and June 27, 2020, respectively, in the United States.</w:t>
      </w:r>
    </w:p>
    <w:p>
      <w:pPr>
        <w:spacing w:after="0" w:line="201" w:lineRule="exact"/>
        <w:rPr>
          <w:rFonts w:ascii="Arial" w:cs="Arial" w:eastAsia="Arial" w:hAnsi="Arial"/>
          <w:sz w:val="27"/>
          <w:szCs w:val="27"/>
          <w:color w:val="auto"/>
          <w:vertAlign w:val="superscript"/>
        </w:rPr>
      </w:pPr>
    </w:p>
    <w:p>
      <w:pPr>
        <w:ind w:left="420" w:right="180" w:hanging="330"/>
        <w:spacing w:after="0" w:line="219" w:lineRule="auto"/>
        <w:tabs>
          <w:tab w:leader="none" w:pos="42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$80.2 million, $83.3 million and $21.3 million in Germany, the United Kingdom and Belgium, respectively, as of April 3, 2021; and $84.9 million, $72.7 million and $22.4 million in Germany, the United Kingdom and Belgium, respectively, as of June 27, 2020.</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16. Restructuring expenses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Fiscal 2021</w:t>
      </w:r>
    </w:p>
    <w:p>
      <w:pPr>
        <w:spacing w:after="0" w:line="225" w:lineRule="exact"/>
        <w:rPr>
          <w:sz w:val="20"/>
          <w:szCs w:val="20"/>
          <w:color w:val="auto"/>
        </w:rPr>
      </w:pPr>
    </w:p>
    <w:p>
      <w:pPr>
        <w:ind w:left="100" w:right="140" w:firstLine="432"/>
        <w:spacing w:after="0" w:line="279" w:lineRule="auto"/>
        <w:rPr>
          <w:sz w:val="20"/>
          <w:szCs w:val="20"/>
          <w:color w:val="auto"/>
        </w:rPr>
      </w:pPr>
      <w:r>
        <w:rPr>
          <w:rFonts w:ascii="Arial" w:cs="Arial" w:eastAsia="Arial" w:hAnsi="Arial"/>
          <w:sz w:val="17"/>
          <w:szCs w:val="17"/>
          <w:color w:val="auto"/>
        </w:rPr>
        <w:t>During fiscal 2021, the Company undertook restructuring actions to improve operating efficiencies and reduce operating expenses. Restructuring expenses are included as a component of restructuring, integration and other expenses in the consolidated statements of operations. The activity related to the restructuring liabilities associated with restructuring activities established during fiscal 2021 is presented in the following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Facility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and Contract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1"/>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Severance</w:t>
            </w:r>
          </w:p>
        </w:tc>
        <w:tc>
          <w:tcPr>
            <w:tcW w:w="14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Exit Costs</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3"/>
        </w:trPr>
        <w:tc>
          <w:tcPr>
            <w:tcW w:w="4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Fiscal 2021 restructuring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39,886</w:t>
            </w:r>
          </w:p>
        </w:tc>
      </w:tr>
      <w:tr>
        <w:trPr>
          <w:trHeight w:val="216"/>
        </w:trPr>
        <w:tc>
          <w:tcPr>
            <w:tcW w:w="438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(21,097)</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(1,497)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(22,594)</w:t>
            </w:r>
          </w:p>
        </w:tc>
      </w:tr>
      <w:tr>
        <w:trPr>
          <w:trHeight w:val="216"/>
        </w:trPr>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amounts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4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r>
      <w:tr>
        <w:trPr>
          <w:trHeight w:val="216"/>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17,819</w:t>
            </w: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0" w:right="240" w:firstLine="427"/>
        <w:spacing w:after="0" w:line="296" w:lineRule="auto"/>
        <w:rPr>
          <w:sz w:val="20"/>
          <w:szCs w:val="20"/>
          <w:color w:val="auto"/>
        </w:rPr>
      </w:pPr>
      <w:r>
        <w:rPr>
          <w:rFonts w:ascii="Arial" w:cs="Arial" w:eastAsia="Arial" w:hAnsi="Arial"/>
          <w:sz w:val="16"/>
          <w:szCs w:val="16"/>
          <w:color w:val="auto"/>
        </w:rPr>
        <w:t>Severance expense recorded in the first nine months of fiscal 2021 related to the reduction, or planned reduction, of over 300 employees, primarily in executive management, operations, information technology, warehouse, sales and business support functions. Of the $39.9 million in restructuring expenses recorded during the first nine months of fiscal 2021, $22.5 million related to EC, $9.4 million related to Farnell and $8.0 million related to Corporate. The Company expects the majority of the remaining severance amounts to be paid by the end of fiscal 2021.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27" w:right="1419" w:bottom="1440" w:gutter="0" w:footer="0" w:header="0"/>
        </w:sectPr>
      </w:pPr>
    </w:p>
    <w:bookmarkStart w:id="19" w:name="page20"/>
    <w:bookmarkEnd w:id="19"/>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Fiscal 2020 and prior</w:t>
      </w:r>
    </w:p>
    <w:p>
      <w:pPr>
        <w:spacing w:after="0" w:line="225" w:lineRule="exact"/>
        <w:rPr>
          <w:sz w:val="20"/>
          <w:szCs w:val="20"/>
          <w:color w:val="auto"/>
        </w:rPr>
      </w:pPr>
    </w:p>
    <w:p>
      <w:pPr>
        <w:ind w:left="100" w:right="340" w:firstLine="432"/>
        <w:spacing w:after="0" w:line="259" w:lineRule="auto"/>
        <w:rPr>
          <w:sz w:val="20"/>
          <w:szCs w:val="20"/>
          <w:color w:val="auto"/>
        </w:rPr>
      </w:pPr>
      <w:r>
        <w:rPr>
          <w:rFonts w:ascii="Arial" w:cs="Arial" w:eastAsia="Arial" w:hAnsi="Arial"/>
          <w:sz w:val="18"/>
          <w:szCs w:val="18"/>
          <w:color w:val="auto"/>
        </w:rPr>
        <w:t>During fiscal 2020 and prior, the Company incurred restructuring expenses related to various restructuring actions intended to achieve planned synergies from acquired businesses and to reduce future operating expenses. The following table presents the activity during the first nine months of fiscal 2021 related to the remaining restructuring liabilities established during fiscal 2020 and prior: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Facility</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 Contract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Severance</w:t>
            </w:r>
          </w:p>
        </w:tc>
        <w:tc>
          <w:tcPr>
            <w:tcW w:w="14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Exit Costs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3"/>
        </w:trPr>
        <w:tc>
          <w:tcPr>
            <w:tcW w:w="4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27, 2020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16,942</w:t>
            </w: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(5,569)</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(1,042)</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(6,611)</w:t>
            </w:r>
          </w:p>
        </w:tc>
      </w:tr>
      <w:tr>
        <w:trPr>
          <w:trHeight w:val="216"/>
        </w:trPr>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estimates,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23"/>
        </w:trPr>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r>
      <w:tr>
        <w:trPr>
          <w:trHeight w:val="21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 2021</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expects the majority of the remaining amounts to be paid by the end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44" w:right="1419"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84"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the Company’s Quarterly Reports on Form 10-Q for the fiscal quarters ended October 3, 2020, and January 3, 2021 and the Company’s Annual Report on Form 10-K for the fiscal year ended June 27, 2020, could affect the Company’s future results of operations, and could cause those results or other outcomes to differ materially from those expressed or implied in the forward-looking statements: the scope and duration of the COVID-19 pandemic and its impact on global economic systems, access to financial markets and the Company’s employees, operations, customers, and supply chain; competitive pressures among distributors of electronic components; an industry down-cycle in semiconductors; relationships with key suppliers and allocations of products by suppliers; risks relating to the Company’s international sales and operations, including risks relating to the ability to repatriate cash, foreign currency fluctuations, duties and taxes,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natural and weather-related disasters, pandemics and health related crisis, social unrest or warehouse modernization and relocation efforts; risks related to cyber-attacks, other privacy and security incidents and information systems, including related to current or future implementations, integrations or upgrades; general economic and business conditions (domestic, foreign and global) affecting the Company’s operations and financial performance and, indirectly, the Company’s credit ratings, debt covenant compliance, and liquidity and access to financing; geopolitical events, including the uncertainty caused by the United Kingdom’s exit from, and agreement for a new partnership with, the European Union; and legislative or regulatory changes affecting the Company’s businesses.</w:t>
      </w:r>
    </w:p>
    <w:p>
      <w:pPr>
        <w:spacing w:after="0" w:line="175" w:lineRule="exact"/>
        <w:rPr>
          <w:sz w:val="20"/>
          <w:szCs w:val="20"/>
          <w:color w:val="auto"/>
        </w:rPr>
      </w:pPr>
    </w:p>
    <w:p>
      <w:pPr>
        <w:ind w:left="60" w:right="279" w:firstLine="405"/>
        <w:spacing w:after="0" w:line="263"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59" w:firstLine="432"/>
        <w:spacing w:after="0" w:line="269"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April 3, 2021, this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Financial Condition and Results of Operations </w:t>
      </w:r>
      <w:r>
        <w:rPr>
          <w:rFonts w:ascii="Arial" w:cs="Arial" w:eastAsia="Arial" w:hAnsi="Arial"/>
          <w:sz w:val="17"/>
          <w:szCs w:val="17"/>
          <w:color w:val="auto"/>
        </w:rPr>
        <w:t>(“MD&amp;A”) should be read in conjunction with the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including the related notes, appearing in Item 1 of this Quarterly Report on Form 10-Q, as well as the Company’s Quarterly Reports on Form 10-Q for the fiscal quarters ended October 3, 2020, and January 2, 2021 and Annual Report on Form 10-K for the fiscal year ended June 27, 2020. The Company operates on a “52/53 week” fiscal year and fiscal 2021 contains 53 weeks compared to 52 weeks in fiscal 2020. As a result, the first nine months of fiscal 2021 ended April 3, 2021, contained 40 weeks and the first nine months of fiscal 2020 ended March 28, 2020 contained 39 weeks. This extra week in the first nine months of fiscal 2021, which occurred in the first quarter of fiscal 2021, impacts the year-over-year analysis in this MD&amp;A.</w:t>
      </w:r>
    </w:p>
    <w:p>
      <w:pPr>
        <w:spacing w:after="0" w:line="185" w:lineRule="exact"/>
        <w:rPr>
          <w:sz w:val="20"/>
          <w:szCs w:val="20"/>
          <w:color w:val="auto"/>
        </w:rPr>
      </w:pPr>
    </w:p>
    <w:p>
      <w:pPr>
        <w:ind w:left="60" w:right="279" w:firstLine="432"/>
        <w:spacing w:after="0" w:line="254" w:lineRule="auto"/>
        <w:rPr>
          <w:sz w:val="20"/>
          <w:szCs w:val="20"/>
          <w:color w:val="auto"/>
        </w:rPr>
      </w:pPr>
      <w:r>
        <w:rPr>
          <w:rFonts w:ascii="Arial" w:cs="Arial" w:eastAsia="Arial" w:hAnsi="Arial"/>
          <w:sz w:val="18"/>
          <w:szCs w:val="18"/>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(“Asia”), are referred to as “constant currency.”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39" w:firstLine="432"/>
        <w:spacing w:after="0" w:line="342"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24" w:lineRule="exact"/>
        <w:rPr>
          <w:sz w:val="20"/>
          <w:szCs w:val="20"/>
          <w:color w:val="auto"/>
        </w:rPr>
      </w:pPr>
    </w:p>
    <w:p>
      <w:pPr>
        <w:ind w:left="720" w:right="159" w:hanging="319"/>
        <w:spacing w:after="0" w:line="25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2021 sales are adjusted for the estimated impact of the extra week of sales in the first quarter of fiscal 2021 due to it being a 14-week quarter, as discussed above. Sales taking into account these adjustments are referred to as “organic sales.” Additionally, the Company has adjusted sales for the impact of the termination of the Texas Instruments (“TI”) distribution agreement between fiscal years.</w:t>
      </w:r>
    </w:p>
    <w:p>
      <w:pPr>
        <w:spacing w:after="0" w:line="194" w:lineRule="exact"/>
        <w:rPr>
          <w:rFonts w:ascii="Arial" w:cs="Arial" w:eastAsia="Arial" w:hAnsi="Arial"/>
          <w:sz w:val="18"/>
          <w:szCs w:val="18"/>
          <w:color w:val="auto"/>
        </w:rPr>
      </w:pPr>
    </w:p>
    <w:p>
      <w:pPr>
        <w:ind w:left="720" w:right="179" w:hanging="319"/>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Operating income (loss) excluding (i) restructuring, integration and other expenses, (see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Integration and Other Expenses </w:t>
      </w:r>
      <w:r>
        <w:rPr>
          <w:rFonts w:ascii="Arial" w:cs="Arial" w:eastAsia="Arial" w:hAnsi="Arial"/>
          <w:sz w:val="18"/>
          <w:szCs w:val="18"/>
          <w:color w:val="auto"/>
        </w:rPr>
        <w:t>in this MD&amp;A), (ii) amortization of acquired intangible assets and (iii)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long-lived asset impairment expense. Operating income excluding such amounts is referred to as “adjusted operating income.”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reconciliation of operating income (loss) to adjusted operating income is presented in the following table:</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4"/>
              </w:rPr>
              <w:t>Third Quarters Ended</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7"/>
              </w:rPr>
              <w:t>Nine Months Ended</w:t>
            </w:r>
          </w:p>
        </w:tc>
      </w:tr>
      <w:tr>
        <w:trPr>
          <w:trHeight w:val="198"/>
        </w:trPr>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April 3,</w:t>
            </w:r>
          </w:p>
        </w:tc>
        <w:tc>
          <w:tcPr>
            <w:tcW w:w="200" w:type="dxa"/>
            <w:vAlign w:val="bottom"/>
          </w:tcPr>
          <w:p>
            <w:pPr>
              <w:spacing w:after="0"/>
              <w:rPr>
                <w:sz w:val="17"/>
                <w:szCs w:val="17"/>
                <w:color w:val="auto"/>
              </w:rPr>
            </w:pPr>
          </w:p>
        </w:tc>
        <w:tc>
          <w:tcPr>
            <w:tcW w:w="9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April 3,</w:t>
            </w:r>
          </w:p>
        </w:tc>
        <w:tc>
          <w:tcPr>
            <w:tcW w:w="200" w:type="dxa"/>
            <w:vAlign w:val="bottom"/>
          </w:tcPr>
          <w:p>
            <w:pPr>
              <w:spacing w:after="0"/>
              <w:rPr>
                <w:sz w:val="17"/>
                <w:szCs w:val="17"/>
                <w:color w:val="auto"/>
              </w:rPr>
            </w:pPr>
          </w:p>
        </w:tc>
        <w:tc>
          <w:tcPr>
            <w:tcW w:w="9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March 28,</w:t>
            </w:r>
          </w:p>
        </w:tc>
      </w:tr>
      <w:tr>
        <w:trPr>
          <w:trHeight w:val="241"/>
        </w:trPr>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203"/>
        </w:trPr>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4"/>
          </w:tcPr>
          <w:p>
            <w:pPr>
              <w:jc w:val="right"/>
              <w:ind w:right="37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(115,760)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163,407</w:t>
            </w:r>
          </w:p>
        </w:tc>
        <w:tc>
          <w:tcPr>
            <w:tcW w:w="3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58,073</w:t>
            </w:r>
          </w:p>
        </w:tc>
      </w:tr>
      <w:tr>
        <w:trPr>
          <w:trHeight w:val="216"/>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 and long-lived asset impairment expense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r>
      <w:tr>
        <w:trPr>
          <w:trHeight w:val="223"/>
        </w:trPr>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35,875</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62,603</w:t>
            </w:r>
          </w:p>
        </w:tc>
      </w:tr>
      <w:tr>
        <w:trPr>
          <w:trHeight w:val="21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259,964</w:t>
            </w:r>
          </w:p>
        </w:tc>
      </w:tr>
      <w:tr>
        <w:trPr>
          <w:trHeight w:val="20"/>
        </w:trPr>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432"/>
        <w:spacing w:after="0" w:line="293" w:lineRule="auto"/>
        <w:rPr>
          <w:sz w:val="20"/>
          <w:szCs w:val="20"/>
          <w:color w:val="auto"/>
        </w:rPr>
      </w:pPr>
      <w:r>
        <w:rPr>
          <w:rFonts w:ascii="Arial" w:cs="Arial" w:eastAsia="Arial" w:hAnsi="Arial"/>
          <w:sz w:val="16"/>
          <w:szCs w:val="16"/>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left="60" w:right="199" w:firstLine="432"/>
        <w:spacing w:after="0" w:line="275" w:lineRule="auto"/>
        <w:rPr>
          <w:sz w:val="20"/>
          <w:szCs w:val="20"/>
          <w:color w:val="auto"/>
        </w:rPr>
      </w:pPr>
      <w:r>
        <w:rPr>
          <w:rFonts w:ascii="Arial" w:cs="Arial" w:eastAsia="Arial" w:hAnsi="Arial"/>
          <w:sz w:val="17"/>
          <w:szCs w:val="17"/>
          <w:color w:val="auto"/>
        </w:rPr>
        <w:t>Avnet, Inc. and its consolidated subsidiaries’ (collectively, the “Company” or “Avnet”), is a global technology solutions company with extensive capabilities that can deliver design, product, marketing and supply chain expertise for customers at every stage of the product lifecycle. Avnet transforms ideas into intelligent solutions, reducing the time, cost and complexities of bringing products to market around the world. Founded in 1921, the Company works with over 1,400 technology suppliers to serve 2.1 million customers in more than 140 countries.</w:t>
      </w:r>
    </w:p>
    <w:p>
      <w:pPr>
        <w:spacing w:after="0" w:line="176" w:lineRule="exact"/>
        <w:rPr>
          <w:sz w:val="20"/>
          <w:szCs w:val="20"/>
          <w:color w:val="auto"/>
        </w:rPr>
      </w:pPr>
    </w:p>
    <w:p>
      <w:pPr>
        <w:ind w:left="60" w:right="239"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15, “Segment information” to the Company’s consolidated financial statements included in this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left="60" w:right="119" w:firstLine="432"/>
        <w:spacing w:after="0" w:line="289" w:lineRule="auto"/>
        <w:rPr>
          <w:sz w:val="20"/>
          <w:szCs w:val="20"/>
          <w:color w:val="auto"/>
        </w:rPr>
      </w:pPr>
      <w:r>
        <w:rPr>
          <w:rFonts w:ascii="Arial" w:cs="Arial" w:eastAsia="Arial" w:hAnsi="Arial"/>
          <w:sz w:val="16"/>
          <w:szCs w:val="16"/>
          <w:color w:val="auto"/>
        </w:rPr>
        <w:t>The COVID-19 pandemic has negatively impacted the global economy, disrupted global supply chains, constrained work force participation, disrupted logistics and distribution systems, and created significant volatility and disruption of financial markets. As the scope and duration of the COVID-19 pandemic is unknown and its economic impact continues to evolve globally, there is significant uncertainty related to the ultimate impact it will have on the Company’s business, its employees, results of operations and financial condition, and to what extent the Company’s actions to mitigate such impacts will be successful and sufficient. Accordingly, current results and financial condition discussed herein may not be indicative of future operating results and trends. See the risk factors regarding the impacts of the COVID-19 pandemic included in the Company’s Annual Report on Form 10-K for the fiscal year ended June 27, 2020 and Quarterly Reports on Form 10-Q for the fiscal quarters ended October 3, 2020 and January 2, 2021.</w:t>
      </w:r>
    </w:p>
    <w:p>
      <w:pPr>
        <w:spacing w:after="0" w:line="166" w:lineRule="exact"/>
        <w:rPr>
          <w:sz w:val="20"/>
          <w:szCs w:val="20"/>
          <w:color w:val="auto"/>
        </w:rPr>
      </w:pPr>
    </w:p>
    <w:p>
      <w:pPr>
        <w:ind w:left="60" w:right="219" w:firstLine="432"/>
        <w:spacing w:after="0" w:line="277" w:lineRule="auto"/>
        <w:rPr>
          <w:sz w:val="20"/>
          <w:szCs w:val="20"/>
          <w:color w:val="auto"/>
        </w:rPr>
      </w:pPr>
      <w:r>
        <w:rPr>
          <w:rFonts w:ascii="Arial" w:cs="Arial" w:eastAsia="Arial" w:hAnsi="Arial"/>
          <w:sz w:val="18"/>
          <w:szCs w:val="18"/>
          <w:color w:val="auto"/>
        </w:rPr>
        <w:t>The Company did not experience any meaningful financial impact during the third quarter of fiscal 2021 associated with the COVID-19 pandemic.</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left="60" w:right="139" w:firstLine="432"/>
        <w:spacing w:after="0" w:line="263" w:lineRule="auto"/>
        <w:rPr>
          <w:sz w:val="20"/>
          <w:szCs w:val="20"/>
          <w:color w:val="auto"/>
        </w:rPr>
      </w:pPr>
      <w:r>
        <w:rPr>
          <w:rFonts w:ascii="Arial" w:cs="Arial" w:eastAsia="Arial" w:hAnsi="Arial"/>
          <w:sz w:val="18"/>
          <w:szCs w:val="18"/>
          <w:color w:val="auto"/>
        </w:rPr>
        <w:t>Sales of $4.92 billion in the third quarter of fiscal 2021 were 14.1% higher than the prior year third quarter sales of $4.31 billion. Excluding the impact of changes in foreign currency, sales increased 10.7% as compared to sales in the prior year third quarter.</w:t>
      </w:r>
    </w:p>
    <w:p>
      <w:pPr>
        <w:spacing w:after="0" w:line="184" w:lineRule="exact"/>
        <w:rPr>
          <w:sz w:val="20"/>
          <w:szCs w:val="20"/>
          <w:color w:val="auto"/>
        </w:rPr>
      </w:pPr>
    </w:p>
    <w:p>
      <w:pPr>
        <w:ind w:left="60" w:right="219" w:firstLine="432"/>
        <w:spacing w:after="0" w:line="308" w:lineRule="auto"/>
        <w:rPr>
          <w:sz w:val="20"/>
          <w:szCs w:val="20"/>
          <w:color w:val="auto"/>
        </w:rPr>
      </w:pPr>
      <w:r>
        <w:rPr>
          <w:rFonts w:ascii="Arial" w:cs="Arial" w:eastAsia="Arial" w:hAnsi="Arial"/>
          <w:sz w:val="17"/>
          <w:szCs w:val="17"/>
          <w:color w:val="auto"/>
        </w:rPr>
        <w:t>Gross profit margin of 11.6% decreased 48 basis points compared to 12.0% in the third quarter of fiscal 2020. This decrease is primarily due to geographical market mix and, to a lesser extent, product and customer mix.</w:t>
      </w:r>
    </w:p>
    <w:p>
      <w:pPr>
        <w:spacing w:after="0" w:line="146" w:lineRule="exact"/>
        <w:rPr>
          <w:sz w:val="20"/>
          <w:szCs w:val="20"/>
          <w:color w:val="auto"/>
        </w:rPr>
      </w:pPr>
    </w:p>
    <w:p>
      <w:pPr>
        <w:ind w:left="60" w:right="79" w:firstLine="432"/>
        <w:spacing w:after="0" w:line="271" w:lineRule="auto"/>
        <w:rPr>
          <w:sz w:val="20"/>
          <w:szCs w:val="20"/>
          <w:color w:val="auto"/>
        </w:rPr>
      </w:pPr>
      <w:r>
        <w:rPr>
          <w:rFonts w:ascii="Arial" w:cs="Arial" w:eastAsia="Arial" w:hAnsi="Arial"/>
          <w:sz w:val="17"/>
          <w:szCs w:val="17"/>
          <w:color w:val="auto"/>
        </w:rPr>
        <w:t>Operating income of $87.7 million was $203.4 million higher, as compared to the third quarter of fiscal 2020. This represents an increase of 175.7%. Operating income margin was 1.8% in the third quarter of fiscal 2021, as compared to a negative 2.7% operating loss margin in the prior year. The increase in operating income margin when compared to the prior year third quarter is the result of the goodwill and long-lived asset impairment expense in the prior year quarter. Adjusted operating income margin was 2.3% in the third quarter of fiscal 2021 as compared to 1.6% in the third quarter of fiscal 2020, an increase of 62 basis points. This increase in adjusted operating income margin is primarily due to the increase in sales and reductions in selling, general and administrative expenses resulting from the Company’s cost savings initiatives, partially offset by the decrease in gross profit margin.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left="60" w:right="179" w:firstLine="427"/>
        <w:spacing w:after="0" w:line="235" w:lineRule="auto"/>
        <w:rPr>
          <w:sz w:val="20"/>
          <w:szCs w:val="20"/>
          <w:color w:val="auto"/>
        </w:rPr>
      </w:pPr>
      <w:r>
        <w:rPr>
          <w:rFonts w:ascii="Arial" w:cs="Arial" w:eastAsia="Arial" w:hAnsi="Arial"/>
          <w:sz w:val="18"/>
          <w:szCs w:val="18"/>
          <w:color w:val="auto"/>
        </w:rPr>
        <w:t>The following table presents the reconciliation of reported sales to organic sales for the third quarter and first nine months of fiscal 2021 by region and by operating group. Reported sales were the same as organic sales in the third quarter and first nine months of fiscal 2020.</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5"/>
              </w:rPr>
              <w:t>Quarter Ended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6"/>
          </w:tcPr>
          <w:p>
            <w:pPr>
              <w:jc w:val="center"/>
              <w:ind w:left="479"/>
              <w:spacing w:after="0"/>
              <w:rPr>
                <w:sz w:val="20"/>
                <w:szCs w:val="20"/>
                <w:color w:val="auto"/>
              </w:rPr>
            </w:pPr>
            <w:r>
              <w:rPr>
                <w:rFonts w:ascii="Arial" w:cs="Arial" w:eastAsia="Arial" w:hAnsi="Arial"/>
                <w:sz w:val="16"/>
                <w:szCs w:val="16"/>
                <w:b w:val="1"/>
                <w:bCs w:val="1"/>
                <w:color w:val="auto"/>
                <w:w w:val="92"/>
              </w:rPr>
              <w:t>Nine Months Ended</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5"/>
              </w:rPr>
              <w:t>Sales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As Reported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Organic</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Organic</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Sales</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Sales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Organic</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85"/>
              </w:rPr>
              <w:t>Sales</w:t>
            </w: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Organic</w:t>
            </w:r>
          </w:p>
        </w:tc>
        <w:tc>
          <w:tcPr>
            <w:tcW w:w="8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TI Sales</w:t>
            </w: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Adj for TI</w:t>
            </w:r>
          </w:p>
        </w:tc>
        <w:tc>
          <w:tcPr>
            <w:tcW w:w="11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As Reported</w:t>
            </w:r>
          </w:p>
        </w:tc>
        <w:tc>
          <w:tcPr>
            <w:tcW w:w="860" w:type="dxa"/>
            <w:vAlign w:val="bottom"/>
            <w:gridSpan w:val="3"/>
          </w:tcPr>
          <w:p>
            <w:pPr>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Sales</w:t>
            </w:r>
          </w:p>
        </w:tc>
        <w:tc>
          <w:tcPr>
            <w:tcW w:w="8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TI Sales</w:t>
            </w: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rPr>
              <w:t>Adj for TI</w:t>
            </w:r>
          </w:p>
        </w:tc>
      </w:tr>
      <w:tr>
        <w:trPr>
          <w:trHeight w:val="194"/>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Q3-Fiscal</w:t>
            </w: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rPr>
              <w:t>Q3-Fiscal   Q3-Fiscal</w:t>
            </w:r>
          </w:p>
        </w:tc>
        <w:tc>
          <w:tcPr>
            <w:tcW w:w="10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Q3-Fiscal</w:t>
            </w:r>
          </w:p>
        </w:tc>
        <w:tc>
          <w:tcPr>
            <w:tcW w:w="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Extra</w:t>
            </w:r>
          </w:p>
        </w:tc>
        <w:tc>
          <w:tcPr>
            <w:tcW w:w="12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Q3-Fiscal</w:t>
            </w:r>
          </w:p>
        </w:tc>
        <w:tc>
          <w:tcPr>
            <w:tcW w:w="8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Q3-Fiscal</w:t>
            </w:r>
          </w:p>
        </w:tc>
        <w:tc>
          <w:tcPr>
            <w:tcW w:w="100" w:type="dxa"/>
            <w:vAlign w:val="bottom"/>
          </w:tcPr>
          <w:p>
            <w:pPr>
              <w:spacing w:after="0"/>
              <w:rPr>
                <w:sz w:val="16"/>
                <w:szCs w:val="16"/>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Q3-Fiscal</w:t>
            </w:r>
          </w:p>
        </w:tc>
      </w:tr>
      <w:tr>
        <w:trPr>
          <w:trHeight w:val="251"/>
        </w:trPr>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6"/>
                <w:szCs w:val="16"/>
                <w:b w:val="1"/>
                <w:bCs w:val="1"/>
                <w:color w:val="auto"/>
                <w:w w:val="83"/>
              </w:rPr>
              <w:t>2021</w:t>
            </w:r>
            <w:r>
              <w:rPr>
                <w:rFonts w:ascii="Arial" w:cs="Arial" w:eastAsia="Arial" w:hAnsi="Arial"/>
                <w:sz w:val="24"/>
                <w:szCs w:val="24"/>
                <w:b w:val="1"/>
                <w:bCs w:val="1"/>
                <w:color w:val="auto"/>
                <w:w w:val="83"/>
                <w:vertAlign w:val="superscript"/>
              </w:rPr>
              <w:t>(1)</w:t>
            </w: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6"/>
                <w:szCs w:val="16"/>
                <w:b w:val="1"/>
                <w:bCs w:val="1"/>
                <w:color w:val="auto"/>
                <w:w w:val="86"/>
              </w:rPr>
              <w:t>2021</w:t>
            </w:r>
            <w:r>
              <w:rPr>
                <w:rFonts w:ascii="Arial" w:cs="Arial" w:eastAsia="Arial" w:hAnsi="Arial"/>
                <w:sz w:val="24"/>
                <w:szCs w:val="24"/>
                <w:b w:val="1"/>
                <w:bCs w:val="1"/>
                <w:color w:val="auto"/>
                <w:w w:val="86"/>
                <w:vertAlign w:val="superscript"/>
              </w:rPr>
              <w:t>(1)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2021</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6"/>
                <w:szCs w:val="16"/>
                <w:b w:val="1"/>
                <w:bCs w:val="1"/>
                <w:color w:val="auto"/>
                <w:w w:val="84"/>
              </w:rPr>
              <w:t>Week</w:t>
            </w:r>
            <w:r>
              <w:rPr>
                <w:rFonts w:ascii="Arial" w:cs="Arial" w:eastAsia="Arial" w:hAnsi="Arial"/>
                <w:sz w:val="24"/>
                <w:szCs w:val="24"/>
                <w:b w:val="1"/>
                <w:bCs w:val="1"/>
                <w:color w:val="auto"/>
                <w:w w:val="84"/>
                <w:vertAlign w:val="superscript"/>
              </w:rPr>
              <w:t>(2)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center"/>
              <w:ind w:right="19"/>
              <w:spacing w:after="0" w:line="243" w:lineRule="exact"/>
              <w:rPr>
                <w:sz w:val="20"/>
                <w:szCs w:val="20"/>
                <w:color w:val="auto"/>
              </w:rPr>
            </w:pPr>
            <w:r>
              <w:rPr>
                <w:rFonts w:ascii="Arial" w:cs="Arial" w:eastAsia="Arial" w:hAnsi="Arial"/>
                <w:sz w:val="16"/>
                <w:szCs w:val="16"/>
                <w:b w:val="1"/>
                <w:bCs w:val="1"/>
                <w:color w:val="auto"/>
                <w:w w:val="86"/>
              </w:rPr>
              <w:t>2021</w:t>
            </w:r>
            <w:r>
              <w:rPr>
                <w:rFonts w:ascii="Arial" w:cs="Arial" w:eastAsia="Arial" w:hAnsi="Arial"/>
                <w:sz w:val="24"/>
                <w:szCs w:val="24"/>
                <w:b w:val="1"/>
                <w:bCs w:val="1"/>
                <w:color w:val="auto"/>
                <w:w w:val="86"/>
                <w:vertAlign w:val="superscript"/>
              </w:rPr>
              <w:t>(1)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9"/>
              <w:spacing w:after="0" w:line="243" w:lineRule="exact"/>
              <w:rPr>
                <w:sz w:val="20"/>
                <w:szCs w:val="20"/>
                <w:color w:val="auto"/>
              </w:rPr>
            </w:pPr>
            <w:r>
              <w:rPr>
                <w:rFonts w:ascii="Arial" w:cs="Arial" w:eastAsia="Arial" w:hAnsi="Arial"/>
                <w:sz w:val="16"/>
                <w:szCs w:val="16"/>
                <w:b w:val="1"/>
                <w:bCs w:val="1"/>
                <w:color w:val="auto"/>
                <w:w w:val="86"/>
              </w:rPr>
              <w:t>2021</w:t>
            </w:r>
            <w:r>
              <w:rPr>
                <w:rFonts w:ascii="Arial" w:cs="Arial" w:eastAsia="Arial" w:hAnsi="Arial"/>
                <w:sz w:val="24"/>
                <w:szCs w:val="24"/>
                <w:b w:val="1"/>
                <w:bCs w:val="1"/>
                <w:color w:val="auto"/>
                <w:w w:val="86"/>
                <w:vertAlign w:val="superscript"/>
              </w:rPr>
              <w:t>(1)</w:t>
            </w:r>
          </w:p>
        </w:tc>
      </w:tr>
      <w:tr>
        <w:trPr>
          <w:trHeight w:val="203"/>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(Thousands)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1160" w:type="dxa"/>
            <w:vAlign w:val="bottom"/>
          </w:tcPr>
          <w:p>
            <w:pPr>
              <w:ind w:left="120"/>
              <w:spacing w:after="0"/>
              <w:rPr>
                <w:sz w:val="20"/>
                <w:szCs w:val="20"/>
                <w:color w:val="auto"/>
              </w:rPr>
            </w:pPr>
            <w:r>
              <w:rPr>
                <w:rFonts w:ascii="Arial" w:cs="Arial" w:eastAsia="Arial" w:hAnsi="Arial"/>
                <w:sz w:val="16"/>
                <w:szCs w:val="16"/>
                <w:color w:val="auto"/>
              </w:rPr>
              <w:t>Avnet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4,916,714</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1,659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9"/>
              </w:rPr>
              <w:t>$ 4,915,055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14,307,945</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306,000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14,001,945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292,212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13,709,733</w:t>
            </w: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Avnet by region</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1160" w:type="dxa"/>
            <w:vAlign w:val="bottom"/>
          </w:tcPr>
          <w:p>
            <w:pPr>
              <w:ind w:left="120"/>
              <w:spacing w:after="0"/>
              <w:rPr>
                <w:sz w:val="20"/>
                <w:szCs w:val="20"/>
                <w:color w:val="auto"/>
              </w:rPr>
            </w:pPr>
            <w:r>
              <w:rPr>
                <w:rFonts w:ascii="Arial" w:cs="Arial" w:eastAsia="Arial" w:hAnsi="Arial"/>
                <w:sz w:val="16"/>
                <w:szCs w:val="16"/>
                <w:color w:val="auto"/>
              </w:rPr>
              <w:t>Americas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1,160,973</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9"/>
              </w:rPr>
              <w:t>$ 1,160,557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3,468,118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77,000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3,391,118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82,885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3,308,233</w:t>
            </w:r>
          </w:p>
        </w:tc>
      </w:tr>
      <w:tr>
        <w:trPr>
          <w:trHeight w:val="219"/>
        </w:trPr>
        <w:tc>
          <w:tcPr>
            <w:tcW w:w="1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EMEA</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1,585,631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1,585,148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4,412,652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4,315,652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124,232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4,191,420</w:t>
            </w:r>
          </w:p>
        </w:tc>
      </w:tr>
      <w:tr>
        <w:trPr>
          <w:trHeight w:val="213"/>
        </w:trPr>
        <w:tc>
          <w:tcPr>
            <w:tcW w:w="1160" w:type="dxa"/>
            <w:vAlign w:val="bottom"/>
          </w:tcPr>
          <w:p>
            <w:pPr>
              <w:ind w:left="120"/>
              <w:spacing w:after="0"/>
              <w:rPr>
                <w:sz w:val="20"/>
                <w:szCs w:val="20"/>
                <w:color w:val="auto"/>
              </w:rPr>
            </w:pPr>
            <w:r>
              <w:rPr>
                <w:rFonts w:ascii="Arial" w:cs="Arial" w:eastAsia="Arial" w:hAnsi="Arial"/>
                <w:sz w:val="16"/>
                <w:szCs w:val="16"/>
                <w:color w:val="auto"/>
              </w:rPr>
              <w:t>Asia</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2,170,110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2,169,350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6,427,175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132,000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6,295,175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85,095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6,210,080</w:t>
            </w:r>
          </w:p>
        </w:tc>
      </w:tr>
      <w:tr>
        <w:trPr>
          <w:trHeight w:val="219"/>
        </w:trPr>
        <w:tc>
          <w:tcPr>
            <w:tcW w:w="22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Avnet by operating group</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1160" w:type="dxa"/>
            <w:vAlign w:val="bottom"/>
          </w:tcPr>
          <w:p>
            <w:pPr>
              <w:ind w:left="120"/>
              <w:spacing w:after="0"/>
              <w:rPr>
                <w:sz w:val="20"/>
                <w:szCs w:val="20"/>
                <w:color w:val="auto"/>
              </w:rPr>
            </w:pPr>
            <w:r>
              <w:rPr>
                <w:rFonts w:ascii="Arial" w:cs="Arial" w:eastAsia="Arial" w:hAnsi="Arial"/>
                <w:sz w:val="16"/>
                <w:szCs w:val="16"/>
                <w:color w:val="auto"/>
              </w:rPr>
              <w:t>EC</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4,520,608</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1,659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9"/>
              </w:rPr>
              <w:t>$ 4,518,949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13,245,143</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284,000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12,961,143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292,212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12,668,931</w:t>
            </w:r>
          </w:p>
        </w:tc>
      </w:tr>
      <w:tr>
        <w:trPr>
          <w:trHeight w:val="219"/>
        </w:trPr>
        <w:tc>
          <w:tcPr>
            <w:tcW w:w="1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Farnell</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396,106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1,062,802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1,040,802</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jc w:val="both"/>
        <w:ind w:left="420" w:right="219" w:hanging="329"/>
        <w:spacing w:after="0" w:line="221"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4"/>
          <w:szCs w:val="14"/>
          <w:color w:val="auto"/>
        </w:rPr>
        <w:t>Sales adjusted for the impact of the termination of the TI distribution contract, which was completed in December 2020. Sales of TI products was $401 million in the third quarter of fiscal 2020 and $2 million in the third quarter of fiscal 2021. Sales of TI products was $1.24 billion in the first nine months of fiscal 2020 and $292 million in the first nine months of fiscal 2021.</w:t>
      </w:r>
    </w:p>
    <w:p>
      <w:pPr>
        <w:spacing w:after="0" w:line="1" w:lineRule="exact"/>
        <w:rPr>
          <w:rFonts w:ascii="Arial" w:cs="Arial" w:eastAsia="Arial" w:hAnsi="Arial"/>
          <w:sz w:val="16"/>
          <w:szCs w:val="16"/>
          <w:color w:val="auto"/>
        </w:rPr>
      </w:pPr>
    </w:p>
    <w:p>
      <w:pPr>
        <w:ind w:left="420" w:hanging="329"/>
        <w:spacing w:after="0" w:line="228"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4"/>
          <w:szCs w:val="14"/>
          <w:color w:val="auto"/>
        </w:rPr>
        <w:t>The impact of the additional week of sales in the first quarter of fiscal 2021 is estimated.</w:t>
      </w:r>
    </w:p>
    <w:p>
      <w:pPr>
        <w:spacing w:after="0" w:line="214" w:lineRule="exact"/>
        <w:rPr>
          <w:sz w:val="20"/>
          <w:szCs w:val="20"/>
          <w:color w:val="auto"/>
        </w:rPr>
      </w:pPr>
    </w:p>
    <w:p>
      <w:pPr>
        <w:ind w:left="60" w:right="399" w:firstLine="427"/>
        <w:spacing w:after="0" w:line="277" w:lineRule="auto"/>
        <w:rPr>
          <w:sz w:val="20"/>
          <w:szCs w:val="20"/>
          <w:color w:val="auto"/>
        </w:rPr>
      </w:pPr>
      <w:r>
        <w:rPr>
          <w:rFonts w:ascii="Arial" w:cs="Arial" w:eastAsia="Arial" w:hAnsi="Arial"/>
          <w:sz w:val="18"/>
          <w:szCs w:val="18"/>
          <w:color w:val="auto"/>
        </w:rPr>
        <w:t>The following table presents reported and organic sales growth rates for the third quarter and first nine months of fiscal 2021 as compared to fiscal 2020 by region and by operating group.</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60" w:type="dxa"/>
            <w:vAlign w:val="bottom"/>
            <w:gridSpan w:val="4"/>
          </w:tcPr>
          <w:p>
            <w:pPr>
              <w:ind w:left="20"/>
              <w:spacing w:after="0"/>
              <w:rPr>
                <w:sz w:val="20"/>
                <w:szCs w:val="20"/>
                <w:color w:val="auto"/>
              </w:rPr>
            </w:pPr>
            <w:r>
              <w:rPr>
                <w:rFonts w:ascii="Arial" w:cs="Arial" w:eastAsia="Arial" w:hAnsi="Arial"/>
                <w:sz w:val="16"/>
                <w:szCs w:val="16"/>
                <w:b w:val="1"/>
                <w:bCs w:val="1"/>
                <w:color w:val="auto"/>
              </w:rPr>
              <w:t>Quarter Ended</w:t>
            </w:r>
          </w:p>
        </w:tc>
        <w:tc>
          <w:tcPr>
            <w:tcW w:w="800" w:type="dxa"/>
            <w:vAlign w:val="bottom"/>
          </w:tcPr>
          <w:p>
            <w:pPr>
              <w:spacing w:after="0"/>
              <w:rPr>
                <w:sz w:val="19"/>
                <w:szCs w:val="19"/>
                <w:color w:val="auto"/>
              </w:rPr>
            </w:pPr>
          </w:p>
        </w:tc>
        <w:tc>
          <w:tcPr>
            <w:tcW w:w="2820" w:type="dxa"/>
            <w:vAlign w:val="bottom"/>
            <w:gridSpan w:val="6"/>
          </w:tcPr>
          <w:p>
            <w:pPr>
              <w:ind w:left="800"/>
              <w:spacing w:after="0"/>
              <w:rPr>
                <w:sz w:val="20"/>
                <w:szCs w:val="20"/>
                <w:color w:val="auto"/>
              </w:rPr>
            </w:pPr>
            <w:r>
              <w:rPr>
                <w:rFonts w:ascii="Arial" w:cs="Arial" w:eastAsia="Arial" w:hAnsi="Arial"/>
                <w:sz w:val="16"/>
                <w:szCs w:val="16"/>
                <w:b w:val="1"/>
                <w:bCs w:val="1"/>
                <w:color w:val="auto"/>
              </w:rPr>
              <w:t>Nine Months Ended</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86"/>
              </w:rPr>
              <w:t>Sales As</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6"/>
              </w:rPr>
              <w:t>Sales As</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Reported</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5"/>
              </w:rPr>
              <w:t>Sales</w:t>
            </w:r>
          </w:p>
        </w:tc>
        <w:tc>
          <w:tcPr>
            <w:tcW w:w="8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3"/>
              </w:rPr>
              <w:t>Sales As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5"/>
              </w:rPr>
              <w:t>Organic</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5"/>
              </w:rPr>
              <w:t>Sales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and Organic</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Adj for TI</w:t>
            </w:r>
          </w:p>
        </w:tc>
        <w:tc>
          <w:tcPr>
            <w:tcW w:w="8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Reported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1"/>
              </w:rPr>
              <w:t>Sales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Adj for TI</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and</w:t>
            </w:r>
          </w:p>
        </w:tc>
        <w:tc>
          <w:tcPr>
            <w:tcW w:w="1960" w:type="dxa"/>
            <w:vAlign w:val="bottom"/>
            <w:gridSpan w:val="4"/>
          </w:tcPr>
          <w:p>
            <w:pPr>
              <w:spacing w:after="0"/>
              <w:rPr>
                <w:sz w:val="20"/>
                <w:szCs w:val="20"/>
                <w:color w:val="auto"/>
              </w:rPr>
            </w:pPr>
            <w:r>
              <w:rPr>
                <w:rFonts w:ascii="Arial" w:cs="Arial" w:eastAsia="Arial" w:hAnsi="Arial"/>
                <w:sz w:val="16"/>
                <w:szCs w:val="16"/>
                <w:b w:val="1"/>
                <w:bCs w:val="1"/>
                <w:color w:val="auto"/>
              </w:rPr>
              <w:t>Year-Year % Year-Year %</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6"/>
              </w:rPr>
              <w:t>Sales As</w:t>
            </w:r>
          </w:p>
        </w:tc>
        <w:tc>
          <w:tcPr>
            <w:tcW w:w="282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rPr>
              <w:t>Year-Year %  Organic  Year-Year %</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6"/>
              </w:rPr>
              <w:t>Year-Year %</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Change in</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3"/>
              </w:rPr>
              <w:t>Change in</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Change in</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1"/>
              </w:rPr>
              <w:t>Sales</w:t>
            </w: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Change in</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0"/>
              </w:rPr>
              <w:t>Change in</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3"/>
              </w:rPr>
              <w:t>Year-Year</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Constant</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Constant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3"/>
              </w:rPr>
              <w:t>Year-Year</w:t>
            </w:r>
          </w:p>
        </w:tc>
        <w:tc>
          <w:tcPr>
            <w:tcW w:w="282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rPr>
              <w:t>Constant   Year-Year   Constant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44"/>
        </w:trPr>
        <w:tc>
          <w:tcPr>
            <w:tcW w:w="16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Currency</w:t>
            </w:r>
          </w:p>
        </w:tc>
        <w:tc>
          <w:tcPr>
            <w:tcW w:w="980" w:type="dxa"/>
            <w:vAlign w:val="bottom"/>
            <w:gridSpan w:val="2"/>
          </w:tcPr>
          <w:p>
            <w:pPr>
              <w:jc w:val="center"/>
              <w:ind w:right="60"/>
              <w:spacing w:after="0" w:line="243" w:lineRule="exact"/>
              <w:rPr>
                <w:sz w:val="20"/>
                <w:szCs w:val="20"/>
                <w:color w:val="auto"/>
              </w:rPr>
            </w:pPr>
            <w:r>
              <w:rPr>
                <w:rFonts w:ascii="Arial" w:cs="Arial" w:eastAsia="Arial" w:hAnsi="Arial"/>
                <w:sz w:val="16"/>
                <w:szCs w:val="16"/>
                <w:b w:val="1"/>
                <w:bCs w:val="1"/>
                <w:color w:val="auto"/>
                <w:w w:val="89"/>
              </w:rPr>
              <w:t>Currency</w:t>
            </w:r>
            <w:r>
              <w:rPr>
                <w:rFonts w:ascii="Arial" w:cs="Arial" w:eastAsia="Arial" w:hAnsi="Arial"/>
                <w:sz w:val="24"/>
                <w:szCs w:val="24"/>
                <w:b w:val="1"/>
                <w:bCs w:val="1"/>
                <w:color w:val="auto"/>
                <w:w w:val="89"/>
                <w:vertAlign w:val="superscript"/>
              </w:rPr>
              <w:t>(1)</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Currency</w:t>
            </w:r>
          </w:p>
        </w:tc>
        <w:tc>
          <w:tcPr>
            <w:tcW w:w="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 Change</w:t>
            </w:r>
          </w:p>
        </w:tc>
        <w:tc>
          <w:tcPr>
            <w:tcW w:w="10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3"/>
              </w:rPr>
              <w:t>Currency</w:t>
            </w:r>
          </w:p>
        </w:tc>
        <w:tc>
          <w:tcPr>
            <w:tcW w:w="940" w:type="dxa"/>
            <w:vAlign w:val="bottom"/>
          </w:tcPr>
          <w:p>
            <w:pPr>
              <w:jc w:val="center"/>
              <w:spacing w:after="0" w:line="243" w:lineRule="exact"/>
              <w:rPr>
                <w:sz w:val="20"/>
                <w:szCs w:val="20"/>
                <w:color w:val="auto"/>
              </w:rPr>
            </w:pPr>
            <w:r>
              <w:rPr>
                <w:rFonts w:ascii="Arial" w:cs="Arial" w:eastAsia="Arial" w:hAnsi="Arial"/>
                <w:sz w:val="16"/>
                <w:szCs w:val="16"/>
                <w:b w:val="1"/>
                <w:bCs w:val="1"/>
                <w:color w:val="auto"/>
                <w:w w:val="89"/>
              </w:rPr>
              <w:t>Currency</w:t>
            </w:r>
            <w:r>
              <w:rPr>
                <w:rFonts w:ascii="Arial" w:cs="Arial" w:eastAsia="Arial" w:hAnsi="Arial"/>
                <w:sz w:val="24"/>
                <w:szCs w:val="24"/>
                <w:b w:val="1"/>
                <w:bCs w:val="1"/>
                <w:color w:val="auto"/>
                <w:w w:val="89"/>
                <w:vertAlign w:val="superscript"/>
              </w:rPr>
              <w:t>(1)</w:t>
            </w:r>
          </w:p>
        </w:tc>
        <w:tc>
          <w:tcPr>
            <w:tcW w:w="0" w:type="dxa"/>
            <w:vAlign w:val="bottom"/>
          </w:tcPr>
          <w:p>
            <w:pPr>
              <w:spacing w:after="0"/>
              <w:rPr>
                <w:sz w:val="1"/>
                <w:szCs w:val="1"/>
                <w:color w:val="auto"/>
              </w:rPr>
            </w:pPr>
          </w:p>
        </w:tc>
      </w:tr>
      <w:tr>
        <w:trPr>
          <w:trHeight w:val="27"/>
        </w:trPr>
        <w:tc>
          <w:tcPr>
            <w:tcW w:w="164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800" w:type="dxa"/>
            <w:vAlign w:val="bottom"/>
            <w:tcBorders>
              <w:right w:val="single" w:sz="8" w:color="CCEEFF"/>
            </w:tcBorders>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40" w:type="dxa"/>
            <w:vAlign w:val="bottom"/>
            <w:vMerge w:val="continue"/>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3"/>
        </w:trPr>
        <w:tc>
          <w:tcPr>
            <w:tcW w:w="1640" w:type="dxa"/>
            <w:vAlign w:val="bottom"/>
          </w:tcPr>
          <w:p>
            <w:pPr>
              <w:ind w:left="20"/>
              <w:spacing w:after="0"/>
              <w:rPr>
                <w:sz w:val="20"/>
                <w:szCs w:val="20"/>
                <w:color w:val="auto"/>
              </w:rPr>
            </w:pPr>
            <w:r>
              <w:rPr>
                <w:rFonts w:ascii="Arial" w:cs="Arial" w:eastAsia="Arial" w:hAnsi="Arial"/>
                <w:sz w:val="16"/>
                <w:szCs w:val="16"/>
                <w:color w:val="auto"/>
              </w:rPr>
              <w:t>Avnet by region</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1640" w:type="dxa"/>
            <w:vAlign w:val="bottom"/>
          </w:tcPr>
          <w:p>
            <w:pPr>
              <w:ind w:left="120"/>
              <w:spacing w:after="0"/>
              <w:rPr>
                <w:sz w:val="20"/>
                <w:szCs w:val="20"/>
                <w:color w:val="auto"/>
              </w:rPr>
            </w:pPr>
            <w:r>
              <w:rPr>
                <w:rFonts w:ascii="Arial" w:cs="Arial" w:eastAsia="Arial" w:hAnsi="Arial"/>
                <w:sz w:val="16"/>
                <w:szCs w:val="16"/>
                <w:color w:val="auto"/>
              </w:rPr>
              <w:t>EMEA</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4.8</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1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800" w:type="dxa"/>
            <w:vAlign w:val="bottom"/>
            <w:tcBorders>
              <w:right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36.2</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w:t>
            </w: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17.7</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Avnet by operating group</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02"/>
        </w:trPr>
        <w:tc>
          <w:tcPr>
            <w:tcW w:w="1640" w:type="dxa"/>
            <w:vAlign w:val="bottom"/>
          </w:tcPr>
          <w:p>
            <w:pPr>
              <w:ind w:left="120"/>
              <w:spacing w:after="0"/>
              <w:rPr>
                <w:sz w:val="20"/>
                <w:szCs w:val="20"/>
                <w:color w:val="auto"/>
              </w:rPr>
            </w:pPr>
            <w:r>
              <w:rPr>
                <w:rFonts w:ascii="Arial" w:cs="Arial" w:eastAsia="Arial" w:hAnsi="Arial"/>
                <w:sz w:val="16"/>
                <w:szCs w:val="16"/>
                <w:color w:val="auto"/>
              </w:rPr>
              <w:t>Farnell</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18.2</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6.1</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329"/>
        <w:spacing w:after="0" w:line="187" w:lineRule="auto"/>
        <w:tabs>
          <w:tab w:leader="none" w:pos="420" w:val="left"/>
        </w:tabs>
        <w:numPr>
          <w:ilvl w:val="0"/>
          <w:numId w:val="14"/>
        </w:numPr>
        <w:rPr>
          <w:rFonts w:ascii="Arial" w:cs="Arial" w:eastAsia="Arial" w:hAnsi="Arial"/>
          <w:sz w:val="22"/>
          <w:szCs w:val="22"/>
          <w:color w:val="auto"/>
          <w:vertAlign w:val="superscript"/>
        </w:rPr>
      </w:pPr>
      <w:r>
        <w:rPr>
          <w:rFonts w:ascii="Arial" w:cs="Arial" w:eastAsia="Arial" w:hAnsi="Arial"/>
          <w:sz w:val="12"/>
          <w:szCs w:val="12"/>
          <w:color w:val="auto"/>
        </w:rPr>
        <w:t>Sales growth rates excluding the impact of the termination of the TI distribution agreement, which was completed in December 2020.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firstLine="427"/>
        <w:spacing w:after="0" w:line="293" w:lineRule="auto"/>
        <w:rPr>
          <w:sz w:val="20"/>
          <w:szCs w:val="20"/>
          <w:color w:val="auto"/>
        </w:rPr>
      </w:pPr>
      <w:r>
        <w:rPr>
          <w:rFonts w:ascii="Arial" w:cs="Arial" w:eastAsia="Arial" w:hAnsi="Arial"/>
          <w:sz w:val="16"/>
          <w:szCs w:val="16"/>
          <w:color w:val="auto"/>
        </w:rPr>
        <w:t>Sales of $4.92 billion for the third quarter of fiscal 2021 were up $606.9 million, or 14.1%, from the prior year third quarter sales of $4.31 billion. Sales in constant currency in the third quarter of fiscal 2021 increased by 10.7% year-over-year. The increase in sales is primarily the result of increased sales in the Company’s EC Asia region and sales growth at Farnell. The year-over-year sales increases were impacted by lower sales of TI products in the third quarter of fiscal 2021. Organic sales in constant currency excluding TI sales in the third quarter of fiscal 2021 were 22.0% higher than sales in the third quarter of fiscal 2020 reflecting improvements in both operating groups across all regions.</w:t>
      </w:r>
    </w:p>
    <w:p>
      <w:pPr>
        <w:spacing w:after="0" w:line="164" w:lineRule="exact"/>
        <w:rPr>
          <w:sz w:val="20"/>
          <w:szCs w:val="20"/>
          <w:color w:val="auto"/>
        </w:rPr>
      </w:pPr>
    </w:p>
    <w:p>
      <w:pPr>
        <w:ind w:left="60" w:right="179" w:firstLine="432"/>
        <w:spacing w:after="0" w:line="257" w:lineRule="auto"/>
        <w:rPr>
          <w:sz w:val="20"/>
          <w:szCs w:val="20"/>
          <w:color w:val="auto"/>
        </w:rPr>
      </w:pPr>
      <w:r>
        <w:rPr>
          <w:rFonts w:ascii="Arial" w:cs="Arial" w:eastAsia="Arial" w:hAnsi="Arial"/>
          <w:sz w:val="18"/>
          <w:szCs w:val="18"/>
          <w:color w:val="auto"/>
        </w:rPr>
        <w:t>EC sales of $4.52 billion in the third quarter of fiscal 2021 increased $545.9 million or 13.7% from the prior year third quarter sales of $3.97 billion. On an organic basis, EC sales excluding TI increased 22.9% year over year in constant currency, reflecting sales growth in all three regions. The increase in sales in the Company’s EC operating group is primarily due to improvements in overall market demand and stronger demand in certain industry sectors, particularly the transportation and industrial sectors.</w:t>
      </w:r>
    </w:p>
    <w:p>
      <w:pPr>
        <w:spacing w:after="0" w:line="188" w:lineRule="exact"/>
        <w:rPr>
          <w:sz w:val="20"/>
          <w:szCs w:val="20"/>
          <w:color w:val="auto"/>
        </w:rPr>
      </w:pPr>
    </w:p>
    <w:p>
      <w:pPr>
        <w:jc w:val="both"/>
        <w:ind w:left="60" w:right="119" w:firstLine="427"/>
        <w:spacing w:after="0" w:line="263" w:lineRule="auto"/>
        <w:rPr>
          <w:sz w:val="20"/>
          <w:szCs w:val="20"/>
          <w:color w:val="auto"/>
        </w:rPr>
      </w:pPr>
      <w:r>
        <w:rPr>
          <w:rFonts w:ascii="Arial" w:cs="Arial" w:eastAsia="Arial" w:hAnsi="Arial"/>
          <w:sz w:val="18"/>
          <w:szCs w:val="18"/>
          <w:color w:val="auto"/>
        </w:rPr>
        <w:t>Farnell sales for the third quarter of fiscal 2021 were $396.1 million, an increase of $61.0 million or 18.2% from the prior year third quarter sales of $335.1 million. Sales in constant currency increased 12.3% year-over-year. These increases were primarily a result of improved market demand in all three regions.</w:t>
      </w:r>
    </w:p>
    <w:p>
      <w:pPr>
        <w:spacing w:after="0" w:line="184" w:lineRule="exact"/>
        <w:rPr>
          <w:sz w:val="20"/>
          <w:szCs w:val="20"/>
          <w:color w:val="auto"/>
        </w:rPr>
      </w:pPr>
    </w:p>
    <w:p>
      <w:pPr>
        <w:ind w:left="60" w:right="99" w:firstLine="432"/>
        <w:spacing w:after="0" w:line="257" w:lineRule="auto"/>
        <w:rPr>
          <w:sz w:val="20"/>
          <w:szCs w:val="20"/>
          <w:color w:val="auto"/>
        </w:rPr>
      </w:pPr>
      <w:r>
        <w:rPr>
          <w:rFonts w:ascii="Arial" w:cs="Arial" w:eastAsia="Arial" w:hAnsi="Arial"/>
          <w:sz w:val="18"/>
          <w:szCs w:val="18"/>
          <w:color w:val="auto"/>
        </w:rPr>
        <w:t>Sales for the first nine months of fiscal 2021 were $14.31 billion, an increase of $833.3 million as compared to sales of $13.47 billion for the first nine months of fiscal 2020. The increase in sales was primarily due to growth in the Asia region and the global benefit of an extra week of sales in the first quarter of fiscal 2021, partially offset by the decline in TI sales. Organic sales in constant currency excluding TI sales increased 9.5% year-over-year in the first nine months of fiscal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0" w:right="79" w:firstLine="432"/>
        <w:spacing w:after="0" w:line="254" w:lineRule="auto"/>
        <w:rPr>
          <w:sz w:val="20"/>
          <w:szCs w:val="20"/>
          <w:color w:val="auto"/>
        </w:rPr>
      </w:pPr>
      <w:r>
        <w:rPr>
          <w:rFonts w:ascii="Arial" w:cs="Arial" w:eastAsia="Arial" w:hAnsi="Arial"/>
          <w:sz w:val="18"/>
          <w:szCs w:val="18"/>
          <w:color w:val="auto"/>
        </w:rPr>
        <w:t>Gross profit for the third quarter of fiscal 2021 was $568.4 million, an increase of $49.4 million, or 9.5%, from the third quarter of fiscal 2020 gross profit of $518.9 million. Gross profit margin decreased to 11.6% (or 48 basis points) from the third quarter of fiscal 2020 gross profit margin of 12.0%, driven by declines in gross profit margin in both operating groups. The declines in gross profit margin in both operating groups are primarily due to geographical market mix and, to a lesser extent, from unfavorable changes in product and customer mix. Sales in the higher gross profit margin western regions represented approximately 56% of sales in the third quarter of fiscal 2021, as compared to 63% during the third quarter of fiscal 2020.</w:t>
      </w:r>
    </w:p>
    <w:p>
      <w:pPr>
        <w:spacing w:after="0" w:line="195" w:lineRule="exact"/>
        <w:rPr>
          <w:sz w:val="20"/>
          <w:szCs w:val="20"/>
          <w:color w:val="auto"/>
        </w:rPr>
      </w:pPr>
    </w:p>
    <w:p>
      <w:pPr>
        <w:ind w:left="60" w:right="59" w:firstLine="432"/>
        <w:spacing w:after="0" w:line="273" w:lineRule="auto"/>
        <w:rPr>
          <w:sz w:val="20"/>
          <w:szCs w:val="20"/>
          <w:color w:val="auto"/>
        </w:rPr>
      </w:pPr>
      <w:r>
        <w:rPr>
          <w:rFonts w:ascii="Arial" w:cs="Arial" w:eastAsia="Arial" w:hAnsi="Arial"/>
          <w:sz w:val="17"/>
          <w:szCs w:val="17"/>
          <w:color w:val="auto"/>
        </w:rPr>
        <w:t>Gross profit and gross profit margin were $1.60 billion and 11.2%, respectively, for the first nine months of fiscal 2021, as compared with $1.59 billion and 11.8%, respectively, for the first nine months of fiscal 2020. The decline in gross profit margin during the first nine months of fiscal 2021 compared to the first nine months of fiscal 2020 is primarily due to geographical market mix and, to a lesser extent, from unfavorable changes in product and customer mix. Sales in the higher gross profit margin western regions represented approximately 55% of sales in the first nine months of fiscal 2021 as compared to 59% during the first nine months of fiscal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left="60" w:right="79" w:firstLine="432"/>
        <w:spacing w:after="0" w:line="259" w:lineRule="auto"/>
        <w:rPr>
          <w:sz w:val="20"/>
          <w:szCs w:val="20"/>
          <w:color w:val="auto"/>
        </w:rPr>
      </w:pPr>
      <w:r>
        <w:rPr>
          <w:rFonts w:ascii="Arial" w:cs="Arial" w:eastAsia="Arial" w:hAnsi="Arial"/>
          <w:sz w:val="18"/>
          <w:szCs w:val="18"/>
          <w:color w:val="auto"/>
        </w:rPr>
        <w:t>Selling, general and administrative expenses (“SG&amp;A expenses”) were $463.1 million in the third quarter of fiscal 2021, a decrease of $6.6 million, or 1.4%, from the third quarter of fiscal 2020. The year-over-year decrease in SG&amp;A expenses was primarily due to the cost savings from restructuring activities and lower amortization expense, partially offset by the impact of foreign currency due to the weakening U.S. Dollar.</w:t>
      </w:r>
    </w:p>
    <w:p>
      <w:pPr>
        <w:spacing w:after="0" w:line="187" w:lineRule="exact"/>
        <w:rPr>
          <w:sz w:val="20"/>
          <w:szCs w:val="20"/>
          <w:color w:val="auto"/>
        </w:rPr>
      </w:pPr>
    </w:p>
    <w:p>
      <w:pPr>
        <w:ind w:left="60" w:right="119" w:firstLine="427"/>
        <w:spacing w:after="0" w:line="293" w:lineRule="auto"/>
        <w:rPr>
          <w:sz w:val="20"/>
          <w:szCs w:val="20"/>
          <w:color w:val="auto"/>
        </w:rPr>
      </w:pPr>
      <w:r>
        <w:rPr>
          <w:rFonts w:ascii="Arial" w:cs="Arial" w:eastAsia="Arial" w:hAnsi="Arial"/>
          <w:sz w:val="16"/>
          <w:szCs w:val="16"/>
          <w:color w:val="auto"/>
        </w:rPr>
        <w:t>Metrics that management monitors with respect to its operating expenses are SG&amp;A expenses as a percentage of sales and as a percentage of gross profit. In the third quarter of fiscal 2021, SG&amp;A expenses as a percentage of sales were 9.4% and as a percentage of gross profit were 81.5%, as compared with 10.9% and 90.5%, respectively, in the third quarter of fiscal 2020. The decrease in SG&amp;A expenses as a percentage of gross profit primarily results from operating leverage created from higher sales, cost savings from restructuring activities, and lower amortization expense, partially offset by foreign currency due to the weakening U.S. Dollar and from the decrease in gross profit margin.</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firstLine="427"/>
        <w:spacing w:after="0" w:line="296" w:lineRule="auto"/>
        <w:rPr>
          <w:sz w:val="20"/>
          <w:szCs w:val="20"/>
          <w:color w:val="auto"/>
        </w:rPr>
      </w:pPr>
      <w:r>
        <w:rPr>
          <w:rFonts w:ascii="Arial" w:cs="Arial" w:eastAsia="Arial" w:hAnsi="Arial"/>
          <w:sz w:val="16"/>
          <w:szCs w:val="16"/>
          <w:color w:val="auto"/>
        </w:rPr>
        <w:t>SG&amp;A expenses for the first nine months of fiscal 2021 were $1.38 billion, or 9.6% of sales, as compared with $1.39 billion, or 10.3% of sales, in the first nine months of fiscal 2020. The year-over-year decrease in SG&amp;A expenses was primarily due to the cost savings from restructuring activities and lower amortization expense, partially offset by the impact of foreign currency due to the weakening U.S. Dollar and from the decrease in gross profit margin. SG&amp;A expenses were 86.3% of gross profit in the first nine months of 2021 as compared with 87.6% in the first nine months of fiscal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ind w:left="60" w:right="99" w:firstLine="432"/>
        <w:spacing w:after="0" w:line="291" w:lineRule="auto"/>
        <w:rPr>
          <w:sz w:val="20"/>
          <w:szCs w:val="20"/>
          <w:color w:val="auto"/>
        </w:rPr>
      </w:pPr>
      <w:r>
        <w:rPr>
          <w:rFonts w:ascii="Arial" w:cs="Arial" w:eastAsia="Arial" w:hAnsi="Arial"/>
          <w:sz w:val="16"/>
          <w:szCs w:val="16"/>
          <w:color w:val="auto"/>
        </w:rPr>
        <w:t>As a result of management’s focus on improving operating efficiencies and reducing operating costs, the Company has incurred certain restructuring, integration, and other costs. Restructuring costs primarily relate to the restructuring of the Company’s information technology, distribution center footprint, and business operations. Integration costs primarily relate to the integration of certain regional and global businesses, as well as incremental costs incurred as part of the consolidation, relocation, sale and closure of distribution centers and office facilities. Other costs consist primarily of any other miscellaneous costs that relate to restructuring, integration and other expenses, including acquisition related costs and specific and incremental costs incurred associated with the impacts of the COVID-19 pandemic.</w:t>
      </w:r>
    </w:p>
    <w:p>
      <w:pPr>
        <w:spacing w:after="0" w:line="166" w:lineRule="exact"/>
        <w:rPr>
          <w:sz w:val="20"/>
          <w:szCs w:val="20"/>
          <w:color w:val="auto"/>
        </w:rPr>
      </w:pPr>
    </w:p>
    <w:p>
      <w:pPr>
        <w:ind w:left="60" w:right="139" w:firstLine="427"/>
        <w:spacing w:after="0" w:line="255" w:lineRule="auto"/>
        <w:rPr>
          <w:sz w:val="20"/>
          <w:szCs w:val="20"/>
          <w:color w:val="auto"/>
        </w:rPr>
      </w:pPr>
      <w:r>
        <w:rPr>
          <w:rFonts w:ascii="Arial" w:cs="Arial" w:eastAsia="Arial" w:hAnsi="Arial"/>
          <w:sz w:val="18"/>
          <w:szCs w:val="18"/>
          <w:color w:val="auto"/>
        </w:rPr>
        <w:t>The Company recorded restructuring, integration and other expenses of $17.6 million during the third quarter of fiscal 2021. The Company recorded $5.4 million of restructuring costs in the third quarter of fiscal 2021, which are expected to provide over $7.0 million in annual operating expense savings once such restructuring actions are completed. During the third quarter of fiscal 2021, the Company also incurred integration costs of $12.0 million and other expenses of $0.2 million. The after-tax impact of restructuring, integration and other expenses were $13.5 million and $0.13 per share on a diluted basis.</w:t>
      </w:r>
    </w:p>
    <w:p>
      <w:pPr>
        <w:spacing w:after="0" w:line="192" w:lineRule="exact"/>
        <w:rPr>
          <w:sz w:val="20"/>
          <w:szCs w:val="20"/>
          <w:color w:val="auto"/>
        </w:rPr>
      </w:pPr>
    </w:p>
    <w:p>
      <w:pPr>
        <w:ind w:left="60" w:right="79" w:firstLine="427"/>
        <w:spacing w:after="0" w:line="257" w:lineRule="auto"/>
        <w:rPr>
          <w:sz w:val="20"/>
          <w:szCs w:val="20"/>
          <w:color w:val="auto"/>
        </w:rPr>
      </w:pPr>
      <w:r>
        <w:rPr>
          <w:rFonts w:ascii="Arial" w:cs="Arial" w:eastAsia="Arial" w:hAnsi="Arial"/>
          <w:sz w:val="18"/>
          <w:szCs w:val="18"/>
          <w:color w:val="auto"/>
        </w:rPr>
        <w:t>During the first nine months of fiscal 2021, the Company incurred restructuring costs of $39.9 million, integration costs of $26.5 million, which was offset by a gain on legal settlement of $8.2 million, a reversal of $2.1 million for changes in estimates for costs associated with prior year restructuring actions and a net reversal of other expenses of $0.2 million. The after-tax impact of restructuring, integration and other expenses for the first nine months of fiscal 2021 was $44.6 million and $0.44 per share on a diluted basis.</w:t>
      </w:r>
    </w:p>
    <w:p>
      <w:pPr>
        <w:spacing w:after="0" w:line="188" w:lineRule="exact"/>
        <w:rPr>
          <w:sz w:val="20"/>
          <w:szCs w:val="20"/>
          <w:color w:val="auto"/>
        </w:rPr>
      </w:pPr>
    </w:p>
    <w:p>
      <w:pPr>
        <w:ind w:left="60" w:right="139" w:firstLine="427"/>
        <w:spacing w:after="0" w:line="277" w:lineRule="auto"/>
        <w:rPr>
          <w:sz w:val="20"/>
          <w:szCs w:val="20"/>
          <w:color w:val="auto"/>
        </w:rPr>
      </w:pPr>
      <w:r>
        <w:rPr>
          <w:rFonts w:ascii="Arial" w:cs="Arial" w:eastAsia="Arial" w:hAnsi="Arial"/>
          <w:sz w:val="18"/>
          <w:szCs w:val="18"/>
          <w:color w:val="auto"/>
        </w:rPr>
        <w:t>See Note 16 “Restructuring expenses” to the Company’s consolidated financial statements included in this Quarterly Report on Form 10-Q.</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 (Loss)</w:t>
      </w:r>
    </w:p>
    <w:p>
      <w:pPr>
        <w:spacing w:after="0" w:line="229" w:lineRule="exact"/>
        <w:rPr>
          <w:sz w:val="20"/>
          <w:szCs w:val="20"/>
          <w:color w:val="auto"/>
        </w:rPr>
      </w:pPr>
    </w:p>
    <w:p>
      <w:pPr>
        <w:ind w:left="60" w:right="219" w:firstLine="427"/>
        <w:spacing w:after="0" w:line="296" w:lineRule="auto"/>
        <w:rPr>
          <w:sz w:val="20"/>
          <w:szCs w:val="20"/>
          <w:color w:val="auto"/>
        </w:rPr>
      </w:pPr>
      <w:r>
        <w:rPr>
          <w:rFonts w:ascii="Arial" w:cs="Arial" w:eastAsia="Arial" w:hAnsi="Arial"/>
          <w:sz w:val="16"/>
          <w:szCs w:val="16"/>
          <w:color w:val="auto"/>
        </w:rPr>
        <w:t>Operating income for the third quarter of fiscal 2021 was $87.7 million, an increase of $203.4 million, or 175.7%, from the third quarter of fiscal 2020 operating loss of $115.8 million, which included goodwill and long-lived asset impairment expense of $145.8 million. Adjusted operating income for the third quarter of fiscal 2021 was $110.5 million, an increase of $40.2 million, or 57.1%, from the third quarter of fiscal 2020. The year-over-year increase in adjusted operating income was primarily driven by the increase in sales and by the reduction in SG&amp;A expenses.</w:t>
      </w:r>
    </w:p>
    <w:p>
      <w:pPr>
        <w:spacing w:after="0" w:line="161" w:lineRule="exact"/>
        <w:rPr>
          <w:sz w:val="20"/>
          <w:szCs w:val="20"/>
          <w:color w:val="auto"/>
        </w:rPr>
      </w:pPr>
    </w:p>
    <w:p>
      <w:pPr>
        <w:ind w:left="60" w:right="239" w:firstLine="427"/>
        <w:spacing w:after="0" w:line="277" w:lineRule="auto"/>
        <w:rPr>
          <w:sz w:val="20"/>
          <w:szCs w:val="20"/>
          <w:color w:val="auto"/>
        </w:rPr>
      </w:pPr>
      <w:r>
        <w:rPr>
          <w:rFonts w:ascii="Arial" w:cs="Arial" w:eastAsia="Arial" w:hAnsi="Arial"/>
          <w:sz w:val="18"/>
          <w:szCs w:val="18"/>
          <w:color w:val="auto"/>
        </w:rPr>
        <w:t>EC operating income margin increased 49 basis points year over year to 2.6% and Farnell operating income margin decreased 95 basis points year over year to 6.0%.</w:t>
      </w:r>
    </w:p>
    <w:p>
      <w:pPr>
        <w:spacing w:after="0" w:line="170" w:lineRule="exact"/>
        <w:rPr>
          <w:sz w:val="20"/>
          <w:szCs w:val="20"/>
          <w:color w:val="auto"/>
        </w:rPr>
      </w:pPr>
    </w:p>
    <w:p>
      <w:pPr>
        <w:jc w:val="both"/>
        <w:ind w:left="60" w:right="59" w:firstLine="427"/>
        <w:spacing w:after="0" w:line="296" w:lineRule="auto"/>
        <w:rPr>
          <w:sz w:val="20"/>
          <w:szCs w:val="20"/>
          <w:color w:val="auto"/>
        </w:rPr>
      </w:pPr>
      <w:r>
        <w:rPr>
          <w:rFonts w:ascii="Arial" w:cs="Arial" w:eastAsia="Arial" w:hAnsi="Arial"/>
          <w:sz w:val="16"/>
          <w:szCs w:val="16"/>
          <w:color w:val="auto"/>
        </w:rPr>
        <w:t>Operating income for the first nine months of fiscal 2021 was $163.4 million, or 1.1% of consolidated sales, as compared with operating loss of $6.5 million, or negative 0.1% of consolidated sales in the first nine months of fiscal 2020. Adjusted operating income for the first nine months of fiscal 2021 was $255.2 million, a decrease of $4.7 million, or 1.8%, from the first nine months of fiscal 2020. The year-over-year decrease in adjusted operating income was primarily driven by the decline in gross profit margin, partially offset by the increase in sales and the reduction in SG&amp;A expenses.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and Other Financing Expenses, Net and Other Income (Expense), Net</w:t>
      </w:r>
    </w:p>
    <w:p>
      <w:pPr>
        <w:spacing w:after="0" w:line="229" w:lineRule="exact"/>
        <w:rPr>
          <w:sz w:val="20"/>
          <w:szCs w:val="20"/>
          <w:color w:val="auto"/>
        </w:rPr>
      </w:pPr>
    </w:p>
    <w:p>
      <w:pPr>
        <w:ind w:left="60" w:right="59" w:firstLine="432"/>
        <w:spacing w:after="0" w:line="293" w:lineRule="auto"/>
        <w:rPr>
          <w:sz w:val="20"/>
          <w:szCs w:val="20"/>
          <w:color w:val="auto"/>
        </w:rPr>
      </w:pPr>
      <w:r>
        <w:rPr>
          <w:rFonts w:ascii="Arial" w:cs="Arial" w:eastAsia="Arial" w:hAnsi="Arial"/>
          <w:sz w:val="16"/>
          <w:szCs w:val="16"/>
          <w:color w:val="auto"/>
        </w:rPr>
        <w:t>Interest and other financing expenses in the third quarter of fiscal 2021 was $22.3 million, a decrease of $7.4 million, or 24.8%, as compared with interest and other financing expenses of $29.7 million in the third quarter of fiscal 2020. Interest and other financing expenses in the first nine months of fiscal 2021 was $66.1 million, a decrease of $31.1 million, or 32.0%, as compared with interest and other financing expenses of $97.3 million in the first nine months of fiscal 2020. The decrease in interest and other financing expenses in the first nine months of fiscal 2021 compared to the first nine months of fiscal 2020 was primarily related to lower outstanding borrowings during fiscal 2021 as compared to fiscal 2020.</w:t>
      </w:r>
    </w:p>
    <w:p>
      <w:pPr>
        <w:spacing w:after="0" w:line="164" w:lineRule="exact"/>
        <w:rPr>
          <w:sz w:val="20"/>
          <w:szCs w:val="20"/>
          <w:color w:val="auto"/>
        </w:rPr>
      </w:pPr>
    </w:p>
    <w:p>
      <w:pPr>
        <w:ind w:left="60" w:right="79" w:firstLine="427"/>
        <w:spacing w:after="0" w:line="273" w:lineRule="auto"/>
        <w:rPr>
          <w:sz w:val="20"/>
          <w:szCs w:val="20"/>
          <w:color w:val="auto"/>
        </w:rPr>
      </w:pPr>
      <w:r>
        <w:rPr>
          <w:rFonts w:ascii="Arial" w:cs="Arial" w:eastAsia="Arial" w:hAnsi="Arial"/>
          <w:sz w:val="17"/>
          <w:szCs w:val="17"/>
          <w:color w:val="auto"/>
        </w:rPr>
        <w:t>During the third quarter of fiscal 2021, the Company had $4.8 million of other income as compared with $12.6 million of other expense in the third quarter of fiscal 2020. During the first nine months of fiscal 2021, the Company had $16.1 million of other expense as compared with $9.6 million of other expense in the first nine months of fiscal 2020. The year-over-year differences in other income (expense) was primarily due to $15.2 million of equity investment impairment expense included in other expense in the first nine months of fiscal 2021 and differences in foreign currency exchange rates between the first nine months of fiscal 2021 and fiscal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Benefit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Company’s effective tax rate on its income before taxes was a benefit of 53.3% in the third quarter of fiscal</w:t>
      </w:r>
    </w:p>
    <w:p>
      <w:pPr>
        <w:spacing w:after="0" w:line="23" w:lineRule="exact"/>
        <w:rPr>
          <w:sz w:val="20"/>
          <w:szCs w:val="20"/>
          <w:color w:val="auto"/>
        </w:rPr>
      </w:pPr>
    </w:p>
    <w:p>
      <w:pPr>
        <w:jc w:val="both"/>
        <w:ind w:left="60" w:right="159"/>
        <w:spacing w:after="0" w:line="255" w:lineRule="auto"/>
        <w:rPr>
          <w:sz w:val="20"/>
          <w:szCs w:val="20"/>
          <w:color w:val="auto"/>
        </w:rPr>
      </w:pPr>
      <w:r>
        <w:rPr>
          <w:rFonts w:ascii="Arial" w:cs="Arial" w:eastAsia="Arial" w:hAnsi="Arial"/>
          <w:sz w:val="18"/>
          <w:szCs w:val="18"/>
          <w:color w:val="auto"/>
        </w:rPr>
        <w:t>2021. During the third quarter of fiscal 2021, the Company’s effective tax rate was favorably impacted primarily by (i) the tax benefit arising from the reduction in value of certain businesses for income tax purposes and (ii) decreases to valuation allowances, partially offset by (iii) increases to unrecognized tax benefit reserves.</w:t>
      </w:r>
    </w:p>
    <w:p>
      <w:pPr>
        <w:spacing w:after="0" w:line="190"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6"/>
          <w:szCs w:val="16"/>
          <w:color w:val="auto"/>
        </w:rPr>
        <w:t>For the first nine months of fiscal 2021, the Company’s effective tax rate on its income before taxes was a benefit of 32.7%. The effective tax rate for the first nine months of fiscal 2021 was favorably impacted primarily by (i) the tax benefit arising from the reduction in value of certain businesses for income tax purposes, (ii) decreases to valuation allowances, and (iii) the mix of income in lower tax jurisdictions, partially offset by (iv) increases to unrecognized tax benefit reserves.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left="60" w:right="19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third quarter of fiscal 2021 was $107.5 million, or $1.07 per share on a diluted basis, as compared with net loss of $128.7 million, or $1.29 per share on a diluted basis, in the third quarter of fiscal 2020.</w:t>
      </w:r>
    </w:p>
    <w:p>
      <w:pPr>
        <w:spacing w:after="0" w:line="184" w:lineRule="exact"/>
        <w:rPr>
          <w:sz w:val="20"/>
          <w:szCs w:val="20"/>
          <w:color w:val="auto"/>
        </w:rPr>
      </w:pPr>
    </w:p>
    <w:p>
      <w:pPr>
        <w:ind w:left="60" w:right="23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nine months of fiscal 2021 was $107.8 million, or $1.08 per share on a diluted basis, as compared with net loss of $83.2 million, or $0.82 per share on a diluted basis, in the first nine months of fiscal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ind w:left="60" w:right="79" w:firstLine="432"/>
        <w:spacing w:after="0" w:line="290" w:lineRule="auto"/>
        <w:rPr>
          <w:sz w:val="20"/>
          <w:szCs w:val="20"/>
          <w:color w:val="auto"/>
        </w:rPr>
      </w:pPr>
      <w:r>
        <w:rPr>
          <w:rFonts w:ascii="Arial" w:cs="Arial" w:eastAsia="Arial" w:hAnsi="Arial"/>
          <w:sz w:val="16"/>
          <w:szCs w:val="16"/>
          <w:color w:val="auto"/>
        </w:rPr>
        <w:t>During the first nine months of fiscal 2021, the Company generated $197.5 million of cash flow from operations compared to $442.6 million of cash generated in the first nine months of fiscal 2020. These operating cash flows were comprised of: (i) 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or generated from, working capital and other, excluding cash and cash equivalents. Cash used for working capital and other was $112.0 million during the first nine months of fiscal 2021, including an increase in accounts receivable of $405.7 million, offset by a decrease in inventories of $63.0 million, increases in accounts payable of $224.2 million and accrued expenses and other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419"/>
        <w:spacing w:after="0" w:line="311" w:lineRule="auto"/>
        <w:rPr>
          <w:sz w:val="20"/>
          <w:szCs w:val="20"/>
          <w:color w:val="auto"/>
        </w:rPr>
      </w:pPr>
      <w:r>
        <w:rPr>
          <w:rFonts w:ascii="Arial" w:cs="Arial" w:eastAsia="Arial" w:hAnsi="Arial"/>
          <w:sz w:val="16"/>
          <w:szCs w:val="16"/>
          <w:color w:val="auto"/>
        </w:rPr>
        <w:t>of $6.5 million. Comparatively, cash generated from working capital and other was $180.9 million during the first nine months of fiscal 2020, including decreases in accounts receivable of $150.1 million and inventories of $228.0 million, offset by decreases in accounts payable of $112.9 million and accrued expenses and other of $84.3 million.</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ind w:left="60" w:right="259" w:firstLine="432"/>
        <w:spacing w:after="0" w:line="277" w:lineRule="auto"/>
        <w:rPr>
          <w:sz w:val="20"/>
          <w:szCs w:val="20"/>
          <w:color w:val="auto"/>
        </w:rPr>
      </w:pPr>
      <w:r>
        <w:rPr>
          <w:rFonts w:ascii="Arial" w:cs="Arial" w:eastAsia="Arial" w:hAnsi="Arial"/>
          <w:sz w:val="18"/>
          <w:szCs w:val="18"/>
          <w:color w:val="auto"/>
        </w:rPr>
        <w:t>During the first nine months of fiscal 2021, the Company made a net repayment of $232.3 million under the Credit Facility and paid dividends on common stock of $62.4 million.</w:t>
      </w:r>
    </w:p>
    <w:p>
      <w:pPr>
        <w:spacing w:after="0" w:line="170" w:lineRule="exact"/>
        <w:rPr>
          <w:sz w:val="20"/>
          <w:szCs w:val="20"/>
          <w:color w:val="auto"/>
        </w:rPr>
      </w:pPr>
    </w:p>
    <w:p>
      <w:pPr>
        <w:ind w:left="60" w:right="379" w:firstLine="432"/>
        <w:spacing w:after="0" w:line="263" w:lineRule="auto"/>
        <w:rPr>
          <w:sz w:val="20"/>
          <w:szCs w:val="20"/>
          <w:color w:val="auto"/>
        </w:rPr>
      </w:pPr>
      <w:r>
        <w:rPr>
          <w:rFonts w:ascii="Arial" w:cs="Arial" w:eastAsia="Arial" w:hAnsi="Arial"/>
          <w:sz w:val="18"/>
          <w:szCs w:val="18"/>
          <w:color w:val="auto"/>
        </w:rPr>
        <w:t>During the first nine months of fiscal 2020, the Company made net repayments of $127.4 million under the Securitization Program, paid dividends on common stock of $63.2 million, and repurchased $235.8 million of common stock.</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ind w:left="60" w:right="79" w:firstLine="432"/>
        <w:spacing w:after="0" w:line="296" w:lineRule="auto"/>
        <w:rPr>
          <w:sz w:val="20"/>
          <w:szCs w:val="20"/>
          <w:color w:val="auto"/>
        </w:rPr>
      </w:pPr>
      <w:r>
        <w:rPr>
          <w:rFonts w:ascii="Arial" w:cs="Arial" w:eastAsia="Arial" w:hAnsi="Arial"/>
          <w:sz w:val="16"/>
          <w:szCs w:val="16"/>
          <w:color w:val="auto"/>
        </w:rPr>
        <w:t>During the first nine months of fiscal 2021, the Company used $39.0 million for capital expenditures primarily related to warehouse and facilities, and information technology hardware and software costs, compared to $61.2 million for capital expenditures in the first nine months of fiscal 2020. During the first nine months of fiscal 2021, the Company paid $18.4 million for an asset acquisition. The Company used $51.5 million of cash for acquisitions, which is net of the cash acquired, and paid $12.5 million for other investing activities during the first nine months of fiscal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99" w:firstLine="432"/>
        <w:spacing w:after="0" w:line="296" w:lineRule="auto"/>
        <w:rPr>
          <w:sz w:val="20"/>
          <w:szCs w:val="20"/>
          <w:color w:val="auto"/>
        </w:rPr>
      </w:pPr>
      <w:r>
        <w:rPr>
          <w:rFonts w:ascii="Arial" w:cs="Arial" w:eastAsia="Arial" w:hAnsi="Arial"/>
          <w:sz w:val="16"/>
          <w:szCs w:val="16"/>
          <w:color w:val="auto"/>
        </w:rPr>
        <w:t xml:space="preserve">For a detailed description of the Company’s long-term debt and lease commitments for the next five years and thereafter, see </w:t>
      </w:r>
      <w:r>
        <w:rPr>
          <w:rFonts w:ascii="Arial" w:cs="Arial" w:eastAsia="Arial" w:hAnsi="Arial"/>
          <w:sz w:val="16"/>
          <w:szCs w:val="16"/>
          <w:i w:val="1"/>
          <w:iCs w:val="1"/>
          <w:color w:val="auto"/>
        </w:rPr>
        <w:t>Long-Term Contractual Obligations</w:t>
      </w:r>
      <w:r>
        <w:rPr>
          <w:rFonts w:ascii="Arial" w:cs="Arial" w:eastAsia="Arial" w:hAnsi="Arial"/>
          <w:sz w:val="16"/>
          <w:szCs w:val="16"/>
          <w:color w:val="auto"/>
        </w:rPr>
        <w:t xml:space="preserve"> appearing in Item 7 of the Company’s Annual Report on Form 10-K for the fiscal year ended June 27, 2020.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ind w:left="60" w:right="299" w:firstLine="432"/>
        <w:spacing w:after="0" w:line="279" w:lineRule="auto"/>
        <w:rPr>
          <w:sz w:val="20"/>
          <w:szCs w:val="20"/>
          <w:color w:val="auto"/>
        </w:rPr>
      </w:pPr>
      <w:r>
        <w:rPr>
          <w:rFonts w:ascii="Arial" w:cs="Arial" w:eastAsia="Arial" w:hAnsi="Arial"/>
          <w:sz w:val="17"/>
          <w:szCs w:val="17"/>
          <w:color w:val="auto"/>
        </w:rPr>
        <w:t>See Note 6, “Debt” to the Company’s consolidated financial statements included in this Quarterly Report on Form 10-Q for additional information on financing transactions including the Credit Facility, the Securitization Program, and other outstanding debt as of April 3, 2021. The Company was in compliance with all covenants under the Credit Facility and the Securitization Program as of April 3, 2021 and June 27, 2020.</w:t>
      </w:r>
    </w:p>
    <w:p>
      <w:pPr>
        <w:spacing w:after="0" w:line="171" w:lineRule="exact"/>
        <w:rPr>
          <w:sz w:val="20"/>
          <w:szCs w:val="20"/>
          <w:color w:val="auto"/>
        </w:rPr>
      </w:pPr>
    </w:p>
    <w:p>
      <w:pPr>
        <w:ind w:left="60" w:right="239" w:firstLine="427"/>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third quarter of fiscal 2021 was $1.4 million.</w:t>
      </w:r>
    </w:p>
    <w:p>
      <w:pPr>
        <w:spacing w:after="0" w:line="187" w:lineRule="exact"/>
        <w:rPr>
          <w:sz w:val="20"/>
          <w:szCs w:val="20"/>
          <w:color w:val="auto"/>
        </w:rPr>
      </w:pPr>
    </w:p>
    <w:p>
      <w:pPr>
        <w:ind w:left="60" w:right="59" w:firstLine="427"/>
        <w:spacing w:after="0" w:line="275" w:lineRule="auto"/>
        <w:rPr>
          <w:sz w:val="20"/>
          <w:szCs w:val="20"/>
          <w:color w:val="auto"/>
        </w:rPr>
      </w:pPr>
      <w:r>
        <w:rPr>
          <w:rFonts w:ascii="Arial" w:cs="Arial" w:eastAsia="Arial" w:hAnsi="Arial"/>
          <w:sz w:val="17"/>
          <w:szCs w:val="17"/>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left="60" w:right="399" w:firstLine="432"/>
        <w:spacing w:after="0" w:line="263" w:lineRule="auto"/>
        <w:rPr>
          <w:sz w:val="20"/>
          <w:szCs w:val="20"/>
          <w:color w:val="auto"/>
        </w:rPr>
      </w:pPr>
      <w:r>
        <w:rPr>
          <w:rFonts w:ascii="Arial" w:cs="Arial" w:eastAsia="Arial" w:hAnsi="Arial"/>
          <w:sz w:val="18"/>
          <w:szCs w:val="18"/>
          <w:color w:val="auto"/>
        </w:rPr>
        <w:t>The Company held cash and cash equivalents of $322.7 million as of April 3, 2021, of which $243.1 million was held outside the United States. As of June 27, 2020, the Company held cash and cash equivalents of $477.0 million, of which $411.2 million was held outside of the United States.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firstLine="427"/>
        <w:spacing w:after="0" w:line="255" w:lineRule="auto"/>
        <w:rPr>
          <w:sz w:val="20"/>
          <w:szCs w:val="20"/>
          <w:color w:val="auto"/>
        </w:rPr>
      </w:pPr>
      <w:r>
        <w:rPr>
          <w:rFonts w:ascii="Arial" w:cs="Arial" w:eastAsia="Arial" w:hAnsi="Arial"/>
          <w:sz w:val="18"/>
          <w:szCs w:val="18"/>
          <w:color w:val="auto"/>
        </w:rPr>
        <w:t>As of the end of the third quarter of fiscal 2021, the Company had a combined total borrowing capacity of $1.70 billion under the Credit Facility and the Securitization Program. There were no borrowings outstanding and $1.3 million in letters of credit issued under the Credit Facility and no borrowings outstanding under the Securitization Program, resulting in approximately $1.61 billion of total availability as of April 3, 2021. Availability under the Securitization Program is subject to the Company having sufficient eligible trade accounts receivable in the United States to support desired borrowings.</w:t>
      </w:r>
    </w:p>
    <w:p>
      <w:pPr>
        <w:spacing w:after="0" w:line="192" w:lineRule="exact"/>
        <w:rPr>
          <w:sz w:val="20"/>
          <w:szCs w:val="20"/>
          <w:color w:val="auto"/>
        </w:rPr>
      </w:pPr>
    </w:p>
    <w:p>
      <w:pPr>
        <w:ind w:left="60" w:right="139" w:firstLine="432"/>
        <w:spacing w:after="0" w:line="257" w:lineRule="auto"/>
        <w:rPr>
          <w:sz w:val="20"/>
          <w:szCs w:val="20"/>
          <w:color w:val="auto"/>
        </w:rPr>
      </w:pPr>
      <w:r>
        <w:rPr>
          <w:rFonts w:ascii="Arial" w:cs="Arial" w:eastAsia="Arial" w:hAnsi="Arial"/>
          <w:sz w:val="18"/>
          <w:szCs w:val="18"/>
          <w:color w:val="auto"/>
        </w:rPr>
        <w:t>Borrowings under the Credit Facility require the Company to maintain certain financial and other covenants and the Securitization has cross default provisions associated with the covenants in the Credit Facility. The Credit Facility requires the Company to maintain minimum interest coverage and leverage ratios. All other forms of debt and financing do not include financial or other covenants. The Company was in compliance with all covenants under the Credit Facility as of April 3, 2021.</w:t>
      </w:r>
    </w:p>
    <w:p>
      <w:pPr>
        <w:spacing w:after="0" w:line="188" w:lineRule="exact"/>
        <w:rPr>
          <w:sz w:val="20"/>
          <w:szCs w:val="20"/>
          <w:color w:val="auto"/>
        </w:rPr>
      </w:pPr>
    </w:p>
    <w:p>
      <w:pPr>
        <w:ind w:left="60" w:right="459" w:firstLine="432"/>
        <w:spacing w:after="0" w:line="308" w:lineRule="auto"/>
        <w:rPr>
          <w:sz w:val="20"/>
          <w:szCs w:val="20"/>
          <w:color w:val="auto"/>
        </w:rPr>
      </w:pPr>
      <w:r>
        <w:rPr>
          <w:rFonts w:ascii="Arial" w:cs="Arial" w:eastAsia="Arial" w:hAnsi="Arial"/>
          <w:sz w:val="17"/>
          <w:szCs w:val="17"/>
          <w:color w:val="auto"/>
        </w:rPr>
        <w:t>During the third quarter of fiscal 2021, the Company committed to an early redemption of all $300 million of its outstanding 3.75% Notes due December 2021. The Company expects to refinance such notes.</w:t>
      </w:r>
    </w:p>
    <w:p>
      <w:pPr>
        <w:spacing w:after="0" w:line="146" w:lineRule="exact"/>
        <w:rPr>
          <w:sz w:val="20"/>
          <w:szCs w:val="20"/>
          <w:color w:val="auto"/>
        </w:rPr>
      </w:pPr>
    </w:p>
    <w:p>
      <w:pPr>
        <w:ind w:left="60" w:right="159" w:firstLine="432"/>
        <w:spacing w:after="0" w:line="263" w:lineRule="auto"/>
        <w:rPr>
          <w:sz w:val="20"/>
          <w:szCs w:val="20"/>
          <w:color w:val="auto"/>
        </w:rPr>
      </w:pPr>
      <w:r>
        <w:rPr>
          <w:rFonts w:ascii="Arial" w:cs="Arial" w:eastAsia="Arial" w:hAnsi="Arial"/>
          <w:sz w:val="18"/>
          <w:szCs w:val="18"/>
          <w:color w:val="auto"/>
        </w:rPr>
        <w:t>During the third quarter and first nine months of fiscal 2021, the Company had an average daily balance outstanding of approximately $249.1 million and $138.2 million, respectively, under the Credit Facility and approximately $76.5 million and $198.6 million, respectively, under the Securitization Program.</w:t>
      </w:r>
    </w:p>
    <w:p>
      <w:pPr>
        <w:spacing w:after="0" w:line="184" w:lineRule="exact"/>
        <w:rPr>
          <w:sz w:val="20"/>
          <w:szCs w:val="20"/>
          <w:color w:val="auto"/>
        </w:rPr>
      </w:pPr>
    </w:p>
    <w:p>
      <w:pPr>
        <w:ind w:left="60" w:right="259" w:firstLine="432"/>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$485.1 million in cash flows from operating activities over the trailing four fiscal quarters ended April 3, 2021.</w:t>
      </w:r>
    </w:p>
    <w:p>
      <w:pPr>
        <w:spacing w:after="0" w:line="187" w:lineRule="exact"/>
        <w:rPr>
          <w:sz w:val="20"/>
          <w:szCs w:val="20"/>
          <w:color w:val="auto"/>
        </w:rPr>
      </w:pPr>
    </w:p>
    <w:p>
      <w:pPr>
        <w:ind w:left="60" w:right="99" w:firstLine="427"/>
        <w:spacing w:after="0" w:line="271"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This includes the potential impact on liquidity and related compliance with debt covenants as a result of the uncertain future impacts of the COVID-19 pandemic.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78" w:lineRule="exact"/>
        <w:rPr>
          <w:sz w:val="20"/>
          <w:szCs w:val="20"/>
          <w:color w:val="auto"/>
        </w:rPr>
      </w:pPr>
    </w:p>
    <w:p>
      <w:pPr>
        <w:ind w:left="60" w:right="119" w:firstLine="427"/>
        <w:spacing w:after="0" w:line="273" w:lineRule="auto"/>
        <w:rPr>
          <w:sz w:val="20"/>
          <w:szCs w:val="20"/>
          <w:color w:val="auto"/>
        </w:rPr>
      </w:pPr>
      <w:r>
        <w:rPr>
          <w:rFonts w:ascii="Arial" w:cs="Arial" w:eastAsia="Arial" w:hAnsi="Arial"/>
          <w:sz w:val="17"/>
          <w:szCs w:val="17"/>
          <w:color w:val="auto"/>
        </w:rPr>
        <w:t>The Company continuously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 the future and management believes the Company will have adequate access to the capital markets, if needed. The Company has historically generated operating cash flows and believes it will have the ability to do so in the future.</w:t>
      </w:r>
    </w:p>
    <w:p>
      <w:pPr>
        <w:spacing w:after="0" w:line="178" w:lineRule="exact"/>
        <w:rPr>
          <w:sz w:val="20"/>
          <w:szCs w:val="20"/>
          <w:color w:val="auto"/>
        </w:rPr>
      </w:pPr>
    </w:p>
    <w:p>
      <w:pPr>
        <w:jc w:val="both"/>
        <w:ind w:left="60" w:right="99" w:firstLine="427"/>
        <w:spacing w:after="0" w:line="263" w:lineRule="auto"/>
        <w:rPr>
          <w:sz w:val="20"/>
          <w:szCs w:val="20"/>
          <w:color w:val="auto"/>
        </w:rPr>
      </w:pPr>
      <w:r>
        <w:rPr>
          <w:rFonts w:ascii="Arial" w:cs="Arial" w:eastAsia="Arial" w:hAnsi="Arial"/>
          <w:sz w:val="18"/>
          <w:szCs w:val="18"/>
          <w:color w:val="auto"/>
        </w:rPr>
        <w:t>As a result of the evolving impacts of the COVID-19 pandemic and the related uncertain future business conditions, the Company is unlikely to make near-term strategic investments through material acquisitions. The Company also expects to use cash for restructuring, integration and other expenses.</w:t>
      </w:r>
    </w:p>
    <w:p>
      <w:pPr>
        <w:spacing w:after="0" w:line="184" w:lineRule="exact"/>
        <w:rPr>
          <w:sz w:val="20"/>
          <w:szCs w:val="20"/>
          <w:color w:val="auto"/>
        </w:rPr>
      </w:pPr>
    </w:p>
    <w:p>
      <w:pPr>
        <w:ind w:left="60" w:right="79" w:firstLine="427"/>
        <w:spacing w:after="0" w:line="273" w:lineRule="auto"/>
        <w:rPr>
          <w:sz w:val="20"/>
          <w:szCs w:val="20"/>
          <w:color w:val="auto"/>
        </w:rPr>
      </w:pPr>
      <w:r>
        <w:rPr>
          <w:rFonts w:ascii="Arial" w:cs="Arial" w:eastAsia="Arial" w:hAnsi="Arial"/>
          <w:sz w:val="17"/>
          <w:szCs w:val="17"/>
          <w:color w:val="auto"/>
        </w:rPr>
        <w:t>As of April 3, 2021, the Company may repurchase up to an aggregate of $469.0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As a result of the impacts of the COVID-19 pandemic and the corresponding need to manage liquidity and leverage, the Company has temporarily suspended share repurchases.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firstLine="427"/>
        <w:spacing w:after="0" w:line="311" w:lineRule="auto"/>
        <w:rPr>
          <w:sz w:val="20"/>
          <w:szCs w:val="20"/>
          <w:color w:val="auto"/>
        </w:rPr>
      </w:pPr>
      <w:r>
        <w:rPr>
          <w:rFonts w:ascii="Arial" w:cs="Arial" w:eastAsia="Arial" w:hAnsi="Arial"/>
          <w:sz w:val="16"/>
          <w:szCs w:val="16"/>
          <w:color w:val="auto"/>
        </w:rPr>
        <w:t>The Company has historically paid quarterly cash dividends on shares of its common stock, and future dividends are subject to approval by the Board of Directors. During the third quarter of fiscal 2021, the Board of Directors approved a dividend of $0.21 per share, which resulted in $20.9 million of dividend payments during the quarter.</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319" w:firstLine="432"/>
        <w:spacing w:after="0" w:line="263"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0" w:right="399"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ind w:left="60" w:right="79" w:firstLine="427"/>
        <w:spacing w:after="0" w:line="291"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fiscal year ended June 27, 2020, for further discussion of market risks associated with foreign currency exchange rates and interest rates. Avnet’s exposure to such risks has not changed materially since June 27, 2020,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66" w:lineRule="exact"/>
        <w:rPr>
          <w:sz w:val="20"/>
          <w:szCs w:val="20"/>
          <w:color w:val="auto"/>
        </w:rPr>
      </w:pPr>
    </w:p>
    <w:p>
      <w:pPr>
        <w:ind w:left="60" w:right="59" w:firstLine="427"/>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April 3, 2021, approximately 100% of the Company’s debt bears interest at a fixed rate and a very insignificant percentage of the Company’s debt bears interest at variable rates. Therefore, a hypothetical 1.0% (100 basis points) increase in interest rates would result in an insignificant decrease in income before income taxes in the Company’s consolidated statement of operations for the third quarter of fiscal 2021.</w:t>
      </w:r>
    </w:p>
    <w:p>
      <w:pPr>
        <w:spacing w:after="0" w:line="18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left="60" w:right="59" w:firstLine="432"/>
        <w:spacing w:after="0" w:line="289" w:lineRule="auto"/>
        <w:rPr>
          <w:sz w:val="20"/>
          <w:szCs w:val="20"/>
          <w:color w:val="auto"/>
        </w:rPr>
      </w:pPr>
      <w:r>
        <w:rPr>
          <w:rFonts w:ascii="Arial" w:cs="Arial" w:eastAsia="Arial" w:hAnsi="Arial"/>
          <w:sz w:val="16"/>
          <w:szCs w:val="16"/>
          <w:color w:val="auto"/>
        </w:rPr>
        <w:t>The Company’s management, including its Chief Executive Officer and Chief Financial Officer, have evaluated the effectiveness of the Company’s disclosure controls and procedures (as such term is defined in Rules 13a-15(e) and 15d-15(e) under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66" w:lineRule="exact"/>
        <w:rPr>
          <w:sz w:val="20"/>
          <w:szCs w:val="20"/>
          <w:color w:val="auto"/>
        </w:rPr>
      </w:pPr>
    </w:p>
    <w:p>
      <w:pPr>
        <w:ind w:left="60" w:right="59" w:firstLine="432"/>
        <w:spacing w:after="0" w:line="263" w:lineRule="auto"/>
        <w:rPr>
          <w:sz w:val="20"/>
          <w:szCs w:val="20"/>
          <w:color w:val="auto"/>
        </w:rPr>
      </w:pPr>
      <w:r>
        <w:rPr>
          <w:rFonts w:ascii="Arial" w:cs="Arial" w:eastAsia="Arial" w:hAnsi="Arial"/>
          <w:sz w:val="18"/>
          <w:szCs w:val="18"/>
          <w:color w:val="auto"/>
        </w:rPr>
        <w:t>During the third quarter of fiscal 2021,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179"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ind w:left="60" w:right="99" w:firstLine="432"/>
        <w:spacing w:after="0" w:line="259"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right="99" w:firstLine="432"/>
        <w:spacing w:after="0" w:line="290" w:lineRule="auto"/>
        <w:rPr>
          <w:sz w:val="20"/>
          <w:szCs w:val="20"/>
          <w:color w:val="auto"/>
        </w:rPr>
      </w:pPr>
      <w:r>
        <w:rPr>
          <w:rFonts w:ascii="Arial" w:cs="Arial" w:eastAsia="Arial" w:hAnsi="Arial"/>
          <w:sz w:val="16"/>
          <w:szCs w:val="16"/>
          <w:color w:val="auto"/>
        </w:rPr>
        <w:t>The discussion of the Company’s business and operations should be read together with the risk factors contained in Item 1A of its Annual Report on Form 10-K for the fiscal year ended June 27, 2020 and the revised risk factors contained in Item 1A of its Quarterly Report on Form 10-Q for the fiscal quarter ended October 3, 2020,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April 3, 2021, there have been no material changes to the risk factors set forth in the Company’s Annual Report on Form 10-K for the fiscal year ended June 27, 2020 other than as revised by those risk factors contained in the Company’s Quarterly Reports on Form 10-Q for the fiscal quarters ended October 3, 2020 and January 2, 2021.</w:t>
      </w:r>
    </w:p>
    <w:p>
      <w:pPr>
        <w:spacing w:after="0" w:line="16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60" w:right="59" w:firstLine="432"/>
        <w:spacing w:after="0" w:line="279" w:lineRule="auto"/>
        <w:rPr>
          <w:sz w:val="20"/>
          <w:szCs w:val="20"/>
          <w:color w:val="auto"/>
        </w:rPr>
      </w:pPr>
      <w:r>
        <w:rPr>
          <w:rFonts w:ascii="Arial" w:cs="Arial" w:eastAsia="Arial" w:hAnsi="Arial"/>
          <w:sz w:val="17"/>
          <w:szCs w:val="17"/>
          <w:color w:val="auto"/>
        </w:rPr>
        <w:t>In August 2019, the Company’s Board of Directors amended the Company’s existing share repurchase program, increasing the cumulative total of authorized share repurchases to $2.95 billion of the Company’s common stock. During the third quarter of fiscal 2021, the Company did not repurchase any shares under the share repurchase program resulting in $469.0 million of availability under the share repurchase program as of April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399"/>
        </w:trPr>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Certification of Chief Executive Officer pursuant to Section 302 of the Sarbanes-Oxley Act of 2002.</w:t>
              </w:r>
            </w:hyperlink>
          </w:p>
        </w:tc>
      </w:tr>
      <w:tr>
        <w:trPr>
          <w:trHeight w:val="425"/>
        </w:trPr>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426"/>
        </w:trPr>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Certification of Chief Executive Officer pursuant to Section 906 of the Sarbanes-Oxley Act of 2002.</w:t>
              </w:r>
            </w:hyperlink>
          </w:p>
        </w:tc>
      </w:tr>
      <w:tr>
        <w:trPr>
          <w:trHeight w:val="425"/>
        </w:trPr>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Financial Officer pursuant to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452"/>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w w:val="92"/>
              </w:rPr>
              <w:t>XBRL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231775</wp:posOffset>
            </wp:positionV>
            <wp:extent cx="1414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hanging="53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40" w:right="139" w:hanging="530"/>
        <w:spacing w:after="0" w:line="2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60" w:right="199"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30, 2021</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308" w:lineRule="exact"/>
        <w:rPr>
          <w:sz w:val="20"/>
          <w:szCs w:val="20"/>
          <w:color w:val="auto"/>
        </w:rPr>
      </w:pPr>
    </w:p>
    <w:p>
      <w:pPr>
        <w:ind w:left="45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-130175</wp:posOffset>
            </wp:positionV>
            <wp:extent cx="25800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31750</wp:posOffset>
            </wp:positionV>
            <wp:extent cx="32404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Philip R. Gallagher</w:t>
      </w:r>
    </w:p>
    <w:p>
      <w:pPr>
        <w:spacing w:after="0" w:line="7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657860</wp:posOffset>
            </wp:positionV>
            <wp:extent cx="649795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58" w:lineRule="exact"/>
        <w:rPr>
          <w:sz w:val="20"/>
          <w:szCs w:val="20"/>
          <w:color w:val="auto"/>
        </w:rPr>
      </w:pPr>
    </w:p>
    <w:p>
      <w:pPr>
        <w:ind w:left="640" w:hanging="32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14605</wp:posOffset>
            </wp:positionV>
            <wp:extent cx="32150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675005</wp:posOffset>
            </wp:positionV>
            <wp:extent cx="64979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connection with the Quarterly Report on Form 10-Q for the period ended April 3, 2021 (the “Report”), I, Philip 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30, 2021</w:t>
      </w:r>
    </w:p>
    <w:p>
      <w:pPr>
        <w:spacing w:after="0" w:line="25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85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right="619"/>
        <w:spacing w:after="0" w:line="324" w:lineRule="auto"/>
        <w:rPr>
          <w:sz w:val="20"/>
          <w:szCs w:val="20"/>
          <w:color w:val="auto"/>
        </w:rPr>
      </w:pPr>
      <w:r>
        <w:rPr>
          <w:rFonts w:ascii="Arial" w:cs="Arial" w:eastAsia="Arial" w:hAnsi="Arial"/>
          <w:sz w:val="18"/>
          <w:szCs w:val="18"/>
          <w:color w:val="auto"/>
        </w:rPr>
        <w:t>In connection with the Quarterly Report on Form 10-Q for the period ended April 3, 2021 (the “Report”), I, Thomas Liguori, Chief Financial Officer of Avnet, Inc. (the “Company”) hereby certify that:</w:t>
      </w:r>
    </w:p>
    <w:p>
      <w:pPr>
        <w:spacing w:after="0" w:line="62" w:lineRule="exact"/>
        <w:rPr>
          <w:sz w:val="20"/>
          <w:szCs w:val="20"/>
          <w:color w:val="auto"/>
        </w:rPr>
      </w:pPr>
    </w:p>
    <w:p>
      <w:pPr>
        <w:ind w:left="700" w:right="699" w:hanging="332"/>
        <w:spacing w:after="0" w:line="32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30, 2021</w:t>
      </w: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802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Thomas Liguori</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5"/>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Roman"/>
      <w:start w:val="3"/>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2021-04-30T05:52:35Z</dcterms:created>
  <dcterms:modified xsi:type="dcterms:W3CDTF">2021-04-30T05:52:35Z</dcterms:modified>
</cp:coreProperties>
</file>