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29, 2012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January 18, 2013, the total number of shares outstanding of the registrant’s Common Stock was 136,985,213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140" w:type="dxa"/>
            <w:vAlign w:val="bottom"/>
            <w:gridSpan w:val="9"/>
            <w:vMerge w:val="restart"/>
          </w:tcPr>
          <w:p>
            <w:pPr>
              <w:jc w:val="center"/>
              <w:ind w:right="30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40" w:type="dxa"/>
            <w:vAlign w:val="bottom"/>
            <w:gridSpan w:val="9"/>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08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at December 29, 2012 and June 30, 2012</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for the second quarters and six months ended December 29, 2012 and</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6"/>
          </w:tcPr>
          <w:p>
            <w:pPr>
              <w:ind w:left="160"/>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December 31, 2011</w:t>
              </w:r>
            </w:hyperlink>
          </w:p>
        </w:tc>
        <w:tc>
          <w:tcPr>
            <w:tcW w:w="6280" w:type="dxa"/>
            <w:vAlign w:val="bottom"/>
            <w:tcBorders>
              <w:top w:val="single" w:sz="8" w:color="0000FF"/>
            </w:tcBorders>
            <w:gridSpan w:val="13"/>
          </w:tcPr>
          <w:p>
            <w:pPr>
              <w:spacing w:after="0"/>
              <w:rPr>
                <w:sz w:val="17"/>
                <w:szCs w:val="17"/>
                <w:color w:val="auto"/>
              </w:rPr>
            </w:pPr>
          </w:p>
        </w:tc>
        <w:tc>
          <w:tcPr>
            <w:tcW w:w="1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 for the second quarters and six months ended</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10"/>
          </w:tcPr>
          <w:p>
            <w:pPr>
              <w:ind w:left="160"/>
              <w:spacing w:after="0" w:line="19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December 29, 2012 and December 31, 2011</w:t>
              </w:r>
            </w:hyperlink>
          </w:p>
        </w:tc>
        <w:tc>
          <w:tcPr>
            <w:tcW w:w="3680" w:type="dxa"/>
            <w:vAlign w:val="bottom"/>
            <w:tcBorders>
              <w:top w:val="single" w:sz="8" w:color="0000FF"/>
            </w:tcBorders>
            <w:gridSpan w:val="8"/>
          </w:tcPr>
          <w:p>
            <w:pPr>
              <w:spacing w:after="0"/>
              <w:rPr>
                <w:sz w:val="17"/>
                <w:szCs w:val="17"/>
                <w:color w:val="auto"/>
              </w:rPr>
            </w:pPr>
          </w:p>
        </w:tc>
        <w:tc>
          <w:tcPr>
            <w:tcW w:w="28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65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six months ended December 29, 2012 and</w:t>
              </w:r>
            </w:hyperlink>
          </w:p>
        </w:tc>
        <w:tc>
          <w:tcPr>
            <w:tcW w:w="3320" w:type="dxa"/>
            <w:vAlign w:val="bottom"/>
            <w:gridSpan w:val="5"/>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December 31, 2011</w:t>
              </w:r>
            </w:hyperlink>
          </w:p>
        </w:tc>
        <w:tc>
          <w:tcPr>
            <w:tcW w:w="842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20" w:type="dxa"/>
            <w:vAlign w:val="bottom"/>
            <w:gridSpan w:val="17"/>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Item 2. Management’s Discussion and Analysis of Financial Condition and Results of Operations</w:t>
              </w:r>
            </w:hyperlink>
          </w:p>
        </w:tc>
        <w:tc>
          <w:tcPr>
            <w:tcW w:w="316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 3. Quantitative and Qualitative Disclosures About Market Risk</w:t>
              </w:r>
            </w:hyperlink>
          </w:p>
        </w:tc>
        <w:tc>
          <w:tcPr>
            <w:tcW w:w="2120" w:type="dxa"/>
            <w:vAlign w:val="bottom"/>
            <w:gridSpan w:val="3"/>
          </w:tcPr>
          <w:p>
            <w:pPr>
              <w:spacing w:after="0"/>
              <w:rPr>
                <w:sz w:val="24"/>
                <w:szCs w:val="24"/>
                <w:color w:val="auto"/>
              </w:rPr>
            </w:pPr>
          </w:p>
        </w:tc>
        <w:tc>
          <w:tcPr>
            <w:tcW w:w="316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 Controls and Procedures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FF"/>
            </w:tcBorders>
            <w:gridSpan w:val="4"/>
          </w:tcPr>
          <w:p>
            <w:pPr>
              <w:jc w:val="center"/>
              <w:ind w:right="6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OTHER INFORMATION</w:t>
              </w:r>
            </w:hyperlink>
          </w:p>
        </w:tc>
        <w:tc>
          <w:tcPr>
            <w:tcW w:w="31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180" w:type="dxa"/>
            <w:vAlign w:val="bottom"/>
            <w:gridSpan w:val="2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 Legal Proceedings</w:t>
              </w:r>
            </w:hyperlink>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1A. Risk Factors</w:t>
              </w:r>
            </w:hyperlink>
          </w:p>
        </w:tc>
        <w:tc>
          <w:tcPr>
            <w:tcW w:w="8300" w:type="dxa"/>
            <w:vAlign w:val="bottom"/>
            <w:gridSpan w:val="1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Item 2. Unregistered Sales of Equity Securities and Use of Proceeds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Item 6. Exhibits</w:t>
              </w:r>
            </w:hyperlink>
          </w:p>
        </w:tc>
        <w:tc>
          <w:tcPr>
            <w:tcW w:w="3740" w:type="dxa"/>
            <w:vAlign w:val="bottom"/>
            <w:gridSpan w:val="11"/>
          </w:tcPr>
          <w:p>
            <w:pPr>
              <w:spacing w:after="0"/>
              <w:rPr>
                <w:sz w:val="24"/>
                <w:szCs w:val="24"/>
                <w:color w:val="auto"/>
              </w:rPr>
            </w:pPr>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2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Signature Page</w:t>
              </w:r>
            </w:hyperlink>
          </w:p>
        </w:tc>
        <w:tc>
          <w:tcPr>
            <w:tcW w:w="9020" w:type="dxa"/>
            <w:vAlign w:val="bottom"/>
            <w:gridSpan w:val="18"/>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080" w:type="dxa"/>
            <w:vAlign w:val="bottom"/>
            <w:tcBorders>
              <w:top w:val="single" w:sz="8" w:color="0000FF"/>
            </w:tcBorders>
            <w:gridSpan w:val="2"/>
          </w:tcPr>
          <w:p>
            <w:pPr>
              <w:spacing w:after="0"/>
              <w:rPr>
                <w:sz w:val="24"/>
                <w:szCs w:val="24"/>
                <w:color w:val="auto"/>
              </w:rPr>
            </w:pPr>
          </w:p>
        </w:tc>
        <w:tc>
          <w:tcPr>
            <w:tcW w:w="5780" w:type="dxa"/>
            <w:vAlign w:val="bottom"/>
            <w:gridSpan w:val="14"/>
          </w:tcPr>
          <w:p>
            <w:pPr>
              <w:jc w:val="center"/>
              <w:ind w:left="311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29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1,006,864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$92,339 and $106,319, respectively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5,161,446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4,607,324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2,388,642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249,218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251,609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8,254,439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491,936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461,230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(Notes 2 and 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1,100,621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358,912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351,576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7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Borrowings due within one year (Note 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490,270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872,404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3,230,765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714,350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695,483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4,798,652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Long-term debt (Note 4)</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1,508,196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1,271,985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6,443,633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6,262,134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Shareholders’ equity (Notes 9 and 10):</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$1.00 par; authorized 300,000,000 shares; issued 136,385,000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and142,586,000 shares,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1,287,704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1,263,817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2,545,858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(45,832)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37,895 shares and 37,872 shares,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4,105,897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3,905,732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8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29,</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(Thousands, except per share data)</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6,699,465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6,693,573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13,119,579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5,931,002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5,909,439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11,116,682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11,581,848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1,537,731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547,984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518,740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1,094,980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1,049,273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195,573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230,889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295,546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453,953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bargain purchase and other (Note 2)</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168,894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208,038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277,751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403,855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137,481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147,023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237,786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286,053</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(Note 10):</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1"/>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 (Note 10):</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136,776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147,188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138,575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149,666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140,967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152,086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46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8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286,053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(282,469)</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187,355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50,812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375,446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3,584</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Six Months Ended</w:t>
            </w:r>
          </w:p>
        </w:tc>
        <w:tc>
          <w:tcPr>
            <w:tcW w:w="84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29, 2012</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2011</w:t>
            </w:r>
          </w:p>
        </w:tc>
      </w:tr>
      <w:tr>
        <w:trPr>
          <w:trHeight w:val="27"/>
        </w:trPr>
        <w:tc>
          <w:tcPr>
            <w:tcW w:w="8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(Thousands)</w:t>
            </w:r>
          </w:p>
        </w:tc>
        <w:tc>
          <w:tcPr>
            <w:tcW w:w="84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237,786</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286,053</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57,840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44,653</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9,156</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27,684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22,395</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bargain purchase and other (Note 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34,081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(399,943)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(99,251)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246,192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250,862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46,590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(101,942)</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provided by operating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407,408</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245,815</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notes in public offering, net of issuance cost (Note 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349,258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(Repayments of) borrowings under accounts receivable securitization program</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(Note 4)</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(366,000)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450,000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proceeds from bank debt, net (Note 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(172,481)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(repayments of) other debt, net (Note 4)</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 (Note 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(207,192)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(220,951)</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776</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(used for) provided by financing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(392,417)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247,350</w:t>
            </w:r>
          </w:p>
        </w:tc>
      </w:tr>
      <w:tr>
        <w:trPr>
          <w:trHeight w:val="210"/>
        </w:trPr>
        <w:tc>
          <w:tcPr>
            <w:tcW w:w="8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(55,298)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proceeds from sales of 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Acquisitions of operations, net of cash acquired (Note 2)</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(170,960)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(107,573)</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proceeds from divestitures, net of cash divested (Note 2)</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(222,608)</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(178,309)</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(21,670)</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(decrease) increase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293,186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 at beginning of period</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1,006,864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675,334</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815,279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968,520</w:t>
            </w:r>
          </w:p>
        </w:tc>
      </w:tr>
      <w:tr>
        <w:trPr>
          <w:trHeight w:val="20"/>
        </w:trPr>
        <w:tc>
          <w:tcPr>
            <w:tcW w:w="8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79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796"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opinion of management, the accompanying unaudited interim consolidated financial statements contain all adjustments necessary to present fairly the Company’s financial position, results of operations, comprehensive income and cash flows. All such adjustments are of a normal recurring nature, except for (i) the "gain on bargain purchase and other" discussed in Note 2 and (ii) the "restructuring, integration and other charges" discussed in Note 13.</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30, 2012.</w:t>
      </w:r>
    </w:p>
    <w:p>
      <w:pPr>
        <w:spacing w:after="0" w:line="137" w:lineRule="exact"/>
        <w:rPr>
          <w:sz w:val="20"/>
          <w:szCs w:val="20"/>
          <w:color w:val="auto"/>
        </w:rPr>
      </w:pPr>
    </w:p>
    <w:p>
      <w:pPr>
        <w:ind w:left="440" w:right="9020" w:hanging="432"/>
        <w:spacing w:after="0" w:line="547" w:lineRule="auto"/>
        <w:tabs>
          <w:tab w:leader="none" w:pos="18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i w:val="1"/>
          <w:iCs w:val="1"/>
          <w:color w:val="auto"/>
        </w:rPr>
        <w:t>Acquisition activity</w:t>
      </w:r>
    </w:p>
    <w:p>
      <w:pPr>
        <w:spacing w:after="0" w:line="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half of fiscal 2013, the Company acquired nine businesses with aggregate annualized revenues of approximately $1.01 billion for an aggregate purchase price of approximately $188.2 million, net of cash acquired. The aggregate purchase price includes approximately $12.8 million of contingent earn-out obligations, which were recorded at their estimated fair values, and can be earned based on future performance of the acquired businesses. Three of the businesses acquired are reported as part of the EM EMEA region, three are reported as part of the TS Americas region, two are reported as part of the TS EMEA region and one is reported as part of the EM Asia region.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bargain purchase and other</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quarter of fiscal 2013, the Company acquired Internix, Inc., a company publicly traded on the Tokyo Stock Exchange, through a tender offer. After assessing the assets acquired and liabilities assumed, the consideration paid was below book value even though the price paid per share represented a premium to the trading levels at that time. Accordingly, the Company recognized a gain on bargain purchase of $31,291,000 pre- and after tax and $0.22 per share on a diluted basis in the first quarter of fiscal 2013. During the second quarter of fiscal 2013, the Company determined an adjustment to the net assets acquired was required and, as a result, recorded an increase to the gain on bargain purchase of $1,727,000 pre- and after tax and $0.01 per share on a diluted basis for a total gain on bargain purchase related to Internix for the first half of fiscal 2013 of $33,108,000 pre- and after tax and $0.23 per share on a diluted basis.</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during the second quarter of fiscal 2013, the Company divested of a small business in TS Asia for which it recognized a loss of $1,667,000 pre-tax, $1,704,000 after tax and $0.01 per share on a diluted basis, which was recorded in "gain on bargain purchase and other." The combination of this loss and the gain on bargain purchase noted above resulted in a gain of $59,000 pre-tax in "gain on bargain purchase and other" for the second quarter of fiscal 2013 and a gain of $31,350,000 for the first half of fiscal 2013.</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half of fiscal 2013, the Company received proceeds of $3,613,000, net of cash divested, related to the divestiture described above and the receipt of an earn-out payment associated with a divestiture completed in the prior fiscal year, for which there was no gain or loss as the proceeds were applied against the earn-out receivable that was established at the time of sale.</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and first half of fiscal 2012, the Company recognized a loss of $1,399,000 pre-tax, $854,000 after tax and $0.01 per diluted share related to a write-down of an investment in a small technology company and the write off of certain deferred financing costs associated with the early termination of a credit facility (see Note 4 for further discussion of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change in the goodwill balances by reportable segment for the six months ended December 29, 2012.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Electronics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30, 2012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1,100,621</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131,007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17,275</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December 29, 2012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576,630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672,273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1,248,903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2,628,637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December 29, 2012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576,630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672,273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1,248,903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during the first six months of fiscal 2013 (see Note 2) and purchase accounting adjustments during the purchase price allocation period. The adjustment to goodwill is a result of the transfer of a business unit from TS to EM.</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Company’s identifiable intangible assets at December 29, 2012 and June 30, 2012, respectively. These balances are included in "other assets" and have a weighted average life of 8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29, 2012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Net Book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62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173,235</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171,460</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2,411</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3,740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4,618</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181,195</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181,339</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Intangible asset amortization expense was $8,022,000 and $6,127,000 for the second quarter of fiscal 2013 and 2012, respectively, and $15,076,000 and $12,290,000 for the first six months of fiscal 2013 and 2012, respectively. The following table presents the estimated future amortization expense for the next five fiscal years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w:t>
            </w:r>
          </w:p>
        </w:tc>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7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7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35,012</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4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33,690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7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27,957</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4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25,784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720" w:type="dxa"/>
            <w:vAlign w:val="bottom"/>
            <w:shd w:val="clear" w:color="auto" w:fill="CCEEFF"/>
          </w:tcPr>
          <w:p>
            <w:pPr>
              <w:spacing w:after="0"/>
              <w:rPr>
                <w:sz w:val="21"/>
                <w:szCs w:val="21"/>
                <w:color w:val="auto"/>
              </w:rPr>
            </w:pPr>
          </w:p>
        </w:tc>
        <w:tc>
          <w:tcPr>
            <w:tcW w:w="50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14,373</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37"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8320" w:type="dxa"/>
            <w:vAlign w:val="bottom"/>
          </w:tcPr>
          <w:p>
            <w:pPr>
              <w:ind w:left="440"/>
              <w:spacing w:after="0"/>
              <w:rPr>
                <w:sz w:val="20"/>
                <w:szCs w:val="20"/>
                <w:color w:val="auto"/>
              </w:rPr>
            </w:pPr>
            <w:r>
              <w:rPr>
                <w:rFonts w:ascii="Arial" w:cs="Arial" w:eastAsia="Arial" w:hAnsi="Arial"/>
                <w:sz w:val="18"/>
                <w:szCs w:val="18"/>
                <w:color w:val="auto"/>
              </w:rPr>
              <w:t>Short-term 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8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26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201,390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Borrowings under the accounts receivable securitization program</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670,000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due within one year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490,270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872,404</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bank credit facilities was 4.8% and 6.1% at December 29, 2012 and June 30, 2012, respectively.</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2012, the Company amended its accounts receivable securitization program (the “Program”) with a group of financial institutions to allow the Company to sell, on a revolving basis, an undivided interest of up to $800,000,000 ($750,000,000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December 29, 2012. The Program has a one year term that expires in August 2013. Interest on borrowings is calculated using a base rate or a commercial paper rate plus a spread of 0.35%. The facility fee is 0.35%.</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March 15,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6.00% Notes due September 1, 2015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6.625%</w:t>
            </w: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September 15, 2016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5.875%</w:t>
            </w:r>
          </w:p>
        </w:tc>
        <w:tc>
          <w:tcPr>
            <w:tcW w:w="7720" w:type="dxa"/>
            <w:vAlign w:val="bottom"/>
          </w:tcPr>
          <w:p>
            <w:pPr>
              <w:ind w:left="20"/>
              <w:spacing w:after="0"/>
              <w:rPr>
                <w:sz w:val="20"/>
                <w:szCs w:val="20"/>
                <w:color w:val="auto"/>
              </w:rPr>
            </w:pPr>
            <w:r>
              <w:rPr>
                <w:rFonts w:ascii="Arial" w:cs="Arial" w:eastAsia="Arial" w:hAnsi="Arial"/>
                <w:sz w:val="18"/>
                <w:szCs w:val="18"/>
                <w:color w:val="auto"/>
              </w:rPr>
              <w:t>Notes due June 15, 2020</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4.875%</w:t>
            </w: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1, 2022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124,456</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1,274,456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Discount on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1,271,985</w:t>
            </w:r>
          </w:p>
        </w:tc>
      </w:tr>
      <w:tr>
        <w:trPr>
          <w:trHeight w:val="20"/>
        </w:trPr>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November 2012, the Company issued $350,000,000 of 4.875% Notes due December 1, 2022. The Company received proceeds of $349,258,000 from the offering, net of discount, and paid $2,275,000 in underwriting fees. The 4.875% Notes due 2022 rank equally in right of payment with all existing and future senior unsecured debt and interest will be payable in cash semi-annually on June 1 and December 1.</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has a five-year $1.0 billion senior unsecured revolving credit facility (the "2012 Credit Facility") with a syndicate of banks that expires in November 2016. Under the 2012 Credit Facility, the Company may select from various interest rate options, currencies and maturities. The 2012 Credit Facility contains certain covenants, all of which the Company was in compliance with as of December 29, 2012. At December 29, 2012, there were no borrowings under the 2012 Credit Facility. There were $17,309,000 in letters of credit issued under the 2012 Credit Facility, which represents a utilization of borrowing capacity but are not recorded in the consolidated balance sheet as the letters of credit are not debt. At June 30, 2012, there were $110,072,000 of borrowings outstanding under the 2012 Credit Facility included in “Other long-term debt” in the preceding table and $17,202,000 in letters of credit issued.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29, 2012, the carrying value and fair value of the Company’s total debt was $1,998,466,000 and $2,124,580,000, respectively. Fair value was estimated primarily based upon quoted market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The Company did not have material gains or losses related to the forward contracts which are recorded in “other income (expense), net” in the accompanying consolidated statements of operations.</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$10,000,000, which was recorded to goodwill in fiscal 2011. Depending on the ultimate resolution of the matter with CBP, the Company estimates that the range of the potential exposure associated with the liability may be up to $73,000,000; however, the Company believes the contingent liability recorded is a reasonable estimate of the liability based upon the facts available at this time.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the Company may become a party to, or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effective tax rate on its income before income taxes was 18.6% in the second quarter of fiscal 2013 as compared with 29.3% in the second quarter of fiscal 2012. During the second quarter of fiscal 2013, the Company's effective tax rate was favorably impacted primarily by the settlement of an audit by the U.S. Internal Revenue Service ("IRS") for an acquired company and the recognition of a U.S. tax benefit on the closure of a foreign operation. In April 2012, the Company received an IRS Revenue Agent's Report (“RAR”) related to the U.S. tax audit of the tax periods 2004 to 2008 for an acquired company which indicated that the Company was entitled to a tax reduction adjustment. Due to the size of the adjustment, Joint Committee review and approval was required. In October 2012, the Company received notice of the Joint Committee approval. As a result, the Company recognized a tax benefit of $17,366,000 in the second quarter of fiscal 2013 that related primarily to the recording of the effect of additional net operating loss carryforwards and, to a lesser extent, the release of related reserves.</w:t>
      </w:r>
    </w:p>
    <w:p>
      <w:pPr>
        <w:spacing w:after="0" w:line="15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first six months of fiscal 2013 and 2012, the Company's effective tax rate was 14.4% and 29.2%, respectively. This decrease in the effective tax rate was due primarily to (i) the settlement of two audits by the IRS for the Company and an acquired company, as previously mentioned, and (ii) a non-taxable gain on a bargain purchase (see Note 2), partially offset by (iii) increases to valuation allowances and reserves. Due to the reduced level of income in the first six months of fiscal 2013, the net favorable impact of these items on the effective tax rate was significant. The effective tax rate for the first six months of fiscal 2013 was also impacted, to a lesser extent, by the mix of income earned in the lower tax rate jurisdictions.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quarters ended December 29, 2012 and December 31, 2011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8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7,462</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4,840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12,086</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There were $10,000,000 and $20,000,000 of contributions made to the Plan during the second quarter and first half of fiscal 2013, respectively. The Company currently expects to make additional contributions to the Plan of $10,000,000 in each of the remaining quarters of the fiscal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repurchase program</w:t>
      </w:r>
    </w:p>
    <w:p>
      <w:pPr>
        <w:spacing w:after="0" w:line="18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August 2012, the Company’s Board of Directors amended the Company's existing share repurchase program to authorize the repurchase of up to $750,000,000 of common stock in the open market or through privately negotiated transactions. The timing and actual number of shares purchased will depend on a variety of factors such as price, corporate and regulatory requirements, and prevailing market conditions. During the first half of fiscal 2013, the Company repurchased 6,620,000 shares under this program at an average market price of $30.15 per share for a total cost of $199,585,000. This amount differs from the cash used for repurchases of common stock on the consolidated statement of cash flows to the extent repurchases at the end of the fourth quarter of fiscal 2012 were not settled until the first quarter of fiscal 2013. Repurchased shares were retired. Since the beginning of the repurchase program through the end of the first half of fiscal 2013, the Company has repurchased 17,890,000 shares of stock at an aggregate cost of $525,525,000.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5"/>
          </w:tcPr>
          <w:p>
            <w:pPr>
              <w:ind w:left="26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4"/>
                <w:szCs w:val="24"/>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29, 2012</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(Thousands, except per share data)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137,481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237,786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286,053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for basic earnings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00"/>
              <w:spacing w:after="0"/>
              <w:rPr>
                <w:sz w:val="20"/>
                <w:szCs w:val="20"/>
                <w:color w:val="auto"/>
              </w:rPr>
            </w:pPr>
            <w:r>
              <w:rPr>
                <w:rFonts w:ascii="Arial" w:cs="Arial" w:eastAsia="Arial" w:hAnsi="Arial"/>
                <w:sz w:val="18"/>
                <w:szCs w:val="18"/>
                <w:color w:val="auto"/>
              </w:rPr>
              <w:t>per share</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136,776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147,188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138,772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149,729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options and performance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share awards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09"/>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for diluted earnings</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138,575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149,666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140,967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152,086</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per share</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Options to purchase 238,000 shares of the Company’s stock were excluded from the calculations of diluted earnings per share for the three months ended December 29, 2012 and December 31, 2011, and 586,000 and 585,000 shares were excluded for</w:t>
      </w:r>
    </w:p>
    <w:p>
      <w:pPr>
        <w:sectPr>
          <w:pgSz w:w="11900" w:h="16838" w:orient="portrait"/>
          <w:cols w:equalWidth="0" w:num="1">
            <w:col w:w="11420"/>
          </w:cols>
          <w:pgMar w:left="240" w:top="33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six months ended December 29, 2012 and December 31, 2011, respectively, because the exercise price for those options was above the average market price of the Company’s stock for those periods and inclusion of these options in the diluted earnings per share calculation would have had an anti-dilutive effect.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six months ended December 29, 2012 and December 31, 2011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December 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105,528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94,761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5140" w:type="dxa"/>
            <w:vAlign w:val="bottom"/>
          </w:tcPr>
          <w:p>
            <w:pPr>
              <w:spacing w:after="0"/>
              <w:rPr>
                <w:sz w:val="20"/>
                <w:szCs w:val="20"/>
                <w:color w:val="auto"/>
              </w:rPr>
            </w:pPr>
            <w:r>
              <w:rPr>
                <w:rFonts w:ascii="Arial" w:cs="Arial" w:eastAsia="Arial" w:hAnsi="Arial"/>
                <w:sz w:val="18"/>
                <w:szCs w:val="18"/>
                <w:b w:val="1"/>
                <w:bCs w:val="1"/>
                <w:color w:val="auto"/>
              </w:rPr>
              <w:t>12. Segment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97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3,673,513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3,595,607</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7,326,645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7,411,872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3,025,952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3,097,966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5,242,877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5,707,707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6,699,465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6,693,573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12,569,522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13,119,579</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140,143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174,902</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286,440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366,059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183,942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265,394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488,458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230,889</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295,546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453,953</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Sales,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2,863,143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3,050,001</w:t>
            </w: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5,315,573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5,821,606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1,878,170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1,949,508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3,472,117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3,851,784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1,958,152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1,694,064</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3,781,832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3,446,189</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6,699,465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6,693,573</w:t>
            </w:r>
          </w:p>
        </w:tc>
        <w:tc>
          <w:tcPr>
            <w:tcW w:w="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12,569,522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13,119,579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652"/>
        <w:spacing w:after="0" w:line="227"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in the United States of $2.48 billion and $2.63 billion for the second quarters ended December 29, 2012 and December 31, 2011, respectively. Includes sales in the United States of $4.65 billion and $5.03 billion for the first half of fiscal 2013 and 2012, respectively.</w:t>
      </w:r>
    </w:p>
    <w:p>
      <w:pPr>
        <w:spacing w:after="0" w:line="67" w:lineRule="exact"/>
        <w:rPr>
          <w:rFonts w:ascii="Arial" w:cs="Arial" w:eastAsia="Arial" w:hAnsi="Arial"/>
          <w:sz w:val="24"/>
          <w:szCs w:val="24"/>
          <w:color w:val="auto"/>
          <w:vertAlign w:val="superscript"/>
        </w:rPr>
      </w:pPr>
    </w:p>
    <w:p>
      <w:pPr>
        <w:jc w:val="both"/>
        <w:ind w:left="660" w:hanging="652"/>
        <w:spacing w:after="0" w:line="232"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in Germany and the United Kingdom of $733.4 million and $311.6 million, respectively, for the second quarter ended December 29, 2012, and $1.29 billion and $599.3 million, respectively, for the first half of fiscal 2013. Includes sales in Germany and the United Kingdom of $632.7 million and $382.0 million, respectively, for the second quarter ended December 31, 2011, and $1.36 billion and $740.2 million, respectively, for the first half of fiscal 2012.</w:t>
      </w:r>
    </w:p>
    <w:p>
      <w:pPr>
        <w:spacing w:after="0" w:line="67" w:lineRule="exact"/>
        <w:rPr>
          <w:rFonts w:ascii="Arial" w:cs="Arial" w:eastAsia="Arial" w:hAnsi="Arial"/>
          <w:sz w:val="25"/>
          <w:szCs w:val="25"/>
          <w:color w:val="auto"/>
          <w:vertAlign w:val="superscript"/>
        </w:rPr>
      </w:pPr>
    </w:p>
    <w:p>
      <w:pPr>
        <w:jc w:val="both"/>
        <w:ind w:left="660" w:hanging="652"/>
        <w:spacing w:after="0" w:line="245"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in Taiwan, China (including Hong Kong) and Singapore of $627.2 million, $615.2 million and $285.8 million, respectively, for the second quarter ended December 29, 2012, and $1.17 billion, $1.24 billion and $575.9 million, respectively, for the first half of fiscal 2013. Includes sales in Taiwan, China (including Hong Kong) and Singapore of $471.2 million, $581.5 million and $288.1 million, respectively, for the second quarter ended December 31, 2011, and $982.3 million, $1.16 billion, and $593.9 million, respectively, for the first half of fiscal 2012.</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24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5,926,235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6,024,304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3,738,488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174,969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405,074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10,549,530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282,228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278,530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172,190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150,797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491,936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461,230</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jc w:val="right"/>
              <w:ind w:right="6330"/>
              <w:spacing w:after="0"/>
              <w:rPr>
                <w:sz w:val="20"/>
                <w:szCs w:val="20"/>
                <w:color w:val="auto"/>
              </w:rPr>
            </w:pPr>
            <w:r>
              <w:rPr>
                <w:rFonts w:ascii="Arial" w:cs="Arial" w:eastAsia="Arial" w:hAnsi="Arial"/>
                <w:sz w:val="18"/>
                <w:szCs w:val="18"/>
                <w:color w:val="auto"/>
                <w:w w:val="89"/>
              </w:rPr>
              <w:t>_____________________</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$269.8 million and $266.7 million as of December 29, 2012 and June 30, 2012,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$99.4 million, $36.8 million and $17.8 million in Germany, Belgium and the United Kingdom, respectively, as of December 29, 2012 and $90.6 million, $26.4 million and $17.3 million, respectively, as of June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second quarter and first half of fiscal 2013, the Company initiated actions to reduce costs in both operating groups in response to continued weakness in business conditions. In addition, the Company incurred acquisition and integration costs associated with recently acquired businesses. The following table presents the restructuring, integration and other charges incurred during the second quarter and first half of fiscal 2013.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Second Quarter</w:t>
            </w: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29, 2012</w:t>
            </w:r>
          </w:p>
        </w:tc>
        <w:tc>
          <w:tcPr>
            <w:tcW w:w="240" w:type="dxa"/>
            <w:vAlign w:val="bottom"/>
          </w:tcPr>
          <w:p>
            <w:pPr>
              <w:spacing w:after="0"/>
              <w:rPr>
                <w:sz w:val="20"/>
                <w:szCs w:val="20"/>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29, 2012</w:t>
            </w:r>
          </w:p>
        </w:tc>
      </w:tr>
      <w:tr>
        <w:trPr>
          <w:trHeight w:val="27"/>
        </w:trPr>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r>
      <w:tr>
        <w:trPr>
          <w:trHeight w:val="237"/>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(Thousands, except per share data)</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46,319</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12,624</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5,792</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Reversal of excess prior year restructuring reserves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(2,421)</w:t>
            </w: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Pre-tax restructuring, integration and other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62,314</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91"/>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After tax restructuring, integration and other charges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19,885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46,986</w:t>
            </w:r>
          </w:p>
        </w:tc>
      </w:tr>
      <w:tr>
        <w:trPr>
          <w:trHeight w:val="251"/>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integration and other charges per share on a diluted basis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8"/>
          </w:tcPr>
          <w:p>
            <w:pPr>
              <w:ind w:left="440"/>
              <w:spacing w:after="0"/>
              <w:rPr>
                <w:sz w:val="20"/>
                <w:szCs w:val="20"/>
                <w:color w:val="auto"/>
              </w:rPr>
            </w:pPr>
            <w:r>
              <w:rPr>
                <w:rFonts w:ascii="Arial" w:cs="Arial" w:eastAsia="Arial" w:hAnsi="Arial"/>
                <w:sz w:val="18"/>
                <w:szCs w:val="18"/>
                <w:color w:val="auto"/>
                <w:w w:val="96"/>
              </w:rPr>
              <w:t>The activity related to the restructuring charges incurred during fiscal 2013 is presented in the following table: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 pre-tax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46,319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(24,665)</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write-downs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21,511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Severance charges recorded in the first half of fiscal 2013 related to over 800 employees in sales, administrative and support functions in connection with the cost reduction actions taken in all three regions in both operating groups with employee reductions of approximately 560 in EM, 225 in TS and the remaining is business support functions. Facility exit costs for vacated facilities related to fourteen facilities in the Americas, ten in EMEA, and five in Asia and consisted of reserves for remaining lease liabilities and the write-down of fixed assets. Other restructuring charges related primarily to other onerous lease obligations that have no on-going benefit to the Company. Of the $46,319,000 pre-tax restructuring charges recorded during the first half of fiscal 2013, $27,163,000 related to EM, $18,422,000 related to TS and the remaining related to corporate. As of December 29, 2012, management expects the majority of the remaining severance and other reserves to be utilized by the end of fiscal 2014 and the remaining facility exit cost reserves to be utilized by the end of fiscal 2016.</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consolidation and closure activities as well as costs associated with acquisition activity, primarily related to the acquired businesses' personnel who were retained by Avnet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Acquisition costs consisted primarily of professional fees for due diligence work and other legal costs associated with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2012, the Company incurred restructuring charges and integration and other charges related to acquisition and integration activities associated with acquired businesses. The following table presents the activity during the first six months of fiscal 2013 related to the remaining restructuring reserves established during fiscal 2012.</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15,637</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(8,909)</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29, 2012, management expects the majority of the remaining severance and other reserves to be utilized by the end of fiscal 2015 and the remaining facility exit cost reserves to be utilized by the end of fiscal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w:t>
      </w:r>
    </w:p>
    <w:p>
      <w:pPr>
        <w:spacing w:after="0" w:line="18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2011, the Company incurred restructuring, integration and other charges related to acquisition and integration activities associated with acquired businesses. The following table presents the activity during the first six months of fiscal 2013 related to the remaining restructuring reserves established during fiscal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29, 2012, management expects the majority of the remaining severance and other reserves to be utilized by the end of fiscal 2013 and the remaining facility exit cost reserves to be utilized by the end of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 and prior restructuring reserves</w:t>
      </w:r>
    </w:p>
    <w:p>
      <w:pPr>
        <w:spacing w:after="0" w:line="36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2010 and prior, the Company incurred restructuring, integration and other charges of which four restructuring plans are remaining. The following table presents the activity during the first six months of fiscal 2013 related to the remaining restructuring reserves that were established during fiscal 2010 and prior.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December 29, 2012, management expects the majority of the remaining severance and other reserves to be utilized by the end of fiscal 2014 and the remaining facility exit cost reserves to be utilized by the end of fiscal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December 29, 2012,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June 30, 2012.</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There are references to the impact of foreign currency translation in the discussion of the Company’s results of operations. When the U.S. Dollar strengthens and the stronger U.S. Dollar exchange rates of the current year are used to translate the results of operations of Avnet’s subsidiaries denominated in foreign currencies, the resulting impact is a decrease in U.S. Dollars of reported results. Conversely, when the weaker U.S. Dollar exchange rates of the current year are used to translate the results of operations of Avnet’s subsidiaries denominated in foreign currencies, the resulting impact is an increase in U.S. Dollars of reported results. In the discussion that follows, results excluding this impact are referred to as “excluding the translation impact of changes in foreign currency exchange rates” or “constant currency.”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or expense items as adjusted for the translation impact of changes in foreign currency exchange rates, as discussed above.</w:t>
      </w:r>
    </w:p>
    <w:p>
      <w:pPr>
        <w:spacing w:after="0" w:line="101"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 (i) the impact of acquisitions by adjusting Avnet’s prior periods to include the sales of businesses acquired as if the acquisitions had occurred at the beginning of the period presented; and (ii) the impact of a divestiture by adjusting Avnet’s prior periods to exclude the sales of the business divested as if the divestiture had occurred at the beginning of the period presented. In addition, the prior year sales of EM and TS are adjusted for the impact of the transfer of a business unit from TS Americas to EM Americas that was completed at the beginning of fiscal 2013. Sales taking into account the combination of these adjustments are referred to as “pro forma sales” or “organic sales.”</w:t>
      </w:r>
    </w:p>
    <w:p>
      <w:pPr>
        <w:spacing w:after="0" w:line="5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restructuring, integration and other charges incurred in the second quarters and first halves of fiscal 2013 and 2012 (see </w:t>
      </w:r>
      <w:r>
        <w:rPr>
          <w:rFonts w:ascii="Arial" w:cs="Arial" w:eastAsia="Arial" w:hAnsi="Arial"/>
          <w:sz w:val="18"/>
          <w:szCs w:val="18"/>
          <w:i w:val="1"/>
          <w:iCs w:val="1"/>
          <w:color w:val="auto"/>
        </w:rPr>
        <w:t>Restructuring, Integration and Other Charges</w:t>
      </w:r>
      <w:r>
        <w:rPr>
          <w:rFonts w:ascii="Arial" w:cs="Arial" w:eastAsia="Arial" w:hAnsi="Arial"/>
          <w:sz w:val="18"/>
          <w:szCs w:val="18"/>
          <w:color w:val="auto"/>
        </w:rPr>
        <w:t xml:space="preserve"> in this MD&amp;A).</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to GAAP is presented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4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29,</w:t>
            </w: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90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453,953</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Restructuring, integration and other charges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34,505</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220,479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265,394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357,860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488,458</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the world’s leading electronic component and computer product manufacturers and software developers with a global customer base of original equipment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 that can be customized to meet the requirements of both customers and suppliers.</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46" w:lineRule="exact"/>
        <w:rPr>
          <w:sz w:val="20"/>
          <w:szCs w:val="20"/>
          <w:color w:val="auto"/>
        </w:rPr>
      </w:pPr>
    </w:p>
    <w:p>
      <w:pPr>
        <w:jc w:val="both"/>
        <w:ind w:left="820" w:hanging="326"/>
        <w:spacing w:after="0" w:line="273"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 markets and sells semiconductors and interconnect, passive and electromechanical devices (“IP&amp;E”) and embedded products for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customers and suppliers can accelerate their time to market and realize cost efficiencies in both the design and manufacturing process.</w:t>
      </w:r>
    </w:p>
    <w:p>
      <w:pPr>
        <w:spacing w:after="0" w:line="43" w:lineRule="exact"/>
        <w:rPr>
          <w:rFonts w:ascii="Arial" w:cs="Arial" w:eastAsia="Arial" w:hAnsi="Arial"/>
          <w:sz w:val="17"/>
          <w:szCs w:val="17"/>
          <w:color w:val="auto"/>
        </w:rPr>
      </w:pPr>
    </w:p>
    <w:p>
      <w:pPr>
        <w:jc w:val="both"/>
        <w:ind w:left="820" w:hanging="326"/>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global IT solutions distributor, TS collaborates with its customers and suppliers to create and deliver services, software and hardware solutions that address the business needs of end-user customers locally and around the world. TS focuses on the global value-added distribution of enterprise computing servers and systems, software, storage, services and complex solutions from the world’s foremost technology manufacturers, marketing and selling them to and through the VAR channel. TS also serves the worldwide OEM market for computing technology, system integrators and non-PC OEMs that require embedded systems and solutions including engineering, product prototyping, integration and other value-added services. The operating group has sales and marketing divisions dedicated to these customer segments as well as independent software vendors.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 for the second quarter of fiscal 2013 of $6.70 billion exceeded management's expectations at both operating groups as sequential growth returned to normal seasonality after two quarters of below seasonal growth. Organic revenue increased 9.4% sequentially in constant dollars, which was driven by stronger-than-expected calendar year end IT spending by end customers at TS and stronger-than-expected sales in high-volume, lower gross profit margin fulfillment business in EM Asia. EM organic revenue in constant currency decreased 1.7% sequentially, which was in line with normal seasonal growth of flat to down 3% for a December quarter. For TS, organic revenue increased 27% sequentially in constant dollars, which was slightly above the high end of normal seasonality of up 20% to 26%. On a year-over-year basis, revenue of $6.70 billion was essentially flat as compared with the second quarter of fiscal 2012 revenue of $6.69 billion.</w:t>
      </w:r>
    </w:p>
    <w:p>
      <w:pPr>
        <w:spacing w:after="0" w:line="14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Gross profit margin of 11.5% decreased 24 basis points over the prior year second quarter and decreased 19 basis points sequentially. EM gross profit margin decreased 80 basis points year over year due primarily to a temporary benefit in the prior year's gross profit margin related to the hard disk drive shortages in the year ago quarter and a revenue mix shift to the lower-margin Asia region in the current year second quarter. Asia revenue represented 41% of the total EM revenue in the current year second quarter as compared with 35% in the prior year second quarter. Sequentially, EM gross profit margin decreased 23 basis points, primarily due to a higher percentage of lower-margin fulfillment revenue in Asia and a sequential revenue mix shift, in which Asia revenue represented 38% of total EM revenue in the first quarter of fiscal 2013 as compared with 41% in the current year second quarter. TS gross profit margin increased 32 basis points year over year, primarily driven by the Americas, and increased 49 basis points sequentially with all three regions contributing. These increases were driven primarily by the revenue mix of higher margin products.</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Consolidated operating income margin was 2.9% as compared with 3.5% in the prior year second quarter. Both periods included restructuring, integration and other charges. Excluding these charges from both periods, operating income margin was 3.3% of sales in the second quarter of fiscal 2013 as compared to 4.0% of sales in the prior year second quarter. EM operating income margin decreased 105 basis points year over year to 3.8%. This decline in EM operating income margin was primarily due to lower gross profit margin as previously mentioned, combined with lower profitability in the western regions, offset partially by the benefits of cost reduction actions taken. TS operating income margin decreased 27 basis points year over year to 3.6% due primarily to recent acquisitions as the related cost synergies have not yet been attained, in particular in Europe, and which are not expected to be fully achieved for several quarters while the integration work is in process. On a sequential basis, TS operating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income margin improved 202 basis points with all three regions contributing as a result of stronger-than-expected revenue growth and higher gross profit margins as noted above.</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response to the decline in profitability, the Company has been taking expense reduction actions to align its resources to expected sales levels. As a result of these expense reduction actions, the Company estimates it realized approximately $100 million in annualized cost benefits in the second quarter of fiscal 2013 as compared with the prior year.</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table below provides the comparison of reported second quarter fiscal 2013 and 2012 sales for the Company and its operating groups to pro forma (or organic) sales (as defined previously) to allow readers to better understand and assess the Company's revenue performance by operating group and region.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Pro forma</w:t>
            </w:r>
          </w:p>
        </w:tc>
        <w:tc>
          <w:tcPr>
            <w:tcW w:w="26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Pro forma</w:t>
            </w:r>
          </w:p>
        </w:tc>
        <w:tc>
          <w:tcPr>
            <w:tcW w:w="1320" w:type="dxa"/>
            <w:vAlign w:val="bottom"/>
          </w:tcPr>
          <w:p>
            <w:pPr>
              <w:ind w:left="240"/>
              <w:spacing w:after="0"/>
              <w:rPr>
                <w:sz w:val="20"/>
                <w:szCs w:val="20"/>
                <w:color w:val="auto"/>
              </w:rPr>
            </w:pPr>
            <w:r>
              <w:rPr>
                <w:rFonts w:ascii="Arial" w:cs="Arial" w:eastAsia="Arial" w:hAnsi="Arial"/>
                <w:sz w:val="18"/>
                <w:szCs w:val="18"/>
                <w:b w:val="1"/>
                <w:bCs w:val="1"/>
                <w:color w:val="auto"/>
              </w:rPr>
              <w:t>Pro forma</w:t>
            </w:r>
          </w:p>
        </w:tc>
      </w:tr>
      <w:tr>
        <w:trPr>
          <w:trHeight w:val="216"/>
        </w:trPr>
        <w:tc>
          <w:tcPr>
            <w:tcW w:w="30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Q2-Fiscal FY</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Q2-Fiscal FY</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Year-Year</w:t>
            </w:r>
          </w:p>
        </w:tc>
        <w:tc>
          <w:tcPr>
            <w:tcW w:w="14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Q2-Fiscal FY</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Q2-Fiscal FY</w:t>
            </w:r>
          </w:p>
        </w:tc>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Year-Year</w:t>
            </w:r>
          </w:p>
        </w:tc>
      </w:tr>
      <w:tr>
        <w:trPr>
          <w:trHeight w:val="234"/>
        </w:trPr>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’12</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’13</w:t>
            </w:r>
          </w:p>
        </w:tc>
        <w:tc>
          <w:tcPr>
            <w:tcW w:w="260" w:type="dxa"/>
            <w:vAlign w:val="bottom"/>
          </w:tcPr>
          <w:p>
            <w:pPr>
              <w:spacing w:after="0"/>
              <w:rPr>
                <w:sz w:val="20"/>
                <w:szCs w:val="20"/>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’12</w:t>
            </w:r>
          </w:p>
        </w:tc>
        <w:tc>
          <w:tcPr>
            <w:tcW w:w="1320" w:type="dxa"/>
            <w:vAlign w:val="bottom"/>
          </w:tcPr>
          <w:p>
            <w:pPr>
              <w:ind w:left="24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Avnet,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6,699,465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6,693,573</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0.1 %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6,702,995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7,104,650</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3,673,513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3,595,607</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3,755,407</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TS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3,025,952</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3,097,966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3,029,482</w:t>
            </w:r>
          </w:p>
        </w:tc>
        <w:tc>
          <w:tcPr>
            <w:tcW w:w="2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3,349,243</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(9.6)</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1,264,851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1,401,751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1,449,974</w:t>
            </w: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914,351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943,335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957,786</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1,494,311</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1,250,521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1,347,647</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10.9</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1,598,292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1,648,250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1,601,822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1,706,189</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963,819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1,006,173</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1,199,511</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463,841</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443,543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2,863,143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3,050,001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2,866,673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3,156,163</w:t>
            </w: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1,878,170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1,949,508</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2,157,297</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1,958,152</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1,694,064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1,791,190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9.3</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reconciliation of the reported sales to pro forma sales for the second quarters of fiscal 2013 and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As</w:t>
            </w:r>
          </w:p>
        </w:tc>
        <w:tc>
          <w:tcPr>
            <w:tcW w:w="26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Acquisition</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Pro forma</w:t>
            </w:r>
          </w:p>
        </w:tc>
      </w:tr>
      <w:tr>
        <w:trPr>
          <w:trHeight w:val="261"/>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Q2 Fiscal 2013</w:t>
            </w:r>
          </w:p>
        </w:tc>
        <w:tc>
          <w:tcPr>
            <w:tcW w:w="220" w:type="dxa"/>
            <w:vAlign w:val="bottom"/>
          </w:tcPr>
          <w:p>
            <w:pPr>
              <w:spacing w:after="0"/>
              <w:rPr>
                <w:sz w:val="22"/>
                <w:szCs w:val="22"/>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Reported</w:t>
            </w:r>
          </w:p>
        </w:tc>
        <w:tc>
          <w:tcPr>
            <w:tcW w:w="260" w:type="dxa"/>
            <w:vAlign w:val="bottom"/>
          </w:tcPr>
          <w:p>
            <w:pPr>
              <w:spacing w:after="0"/>
              <w:rPr>
                <w:sz w:val="22"/>
                <w:szCs w:val="22"/>
                <w:color w:val="auto"/>
              </w:rPr>
            </w:pPr>
          </w:p>
        </w:tc>
        <w:tc>
          <w:tcPr>
            <w:tcW w:w="1220" w:type="dxa"/>
            <w:vAlign w:val="bottom"/>
          </w:tcPr>
          <w:p>
            <w:pPr>
              <w:jc w:val="center"/>
              <w:ind w:right="70"/>
              <w:spacing w:after="0" w:line="262" w:lineRule="exact"/>
              <w:rPr>
                <w:sz w:val="20"/>
                <w:szCs w:val="20"/>
                <w:color w:val="auto"/>
              </w:rPr>
            </w:pPr>
            <w:r>
              <w:rPr>
                <w:rFonts w:ascii="Arial" w:cs="Arial" w:eastAsia="Arial" w:hAnsi="Arial"/>
                <w:sz w:val="18"/>
                <w:szCs w:val="18"/>
                <w:b w:val="1"/>
                <w:bCs w:val="1"/>
                <w:color w:val="auto"/>
                <w:w w:val="80"/>
              </w:rPr>
              <w:t>Sales</w:t>
            </w:r>
            <w:r>
              <w:rPr>
                <w:rFonts w:ascii="Arial" w:cs="Arial" w:eastAsia="Arial" w:hAnsi="Arial"/>
                <w:sz w:val="25"/>
                <w:szCs w:val="25"/>
                <w:b w:val="1"/>
                <w:bCs w:val="1"/>
                <w:color w:val="auto"/>
                <w:w w:val="80"/>
                <w:vertAlign w:val="superscript"/>
              </w:rPr>
              <w:t>(1)</w:t>
            </w:r>
          </w:p>
        </w:tc>
        <w:tc>
          <w:tcPr>
            <w:tcW w:w="300" w:type="dxa"/>
            <w:vAlign w:val="bottom"/>
          </w:tcPr>
          <w:p>
            <w:pPr>
              <w:spacing w:after="0"/>
              <w:rPr>
                <w:sz w:val="22"/>
                <w:szCs w:val="22"/>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r>
      <w:tr>
        <w:trPr>
          <w:trHeight w:val="237"/>
        </w:trPr>
        <w:tc>
          <w:tcPr>
            <w:tcW w:w="6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(Thousands)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Avnet,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6,699,465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6,702,995</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TS</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3,025,952</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3,530</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3,029,482</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1,598,292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1,601,822</w:t>
            </w: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67" w:lineRule="exact"/>
        <w:rPr>
          <w:sz w:val="20"/>
          <w:szCs w:val="20"/>
          <w:color w:val="auto"/>
        </w:rPr>
      </w:pPr>
    </w:p>
    <w:p>
      <w:pPr>
        <w:ind w:left="5620" w:right="3840" w:hanging="5612"/>
        <w:spacing w:after="0" w:line="904"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BrightStar and Genilogix businesses acquired in November 2012 (see table below). 18</w:t>
      </w:r>
    </w:p>
    <w:p>
      <w:pPr>
        <w:sectPr>
          <w:pgSz w:w="11900" w:h="16838" w:orient="portrait"/>
          <w:cols w:equalWidth="0" w:num="1">
            <w:col w:w="11420"/>
          </w:cols>
          <w:pgMar w:left="240" w:top="76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Transfer of</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As</w:t>
            </w:r>
          </w:p>
        </w:tc>
        <w:tc>
          <w:tcPr>
            <w:tcW w:w="2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Acquisition</w:t>
            </w: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TS Business</w:t>
            </w:r>
          </w:p>
        </w:tc>
        <w:tc>
          <w:tcPr>
            <w:tcW w:w="2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Pro forma</w:t>
            </w:r>
          </w:p>
        </w:tc>
      </w:tr>
      <w:tr>
        <w:trPr>
          <w:trHeight w:val="261"/>
        </w:trPr>
        <w:tc>
          <w:tcPr>
            <w:tcW w:w="20" w:type="dxa"/>
            <w:vAlign w:val="bottom"/>
          </w:tcPr>
          <w:p>
            <w:pPr>
              <w:spacing w:after="0"/>
              <w:rPr>
                <w:sz w:val="22"/>
                <w:szCs w:val="22"/>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Q2 Fiscal 2012</w:t>
            </w:r>
          </w:p>
        </w:tc>
        <w:tc>
          <w:tcPr>
            <w:tcW w:w="2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2"/>
                <w:szCs w:val="22"/>
                <w:color w:val="auto"/>
              </w:rPr>
            </w:pPr>
          </w:p>
        </w:tc>
        <w:tc>
          <w:tcPr>
            <w:tcW w:w="118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8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to EM</w:t>
            </w:r>
          </w:p>
        </w:tc>
        <w:tc>
          <w:tcPr>
            <w:tcW w:w="260" w:type="dxa"/>
            <w:vAlign w:val="bottom"/>
          </w:tcPr>
          <w:p>
            <w:pPr>
              <w:spacing w:after="0"/>
              <w:rPr>
                <w:sz w:val="22"/>
                <w:szCs w:val="22"/>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r>
      <w:tr>
        <w:trPr>
          <w:trHeight w:val="237"/>
        </w:trPr>
        <w:tc>
          <w:tcPr>
            <w:tcW w:w="20" w:type="dxa"/>
            <w:vAlign w:val="bottom"/>
          </w:tcPr>
          <w:p>
            <w:pPr>
              <w:spacing w:after="0"/>
              <w:rPr>
                <w:sz w:val="20"/>
                <w:szCs w:val="20"/>
                <w:color w:val="auto"/>
              </w:rPr>
            </w:pPr>
          </w:p>
        </w:tc>
        <w:tc>
          <w:tcPr>
            <w:tcW w:w="5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Avnet,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6,693,573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411,077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7,104,650</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3,595,607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153,506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3,755,407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TS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3,097,966</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257,571</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(6,294)</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3,349,243</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1,401,751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41,929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6,294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1,449,974</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943,335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957,786</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1,250,521</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97,126</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1,347,647</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1,648,250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64,233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1,706,189</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1,006,173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193,338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1,199,511</w:t>
            </w: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52" w:lineRule="exact"/>
        <w:rPr>
          <w:sz w:val="20"/>
          <w:szCs w:val="20"/>
          <w:color w:val="auto"/>
        </w:rPr>
      </w:pPr>
    </w:p>
    <w:p>
      <w:pPr>
        <w:ind w:left="900" w:right="3600" w:hanging="892"/>
        <w:spacing w:after="0" w:line="344"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acquisitions, which impacted the second quarter year-over-year comparison: Tekdata Interconnetions, Limited acquired in October 2012 in the EM EMEA region Magirus AG acquired in October 2012 in the TS EMEA region</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Brightstar Partners, Inc., BPS Software and Genilogix acquired in November 2012 in the TS Americas region</w:t>
      </w:r>
    </w:p>
    <w:p>
      <w:pPr>
        <w:spacing w:after="0" w:line="1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Consolidated sales for the second quarter of fiscal 2013 were $6.70 billion, an increase of 0.1%, or $5.9 million, from the prior year second quarter consolidated sales of $6.69 billion. Organic sales (as defined earlier in this MD&amp;A) decreased 5.7% year over year and decreased 4.8% excluding the translation impact of changes in foreign currency exchange rates. The organic revenue decline was primarily due to the revenue decline at TS. On a sequential basis, organic sales increased 10% and increased 9% excluding the translation impact of changes in foreign currency exchange rates, which represented a return to normal seasonal growth at both EM and TS after two quarters of below normal seasonal growth.</w:t>
      </w:r>
    </w:p>
    <w:p>
      <w:pPr>
        <w:spacing w:after="0" w:line="1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EM sales of $3.67 billion in the second quarter of fiscal 2013 decreased 2.2% from the prior year second quarter sales of $3.60 billion. EM organic revenue in constant currency decreased 0.9% year over year and decreased 1.7% sequentially, which was in line with normal seasonal growth of flat to down 3% for a December quarter. On a regional basis, the Americas organic revenue decreased 12.8% year over year primarily due to a decision to exit the commercial components business in Latin America. For EMEA, which experienced several quarters of double-digit organic revenue contraction in fiscal 2012, organic revenue was down less than 1% year over year in constant currency. Asia organic revenue increased 10.9% year over year, which was stronger than expected and was primarily due to higher revenue in the high-volume, lower gross margin fulfillment business. The growth in Asia resulted in a regional shift in the mix of sales between the lower-margin Asia region and the higher-margin western regions, which negatively impacted both EM's consolidated gross profit and operating income margins.</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TS sales of $3.03 billion in the second quarter of fiscal 2013 declined 2.3% from the prior year second quarter sales of $3.10 billion. Organic revenue decreased 9.1% year over year in constant dollars primarily due to weaker sales in the western regions. In the Americas region, year-over-year organic sales decreased 6.1%, EMEA decreased 18.0% in constant currency, while Asia increased 4.6%. On a sequential basis, organic revenue increased 27% in constant dollars which was slightly above the high end of normal seasonality of up 20% to 26%. The seasonal revenue growth was higher than expected after two quarters of below seasonal growth. On a product level, storage and sales of supplier service contracts were the most notable product categories that were up year over year.</w:t>
      </w:r>
    </w:p>
    <w:p>
      <w:pPr>
        <w:spacing w:after="0" w:line="15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Consolidated sales for the first half of fiscal 2013 were $12.57 billion, a decrease of 4.2% as compared with sales of $13.12 billion for the first half of fiscal 2012. On an organic basis excluding the impact of changes in foreign currency exchange rates, sales for the first half of fiscal 2013 were down 6.4% as compared with the same period in the prior year. EM sales of $7.33 billion for the first half of fiscal 2013 were down 1.2% as compared with the first half of the prior year and organic revenue was down 3.0% in constant currency. The decrease was primarily driven by the western regions, which was substantially offset by an increase in the Asia region. TS sales of $5.24 billion for the first half of fiscal 2013 were down 8.1% as compared with the first half of fiscal 2012 and organic revenue was down 10.9% in constant currency, primarily due to declines in the western regions.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Consolidated gross profit for the second quarter of fiscal 2013 was $768.5 million, a decrease of $15.7 million, or 2.0%, from the prior year second quarter and a decrease of 8.6% on a pro forma basis in constant currency. Gross profit margin of 11.5% decreased 24 basis points over the prior year second quarter and decreased 19 basis points sequentially. EM gross profit margin decreased 80 basis points year over year due primarily to a temporary benefit in the prior year's gross profit margin related to the hard disk drive shortages in the year ago quarter and a revenue mix shift to the lower-margin Asia region in the current year second quarter. Revenue from the Asia region represented 41% of total EM revenue as compared with 35% in the prior year second quarter. Sequentially, EM gross profit margin decreased 23 basis points primarily due to a higher percentage of lower-margin fulfillment revenue in Asia and a sequential revenue mix shift, in which Asia revenue represented 38% of total EM revenue in the first quarter of fiscal 2013 as compared with 41% in the current year second quarter. TS gross profit margin increased 32 basis points year over year, primarily driven by the Americas, and increased 49 basis points sequentially with all three regions contributing. These increases were driven primarily by the revenue mix of higher margin products.</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Consolidated gross profit and gross profit margins were $1.45 billion and 11.6%, respectively, for the first half of fiscal 2013 as compared with $1.54 billion and 11.7%, respectively, for the first half of fiscal 2012. For the first half of fiscal 2013, EM gross profit margin decreased 53 basis points year over year and TS gross profit margin increased 17 basis points year over year driven largely by the same factors as discussed in the quarterly gross profit margin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Selling, general and administrative expenses (“SG&amp;A expenses”) were $548.0 million in the second quarter of fiscal 2013, an increase of $29.2 million, or 5.6%, from the prior year second quarter. This increase consisted of (i) an increase of approximately $65 million related to expenses from businesses acquired, partially offset by (ii) a decrease of approximately $29 million related to recent cost reduction actions in existing businesses and (iii) a decrease of approximately $7 million related to the translation impact of changes in foreign currency exchange rates. Metrics that management monitors with respect to its operating expenses are SG&amp;A expenses as a percentage of sales and as a percentage of gross profit. In the second quarter of fiscal 2013, SG&amp;A expenses as a percentage of sales were 8.2% and as a percentage of gross profit were 71.3% as compared with 7.7% and 66.2%, respectively, in the second quarter of fiscal 2012. SG&amp;A expenses as a percentage of gross profit at TS increased 410 basis points year over year due primarily to recent acquisitions as the related cost synergies have not yet been attained, in particular in Europe, and which are not expected to be fully achieved for several quarters while the integration work is in process. The SG&amp;A expenses as a percentage of gross profit at EM increased 595 basis points year over year, primarily due to the decline in gross profit as previously mentioned. SG&amp;A expenses for the first half of fiscal 2013 were $1.09 billion, or 8.7% of consolidated sales, as compared with $1.05 billion, or 8.0% of consolidated sales, in the first half of fiscal 2012. SG&amp;A expenses were 75.4% of gross profit in the first half of fiscal 2013 as compared with 68.2% in the first half of 2012.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second quarter of fiscal 2013, the Company initiated additional expense reduction actions in both operating groups in response to continued weakness in business conditions. The Company also incurred acquisition and integration costs associated with recently acquired businesses. As a result, the Company recorded restructuring, integration and other charges of $24.9 million pre-tax, $19.9 million after tax and $0.14 per share on a diluted basis for the second quarter. Restructuring charges of $16.1 million pre-tax consisted of $7.3 million for severance, $8.5 million for facility exit costs and fixed asset write-downs and $0.3 million for other restructuring charges. Pre-tax integration costs and acquisition transaction costs were $7.6 million and $3.0 million, respectively. In addition, the Company recorded a credit of $1.8 million pre-tax to adjust reserves related to prior year restructuring activity that were no longer required.</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2013, the Company recorded restructuring, integration and other charges of $62.3 million pre-tax, $47.0 million after tax and $0.33 per share on a diluted basis. Restructuring charges of $46.3 million pre-tax consisted of $33.2 million for severance, $12.7 million for facility exit costs and fixed asset write downs and $0.4 million for other restructuring charges. Pre-tax integration costs and acquisition transaction costs were $12.6 million and $5.8 million, respectively. In addition, the Company recorded a credit of $2.4 million pre-tax to adjust reserves related to prior year restructuring activity that were no longer required.</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Severance charges recorded in the first six months of fiscal 2013 related to over 800 employees in sales, administrative and finance functions in connection with the cost reduction actions taken in all three regions in both operating groups with employee reductions of approximately 560 in EM, 225 in TS and the remaining in business support functions. Facility exit costs for vacated facilities related to fourteen facilities in the Americas, ten in EMEA, and five in Asia and consisted of reserves for remaining lease liabilities and the write-down of fixed assets. The Company estimates that these actions, in combination with prior actions taken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56"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during fiscal 2012, have resulted in approximately $100 million in annualized expense reductions in the second quarter of fiscal 2013 as compared with the prior year.</w:t>
      </w:r>
    </w:p>
    <w:p>
      <w:pPr>
        <w:spacing w:after="0" w:line="13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the consolidation and closure activities as well as costs associated with acquisition activity, primarily related to the acquired businesses' personnel who were retained by Avnet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Acquisition transaction costs consisted primarily of professional fees for due diligence work and other legal costs associated with the transaction.</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Comparatively, in the second quarter and first half of fiscal 2012, restructuring, integration and other charges amounted to $34.5 million pre-tax, $23.6 million after tax and $0.16 per share on a diluted basis. Restructuring charges of $28.9 million pre-tax consisted of $19.8 million for severance, $7.4 million for facility exit costs and $1.7 million for other restructuring charges, primarily other onerous lease liabilities. Integration and acquisition transactions costs were $3.4 million pre-tax and $3.1 million pre-tax, respectively. In addition, the Company recorded a credit of $0.9 million pre-tax to adjust reserves related to prior year restructuring activity that were no longer required.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During the second quarter of fiscal 2013, the Company generated operating income of $195.6 million, down 15.3%, as compared with $230.9 million in the prior year second quarter. Consolidated operating income margin was 2.9% as compared with 3.5% in the prior year second quarter. Both periods included restructuring, integration and other charges as described in </w:t>
      </w:r>
      <w:r>
        <w:rPr>
          <w:rFonts w:ascii="Arial" w:cs="Arial" w:eastAsia="Arial" w:hAnsi="Arial"/>
          <w:sz w:val="17"/>
          <w:szCs w:val="17"/>
          <w:i w:val="1"/>
          <w:iCs w:val="1"/>
          <w:color w:val="auto"/>
        </w:rPr>
        <w:t>Restructuring, Integration and Other Charges</w:t>
      </w:r>
      <w:r>
        <w:rPr>
          <w:rFonts w:ascii="Arial" w:cs="Arial" w:eastAsia="Arial" w:hAnsi="Arial"/>
          <w:sz w:val="17"/>
          <w:szCs w:val="17"/>
          <w:color w:val="auto"/>
        </w:rPr>
        <w:t xml:space="preserve"> above. Excluding these charges from both periods, operating income was $220.5 million, or 3.3% of sales, in the second quarter of fiscal 2013 as compared with $265.4 million, or 4.0% of sales, in the prior year second quarter. EM operating income of $140.1 million declined 19.9% year over year and operating income margin decreased 105 basis points year over year to 3.8%. This decline in EM operating income margin was primarily due the decline in gross profit margin previously mentioned and lower profitability in the western region, partially offset by the benefit from the cost reduction actions. TS operating income of $107.9 million decreased 9.2% year over year and operating income margin decreased 27 basis points to 3.6% due to the effects of recent acquisitions as previously mentioned. On a sequential basis, TS operating income margin improved 202 basis points with all three regions contributing to gross profit margin and operating profit margin improvements. These increases were driven primarily by the revenue mix of higher margin products. Corporate operating expenses were $27.6 million in the second quarter of fiscal 2013 as compared with $28.4 million in the second quarter of fiscal 2012.</w:t>
      </w:r>
    </w:p>
    <w:p>
      <w:pPr>
        <w:spacing w:after="0" w:line="14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income for the first half of 2013 was $295.5 million, or 2.4% of consolidated sales, as compared with $454.0 million, or 3.5% of consolidated sales for the first half of fiscal 2012. The 111 basis point decrease in operating income margin as compared with the first half of fiscal 2012 was similarly a function of the factors discussed in the quarterly analysis. In addition, during the first half of fiscal 2013, restructuring, integration and other charges amounted to $62.3 million pre-tax, $47.0 million after tax and $0.33 per share on a diluted basis as compared with $34.5 million pre-tax, $23.6 million after tax and $0.16 per share for the first half of the prior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Interest expense for the second quarter of fiscal 2013 was $27.8 million, an increase of $5.6 million or 25.3%, as compared with interest expense of $22.2 million for the second quarter of fiscal 2012. Interest for the first half of fiscal 2013 was $51.7 million, an increase of $7.6 million or 17.3%, as compared with interest expense of $44.1 million for the first half of fiscal 2012. The increase in interest expense was primarily due to higher average debt levels and incremental interest expense related to the 4.875% Notes issued during the second quarter of fiscal 2013, the proceeds of which were used to repay short-term debt which had lower interest rates.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second quarter of fiscal 2013, the Company recognized $1.1 million of other income as compared with $0.7 million in the prior year. During the first half of fiscal 2013, the Company recognized $2.5 million of other income as compared with other expense of $4.6 million in the first half of fiscal 2012. The year-over-year increase in other income was due primarily to foreign currency exchange losses in the prior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Gain on Bargain Purchase and Other</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of fiscal 2013, the Company recognized a gain on bargain purchase and other of $0.06 million pre-tax which consisted of (i) an additional gain on bargain purchase of $1.7 million pre- and after tax and $0.01 per share on a diluted basis related to the acquisition of Internix as a result of an adjustment to the net assets acquired, which was partially offset by (ii) a loss of $1.7 million pre-tax, $1.7 million after tax and $0.01 per share on a diluted basis as a result of the divestiture of a small business in the TS Asia region.</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half of fiscal 2013, the Company recognized a gain on bargain purchase and other of $31.4 million pre-tax, $31.3 million after tax and $0.22 per share on a diluted basis, which consisted of (i) a gain on bargain purchase of $33.0 million pre- and after tax and $0.23 per share on a diluted basis related to the acquisition of Internix and (ii) a loss of $1.7 million pre- and after tax and $0.01 per share on a diluted basis associated with the divestiture as previously mentioned.</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and first half of fiscal 2012, the Company recognized other charges of $1.4 million pre-tax, $0.9 million after tax and $0.01 per share on a diluted basis related to the write-down of an investment in a small technology company and the write-off of certain deferred financing costs associated with the early termination of a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effective tax rate on its income before income taxes was 18.6% in the second quarter of fiscal 2013 as compared with 29.3% in the second quarter of fiscal 2012. During the second quarter of fiscal 2013, the Company's effective tax rate was favorably impacted primarily by the settlement of an audit by the U.S. Internal Revenue Service ("IRS") for an acquired company and the recognition of a U.S. tax benefit on the closure of a foreign operation. In April 2012, the Company received an IRS Revenue Agent's Report (“RAR”) related to the U.S. tax audit of the tax periods 2004 to 2008 for an acquired company which indicated that the Company was entitled to a tax reduction adjustment. Due to the size of the adjustment, Joint Committee review and approval was required. In October 2012, the Company received notice of the Joint Committee approval. As a result, the Company recognized a tax benefit of $17.4 million in the second quarter of fiscal 2013 which related primarily to the recording of the effect of additional net operating loss carryforwards and, to a lesser extent, the release of related reserves.</w:t>
      </w:r>
    </w:p>
    <w:p>
      <w:pPr>
        <w:spacing w:after="0" w:line="15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first six months of fiscal 2013 and 2012, the Company's effective tax rate was 14.4% and 29.2%, respectively. This decrease in the effective tax rate was due primarily to (i) the settlement of two IRS audits for the Company and an acquired company, as previously mentioned, and (ii) a non-taxable gain on a bargain purchase as previously mentioned, partially offset by (iii) increases to valuation allowances and reserves. Due to the reduced level of income in the first six months of fiscal 2013, the net favorable impact of these items on the effective tax rate was significant. The effective tax rate for the first six months of fiscal 2013 was also impacted, to a lesser extent, by the mix of income earned in the lower tax rate jurisdictions.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second quarter of fiscal 2013 was $137.5 million, or $0.99 per share on a diluted basis, as compared with $147.0 million, or $0.98 per share on a diluted basis, in the prior year second quarter. Net income for the first half of fiscal 2013 was $237.8 million, or $1.69 per share on a diluted basis, as compared with $286.1 million, or $1.88 per share on a diluted basis for the first half of fiscal 2012.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second quarter and first half of fiscal 2013, the Company generated $326.4 million and $407.4 million, respectively, of cash from its operating activities as compared with $450.0 million and $245.8 million in the second quarter and first half of fiscal 2012, respectively. These results are comprised of: (i)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(ii) cash flow used for, or generated from, working capital, excluding cash and cash equivalents. Cash generated by working capital during the second quarter of fiscal 2013 resulted primarily from a decrease in inventory of $143.5 million at EM. The increase in receivables of $677.6 million was partially offset by an increase in accounts payable of $633.7 million, which was driven primarily by TS due to the December quarter being its seasonally strongest quarter due to the calendar-year-end-based budgeting cycles of many of its customers. Net days outstanding have not changed significantly as there has not been a significant change in terms provided to customers nor have customers significantly changed their payment patterns. Comparatively, cash generated by working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56"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during the second quarter of fiscal 2012 included an increase in payables of $420.4 million, driven primarily by TS due to the December quarter being its seasonally strongest. In addition, inventory decreased $91.7 million, primarily attributable to EM. These cash inflows were partially offset by an increase in accounts receivable of $224.7 million, primarily related to 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During November 2012, the Company received proceeds of $349.3 million as a result of the issuance of $350.0 million of 4.875% Notes due 2022. During the second quarter and first half of fiscal 2013, the Company used cash of $710.6 million and $538.5 million, respectively, to repay amounts outstanding under the 2012 Credit Facility and the accounts receivable securitization program. In addition, during the second quarter and first half of fiscal 2013, the Company used $78.5 million and $207.2 million, respectively, of cash to repurchase common stock under the share repurchase program authorized by the Company's Board of Directors (see </w:t>
      </w:r>
      <w:r>
        <w:rPr>
          <w:rFonts w:ascii="Arial" w:cs="Arial" w:eastAsia="Arial" w:hAnsi="Arial"/>
          <w:sz w:val="16"/>
          <w:szCs w:val="16"/>
          <w:i w:val="1"/>
          <w:iCs w:val="1"/>
          <w:color w:val="auto"/>
        </w:rPr>
        <w:t>Part II, Item 2</w:t>
      </w:r>
      <w:r>
        <w:rPr>
          <w:rFonts w:ascii="Arial" w:cs="Arial" w:eastAsia="Arial" w:hAnsi="Arial"/>
          <w:sz w:val="16"/>
          <w:szCs w:val="16"/>
          <w:color w:val="auto"/>
        </w:rPr>
        <w:t xml:space="preserve">. </w:t>
      </w:r>
      <w:r>
        <w:rPr>
          <w:rFonts w:ascii="Arial" w:cs="Arial" w:eastAsia="Arial" w:hAnsi="Arial"/>
          <w:sz w:val="16"/>
          <w:szCs w:val="16"/>
          <w:i w:val="1"/>
          <w:iCs w:val="1"/>
          <w:color w:val="auto"/>
        </w:rPr>
        <w:t>Unregistered Sales of Equity Securities and Use of Proceeds</w:t>
      </w:r>
      <w:r>
        <w:rPr>
          <w:rFonts w:ascii="Arial" w:cs="Arial" w:eastAsia="Arial" w:hAnsi="Arial"/>
          <w:sz w:val="16"/>
          <w:szCs w:val="16"/>
          <w:color w:val="auto"/>
        </w:rPr>
        <w:t xml:space="preserve"> in this Form 10-Q). During the second quarter and first half of fiscal 2012, the Company received net proceeds of $78.5 million and $467.5 million, respectively, primarily from borrowings under the accounts receivable securitization program and bank credit facilities. In addition, during the second quarter and first half of fiscal 2012 the Company used $139.0 million and $221.0 million, respectively, of cash to repurchase common stock under the share repurchase program.</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second quarter and first half of fiscal 2013, the Company used $83.8 million and $171.0 million, respectively, of cash for acquisitions, net of cash acquired, and received proceeds of $3.6 million, net of cash divested, in the first half of fiscal 2013 for an earn-out payment associated with a divestiture completed in a prior year and a small divestiture in TS Asia. During the second quarter and first half of fiscal 2013, the Company used $30.9 million and $55.3 million, respectively, for capital expenditures primarily related to system development costs and computer hardware and software purchases. During the second quarter and first half of fiscal 2012, the Company used $4.3 million and $107.6 million, respectively, of cash for acquisitions, net of cash acquired, and $31.2 million and $70.9 million, respectively, for capital expenditures primarily related to system development costs and computer hardware and software expenditures.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capital structure as of the end of the second quarter of fiscal 2013 with a comparison to fiscal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 year-end: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29,</w:t>
            </w:r>
          </w:p>
        </w:tc>
        <w:tc>
          <w:tcPr>
            <w:tcW w:w="18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8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490,270</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872,404</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1,508,196</w:t>
            </w:r>
          </w:p>
        </w:tc>
        <w:tc>
          <w:tcPr>
            <w:tcW w:w="1800" w:type="dxa"/>
            <w:vAlign w:val="bottom"/>
          </w:tcPr>
          <w:p>
            <w:pPr>
              <w:ind w:left="460"/>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1,271,985</w:t>
            </w:r>
          </w:p>
        </w:tc>
        <w:tc>
          <w:tcPr>
            <w:tcW w:w="1700" w:type="dxa"/>
            <w:vAlign w:val="bottom"/>
          </w:tcPr>
          <w:p>
            <w:pPr>
              <w:ind w:left="460"/>
              <w:spacing w:after="0"/>
              <w:rPr>
                <w:sz w:val="20"/>
                <w:szCs w:val="20"/>
                <w:color w:val="auto"/>
              </w:rPr>
            </w:pPr>
            <w:r>
              <w:rPr>
                <w:rFonts w:ascii="Arial" w:cs="Arial" w:eastAsia="Arial" w:hAnsi="Arial"/>
                <w:sz w:val="18"/>
                <w:szCs w:val="18"/>
                <w:color w:val="auto"/>
              </w:rPr>
              <w:t>21.0</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1,998,466</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32.7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2,144,389</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4,105,897</w:t>
            </w:r>
          </w:p>
        </w:tc>
        <w:tc>
          <w:tcPr>
            <w:tcW w:w="1800" w:type="dxa"/>
            <w:vAlign w:val="bottom"/>
          </w:tcPr>
          <w:p>
            <w:pPr>
              <w:ind w:left="460"/>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3,905,732</w:t>
            </w:r>
          </w:p>
        </w:tc>
        <w:tc>
          <w:tcPr>
            <w:tcW w:w="1700" w:type="dxa"/>
            <w:vAlign w:val="bottom"/>
          </w:tcPr>
          <w:p>
            <w:pPr>
              <w:ind w:left="460"/>
              <w:spacing w:after="0"/>
              <w:rPr>
                <w:sz w:val="20"/>
                <w:szCs w:val="20"/>
                <w:color w:val="auto"/>
              </w:rPr>
            </w:pPr>
            <w:r>
              <w:rPr>
                <w:rFonts w:ascii="Arial" w:cs="Arial" w:eastAsia="Arial" w:hAnsi="Arial"/>
                <w:sz w:val="18"/>
                <w:szCs w:val="18"/>
                <w:color w:val="auto"/>
              </w:rPr>
              <w:t>64.6</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6,104,363</w:t>
            </w:r>
          </w:p>
        </w:tc>
        <w:tc>
          <w:tcPr>
            <w:tcW w:w="1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6,050,121</w:t>
            </w: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For a description of the Company’s long-term debt and lease commitments for the next five years and thereafter, see </w:t>
      </w:r>
      <w:r>
        <w:rPr>
          <w:rFonts w:ascii="Arial" w:cs="Arial" w:eastAsia="Arial" w:hAnsi="Arial"/>
          <w:sz w:val="17"/>
          <w:szCs w:val="17"/>
          <w:i w:val="1"/>
          <w:iCs w:val="1"/>
          <w:color w:val="auto"/>
        </w:rPr>
        <w:t>Long-Term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appearing in Item 7 of the Company’s Annual Report on Form 10-K for the year ended June 30, 2012. With the exception of the Company’s debt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discussed herein, there are no material changes to this information outside of normal lease payments.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has a five-year $1.0 billion senior unsecured revolving credit facility (the "2012 Credit Facility") with a syndicate of banks that expires November 2016. Under the 2012 Credit Facility, the Company may elect from various interest rate options, currencies and maturities. As of the end of the second quarter of fiscal 2013, there were no borrowings outstanding under the 2012 Credit Facility; however, there were $17.3 million in letters of credit issued which represent a utilization of borrowing capacity but are not recorded in the consolidated balance sheet as the letters of credit are not debt. As of June 30, 2012, there were $110.1 million in borrowings outstanding included in “long-term debt” in the consolidated financial statements and $17.2 million in letters of credit issued.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0" w:right="239" w:bottom="1440" w:gutter="0" w:footer="0" w:header="0"/>
        </w:sectPr>
      </w:pPr>
    </w:p>
    <w:bookmarkStart w:id="23" w:name="page24"/>
    <w:bookmarkEnd w:id="23"/>
    <w:p>
      <w:pPr>
        <w:jc w:val="both"/>
        <w:ind w:firstLine="432"/>
        <w:spacing w:after="0" w:line="273" w:lineRule="auto"/>
        <w:rPr>
          <w:sz w:val="20"/>
          <w:szCs w:val="20"/>
          <w:color w:val="auto"/>
        </w:rPr>
      </w:pPr>
      <w:r>
        <w:rPr>
          <w:rFonts w:ascii="Arial" w:cs="Arial" w:eastAsia="Arial" w:hAnsi="Arial"/>
          <w:sz w:val="17"/>
          <w:szCs w:val="17"/>
          <w:color w:val="auto"/>
        </w:rPr>
        <w:t>In August 2012, the Company amended its accounts receivable securitization program (the "Securitization Program" or “Program”) with a group of financial institutions to allow the Company to sell, on a revolving basis, an undivided interest of up to $800.0 million ($750.0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December 29, 2012. The Program has a one year term that expires in August 2013. There were $304.0 million in borrowings outstanding under the Program at December 29, 2012 and $670.0 million outstanding at June 30, 2012.</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November 2012, the Company issued $350,000,000 of 4.875% Notes due December 1, 2022. The Company received proceeds of $349,258,000 from the offering, net of discount and paid $2,275,000 of underwriting fees.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outstanding at December 29, 2012 consisted of:</w:t>
      </w:r>
    </w:p>
    <w:p>
      <w:pPr>
        <w:spacing w:after="0" w:line="9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March 15,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$250.0 million of 6.00% Notes due September 1,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6.625% Notes due September 15,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June 15, 2020</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$350.0 million of 4.875% Notes due December 1, 2022</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2012 Credit Facility contains certain covenants with various limitations on debt incurrence, dividends, investments and capital expenditures and also includes financial covenants requiring the Company to maintain minimum interest coverage and leverage ratios. Management does not believe that the covenants in the 2012 Credit Facility limit the Company’s ability to pursue its intended business strategy or future financing needs. The Company was in compliance with all covenants of the 2012 Credit Facility as of December 29, 2012.</w:t>
      </w:r>
    </w:p>
    <w:p>
      <w:pPr>
        <w:spacing w:after="0" w:line="1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as of December 29, 2012.</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mentioned previously, the Company amended its accounts receivable securitization program in August 2012 to increase the borrowing capacity from $750.0 million to $800.0 million. As of the end of the second quarter of fiscal 2013, the Company had a combined total borrowing capacity of $1.8 billion under the 2012 Credit Facility and the Program. There were no borrowings outstanding and $17.3 million in letters of credit issued under the 2012 Credit Facility and $304.0 million outstanding under the Program, resulting in $1.5 billion of net availability at the end of the second quarter. During the second quarter of fiscal 2013, the Company had an average daily balance outstanding under the 2012 Credit Facility of approximately $165 million and approximately $620 million under the Program. During the second quarter of fiscal 2012, the Company had an average daily balance outstanding under the 2012 Credit Facility of approximately $60 million and approximately $640 million under the Program.</w:t>
      </w:r>
    </w:p>
    <w:p>
      <w:pPr>
        <w:spacing w:after="0" w:line="1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had cash and cash equivalents of $815.3 million as of December 29, 2012, of which $730.3 million was held outside the U.S. As of June 30, 2012, the Company had cash and cash equivalents of $1.01 billion, of which $874.0 million was held outside of the U.S. 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balances are currently expected to be permanently reinvested outside the U.S. If these funds were needed for general corporate use in the U.S., the Company would incur significant income taxes to repatriate cash held in foreign locations but only to the extent the repatriated cash is in excess of outstanding intercompany loans due to Avnet, Inc. from the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half of fiscal 2013, the Company utilized $171.0 million of cash, net of cash acquired, for acquisitions. The Company has been making and expects to continue to make strategic investments through acquisition activity to the extent the investments strengthen Avnet’s competitive position and meet management’s return on capital thresholds.</w:t>
      </w:r>
    </w:p>
    <w:p>
      <w:pPr>
        <w:spacing w:after="0" w:line="1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addition to continuing to make investments in acquisitions, the Company may repurchase up to an aggregate of $750.0 million of shares of the Company’s common stock through a share repurchase program approved by the Board of Directors in August 2011 of $500.0 million and an additional $250.0 million approved by the Board in August 2012. The Company plans to repurchase stock from time to time at the discretion of management, subject to strategic considerations, market conditions and other factors. The Company may terminate or limit the stock repurchase program at any time without prior notice. The timing and actual number of shares purchased will depend on a variety of factors such as price, corporate and regulatory requirements, and prevailing market conditions. During the second quarter of fiscal 2013, the Company repurchased 6.6 million shares at average market price of $30.15 per share for total cost of $199.6 million. Since the beginning of the repurchase program through the end of the first half of fiscal 2013, the Company has repurchased 17.9 million shares of stock at an aggregate cost of $525.5 million. (See </w:t>
      </w:r>
      <w:r>
        <w:rPr>
          <w:rFonts w:ascii="Arial" w:cs="Arial" w:eastAsia="Arial" w:hAnsi="Arial"/>
          <w:sz w:val="17"/>
          <w:szCs w:val="17"/>
          <w:i w:val="1"/>
          <w:iCs w:val="1"/>
          <w:color w:val="auto"/>
        </w:rPr>
        <w:t>Part II, Item 2. Unregistered Sales of Equity Securities and Use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Proceeds </w:t>
      </w:r>
      <w:r>
        <w:rPr>
          <w:rFonts w:ascii="Arial" w:cs="Arial" w:eastAsia="Arial" w:hAnsi="Arial"/>
          <w:sz w:val="17"/>
          <w:szCs w:val="17"/>
          <w:color w:val="auto"/>
        </w:rPr>
        <w:t>in this Form 10-Q for further information.) Shares repurchased were retired.</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During the second quarter and first half of fiscal 2013, the Company generated $326.4 million and $407.4 million, respectively, of cash from operations as revenue declined and has generated $690.3 million of cash from operations over the trailing twelve month period. Management believes that Avnet’s borrowing capacity, its current cash availability and the Company’s expected ability to generate operating cash flows in the future are sufficient to meet its projected financing needs.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second quarter of fiscal 2013 with a comparison to the fiscal 2012 year-end: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26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5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90"/>
              </w:rPr>
              <w:t>Percentage Change</w:t>
            </w:r>
          </w:p>
        </w:tc>
      </w:tr>
      <w:tr>
        <w:trPr>
          <w:trHeight w:val="27"/>
        </w:trPr>
        <w:tc>
          <w:tcPr>
            <w:tcW w:w="20" w:type="dxa"/>
            <w:vAlign w:val="bottom"/>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8,254.4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Quick Assets</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5,976.7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5,614.2</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4,798.7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Working Capital (1)</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3,679.8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3,455.7</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Total Capital (total debt plus total shareholders’ equity)</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6,050.1</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Quick Ratio</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Working Capital Ratio</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to Total Capital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6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quick assets (consisting of cash and cash equivalents and receivables) increased 6.5% and current assets increased 2.4% since fiscal year end primarily due to an increase in receivables offset slightly by a decrease in cash and cash equivalents. Current liabilities decreased 0.6% primarily due to a decrease in short term borrowings. The increase in current assets and decrease in liabilities were partially offset by the impact of the change in foreign currency exchange spot rates since fiscal year end. As a result of the factors noted above, total working capital increased by 6.5% during the first six months of fiscal 2013. Total debt decreased by 6.8%, primarily due to the decrease in borrowings under the 2012 Credit Facility and the accounts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receivable securitization program, total capital increased 0.9% and the debt to capital ratio decreased as compared with June 30, 2012 to 32.7%.</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30, 2012 for further discussion of market risks associated with interest rates and foreign currency exchange. Avnet’s exposure to foreign exchange risks has not changed materially since June 30, 2012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facilities and capital structure. As of December 29, 2012, 78% of the Company’s debt bears interest at a fixed rate and 22% of the Company’s debt bears interest at variable rates. Therefore, a hypothetical 1.0% (100 basis points) increase in interest rates would result in a $1.1 million impact on income before income taxes in the Company’s consolidated statement of operations for the quarter ended December 29, 2012.</w:t>
      </w:r>
    </w:p>
    <w:p>
      <w:pPr>
        <w:spacing w:after="0" w:line="1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second quarter of fiscal 2013,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Report or in documents incorporated by reference in this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30, 2012, could affect the Company’s future results, and could cause those results or other outcomes to differ materially from those expressed or implied in the forward-looking statements:</w:t>
      </w:r>
    </w:p>
    <w:p>
      <w:pPr>
        <w:spacing w:after="0" w:line="4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 resulting in increased competition for existing customers or otherwise;</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our international sales and operations, including risks relating to the ability to repatriate funds, foreign currency fluctuations, duties and taxes, and compliance with international and U.S. laws that apply to our international operations;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 of products by suppliers;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0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2012 Annual Report on Form 10-K, filed with the Securities and Exchange Commission, which describe various risks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uncertainties to which the Company is or may become subject. These risks and uncertainties have the potential to affect Avnet’s business, financial condition, results of operations, cash flows, strategies or prospects in a material and adverse manner. As of December 29, 2012, there have been no material changes to the risk factors set forth in the Company’s 2012 Annual Report on Form 10-K.</w:t>
      </w:r>
    </w:p>
    <w:p>
      <w:pPr>
        <w:spacing w:after="0" w:line="1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(the "Board") approved the repurchase of up to $500 million of the Company’s common stock through a share repurchase program. During August 2012, the Board approved an additional $250 million for the share repurchase program. With this increase, the Company may repurchase up to a total of $750 million of the Company's common stock under the share repurchase program. The following table includes the Company’s monthly purchases of Avnet's common stock during the second quarter ended December 29, 2012 under the share repurchase program, which is part of a publicly announced plan, and purchases made on the open market to obtain shares for the Company’s Employee Stock Purchase Plan (“ESPP”), which is not part of a publicly announced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2,457,100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2,450,000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November</w:t>
            </w:r>
          </w:p>
        </w:tc>
        <w:tc>
          <w:tcPr>
            <w:tcW w:w="1400" w:type="dxa"/>
            <w:vAlign w:val="bottom"/>
            <w:gridSpan w:val="2"/>
          </w:tcPr>
          <w:p>
            <w:pPr>
              <w:jc w:val="right"/>
              <w:ind w:right="48"/>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purchases of Avnet’s common stock associated with the Company’s ESPP as follows: 7,100 shares in October, 5,500 shares in November and 5,000 shares in December.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0"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20"/>
                <w:szCs w:val="20"/>
                <w:color w:val="auto"/>
              </w:rPr>
            </w:pPr>
          </w:p>
        </w:tc>
      </w:tr>
      <w:tr>
        <w:trPr>
          <w:trHeight w:val="270"/>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492"/>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Form of Officers' Certificate setting forth the terms of the 4.875% Notes due 2022 (incorporated herein by reference to the Company's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Current Report on Form 8-K dated November 20, 2012, Exhibit 4.1).</w:t>
            </w:r>
          </w:p>
        </w:tc>
      </w:tr>
      <w:tr>
        <w:trPr>
          <w:trHeight w:val="796"/>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Avnet, Inc. Executive Incentive Plan (incorporated herein by reference to the Company's Current Report on Form 8-K dated November</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2, 2012, Exhibit 10.1).</w:t>
            </w:r>
          </w:p>
        </w:tc>
      </w:tr>
      <w:tr>
        <w:trPr>
          <w:trHeight w:val="796"/>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Letter Agreement by and between Kevin Moriarty and the Company (incorporated herein by reference to the Company's Current</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dated December 10, 2012, Exhibit 10.1).</w:t>
            </w:r>
          </w:p>
        </w:tc>
      </w:tr>
      <w:tr>
        <w:trPr>
          <w:trHeight w:val="756"/>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right="40" w:hanging="585"/>
        <w:spacing w:after="0" w:line="26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56"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2013</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2013</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29, 2012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2013</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29, 2012 (the “Report”), I, Kevin Moriarty,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2013</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2"/>
    </w:lvl>
  </w:abstractNum>
  <w:abstractNum w:abstractNumId="1">
    <w:nsid w:val="4DB127F8"/>
    <w:multiLevelType w:val="hybridMultilevel"/>
    <w:lvl w:ilvl="0">
      <w:lvlJc w:val="left"/>
      <w:lvlText w:val="%1."/>
      <w:numFmt w:val="decimal"/>
      <w:start w:val="6"/>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2019-12-05T03:57:05Z</dcterms:created>
  <dcterms:modified xsi:type="dcterms:W3CDTF">2019-12-05T03:57:05Z</dcterms:modified>
</cp:coreProperties>
</file>