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5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4680" w:firstLine="8"/>
        <w:spacing w:after="0" w:line="251"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48895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167005</wp:posOffset>
            </wp:positionV>
            <wp:extent cx="4485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460" w:right="200" w:hanging="452"/>
        <w:spacing w:after="0" w:line="234"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-4154805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-3717290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-3160395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-2722880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-2285365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-1847850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-1153160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-716280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205740</wp:posOffset>
            </wp:positionV>
            <wp:extent cx="257302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232410</wp:posOffset>
            </wp:positionV>
            <wp:extent cx="1311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2015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245745</wp:posOffset>
            </wp:positionV>
            <wp:extent cx="1311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Be Held Thursday, November 12,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Thursday, November 12, 2015, at 7:30 a.m., local time, for the following purposes:</w:t>
      </w:r>
    </w:p>
    <w:p>
      <w:pPr>
        <w:spacing w:after="0" w:line="73" w:lineRule="exact"/>
        <w:rPr>
          <w:sz w:val="20"/>
          <w:szCs w:val="20"/>
          <w:color w:val="auto"/>
        </w:rPr>
      </w:pPr>
    </w:p>
    <w:p>
      <w:pPr>
        <w:ind w:left="920" w:right="64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ten director nominees named in the attached proxy statement to serve until the next annual meeting and until their successors have been elected and qualified.</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76" w:lineRule="exact"/>
        <w:rPr>
          <w:rFonts w:ascii="Arial" w:cs="Arial" w:eastAsia="Arial" w:hAnsi="Arial"/>
          <w:sz w:val="18"/>
          <w:szCs w:val="18"/>
          <w:color w:val="auto"/>
        </w:rPr>
      </w:pPr>
    </w:p>
    <w:p>
      <w:pPr>
        <w:ind w:left="920" w:right="62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July 2, 2016.</w:t>
      </w:r>
    </w:p>
    <w:p>
      <w:pPr>
        <w:spacing w:after="0" w:line="73" w:lineRule="exact"/>
        <w:rPr>
          <w:rFonts w:ascii="Arial" w:cs="Arial" w:eastAsia="Arial" w:hAnsi="Arial"/>
          <w:sz w:val="18"/>
          <w:szCs w:val="18"/>
          <w:color w:val="auto"/>
        </w:rPr>
      </w:pPr>
    </w:p>
    <w:p>
      <w:pPr>
        <w:ind w:left="920" w:right="3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Board of Directors has fixed the close of business on September 15, 2015, as the record date for the Annual Meeting. Only holders of record of shares of Avnet’s Common Stock at the close of business on such date shall be entitled to notice of and to vote at the Annual Meeting or any adjournment thereof.</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946910"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Michael R. McCoy</w:t>
      </w:r>
    </w:p>
    <w:p>
      <w:pPr>
        <w:spacing w:after="0"/>
        <w:rPr>
          <w:sz w:val="20"/>
          <w:szCs w:val="20"/>
          <w:color w:val="auto"/>
        </w:rPr>
      </w:pPr>
      <w:r>
        <w:rPr>
          <w:rFonts w:ascii="Arial" w:cs="Arial" w:eastAsia="Arial" w:hAnsi="Arial"/>
          <w:sz w:val="18"/>
          <w:szCs w:val="18"/>
          <w:i w:val="1"/>
          <w:iCs w:val="1"/>
          <w:color w:val="auto"/>
        </w:rPr>
        <w:t>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0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20"/>
                <w:szCs w:val="20"/>
                <w:color w:val="auto"/>
              </w:rPr>
            </w:pPr>
          </w:p>
        </w:tc>
      </w:tr>
      <w:tr>
        <w:trPr>
          <w:trHeight w:val="367"/>
        </w:trPr>
        <w:tc>
          <w:tcPr>
            <w:tcW w:w="9840" w:type="dxa"/>
            <w:vAlign w:val="bottom"/>
            <w:gridSpan w:val="4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42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Proxy and Revocation of Proxy</w:t>
              </w:r>
            </w:hyperlink>
          </w:p>
        </w:tc>
        <w:tc>
          <w:tcPr>
            <w:tcW w:w="7200" w:type="dxa"/>
            <w:vAlign w:val="bottom"/>
            <w:gridSpan w:val="17"/>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20" w:type="dxa"/>
            <w:vAlign w:val="bottom"/>
          </w:tcPr>
          <w:p>
            <w:pPr>
              <w:spacing w:after="0"/>
              <w:rPr>
                <w:sz w:val="15"/>
                <w:szCs w:val="15"/>
                <w:color w:val="auto"/>
              </w:rPr>
            </w:pPr>
          </w:p>
        </w:tc>
        <w:tc>
          <w:tcPr>
            <w:tcW w:w="152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Quorum and Voting</w:t>
              </w:r>
            </w:hyperlink>
          </w:p>
        </w:tc>
        <w:tc>
          <w:tcPr>
            <w:tcW w:w="8100" w:type="dxa"/>
            <w:vAlign w:val="bottom"/>
            <w:gridSpan w:val="33"/>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Broker Voting</w:t>
              </w:r>
            </w:hyperlink>
          </w:p>
        </w:tc>
        <w:tc>
          <w:tcPr>
            <w:tcW w:w="8540" w:type="dxa"/>
            <w:vAlign w:val="bottom"/>
            <w:gridSpan w:val="38"/>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58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Meeting Attendance</w:t>
              </w:r>
            </w:hyperlink>
          </w:p>
        </w:tc>
        <w:tc>
          <w:tcPr>
            <w:tcW w:w="8040" w:type="dxa"/>
            <w:vAlign w:val="bottom"/>
            <w:gridSpan w:val="31"/>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Required Vote and Board Recommendation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180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Corporate Governance</w:t>
              </w:r>
            </w:hyperlink>
          </w:p>
        </w:tc>
        <w:tc>
          <w:tcPr>
            <w:tcW w:w="8040" w:type="dxa"/>
            <w:vAlign w:val="bottom"/>
            <w:gridSpan w:val="31"/>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 Guidelines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2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Director Independence</w:t>
              </w:r>
            </w:hyperlink>
          </w:p>
        </w:tc>
        <w:tc>
          <w:tcPr>
            <w:tcW w:w="6960" w:type="dxa"/>
            <w:vAlign w:val="bottom"/>
            <w:gridSpan w:val="15"/>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16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Board Leadership Structure</w:t>
              </w:r>
            </w:hyperlink>
          </w:p>
        </w:tc>
        <w:tc>
          <w:tcPr>
            <w:tcW w:w="7460" w:type="dxa"/>
            <w:vAlign w:val="bottom"/>
            <w:gridSpan w:val="23"/>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Nominations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Communications</w:t>
              </w:r>
            </w:hyperlink>
          </w:p>
        </w:tc>
        <w:tc>
          <w:tcPr>
            <w:tcW w:w="7640" w:type="dxa"/>
            <w:vAlign w:val="bottom"/>
            <w:gridSpan w:val="26"/>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Management Succession</w:t>
              </w:r>
            </w:hyperlink>
          </w:p>
        </w:tc>
        <w:tc>
          <w:tcPr>
            <w:tcW w:w="7640" w:type="dxa"/>
            <w:vAlign w:val="bottom"/>
            <w:gridSpan w:val="26"/>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Code of Conduct</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3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Reporting of Ethical Concerns</w:t>
              </w:r>
            </w:hyperlink>
          </w:p>
        </w:tc>
        <w:tc>
          <w:tcPr>
            <w:tcW w:w="7280" w:type="dxa"/>
            <w:vAlign w:val="bottom"/>
            <w:gridSpan w:val="1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Stock Ownership Guidelines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22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Avnet Website</w:t>
              </w:r>
            </w:hyperlink>
          </w:p>
        </w:tc>
        <w:tc>
          <w:tcPr>
            <w:tcW w:w="7420" w:type="dxa"/>
            <w:vAlign w:val="bottom"/>
            <w:gridSpan w:val="2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The Board of Directors and its Committees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220" w:type="dxa"/>
            <w:vAlign w:val="bottom"/>
            <w:tcBorders>
              <w:top w:val="single" w:sz="8" w:color="0000EE"/>
            </w:tcBorders>
          </w:tcPr>
          <w:p>
            <w:pPr>
              <w:spacing w:after="0"/>
              <w:rPr>
                <w:sz w:val="15"/>
                <w:szCs w:val="15"/>
                <w:color w:val="auto"/>
              </w:rPr>
            </w:pPr>
          </w:p>
        </w:tc>
        <w:tc>
          <w:tcPr>
            <w:tcW w:w="31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Audit Committee</w:t>
              </w:r>
            </w:hyperlink>
          </w:p>
        </w:tc>
        <w:tc>
          <w:tcPr>
            <w:tcW w:w="6520" w:type="dxa"/>
            <w:vAlign w:val="bottom"/>
            <w:gridSpan w:val="8"/>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Compensation Committee</w:t>
              </w:r>
            </w:hyperlink>
          </w:p>
        </w:tc>
        <w:tc>
          <w:tcPr>
            <w:tcW w:w="7580" w:type="dxa"/>
            <w:vAlign w:val="bottom"/>
            <w:gridSpan w:val="25"/>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270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Corporate Governance Committee</w:t>
              </w:r>
            </w:hyperlink>
          </w:p>
        </w:tc>
        <w:tc>
          <w:tcPr>
            <w:tcW w:w="6920" w:type="dxa"/>
            <w:vAlign w:val="bottom"/>
            <w:gridSpan w:val="13"/>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Executive Committee</w:t>
              </w:r>
            </w:hyperlink>
          </w:p>
        </w:tc>
        <w:tc>
          <w:tcPr>
            <w:tcW w:w="7940" w:type="dxa"/>
            <w:vAlign w:val="bottom"/>
            <w:gridSpan w:val="2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274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The Board’s Role in Risk Oversight</w:t>
              </w:r>
            </w:hyperlink>
          </w:p>
        </w:tc>
        <w:tc>
          <w:tcPr>
            <w:tcW w:w="6880" w:type="dxa"/>
            <w:vAlign w:val="bottom"/>
            <w:gridSpan w:val="1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900" w:type="dxa"/>
            <w:vAlign w:val="bottom"/>
            <w:tcBorders>
              <w:bottom w:val="single" w:sz="8" w:color="0000EE"/>
            </w:tcBorders>
            <w:gridSpan w:val="28"/>
          </w:tcPr>
          <w:p>
            <w:pPr>
              <w:spacing w:after="0" w:line="182"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Proposal 1 — Election of Directors</w:t>
              </w:r>
            </w:hyperlink>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Audit Committee Report</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44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Principal Accounting Firm Fees</w:t>
              </w:r>
            </w:hyperlink>
          </w:p>
        </w:tc>
        <w:tc>
          <w:tcPr>
            <w:tcW w:w="7400" w:type="dxa"/>
            <w:vAlign w:val="bottom"/>
            <w:gridSpan w:val="21"/>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Beneficial Ownership of Common Stock by Management and Others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4540" w:type="dxa"/>
            <w:vAlign w:val="bottom"/>
            <w:tcBorders>
              <w:top w:val="single" w:sz="8" w:color="0000EE"/>
              <w:bottom w:val="single" w:sz="8" w:color="0000EE"/>
            </w:tcBorders>
            <w:gridSpan w:val="38"/>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Section 16(a) Beneficial Ownership Reporting Compliance</w:t>
              </w:r>
            </w:hyperlink>
          </w:p>
        </w:tc>
        <w:tc>
          <w:tcPr>
            <w:tcW w:w="780" w:type="dxa"/>
            <w:vAlign w:val="bottom"/>
            <w:tcBorders>
              <w:top w:val="single" w:sz="8" w:color="0000EE"/>
            </w:tcBorders>
          </w:tcPr>
          <w:p>
            <w:pPr>
              <w:spacing w:after="0"/>
              <w:rPr>
                <w:sz w:val="15"/>
                <w:szCs w:val="15"/>
                <w:color w:val="auto"/>
              </w:rPr>
            </w:pPr>
          </w:p>
        </w:tc>
        <w:tc>
          <w:tcPr>
            <w:tcW w:w="4520" w:type="dxa"/>
            <w:vAlign w:val="bottom"/>
            <w:gridSpan w:val="3"/>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Officers of the Company</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26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Compensation Committee Report</w:t>
              </w:r>
            </w:hyperlink>
          </w:p>
        </w:tc>
        <w:tc>
          <w:tcPr>
            <w:tcW w:w="80" w:type="dxa"/>
            <w:vAlign w:val="bottom"/>
            <w:tcBorders>
              <w:top w:val="single" w:sz="8" w:color="0000EE"/>
            </w:tcBorders>
            <w:gridSpan w:val="2"/>
          </w:tcPr>
          <w:p>
            <w:pPr>
              <w:spacing w:after="0"/>
              <w:rPr>
                <w:sz w:val="15"/>
                <w:szCs w:val="15"/>
                <w:color w:val="auto"/>
              </w:rPr>
            </w:pPr>
          </w:p>
        </w:tc>
        <w:tc>
          <w:tcPr>
            <w:tcW w:w="7140" w:type="dxa"/>
            <w:vAlign w:val="bottom"/>
            <w:gridSpan w:val="16"/>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Discussion and Analysis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Introduction</w:t>
              </w:r>
            </w:hyperlink>
          </w:p>
        </w:tc>
        <w:tc>
          <w:tcPr>
            <w:tcW w:w="6760" w:type="dxa"/>
            <w:vAlign w:val="bottom"/>
            <w:gridSpan w:val="11"/>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Executive Summary</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Governance and Process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2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Overview of Pay Programs</w:t>
              </w:r>
            </w:hyperlink>
          </w:p>
        </w:tc>
        <w:tc>
          <w:tcPr>
            <w:tcW w:w="1060" w:type="dxa"/>
            <w:vAlign w:val="bottom"/>
            <w:tcBorders>
              <w:top w:val="single" w:sz="8" w:color="0000EE"/>
            </w:tcBorders>
            <w:gridSpan w:val="17"/>
          </w:tcPr>
          <w:p>
            <w:pPr>
              <w:spacing w:after="0"/>
              <w:rPr>
                <w:sz w:val="15"/>
                <w:szCs w:val="15"/>
                <w:color w:val="auto"/>
              </w:rPr>
            </w:pPr>
          </w:p>
        </w:tc>
        <w:tc>
          <w:tcPr>
            <w:tcW w:w="6460" w:type="dxa"/>
            <w:vAlign w:val="bottom"/>
            <w:gridSpan w:val="7"/>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Elements of Executive Compensation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220" w:type="dxa"/>
            <w:vAlign w:val="bottom"/>
          </w:tcPr>
          <w:p>
            <w:pPr>
              <w:spacing w:after="0"/>
              <w:rPr>
                <w:sz w:val="15"/>
                <w:szCs w:val="15"/>
                <w:color w:val="auto"/>
              </w:rPr>
            </w:pPr>
          </w:p>
        </w:tc>
        <w:tc>
          <w:tcPr>
            <w:tcW w:w="29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Additional Information</w:t>
              </w:r>
            </w:hyperlink>
          </w:p>
        </w:tc>
        <w:tc>
          <w:tcPr>
            <w:tcW w:w="6700" w:type="dxa"/>
            <w:vAlign w:val="bottom"/>
            <w:gridSpan w:val="10"/>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330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Compensation of Avnet Executive Officers</w:t>
              </w:r>
            </w:hyperlink>
          </w:p>
        </w:tc>
        <w:tc>
          <w:tcPr>
            <w:tcW w:w="6540" w:type="dxa"/>
            <w:vAlign w:val="bottom"/>
            <w:gridSpan w:val="9"/>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Director Compensation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20" w:type="dxa"/>
            <w:vAlign w:val="bottom"/>
            <w:gridSpan w:val="41"/>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Deferred Compensation Plan</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220" w:type="dxa"/>
            <w:vAlign w:val="bottom"/>
          </w:tcPr>
          <w:p>
            <w:pPr>
              <w:spacing w:after="0"/>
              <w:rPr>
                <w:sz w:val="15"/>
                <w:szCs w:val="15"/>
                <w:color w:val="auto"/>
              </w:rPr>
            </w:pPr>
          </w:p>
        </w:tc>
        <w:tc>
          <w:tcPr>
            <w:tcW w:w="2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D&amp;O Insurance</w:t>
              </w:r>
            </w:hyperlink>
          </w:p>
        </w:tc>
        <w:tc>
          <w:tcPr>
            <w:tcW w:w="7360" w:type="dxa"/>
            <w:vAlign w:val="bottom"/>
            <w:gridSpan w:val="20"/>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gridSpan w:val="2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6000" w:type="dxa"/>
            <w:vAlign w:val="bottom"/>
            <w:tcBorders>
              <w:bottom w:val="single" w:sz="8" w:color="0000EE"/>
            </w:tcBorders>
            <w:gridSpan w:val="40"/>
          </w:tcPr>
          <w:p>
            <w:pPr>
              <w:spacing w:after="0" w:line="182" w:lineRule="exact"/>
              <w:rPr>
                <w:rFonts w:ascii="Arial" w:cs="Arial" w:eastAsia="Arial" w:hAnsi="Arial"/>
                <w:sz w:val="18"/>
                <w:szCs w:val="18"/>
                <w:b w:val="1"/>
                <w:bCs w:val="1"/>
                <w:color w:val="0000EE"/>
                <w:w w:val="97"/>
              </w:rPr>
            </w:pPr>
            <w:hyperlink w:anchor="page51">
              <w:r>
                <w:rPr>
                  <w:rFonts w:ascii="Arial" w:cs="Arial" w:eastAsia="Arial" w:hAnsi="Arial"/>
                  <w:sz w:val="18"/>
                  <w:szCs w:val="18"/>
                  <w:b w:val="1"/>
                  <w:bCs w:val="1"/>
                  <w:color w:val="0000EE"/>
                  <w:w w:val="97"/>
                </w:rPr>
                <w:t>Proposal 2 — Advisory Vote on Named Executive Officer Compensation</w:t>
              </w:r>
            </w:hyperlink>
          </w:p>
        </w:tc>
        <w:tc>
          <w:tcPr>
            <w:tcW w:w="3840" w:type="dxa"/>
            <w:vAlign w:val="bottom"/>
            <w:gridSpan w:val="2"/>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9840" w:type="dxa"/>
            <w:vAlign w:val="bottom"/>
            <w:gridSpan w:val="42"/>
          </w:tcPr>
          <w:p>
            <w:pPr>
              <w:spacing w:after="0" w:line="18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Proposal 3 — Ratification of Appointment of KPMG as Independent Registered Public Accounting Firm</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General</w:t>
              </w:r>
            </w:hyperlink>
          </w:p>
        </w:tc>
        <w:tc>
          <w:tcPr>
            <w:tcW w:w="7940" w:type="dxa"/>
            <w:vAlign w:val="bottom"/>
            <w:tcBorders>
              <w:top w:val="single" w:sz="8" w:color="0000EE"/>
            </w:tcBorders>
            <w:gridSpan w:val="39"/>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2016 Annual Meeting</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660" w:type="dxa"/>
            <w:vAlign w:val="bottom"/>
            <w:gridSpan w:val="8"/>
            <w:shd w:val="clear" w:color="auto" w:fill="0000EE"/>
          </w:tcPr>
          <w:p>
            <w:pPr>
              <w:spacing w:after="0" w:line="20" w:lineRule="exact"/>
              <w:rPr>
                <w:sz w:val="1"/>
                <w:szCs w:val="1"/>
                <w:color w:val="auto"/>
              </w:rPr>
            </w:pPr>
          </w:p>
        </w:tc>
        <w:tc>
          <w:tcPr>
            <w:tcW w:w="1640" w:type="dxa"/>
            <w:vAlign w:val="bottom"/>
            <w:gridSpan w:val="2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Delivery of Documents to Security Holders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3300" w:type="dxa"/>
            <w:vAlign w:val="bottom"/>
            <w:gridSpan w:val="3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9840" w:type="dxa"/>
            <w:vAlign w:val="bottom"/>
            <w:gridSpan w:val="42"/>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Appendix A — Reconciliation of Non-GAAP Measures</w:t>
              </w:r>
            </w:hyperlink>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A-</w:t>
            </w:r>
          </w:p>
        </w:tc>
      </w:tr>
      <w:tr>
        <w:trPr>
          <w:trHeight w:val="221"/>
        </w:trPr>
        <w:tc>
          <w:tcPr>
            <w:tcW w:w="2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AVNET,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12,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w:t>
      </w:r>
    </w:p>
    <w:p>
      <w:pPr>
        <w:spacing w:after="0" w:line="192" w:lineRule="auto"/>
        <w:rPr>
          <w:sz w:val="20"/>
          <w:szCs w:val="20"/>
          <w:color w:val="auto"/>
        </w:rPr>
      </w:pPr>
      <w:r>
        <w:rPr>
          <w:rFonts w:ascii="Arial" w:cs="Arial" w:eastAsia="Arial" w:hAnsi="Arial"/>
          <w:sz w:val="18"/>
          <w:szCs w:val="18"/>
          <w:color w:val="auto"/>
        </w:rPr>
        <w:t>“Company”) to be voted at the annual meeting of shareholders to be held at Avnet’s Corporate Headquarters,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w:t>
      </w:r>
    </w:p>
    <w:p>
      <w:pPr>
        <w:spacing w:after="0" w:line="235" w:lineRule="auto"/>
        <w:rPr>
          <w:sz w:val="20"/>
          <w:szCs w:val="20"/>
          <w:color w:val="auto"/>
        </w:rPr>
      </w:pPr>
      <w:r>
        <w:rPr>
          <w:rFonts w:ascii="Arial" w:cs="Arial" w:eastAsia="Arial" w:hAnsi="Arial"/>
          <w:sz w:val="18"/>
          <w:szCs w:val="18"/>
          <w:color w:val="auto"/>
        </w:rPr>
        <w:t>Arizona 85034, on November 12, 2015, and at any and all postponements or adjournments thereof (the “Annual Meeting”), with respect to the</w:t>
      </w:r>
    </w:p>
    <w:p>
      <w:pPr>
        <w:spacing w:after="0"/>
        <w:rPr>
          <w:sz w:val="20"/>
          <w:szCs w:val="20"/>
          <w:color w:val="auto"/>
        </w:rPr>
      </w:pPr>
      <w:r>
        <w:rPr>
          <w:rFonts w:ascii="Arial" w:cs="Arial" w:eastAsia="Arial" w:hAnsi="Arial"/>
          <w:sz w:val="16"/>
          <w:szCs w:val="16"/>
          <w:color w:val="auto"/>
        </w:rPr>
        <w:t>matters referred to in the accompanying notice. The approximate date on which this Proxy Statement and the enclosed form of proxy are first being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sent or given to shareholders is September 30, 2015. Only holders of record of outstanding shares of the Company’s common stock, par value</w:t>
      </w:r>
    </w:p>
    <w:p>
      <w:pPr>
        <w:spacing w:after="0"/>
        <w:rPr>
          <w:sz w:val="20"/>
          <w:szCs w:val="20"/>
          <w:color w:val="auto"/>
        </w:rPr>
      </w:pPr>
      <w:r>
        <w:rPr>
          <w:rFonts w:ascii="Arial" w:cs="Arial" w:eastAsia="Arial" w:hAnsi="Arial"/>
          <w:sz w:val="16"/>
          <w:szCs w:val="16"/>
          <w:color w:val="auto"/>
        </w:rPr>
        <w:t>$1.00 per share (the “Common Stock”), at the close of business on September 15, 2015, the record date, are entitled to notice of and to vote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Each shareholder is entitled to one vote per share held on the record date. The aggregate number of shares of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outstanding (net of treasury shares) at September 15, 2015, was 132,837,691, comprising all of Avnet’s capital stock outstanding as of that date.</w:t>
      </w:r>
    </w:p>
    <w:p>
      <w:pPr>
        <w:spacing w:after="0" w:line="100"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At the meeting you will be asked to elect the ten director nominees named in the Proxy Statement, conduct an advisory vote on executive compensation and ratify the appointment of KPMG LLP as the independent registered public accounting firm to audit the consolidated financial statements of Avnet for the fiscal year ending July 2, 2016.</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Michael McCoy, Secretary, Avnet, Inc., 2211 South 47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 Abstentions and broker non-votes, which are more fully discussed below, will not be counted as a “vote cast” and therefore will have no effect on the outcome of any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Brokers holding shares of record for a customer have the discretionary authority to vote on certain limited matters if they do not receive timely instructions from the customer regarding how the customer wants the shares voted. There are also some matters (“non-routine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7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The election of directors (Proposal 1) and the advisory vote on executive compensation (Proposal 2) are classified as non-routine matters. Accordingly, brokers, banks and other nominees will not be permitted to vote on any proposal other than the ratification of the appointment of the independent registered public accounting firm (Proposal 3) without instructions from the beneficial owners. </w:t>
      </w:r>
      <w:r>
        <w:rPr>
          <w:rFonts w:ascii="Arial" w:cs="Arial" w:eastAsia="Arial" w:hAnsi="Arial"/>
          <w:sz w:val="18"/>
          <w:szCs w:val="18"/>
          <w:b w:val="1"/>
          <w:bCs w:val="1"/>
          <w:color w:val="auto"/>
        </w:rPr>
        <w:t>As a result, the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encourages all beneficial owners to provide voting instructions to your nominees to ensure that your shares are voted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Avnet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4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6"/>
                <w:szCs w:val="16"/>
                <w:color w:val="auto"/>
              </w:rPr>
            </w:pPr>
          </w:p>
        </w:tc>
        <w:tc>
          <w:tcPr>
            <w:tcW w:w="5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Item</w:t>
            </w:r>
          </w:p>
        </w:tc>
        <w:tc>
          <w:tcPr>
            <w:tcW w:w="2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Voting Standard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Board Recommendation</w:t>
            </w:r>
          </w:p>
        </w:tc>
      </w:tr>
      <w:tr>
        <w:trPr>
          <w:trHeight w:val="190"/>
        </w:trPr>
        <w:tc>
          <w:tcPr>
            <w:tcW w:w="620" w:type="dxa"/>
            <w:vAlign w:val="bottom"/>
            <w:tcBorders>
              <w:top w:val="single" w:sz="8" w:color="CCEEFF"/>
            </w:tcBorders>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w:t>
            </w:r>
          </w:p>
        </w:tc>
        <w:tc>
          <w:tcPr>
            <w:tcW w:w="420" w:type="dxa"/>
            <w:vAlign w:val="bottom"/>
            <w:tcBorders>
              <w:top w:val="single" w:sz="8" w:color="CCEEFF"/>
            </w:tcBorders>
            <w:shd w:val="clear" w:color="auto" w:fill="CCEEFF"/>
          </w:tcPr>
          <w:p>
            <w:pPr>
              <w:spacing w:after="0"/>
              <w:rPr>
                <w:sz w:val="16"/>
                <w:szCs w:val="16"/>
                <w:color w:val="auto"/>
              </w:rPr>
            </w:pPr>
          </w:p>
        </w:tc>
        <w:tc>
          <w:tcPr>
            <w:tcW w:w="51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Election of directors</w:t>
            </w:r>
          </w:p>
        </w:tc>
        <w:tc>
          <w:tcPr>
            <w:tcW w:w="22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Majority of votes cast</w:t>
            </w:r>
          </w:p>
        </w:tc>
        <w:tc>
          <w:tcPr>
            <w:tcW w:w="2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For</w:t>
            </w:r>
          </w:p>
        </w:tc>
      </w:tr>
      <w:tr>
        <w:trPr>
          <w:trHeight w:val="203"/>
        </w:trPr>
        <w:tc>
          <w:tcPr>
            <w:tcW w:w="620" w:type="dxa"/>
            <w:vAlign w:val="bottom"/>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420" w:type="dxa"/>
            <w:vAlign w:val="bottom"/>
          </w:tcPr>
          <w:p>
            <w:pPr>
              <w:spacing w:after="0"/>
              <w:rPr>
                <w:sz w:val="17"/>
                <w:szCs w:val="17"/>
                <w:color w:val="auto"/>
              </w:rPr>
            </w:pPr>
          </w:p>
        </w:tc>
        <w:tc>
          <w:tcPr>
            <w:tcW w:w="53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7"/>
              </w:rPr>
              <w:t>Advisory vote on executive compensation</w:t>
            </w:r>
          </w:p>
        </w:tc>
        <w:tc>
          <w:tcPr>
            <w:tcW w:w="27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8"/>
              </w:rPr>
              <w:t>Majority of votes cast</w:t>
            </w:r>
          </w:p>
        </w:tc>
        <w:tc>
          <w:tcPr>
            <w:tcW w:w="2280" w:type="dxa"/>
            <w:vAlign w:val="bottom"/>
          </w:tcPr>
          <w:p>
            <w:pPr>
              <w:jc w:val="center"/>
              <w:spacing w:after="0" w:line="202" w:lineRule="exact"/>
              <w:rPr>
                <w:sz w:val="20"/>
                <w:szCs w:val="20"/>
                <w:color w:val="auto"/>
              </w:rPr>
            </w:pPr>
            <w:r>
              <w:rPr>
                <w:rFonts w:ascii="Arial" w:cs="Arial" w:eastAsia="Arial" w:hAnsi="Arial"/>
                <w:sz w:val="18"/>
                <w:szCs w:val="18"/>
                <w:color w:val="auto"/>
              </w:rPr>
              <w:t>For</w:t>
            </w:r>
          </w:p>
        </w:tc>
      </w:tr>
      <w:tr>
        <w:trPr>
          <w:trHeight w:val="203"/>
        </w:trPr>
        <w:tc>
          <w:tcPr>
            <w:tcW w:w="620" w:type="dxa"/>
            <w:vAlign w:val="bottom"/>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7"/>
                <w:szCs w:val="17"/>
                <w:color w:val="auto"/>
              </w:rPr>
            </w:pPr>
          </w:p>
        </w:tc>
        <w:tc>
          <w:tcPr>
            <w:tcW w:w="53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7"/>
              </w:rPr>
              <w:t>Ratification of independent registered public accounting firm</w:t>
            </w:r>
          </w:p>
        </w:tc>
        <w:tc>
          <w:tcPr>
            <w:tcW w:w="272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8"/>
              </w:rPr>
              <w:t>Majority of votes cast</w:t>
            </w:r>
          </w:p>
        </w:tc>
        <w:tc>
          <w:tcPr>
            <w:tcW w:w="2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For</w:t>
            </w:r>
          </w:p>
        </w:tc>
      </w:tr>
      <w:tr>
        <w:trPr>
          <w:trHeight w:val="363"/>
        </w:trPr>
        <w:tc>
          <w:tcPr>
            <w:tcW w:w="620" w:type="dxa"/>
            <w:vAlign w:val="bottom"/>
          </w:tcPr>
          <w:p>
            <w:pPr>
              <w:spacing w:after="0"/>
              <w:rPr>
                <w:sz w:val="24"/>
                <w:szCs w:val="24"/>
                <w:color w:val="auto"/>
              </w:rPr>
            </w:pPr>
          </w:p>
        </w:tc>
        <w:tc>
          <w:tcPr>
            <w:tcW w:w="5580" w:type="dxa"/>
            <w:vAlign w:val="bottom"/>
            <w:gridSpan w:val="2"/>
          </w:tcPr>
          <w:p>
            <w:pPr>
              <w:jc w:val="right"/>
              <w:ind w:right="357"/>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With respect to the election of directors, a majority of the votes cast means that the number of shares voted “for” a director must exceed the number of shares voted “against” that director. 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 The Company’s governance highlights include: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ü   9 of 10 Independent Directors</w:t>
            </w:r>
          </w:p>
        </w:tc>
        <w:tc>
          <w:tcPr>
            <w:tcW w:w="380" w:type="dxa"/>
            <w:vAlign w:val="bottom"/>
          </w:tcPr>
          <w:p>
            <w:pPr>
              <w:ind w:left="240"/>
              <w:spacing w:after="0"/>
              <w:rPr>
                <w:sz w:val="20"/>
                <w:szCs w:val="20"/>
                <w:color w:val="auto"/>
              </w:rPr>
            </w:pPr>
            <w:r>
              <w:rPr>
                <w:rFonts w:ascii="Arial" w:cs="Arial" w:eastAsia="Arial" w:hAnsi="Arial"/>
                <w:sz w:val="18"/>
                <w:szCs w:val="18"/>
                <w:color w:val="auto"/>
              </w:rPr>
              <w:t>ü</w:t>
            </w:r>
          </w:p>
        </w:tc>
        <w:tc>
          <w:tcPr>
            <w:tcW w:w="2660" w:type="dxa"/>
            <w:vAlign w:val="bottom"/>
          </w:tcPr>
          <w:p>
            <w:pPr>
              <w:ind w:left="60"/>
              <w:spacing w:after="0"/>
              <w:rPr>
                <w:sz w:val="20"/>
                <w:szCs w:val="20"/>
                <w:color w:val="auto"/>
              </w:rPr>
            </w:pPr>
            <w:r>
              <w:rPr>
                <w:rFonts w:ascii="Arial" w:cs="Arial" w:eastAsia="Arial" w:hAnsi="Arial"/>
                <w:sz w:val="18"/>
                <w:szCs w:val="18"/>
                <w:color w:val="auto"/>
              </w:rPr>
              <w:t>Independent Chairman</w:t>
            </w:r>
          </w:p>
        </w:tc>
        <w:tc>
          <w:tcPr>
            <w:tcW w:w="4260" w:type="dxa"/>
            <w:vAlign w:val="bottom"/>
          </w:tcPr>
          <w:p>
            <w:pPr>
              <w:ind w:left="340"/>
              <w:spacing w:after="0"/>
              <w:rPr>
                <w:sz w:val="20"/>
                <w:szCs w:val="20"/>
                <w:color w:val="auto"/>
              </w:rPr>
            </w:pPr>
            <w:r>
              <w:rPr>
                <w:rFonts w:ascii="Arial" w:cs="Arial" w:eastAsia="Arial" w:hAnsi="Arial"/>
                <w:sz w:val="18"/>
                <w:szCs w:val="18"/>
                <w:color w:val="auto"/>
              </w:rPr>
              <w:t>ü  Majority Voting for Directors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ü   Annual Election of Directors</w:t>
            </w:r>
          </w:p>
        </w:tc>
        <w:tc>
          <w:tcPr>
            <w:tcW w:w="380" w:type="dxa"/>
            <w:vAlign w:val="bottom"/>
          </w:tcPr>
          <w:p>
            <w:pPr>
              <w:ind w:left="240"/>
              <w:spacing w:after="0"/>
              <w:rPr>
                <w:sz w:val="20"/>
                <w:szCs w:val="20"/>
                <w:color w:val="auto"/>
              </w:rPr>
            </w:pPr>
            <w:r>
              <w:rPr>
                <w:rFonts w:ascii="Arial" w:cs="Arial" w:eastAsia="Arial" w:hAnsi="Arial"/>
                <w:sz w:val="18"/>
                <w:szCs w:val="18"/>
                <w:color w:val="auto"/>
              </w:rPr>
              <w:t>ü</w:t>
            </w:r>
          </w:p>
        </w:tc>
        <w:tc>
          <w:tcPr>
            <w:tcW w:w="2660" w:type="dxa"/>
            <w:vAlign w:val="bottom"/>
          </w:tcPr>
          <w:p>
            <w:pPr>
              <w:ind w:left="60"/>
              <w:spacing w:after="0"/>
              <w:rPr>
                <w:sz w:val="20"/>
                <w:szCs w:val="20"/>
                <w:color w:val="auto"/>
              </w:rPr>
            </w:pPr>
            <w:r>
              <w:rPr>
                <w:rFonts w:ascii="Arial" w:cs="Arial" w:eastAsia="Arial" w:hAnsi="Arial"/>
                <w:sz w:val="18"/>
                <w:szCs w:val="18"/>
                <w:color w:val="auto"/>
              </w:rPr>
              <w:t>No Poison Pill</w:t>
            </w:r>
          </w:p>
        </w:tc>
        <w:tc>
          <w:tcPr>
            <w:tcW w:w="4260" w:type="dxa"/>
            <w:vAlign w:val="bottom"/>
          </w:tcPr>
          <w:p>
            <w:pPr>
              <w:ind w:left="340"/>
              <w:spacing w:after="0"/>
              <w:rPr>
                <w:sz w:val="20"/>
                <w:szCs w:val="20"/>
                <w:color w:val="auto"/>
              </w:rPr>
            </w:pPr>
            <w:r>
              <w:rPr>
                <w:rFonts w:ascii="Arial" w:cs="Arial" w:eastAsia="Arial" w:hAnsi="Arial"/>
                <w:sz w:val="18"/>
                <w:szCs w:val="18"/>
                <w:color w:val="auto"/>
              </w:rPr>
              <w:t>ü  No Supermajority Voting Provisions</w:t>
            </w:r>
          </w:p>
        </w:tc>
      </w:tr>
      <w:tr>
        <w:trPr>
          <w:trHeight w:val="214"/>
        </w:trPr>
        <w:tc>
          <w:tcPr>
            <w:tcW w:w="3480" w:type="dxa"/>
            <w:vAlign w:val="bottom"/>
          </w:tcPr>
          <w:p>
            <w:pPr>
              <w:spacing w:after="0"/>
              <w:rPr>
                <w:sz w:val="20"/>
                <w:szCs w:val="20"/>
                <w:color w:val="auto"/>
              </w:rPr>
            </w:pPr>
            <w:r>
              <w:rPr>
                <w:rFonts w:ascii="Arial" w:cs="Arial" w:eastAsia="Arial" w:hAnsi="Arial"/>
                <w:sz w:val="18"/>
                <w:szCs w:val="18"/>
                <w:color w:val="auto"/>
              </w:rPr>
              <w:t>ü   Regular Executive Sessions of</w:t>
            </w:r>
          </w:p>
        </w:tc>
        <w:tc>
          <w:tcPr>
            <w:tcW w:w="380" w:type="dxa"/>
            <w:vAlign w:val="bottom"/>
          </w:tcPr>
          <w:p>
            <w:pPr>
              <w:ind w:left="240"/>
              <w:spacing w:after="0"/>
              <w:rPr>
                <w:sz w:val="20"/>
                <w:szCs w:val="20"/>
                <w:color w:val="auto"/>
              </w:rPr>
            </w:pPr>
            <w:r>
              <w:rPr>
                <w:rFonts w:ascii="Arial" w:cs="Arial" w:eastAsia="Arial" w:hAnsi="Arial"/>
                <w:sz w:val="18"/>
                <w:szCs w:val="18"/>
                <w:color w:val="auto"/>
              </w:rPr>
              <w:t>ü</w:t>
            </w:r>
          </w:p>
        </w:tc>
        <w:tc>
          <w:tcPr>
            <w:tcW w:w="2660" w:type="dxa"/>
            <w:vAlign w:val="bottom"/>
          </w:tcPr>
          <w:p>
            <w:pPr>
              <w:ind w:left="60"/>
              <w:spacing w:after="0"/>
              <w:rPr>
                <w:sz w:val="20"/>
                <w:szCs w:val="20"/>
                <w:color w:val="auto"/>
              </w:rPr>
            </w:pPr>
            <w:r>
              <w:rPr>
                <w:rFonts w:ascii="Arial" w:cs="Arial" w:eastAsia="Arial" w:hAnsi="Arial"/>
                <w:sz w:val="18"/>
                <w:szCs w:val="18"/>
                <w:color w:val="auto"/>
              </w:rPr>
              <w:t>Incentive Compensation</w:t>
            </w:r>
          </w:p>
        </w:tc>
        <w:tc>
          <w:tcPr>
            <w:tcW w:w="4260" w:type="dxa"/>
            <w:vAlign w:val="bottom"/>
          </w:tcPr>
          <w:p>
            <w:pPr>
              <w:ind w:left="340"/>
              <w:spacing w:after="0"/>
              <w:rPr>
                <w:sz w:val="20"/>
                <w:szCs w:val="20"/>
                <w:color w:val="auto"/>
              </w:rPr>
            </w:pPr>
            <w:r>
              <w:rPr>
                <w:rFonts w:ascii="Arial" w:cs="Arial" w:eastAsia="Arial" w:hAnsi="Arial"/>
                <w:sz w:val="18"/>
                <w:szCs w:val="18"/>
                <w:color w:val="auto"/>
                <w:w w:val="97"/>
              </w:rPr>
              <w:t>ü  Stock Ownership Guidelines for Executives and</w:t>
            </w:r>
          </w:p>
        </w:tc>
      </w:tr>
      <w:tr>
        <w:trPr>
          <w:trHeight w:val="191"/>
        </w:trPr>
        <w:tc>
          <w:tcPr>
            <w:tcW w:w="3480" w:type="dxa"/>
            <w:vAlign w:val="bottom"/>
          </w:tcPr>
          <w:p>
            <w:pPr>
              <w:ind w:left="320"/>
              <w:spacing w:after="0" w:line="191" w:lineRule="exact"/>
              <w:rPr>
                <w:sz w:val="20"/>
                <w:szCs w:val="20"/>
                <w:color w:val="auto"/>
              </w:rPr>
            </w:pPr>
            <w:r>
              <w:rPr>
                <w:rFonts w:ascii="Arial" w:cs="Arial" w:eastAsia="Arial" w:hAnsi="Arial"/>
                <w:sz w:val="18"/>
                <w:szCs w:val="18"/>
                <w:color w:val="auto"/>
              </w:rPr>
              <w:t>Independent Directors</w:t>
            </w:r>
          </w:p>
        </w:tc>
        <w:tc>
          <w:tcPr>
            <w:tcW w:w="380" w:type="dxa"/>
            <w:vAlign w:val="bottom"/>
          </w:tcPr>
          <w:p>
            <w:pPr>
              <w:spacing w:after="0"/>
              <w:rPr>
                <w:sz w:val="16"/>
                <w:szCs w:val="16"/>
                <w:color w:val="auto"/>
              </w:rPr>
            </w:pPr>
          </w:p>
        </w:tc>
        <w:tc>
          <w:tcPr>
            <w:tcW w:w="2660" w:type="dxa"/>
            <w:vAlign w:val="bottom"/>
          </w:tcPr>
          <w:p>
            <w:pPr>
              <w:ind w:left="60"/>
              <w:spacing w:after="0" w:line="191" w:lineRule="exact"/>
              <w:rPr>
                <w:sz w:val="20"/>
                <w:szCs w:val="20"/>
                <w:color w:val="auto"/>
              </w:rPr>
            </w:pPr>
            <w:r>
              <w:rPr>
                <w:rFonts w:ascii="Arial" w:cs="Arial" w:eastAsia="Arial" w:hAnsi="Arial"/>
                <w:sz w:val="18"/>
                <w:szCs w:val="18"/>
                <w:color w:val="auto"/>
              </w:rPr>
              <w:t>Recoupment Policy</w:t>
            </w:r>
          </w:p>
        </w:tc>
        <w:tc>
          <w:tcPr>
            <w:tcW w:w="4260" w:type="dxa"/>
            <w:vAlign w:val="bottom"/>
          </w:tcPr>
          <w:p>
            <w:pPr>
              <w:ind w:left="560"/>
              <w:spacing w:after="0" w:line="191" w:lineRule="exact"/>
              <w:rPr>
                <w:sz w:val="20"/>
                <w:szCs w:val="20"/>
                <w:color w:val="auto"/>
              </w:rPr>
            </w:pPr>
            <w:r>
              <w:rPr>
                <w:rFonts w:ascii="Arial" w:cs="Arial" w:eastAsia="Arial" w:hAnsi="Arial"/>
                <w:sz w:val="18"/>
                <w:szCs w:val="18"/>
                <w:color w:val="auto"/>
              </w:rPr>
              <w:t>Directors</w:t>
            </w:r>
          </w:p>
        </w:tc>
      </w:tr>
      <w:tr>
        <w:trPr>
          <w:trHeight w:val="214"/>
        </w:trPr>
        <w:tc>
          <w:tcPr>
            <w:tcW w:w="3480" w:type="dxa"/>
            <w:vAlign w:val="bottom"/>
          </w:tcPr>
          <w:p>
            <w:pPr>
              <w:spacing w:after="0"/>
              <w:rPr>
                <w:sz w:val="20"/>
                <w:szCs w:val="20"/>
                <w:color w:val="auto"/>
              </w:rPr>
            </w:pPr>
            <w:r>
              <w:rPr>
                <w:rFonts w:ascii="Arial" w:cs="Arial" w:eastAsia="Arial" w:hAnsi="Arial"/>
                <w:sz w:val="18"/>
                <w:szCs w:val="18"/>
                <w:color w:val="auto"/>
              </w:rPr>
              <w:t>ü   Prohibitions on Hedging and Pledging</w:t>
            </w:r>
          </w:p>
        </w:tc>
        <w:tc>
          <w:tcPr>
            <w:tcW w:w="3040" w:type="dxa"/>
            <w:vAlign w:val="bottom"/>
            <w:gridSpan w:val="2"/>
          </w:tcPr>
          <w:p>
            <w:pPr>
              <w:ind w:left="240"/>
              <w:spacing w:after="0"/>
              <w:rPr>
                <w:sz w:val="20"/>
                <w:szCs w:val="20"/>
                <w:color w:val="auto"/>
              </w:rPr>
            </w:pPr>
            <w:r>
              <w:rPr>
                <w:rFonts w:ascii="Arial" w:cs="Arial" w:eastAsia="Arial" w:hAnsi="Arial"/>
                <w:sz w:val="18"/>
                <w:szCs w:val="18"/>
                <w:color w:val="auto"/>
              </w:rPr>
              <w:t>ü  Risk Oversight by Board and</w:t>
            </w:r>
          </w:p>
        </w:tc>
        <w:tc>
          <w:tcPr>
            <w:tcW w:w="4260" w:type="dxa"/>
            <w:vAlign w:val="bottom"/>
          </w:tcPr>
          <w:p>
            <w:pPr>
              <w:ind w:left="340"/>
              <w:spacing w:after="0"/>
              <w:rPr>
                <w:sz w:val="20"/>
                <w:szCs w:val="20"/>
                <w:color w:val="auto"/>
              </w:rPr>
            </w:pPr>
            <w:r>
              <w:rPr>
                <w:rFonts w:ascii="Arial" w:cs="Arial" w:eastAsia="Arial" w:hAnsi="Arial"/>
                <w:sz w:val="18"/>
                <w:szCs w:val="18"/>
                <w:color w:val="auto"/>
              </w:rPr>
              <w:t>ü  Board Involvement in Talent Management</w:t>
            </w:r>
          </w:p>
        </w:tc>
      </w:tr>
      <w:tr>
        <w:trPr>
          <w:trHeight w:val="211"/>
        </w:trPr>
        <w:tc>
          <w:tcPr>
            <w:tcW w:w="3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4260" w:type="dxa"/>
            <w:vAlign w:val="bottom"/>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The Corporate Governance Guidelines (the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w:t>
      </w:r>
    </w:p>
    <w:p>
      <w:pPr>
        <w:spacing w:after="0" w:line="48" w:lineRule="exact"/>
        <w:rPr>
          <w:sz w:val="20"/>
          <w:szCs w:val="20"/>
          <w:color w:val="auto"/>
        </w:rPr>
      </w:pPr>
    </w:p>
    <w:p>
      <w:pPr>
        <w:jc w:val="both"/>
        <w:ind w:right="420"/>
        <w:spacing w:after="0" w:line="264" w:lineRule="auto"/>
        <w:rPr>
          <w:sz w:val="20"/>
          <w:szCs w:val="20"/>
          <w:color w:val="auto"/>
        </w:rPr>
      </w:pPr>
      <w:r>
        <w:rPr>
          <w:rFonts w:ascii="Arial" w:cs="Arial" w:eastAsia="Arial" w:hAnsi="Arial"/>
          <w:sz w:val="16"/>
          <w:szCs w:val="16"/>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boards;</w:t>
      </w:r>
    </w:p>
    <w:p>
      <w:pPr>
        <w:ind w:left="280" w:hanging="272"/>
        <w:spacing w:after="0" w:line="235"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independent Chairman of the Board, if not actively employed on a full-time basis, may serve on up to four additional boards; and</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who are retired from active full-time employment may serve on up to five additional boards.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the following Directors are independent under the Guidelines: Rodney C. Adkins, William J. Amelio, J. Veronica Biggins, Michael A. Bradley, R. Kerry Clark, James A. Lawrence, Avid Modjtabai, Ray M. Robinson and William H. Schumann, III (the “Independent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Pursuant to the Guidelines, the Board of Directors has the flexibility to decide whether it is best for the Company at a given point in time for the roles of the Chief Executive Officer (“CEO”) and Chairman of the Board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a variety of leadership frameworks and therefore do not materially affect how it structures its leadership. In the event that the Chairman is an employee of the Company, the Guidelines provide for an active lead independent director.</w:t>
      </w:r>
    </w:p>
    <w:p>
      <w:pPr>
        <w:spacing w:after="0" w:line="74"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Independent Directors may meet at other times at the discretion of an independent Chairman, the lead independent director or upon the request of any Independent Director.</w:t>
      </w:r>
    </w:p>
    <w:p>
      <w:pPr>
        <w:spacing w:after="0" w:line="73"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Mr. Schumann, an Independent Director of the Company, serves as the Chairman and Richard P. Hamada is the CEO. The Board of Directors has concluded that the current leadership structure provides an appropriate framework for the Directors to provide independent, objective and effective oversight of management at this point in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Avnet believes that valuing diversity makes good business sense and the charter of the Corporate Governance Committee includes a statement that it will consider criteria including the possession of such knowledge, experience, skills, expertise and diversity so as to enhance the Board’s ability to manage and direct the affairs and business of the Company.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80"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Corporate Governance Committee reviews whether a potential candidate will meet the Board’s independence standards and any other director or committee membership requirements imposed by law, regulation or stock exchange rules.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7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Michael McCoy, Secretary, Avnet, Inc., 2211 South 47</w:t>
      </w:r>
      <w:r>
        <w:rPr>
          <w:rFonts w:ascii="Arial" w:cs="Arial" w:eastAsia="Arial" w:hAnsi="Arial"/>
          <w:sz w:val="10"/>
          <w:szCs w:val="10"/>
          <w:color w:val="auto"/>
        </w:rPr>
        <w:t>th</w:t>
      </w:r>
      <w:r>
        <w:rPr>
          <w:rFonts w:ascii="Arial" w:cs="Arial" w:eastAsia="Arial" w:hAnsi="Arial"/>
          <w:sz w:val="16"/>
          <w:szCs w:val="16"/>
          <w:color w:val="auto"/>
        </w:rPr>
        <w:t xml:space="preserve"> Street, Phoenix, Arizona 85034. Shareholder recommendations must contain the following information:</w:t>
      </w:r>
    </w:p>
    <w:p>
      <w:pPr>
        <w:spacing w:after="0" w:line="48" w:lineRule="exact"/>
        <w:rPr>
          <w:sz w:val="20"/>
          <w:szCs w:val="20"/>
          <w:color w:val="auto"/>
        </w:rPr>
      </w:pPr>
    </w:p>
    <w:p>
      <w:pPr>
        <w:ind w:left="660" w:right="260" w:hanging="206"/>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in support of the candidate’s recommendation;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right="60" w:hanging="206"/>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detailed biographical information describing experience and qualifications, including current employment and a list of any other boards of directors on which the candidate serves;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76" w:lineRule="exact"/>
        <w:rPr>
          <w:rFonts w:ascii="Arial" w:cs="Arial" w:eastAsia="Arial" w:hAnsi="Arial"/>
          <w:sz w:val="18"/>
          <w:szCs w:val="18"/>
          <w:color w:val="auto"/>
        </w:rPr>
      </w:pPr>
    </w:p>
    <w:p>
      <w:pPr>
        <w:ind w:left="660" w:right="600" w:hanging="206"/>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“2016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Shareholders and other interested parties may contact any or all of the Company’s Directors by writing to the Board of Directors or to the Secretary, Avnet, Inc.,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AZ 85034. They may also submit an email to the Chairman of the Board,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www.ir.avnet.com/corporate-governance.cfm</w:t>
      </w:r>
      <w:r>
        <w:rPr>
          <w:rFonts w:ascii="Arial" w:cs="Arial" w:eastAsia="Arial" w:hAnsi="Arial"/>
          <w:sz w:val="18"/>
          <w:szCs w:val="18"/>
          <w:color w:val="auto"/>
        </w:rPr>
        <w:t xml:space="preserve"> under the caption “Committee Composition.”</w:t>
      </w:r>
    </w:p>
    <w:p>
      <w:pPr>
        <w:spacing w:after="0" w:line="74"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of Directors is actively engaged and involved in talent management. The Board regularly reviews and discusses a management succession plan designed to provide for continuity in and development of senior management. This plan, on which Avnet’s CEO and Chief Human Resources Officer reports at least annually, addresses emergency CEO succession and CEO succession in the ordinary course of business. In addition, the Board receives updates on succession planning for other members of senior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 xml:space="preserve">The Company adopted a Code of Conduct that applies to Directors, officers and employees, including the CEO and all financial and accounting personnel. A copy of the Code of Conduct can be reviewed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Ethical Concerns</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73"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and discuss matters of concern.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persons, including employees, may contact:</w:t>
      </w:r>
    </w:p>
    <w:p>
      <w:pPr>
        <w:spacing w:after="0" w:line="77"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Arizona 85034; or</w:t>
      </w:r>
    </w:p>
    <w:p>
      <w:pPr>
        <w:spacing w:after="0" w:line="76" w:lineRule="exact"/>
        <w:rPr>
          <w:rFonts w:ascii="Arial" w:cs="Arial" w:eastAsia="Arial" w:hAnsi="Arial"/>
          <w:sz w:val="18"/>
          <w:szCs w:val="18"/>
          <w:color w:val="auto"/>
        </w:rPr>
      </w:pPr>
    </w:p>
    <w:p>
      <w:pPr>
        <w:ind w:left="660" w:right="360" w:hanging="206"/>
        <w:spacing w:after="0" w:line="23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Ethics and Risk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and Risk Alertline will be treated confidentially within the limits of the law and may be made on an anonymous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adopted stock ownership guidelines providing that Directors should own, within five years of joining the Board, shares of Avnet, Inc. common stock worth at least five times the director’s annual cash retainer. Shares that are awarded to directors as part of director compensation, as well as phantom shares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June 27, 2015, each Director was in compliance with these guidelines.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Avnet’s website includes the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Chairman of the Board,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Guidelines, the Code of Conduct and the charters for the Board committees can be obtained, free of charge, by writing to the Company at: Michael McCoy, Secretary, Avnet, Inc.,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AZ 85034.</w:t>
      </w:r>
    </w:p>
    <w:p>
      <w:pPr>
        <w:spacing w:after="0" w:line="80"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color w:val="auto"/>
        </w:rPr>
        <w:t>In addition, the Company’s Annual Report on Form 10-K, Quarterly Reports on Form 10-Q, Current Reports on Form 8-K and amendments to those Reports, if any, filed or furnished pursuant to Section 13(a) or 15(d) of the Securities Exchange Act of 1934, as amended (the “Exchange Act”), as well as Section 16 filings made by any of the Company’s executive officers and Directors with respect to Avnet Common Stock, are available on the Company’s website (</w:t>
      </w:r>
      <w:r>
        <w:rPr>
          <w:rFonts w:ascii="Arial" w:cs="Arial" w:eastAsia="Arial" w:hAnsi="Arial"/>
          <w:sz w:val="16"/>
          <w:szCs w:val="16"/>
          <w:u w:val="single" w:color="auto"/>
          <w:color w:val="auto"/>
        </w:rPr>
        <w:t>www.avnet.com</w:t>
      </w:r>
      <w:r>
        <w:rPr>
          <w:rFonts w:ascii="Arial" w:cs="Arial" w:eastAsia="Arial" w:hAnsi="Arial"/>
          <w:sz w:val="16"/>
          <w:szCs w:val="16"/>
          <w:color w:val="auto"/>
        </w:rPr>
        <w:t xml:space="preserve"> under the “Investors — SEC filings” caption) as soon as reasonably practicable after the report is electronically filed with, or furnished to, the U.S. Securities and Exchange Commission (the “SEC”).</w:t>
      </w:r>
    </w:p>
    <w:p>
      <w:pPr>
        <w:spacing w:after="0" w:line="4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Avnet’s Board of Directors held five meetings during fiscal 2015 — four regular quarterly meetings and one annual strategic planning meeting. The non-employee Directors met separately in executive session five times during fiscal 2015.</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During fiscal 2015, each Director standing for reelection attended at least 75% of the combined number of meetings of the Board held during the period for which the Director served and of the committees on which such Director served.</w:t>
      </w:r>
    </w:p>
    <w:p>
      <w:pPr>
        <w:spacing w:after="0" w:line="7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of the nominees, with the exception of Mr. Adkins who joined the Board in June 2015, were elected Directors at the Annual Meeting of Shareholders held on November 6, 2014.</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61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Corporate</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1280" w:type="dxa"/>
            <w:vAlign w:val="bottom"/>
            <w:gridSpan w:val="2"/>
          </w:tcPr>
          <w:p>
            <w:pPr>
              <w:jc w:val="center"/>
              <w:ind w:right="840"/>
              <w:spacing w:after="0" w:line="152" w:lineRule="exact"/>
              <w:rPr>
                <w:sz w:val="20"/>
                <w:szCs w:val="20"/>
                <w:color w:val="auto"/>
              </w:rPr>
            </w:pPr>
            <w:r>
              <w:rPr>
                <w:rFonts w:ascii="Arial" w:cs="Arial" w:eastAsia="Arial" w:hAnsi="Arial"/>
                <w:sz w:val="14"/>
                <w:szCs w:val="14"/>
                <w:b w:val="1"/>
                <w:bCs w:val="1"/>
                <w:color w:val="auto"/>
              </w:rPr>
              <w:t>Audit</w:t>
            </w:r>
          </w:p>
        </w:tc>
        <w:tc>
          <w:tcPr>
            <w:tcW w:w="1780" w:type="dxa"/>
            <w:vAlign w:val="bottom"/>
            <w:gridSpan w:val="2"/>
          </w:tcPr>
          <w:p>
            <w:pPr>
              <w:jc w:val="center"/>
              <w:ind w:right="840"/>
              <w:spacing w:after="0" w:line="152" w:lineRule="exact"/>
              <w:rPr>
                <w:sz w:val="20"/>
                <w:szCs w:val="20"/>
                <w:color w:val="auto"/>
              </w:rPr>
            </w:pPr>
            <w:r>
              <w:rPr>
                <w:rFonts w:ascii="Arial" w:cs="Arial" w:eastAsia="Arial" w:hAnsi="Arial"/>
                <w:sz w:val="14"/>
                <w:szCs w:val="14"/>
                <w:b w:val="1"/>
                <w:bCs w:val="1"/>
                <w:color w:val="auto"/>
                <w:w w:val="96"/>
              </w:rPr>
              <w:t>Compensation</w:t>
            </w: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Governance</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color w:val="auto"/>
              </w:rPr>
              <w:t>Rodney C. Adkins</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ü</w:t>
            </w:r>
          </w:p>
        </w:tc>
        <w:tc>
          <w:tcPr>
            <w:tcW w:w="8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William J. Amelio</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Veronica Biggins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Michael A. Bradley</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Kerry Clark</w:t>
            </w:r>
          </w:p>
        </w:tc>
        <w:tc>
          <w:tcPr>
            <w:tcW w:w="12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79"/>
              </w:rPr>
              <w:t>ü</w:t>
            </w:r>
          </w:p>
        </w:tc>
        <w:tc>
          <w:tcPr>
            <w:tcW w:w="17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7"/>
              </w:rPr>
              <w:t>Chair</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280" w:type="dxa"/>
            <w:vAlign w:val="bottom"/>
            <w:gridSpan w:val="2"/>
          </w:tcPr>
          <w:p>
            <w:pPr>
              <w:jc w:val="center"/>
              <w:ind w:right="820"/>
              <w:spacing w:after="0" w:line="202" w:lineRule="exact"/>
              <w:rPr>
                <w:sz w:val="20"/>
                <w:szCs w:val="20"/>
                <w:color w:val="auto"/>
              </w:rPr>
            </w:pPr>
            <w:r>
              <w:rPr>
                <w:rFonts w:ascii="Arial" w:cs="Arial" w:eastAsia="Arial" w:hAnsi="Arial"/>
                <w:sz w:val="18"/>
                <w:szCs w:val="18"/>
                <w:color w:val="auto"/>
                <w:w w:val="97"/>
              </w:rPr>
              <w:t>Chair</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Avid Modjtabai</w:t>
            </w:r>
          </w:p>
        </w:tc>
        <w:tc>
          <w:tcPr>
            <w:tcW w:w="12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79"/>
              </w:rPr>
              <w:t>ü</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Ray M. Robinson</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Schumann, III</w:t>
            </w:r>
          </w:p>
        </w:tc>
        <w:tc>
          <w:tcPr>
            <w:tcW w:w="12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79"/>
              </w:rPr>
              <w:t>ü</w:t>
            </w:r>
          </w:p>
        </w:tc>
        <w:tc>
          <w:tcPr>
            <w:tcW w:w="17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9"/>
              </w:rPr>
              <w:t>ü</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Audit Committee is charged with assisting and representing the Board of Directors in fulfilling its oversight responsibilities with respect to the integrity of the financial statements of the Company, the independence, qualifications and performance of the Company’s independent external auditors, the performance of the Company’s internal audit function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that equals or exceeds $120,000 per year. All of the members of the Audit Committee are independent under the independence requirements of the New York Stock Exchange (the “NYSE”) listing standards and the independence standards adopted by the Board, and also meet the additional requirements for audit committee independence established by the SEC. The Board of Directors has determined that four members of the Audit Committee (Messrs. Clark, Lawrence, Schumann and Ms. Modjtabai)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2015, the Audit Committee held eight meetings.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The Compensation Committee oversees the Company’s overall compensation structure, policies and programs, and assists the Board of Directors in fulfilling its responsibilities with respect to administering the Company’s long-term incentive plan, reviews and approves compensation arrangements with executive officers of the Company, and evaluates the performance of and recommends the compensation for the CEO. The Committee’s objective is to establish and administer a “total compensation program” that fairly and competitively rewards long-term performance and enhances shareholder value. All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2015, the Compensation Committee held five meetings.</w:t>
      </w:r>
    </w:p>
    <w:p>
      <w:pPr>
        <w:spacing w:after="0" w:line="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Compensation Committee has the authority to retain an independent executive compensation consultant to assist in the evaluation of compensation for the Company’s executive officers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2015. The Compensation Committee assessed the independence of Meridian pursuant to the SEC and NYSE rules and concluded that no conflict of interest exists that prevented, or will prevent, Meridian from being an independent consultant to the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reviews the Company’s succession plans and oversees and makes recommendations with respect to corporate governance issues affecting the Board of Directors and the Company. All of the members of the Corporate Governance Committee are independent under Avnet’s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2015, the Corporate Governance Committee held four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9"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The Board of Directors has an Executive Committee that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The Executive Committee did not meet in fiscal 2015.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Board has responsibility for the oversight of the Company’s risk management, while the Company’s management is responsible for the day-to-day risk management process. With the oversight of the Board, the management of the Company has developed an enterprise risk management program, whereby management identifies the top individual risks they believe the Company faces with respect to its business, operations, strategy and other factors based on input from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key business and functional leaders in the Company. In addition to evaluating various key risks, management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7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to determine if the programs’ provisions and operations create undesired or unintentional risk of a material nature.</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that is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Ten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of each of the ten director nominees listed below. Each nominee has consented to being named herein and to serving if elected.</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Annual Meeting, each nominee must receive the affirmative vote of a majority of the votes cast with respect to his or her election, in order to be elected. A majority of the votes cast means that the number of shares voted “for” a director must exceed the number of shares voted “against” that director. Abstentions are not counted in determining the votes cast. Brokers who hold shares of Common Stock as nominees will not have discretionary authority to vote such shares for a director nominee. 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7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15, 2015.</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recommends a vote “FOR” all of the nominees named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Rodney C. Adkins</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2015</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8"/>
              </w:rPr>
              <w:t>Mr. Adkins is President of 3RAM Group LLC, a privately held company specializing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capital investments, business consulting services and property management.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Adkins formerly served as Senior Vice President of IBM from 2007 until 2014. In his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33-year career with IBM, Mr. Adkins held a number of development and management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roles, including Senior Vice President of Corporate Strategy (2013 — 2014)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Senior Vice President of Systems and Technology Group (2009 — 2013). Mr. Adkins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currently serves on the Board of Directors of W.W. Grainger, Inc., PPL Corporation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and United Parcel Service, Inc., and previously served on the board of directors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Pitney Bowes Inc. (2007 — 2013). The Board benefits from Mr. Adkins’ global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business experience in the technology industry, including emerging technologies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services, international and emerging markets, and supply chain management.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addition, the Board believes he provides additional experience in the areas of</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J. Amelio</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corporate governance and strategy development.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2014</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Mr. Amelio served as the President, Chief Executive Officer and as a Director of CHC</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Group Ltd. from 2010 to 2015. From 2005 to 2009, Mr. Amelio served as Lenovo’s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 From 2001 to 2005, he was regional Senior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Vice President and President, Asia-Pacific and Japan for Dell Inc. Mr. Amelio served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on the board of directors of National Semiconductor prior to its acquisition by Texas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Instruments (2010 — 2011). Through the Amelio Foundation, Mr. Amelio and his wife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founded Caring for Cambodia, a non-profit organization that aims to educate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children of Cambodia through building schools, training teachers and providing for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basic human needs. The Board benefits from Mr. Amelio’s extensive experience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international business operations, corporate leadership and management. The Board</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 Veronica Biggins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also benefits from his broad knowledge of the technology industry globally.</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1997</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Ms. Biggins is a Managing Director and a member of the executive committee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Diversified Search LLC, an executive and board search firm. She was Managing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Partner of the Atlanta office of Hodge Partners from 2007 until 2011 when it became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part of Diversified Search. Ms. Biggins served as Assistant to the President of the</w:t>
            </w:r>
          </w:p>
        </w:tc>
        <w:tc>
          <w:tcPr>
            <w:tcW w:w="0" w:type="dxa"/>
            <w:vAlign w:val="bottom"/>
          </w:tcPr>
          <w:p>
            <w:pPr>
              <w:spacing w:after="0"/>
              <w:rPr>
                <w:sz w:val="1"/>
                <w:szCs w:val="1"/>
                <w:color w:val="auto"/>
              </w:rPr>
            </w:pPr>
          </w:p>
        </w:tc>
      </w:tr>
    </w:tbl>
    <w:p>
      <w:pPr>
        <w:ind w:left="4700"/>
        <w:spacing w:after="0"/>
        <w:rPr>
          <w:sz w:val="20"/>
          <w:szCs w:val="20"/>
          <w:color w:val="auto"/>
        </w:rPr>
      </w:pPr>
      <w:r>
        <w:rPr>
          <w:rFonts w:ascii="Arial" w:cs="Arial" w:eastAsia="Arial" w:hAnsi="Arial"/>
          <w:sz w:val="16"/>
          <w:szCs w:val="16"/>
          <w:color w:val="auto"/>
        </w:rPr>
        <w:t>United States and Director of Presidential Personnel under President William Clinton.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Ms. Biggins has served on the board of Southwest Airlines Co. since 2011.</w:t>
      </w:r>
    </w:p>
    <w:p>
      <w:pPr>
        <w:jc w:val="both"/>
        <w:ind w:left="4700" w:right="20"/>
        <w:spacing w:after="0" w:line="264" w:lineRule="auto"/>
        <w:rPr>
          <w:sz w:val="20"/>
          <w:szCs w:val="20"/>
          <w:color w:val="auto"/>
        </w:rPr>
      </w:pPr>
      <w:r>
        <w:rPr>
          <w:rFonts w:ascii="Arial" w:cs="Arial" w:eastAsia="Arial" w:hAnsi="Arial"/>
          <w:sz w:val="16"/>
          <w:szCs w:val="16"/>
          <w:color w:val="auto"/>
        </w:rPr>
        <w:t>Ms. Biggins’ background includes 20 years of experience with NationsBank (now Bank of America) and its predecessor. She previously served as a director of Zep Inc. (2007 — 2012) and AirTran Holdings, Inc. prior to its acquisition by Southwest Airlines</w:t>
      </w:r>
    </w:p>
    <w:p>
      <w:pPr>
        <w:spacing w:after="0" w:line="1" w:lineRule="exact"/>
        <w:rPr>
          <w:sz w:val="20"/>
          <w:szCs w:val="20"/>
          <w:color w:val="auto"/>
        </w:rPr>
      </w:pPr>
    </w:p>
    <w:p>
      <w:pPr>
        <w:ind w:left="4700" w:right="360"/>
        <w:spacing w:after="0" w:line="236" w:lineRule="auto"/>
        <w:rPr>
          <w:sz w:val="20"/>
          <w:szCs w:val="20"/>
          <w:color w:val="auto"/>
        </w:rPr>
      </w:pPr>
      <w:r>
        <w:rPr>
          <w:rFonts w:ascii="Arial" w:cs="Arial" w:eastAsia="Arial" w:hAnsi="Arial"/>
          <w:sz w:val="18"/>
          <w:szCs w:val="18"/>
          <w:color w:val="auto"/>
        </w:rPr>
        <w:t>(2001 — 2011). Ms. Biggins serves on a number of non-profit Boards. Ms. Biggins brings extensive experience related to talent management and identifying and recruiting executive talent. In addition, she brings extensive board experience and perspective as a result of her service on boards of public companies in various industries.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4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Michael A. Bradley</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66</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9"/>
              </w:rPr>
              <w:t>Mr. Bradley served as Chief Executive Officer of Teradyne, Inc. from 2004 until 2014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and has served as a Director since 2004. He was President of Teradyne (2003 —</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2013), President of Teradyne’s Semiconductor Test Division (2001 — 2003)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Teradyne’s Chief Financial Officer (1999 — 2001). Mr. Bradley has also been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director of Entegris, Inc. and its predecessor company, Mykrolis Corporation,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2001. The Board benefits from Mr. Bradley’s extensive experience in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semiconductor industry and from his experience in running a global technology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operation. The Board believes he provides additional perspective in the areas of</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 Kerry Clark</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corporate governance and financial reporting.</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63</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2012</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 Kerry Clark served as Chairman and Chief Executive Officer of Cardinal Health,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Inc. until his retirement in 2009. Mr. Clark joined Cardinal Health in 2006 as President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and Chief Executive Officer and became Chairman in 2007. Prior to joining Cardinal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Health, he held various positions at The Procter &amp; Gamble Company, including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President of P&amp;G Asia; President, Global Market Development and Business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Operations; and Vice Chairman of the Board. He is a director of General Mills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2009), Textron, Inc. (since 2003) and Anthem, Inc. (since 2014). He is also a director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of Hauser Capital Partners LLC and Hauser Private Equity LLC. Mr. Clark brings to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Board business leadership, corporate strategy and operating expertise. Mr. Clark also</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lends a global business perspective. Additionally, Mr. Clark provides insight and value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 corporate governance, talent development, change management, marketing and</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Richard P. Hamada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business development.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Hamada has served as the Chief Executive Officer and a director of Avnet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2011. Prior to that, he served as the President (2010 — 2011) and as the Chief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Operating Officer of Avnet (2006 — 2011). Mr. Hamada is also a director of Keysight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Technologies, Inc. (since 2014) and a member of the College of Business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Administration Advisory Board for San Diego State University. As a result of his long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tenure as an Avnet executive, Mr. Hamada provides the Board with extensive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knowledge of the Company, its operations and the industry in which it operates. Mr.</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Hamada also has extensive executive management experience.</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2011</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Mr. Lawrence is Chairman of Great North Star LLC, an investment and advisory firm.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Mr. Lawrence is the former Chairman of Rothschild North America (2012 — 2015),</w:t>
            </w:r>
          </w:p>
        </w:tc>
        <w:tc>
          <w:tcPr>
            <w:tcW w:w="0" w:type="dxa"/>
            <w:vAlign w:val="bottom"/>
          </w:tcPr>
          <w:p>
            <w:pPr>
              <w:spacing w:after="0"/>
              <w:rPr>
                <w:sz w:val="1"/>
                <w:szCs w:val="1"/>
                <w:color w:val="auto"/>
              </w:rPr>
            </w:pPr>
          </w:p>
        </w:tc>
      </w:tr>
    </w:tbl>
    <w:p>
      <w:pPr>
        <w:ind w:left="4700" w:right="60"/>
        <w:spacing w:after="0" w:line="268" w:lineRule="auto"/>
        <w:rPr>
          <w:sz w:val="20"/>
          <w:szCs w:val="20"/>
          <w:color w:val="auto"/>
        </w:rPr>
      </w:pPr>
      <w:r>
        <w:rPr>
          <w:rFonts w:ascii="Arial" w:cs="Arial" w:eastAsia="Arial" w:hAnsi="Arial"/>
          <w:sz w:val="16"/>
          <w:szCs w:val="16"/>
          <w:color w:val="auto"/>
        </w:rPr>
        <w:t>having served as Chief Executive Officer of Rothschild North America and as co-head of global investment banking (2010 — 2012). He previously served as Chief Financial Officer of Unilever PLC (2007 — 2009), Vice Chairman and Chief Financial Officer of General Mills, Inc. (1998 — 2007), Executive Vice President and Chief Financial Officer of Northwest Airlines (1996 — 1998) and Chief Executive Officer of Pepsi-Cola Asia Middle East Africa Group (1992 — 1996). Mr. Lawrence has been a Director of International Airlines Group since 2010. The Board benefits from Mr. Lawrence’s breadth of global business experience, including strategy development and compliance. Additionally, as a former Chief Financial Officer for multiple public companies, Mr. Lawrence has extensive experience in finance and accounting, particularly as it applies to public companies such as Avnet.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Director</w:t>
            </w:r>
          </w:p>
        </w:tc>
        <w:tc>
          <w:tcPr>
            <w:tcW w:w="6720" w:type="dxa"/>
            <w:vAlign w:val="bottom"/>
          </w:tcPr>
          <w:p>
            <w:pPr>
              <w:ind w:left="1880"/>
              <w:spacing w:after="0"/>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Since</w:t>
            </w:r>
          </w:p>
        </w:tc>
        <w:tc>
          <w:tcPr>
            <w:tcW w:w="6720" w:type="dxa"/>
            <w:vAlign w:val="bottom"/>
          </w:tcPr>
          <w:p>
            <w:pPr>
              <w:ind w:left="22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color w:val="auto"/>
                <w:w w:val="92"/>
              </w:rPr>
              <w:t>Avid</w:t>
            </w:r>
          </w:p>
        </w:tc>
        <w:tc>
          <w:tcPr>
            <w:tcW w:w="3020" w:type="dxa"/>
            <w:vAlign w:val="bottom"/>
          </w:tcPr>
          <w:p>
            <w:pPr>
              <w:ind w:left="60"/>
              <w:spacing w:after="0" w:line="193" w:lineRule="exact"/>
              <w:rPr>
                <w:sz w:val="20"/>
                <w:szCs w:val="20"/>
                <w:color w:val="auto"/>
              </w:rPr>
            </w:pPr>
            <w:r>
              <w:rPr>
                <w:rFonts w:ascii="Arial" w:cs="Arial" w:eastAsia="Arial" w:hAnsi="Arial"/>
                <w:sz w:val="18"/>
                <w:szCs w:val="18"/>
                <w:b w:val="1"/>
                <w:bCs w:val="1"/>
                <w:color w:val="auto"/>
              </w:rPr>
              <w:t>Modjtabai</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53</w:t>
            </w:r>
          </w:p>
        </w:tc>
        <w:tc>
          <w:tcPr>
            <w:tcW w:w="220" w:type="dxa"/>
            <w:vAlign w:val="bottom"/>
          </w:tcPr>
          <w:p>
            <w:pPr>
              <w:spacing w:after="0"/>
              <w:rPr>
                <w:sz w:val="16"/>
                <w:szCs w:val="16"/>
                <w:color w:val="auto"/>
              </w:rPr>
            </w:pPr>
          </w:p>
        </w:tc>
        <w:tc>
          <w:tcPr>
            <w:tcW w:w="5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2014</w:t>
            </w: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7"/>
              </w:rPr>
              <w:t>Ms. Modjtabai has served as the Senior Executive Vice President, Consumer Lending,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at Wells Fargo &amp; Company since 2011. Prior to this, Ms. Modjtabai served in various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leadership roles at Wells Fargo, including as the head of its technology and operations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group and its Chief Information Officer (2007 — 2011), and as Director of Human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Resources (2005 — 2007). The Board benefits from Ms. Modjtabai’s extensive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experience in operations and strategy development. The Board also benefits from her</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experience in the areas of financial services and change management.</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67</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2000</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Since 2003, Mr. Robinson has served as Chairman of the Board of Citizens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Bancshares Corporation, the largest African-American owned bank in the southeast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United States. He also serves as the Vice Chairman of East Lake Community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Foundation (since 2003). Previously, Mr. Robinson was the President of AT&amp;T’s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Southern Region Business Services Division (1995 — 2003). Mr. Robinson is non-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executive Chairman of the Board of Aaron’s, Inc. (director since 2002) and a director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7"/>
              </w:rPr>
              <w:t>of Acuity Brands, Inc. (since 2001), American Airlines Group (since 2013) and Fortress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Transportation &amp; Infrastructure Investors LLC (since 2015). Mr. Robinson previously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9"/>
              </w:rPr>
              <w:t>served as a director of Rail America (2010 — 2012) and AMR Corporation prior to its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acquisition by American Airlines Group (2005 — 2013). The Board benefits from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Robinson’s extensive leadership and management skills, and his service on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boards and board committees of other public companies provides important insights</w:t>
            </w:r>
          </w:p>
        </w:tc>
        <w:tc>
          <w:tcPr>
            <w:tcW w:w="0" w:type="dxa"/>
            <w:vAlign w:val="bottom"/>
          </w:tcPr>
          <w:p>
            <w:pPr>
              <w:spacing w:after="0"/>
              <w:rPr>
                <w:sz w:val="1"/>
                <w:szCs w:val="1"/>
                <w:color w:val="auto"/>
              </w:rPr>
            </w:pPr>
          </w:p>
        </w:tc>
      </w:tr>
      <w:tr>
        <w:trPr>
          <w:trHeight w:val="203"/>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H. Schumann, III</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into governance and board functions.</w:t>
            </w:r>
          </w:p>
        </w:tc>
        <w:tc>
          <w:tcPr>
            <w:tcW w:w="0" w:type="dxa"/>
            <w:vAlign w:val="bottom"/>
          </w:tcPr>
          <w:p>
            <w:pPr>
              <w:spacing w:after="0"/>
              <w:rPr>
                <w:sz w:val="1"/>
                <w:szCs w:val="1"/>
                <w:color w:val="auto"/>
              </w:rPr>
            </w:pPr>
          </w:p>
        </w:tc>
      </w:tr>
      <w:tr>
        <w:trPr>
          <w:trHeight w:val="203"/>
        </w:trPr>
        <w:tc>
          <w:tcPr>
            <w:tcW w:w="34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17"/>
                <w:szCs w:val="17"/>
                <w:color w:val="auto"/>
              </w:rPr>
            </w:pPr>
          </w:p>
        </w:tc>
        <w:tc>
          <w:tcPr>
            <w:tcW w:w="520" w:type="dxa"/>
            <w:vAlign w:val="bottom"/>
          </w:tcPr>
          <w:p>
            <w:pPr>
              <w:jc w:val="center"/>
              <w:spacing w:after="0" w:line="202" w:lineRule="exact"/>
              <w:rPr>
                <w:sz w:val="20"/>
                <w:szCs w:val="20"/>
                <w:color w:val="auto"/>
              </w:rPr>
            </w:pPr>
            <w:r>
              <w:rPr>
                <w:rFonts w:ascii="Arial" w:cs="Arial" w:eastAsia="Arial" w:hAnsi="Arial"/>
                <w:sz w:val="18"/>
                <w:szCs w:val="18"/>
                <w:color w:val="auto"/>
                <w:w w:val="99"/>
              </w:rPr>
              <w:t>2010</w:t>
            </w: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w w:val="98"/>
              </w:rPr>
              <w:t>Mr. Schumann retired from FMC Technologies in 2012 where he served as Executive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Vice President since 2007 and Chief Financial Officer from 2001 to 2011.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Schumann has served on the board of directors of McDermott International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2012. He previously served on the board of Great Lakes Advisors, Inc. (1993 —</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2011), AMCOL International (2012 — 2014) and URS Corporation prior to its</w:t>
            </w:r>
          </w:p>
        </w:tc>
        <w:tc>
          <w:tcPr>
            <w:tcW w:w="0" w:type="dxa"/>
            <w:vAlign w:val="bottom"/>
          </w:tcPr>
          <w:p>
            <w:pPr>
              <w:spacing w:after="0"/>
              <w:rPr>
                <w:sz w:val="1"/>
                <w:szCs w:val="1"/>
                <w:color w:val="auto"/>
              </w:rPr>
            </w:pPr>
          </w:p>
        </w:tc>
      </w:tr>
    </w:tbl>
    <w:p>
      <w:pPr>
        <w:ind w:left="4700" w:right="40"/>
        <w:spacing w:after="0" w:line="237" w:lineRule="auto"/>
        <w:rPr>
          <w:sz w:val="20"/>
          <w:szCs w:val="20"/>
          <w:color w:val="auto"/>
        </w:rPr>
      </w:pPr>
      <w:r>
        <w:rPr>
          <w:rFonts w:ascii="Arial" w:cs="Arial" w:eastAsia="Arial" w:hAnsi="Arial"/>
          <w:sz w:val="18"/>
          <w:szCs w:val="18"/>
          <w:color w:val="auto"/>
        </w:rPr>
        <w:t>acquisition by AECOM Technology Corporation (2014). The Board benefits from Mr. Schumann’s experience on other boards and his financial and management expertise, including his extensive expertise in financial and strategic planning, financial reporting, compliance and risk management.</w:t>
      </w:r>
    </w:p>
    <w:p>
      <w:pPr>
        <w:spacing w:after="0" w:line="7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As of the date of this Proxy Statement, the average tenure of the Company’s directors is approximately six years, with seven having a tenure of less than five years, one having a tenure of between five and 10 years and two having a tenure of more than 10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described above, each director nominee brings a diversity of skills and experiences to the Board. A summary of each nominee’s qualifications and experiences is set forth in the matrix below. As the matrix is a summary, it does not include all of the skills, experiences, qualifications and diversity that each nominee offers, and the fact that a particular experience, skill or qualification is not listed does not mean that a nominee does not possess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wp:posOffset>
            </wp:positionV>
            <wp:extent cx="5145405" cy="4545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454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Committee and the adequacy of its charter on an annual basis. The charter is available on the Company’s website at </w:t>
      </w:r>
      <w:r>
        <w:rPr>
          <w:rFonts w:ascii="Arial" w:cs="Arial" w:eastAsia="Arial" w:hAnsi="Arial"/>
          <w:sz w:val="18"/>
          <w:szCs w:val="18"/>
          <w:u w:val="single" w:color="auto"/>
          <w:color w:val="auto"/>
        </w:rPr>
        <w:t>www.ir.avnet.com/corporate-governance.cfm</w:t>
      </w:r>
      <w:r>
        <w:rPr>
          <w:rFonts w:ascii="Arial" w:cs="Arial" w:eastAsia="Arial" w:hAnsi="Arial"/>
          <w:sz w:val="18"/>
          <w:szCs w:val="18"/>
          <w:color w:val="auto"/>
        </w:rPr>
        <w:t>.</w:t>
      </w:r>
    </w:p>
    <w:p>
      <w:pPr>
        <w:spacing w:after="0" w:line="7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5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Audit Committee on the status and fees for all such projects.</w:t>
      </w:r>
    </w:p>
    <w:p>
      <w:pPr>
        <w:spacing w:after="0" w:line="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Audit Committee has reviewed and discussed the audited financial statements for fiscal 2015 with management and KPMG. This review included a discussion with KPMG and management of Avnet’s accounting principles, the reasonableness of significant estimates and judgments, including disclosure of critical accounting policies, and the conduct of the audit. The Committee has discussed with KPMG the matters required to be discussed under Public Company Accounting Oversight Board (“PCAOB”) standards. The Audit Committee received the written disclosures and the letter from KPMG required by the applicable requirements of the PCAOB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27, 2015, for filing with the Securities and Exchange Commission.</w:t>
      </w:r>
    </w:p>
    <w:p>
      <w:pPr>
        <w:sectPr>
          <w:pgSz w:w="11900" w:h="16838" w:orient="portrait"/>
          <w:cols w:equalWidth="0" w:num="1">
            <w:col w:w="11400"/>
          </w:cols>
          <w:pgMar w:left="240" w:top="459" w:right="25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James A. Lawrence,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Rodney C. Adkins</w:t>
      </w:r>
    </w:p>
    <w:p>
      <w:pPr>
        <w:spacing w:after="0"/>
        <w:rPr>
          <w:sz w:val="20"/>
          <w:szCs w:val="20"/>
          <w:color w:val="auto"/>
        </w:rPr>
      </w:pPr>
      <w:r>
        <w:rPr>
          <w:rFonts w:ascii="Arial" w:cs="Arial" w:eastAsia="Arial" w:hAnsi="Arial"/>
          <w:sz w:val="18"/>
          <w:szCs w:val="18"/>
          <w:color w:val="auto"/>
        </w:rPr>
        <w:t>R. Kerry Clark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Avid Modjtabai</w:t>
      </w:r>
    </w:p>
    <w:p>
      <w:pPr>
        <w:spacing w:after="0"/>
        <w:rPr>
          <w:sz w:val="20"/>
          <w:szCs w:val="20"/>
          <w:color w:val="auto"/>
        </w:rPr>
      </w:pPr>
      <w:r>
        <w:rPr>
          <w:rFonts w:ascii="Arial" w:cs="Arial" w:eastAsia="Arial" w:hAnsi="Arial"/>
          <w:sz w:val="16"/>
          <w:szCs w:val="16"/>
          <w:color w:val="auto"/>
        </w:rPr>
        <w:t>William H. Schumann, III</w:t>
      </w:r>
    </w:p>
    <w:p>
      <w:pPr>
        <w:spacing w:after="0" w:line="369"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ACCOUNTING FIRM FEES</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2015 and fiscal 2014. All of the services described in the table were approved in conformity with the Audit Committee’s pre-approval process for independent registered public accounting firm fees.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86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2015</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2014</w:t>
            </w:r>
          </w:p>
        </w:tc>
      </w:tr>
      <w:tr>
        <w:trPr>
          <w:trHeight w:val="196"/>
        </w:trPr>
        <w:tc>
          <w:tcPr>
            <w:tcW w:w="78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Audit Services</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$ 6,093,000</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$ 7,012,000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22,000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827,000</w:t>
            </w:r>
          </w:p>
        </w:tc>
        <w:tc>
          <w:tcPr>
            <w:tcW w:w="6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838,000</w:t>
            </w:r>
          </w:p>
        </w:tc>
        <w:tc>
          <w:tcPr>
            <w:tcW w:w="120" w:type="dxa"/>
            <w:vAlign w:val="bottom"/>
            <w:shd w:val="clear" w:color="auto" w:fill="CCEEFF"/>
          </w:tcPr>
          <w:p>
            <w:pPr>
              <w:spacing w:after="0"/>
              <w:rPr>
                <w:sz w:val="17"/>
                <w:szCs w:val="17"/>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$ 6,942,000</w:t>
            </w:r>
          </w:p>
        </w:tc>
        <w:tc>
          <w:tcPr>
            <w:tcW w:w="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$ 7,855,000</w:t>
            </w:r>
          </w:p>
        </w:tc>
        <w:tc>
          <w:tcPr>
            <w:tcW w:w="1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i w:val="1"/>
          <w:iCs w:val="1"/>
          <w:color w:val="auto"/>
        </w:rPr>
        <w:t xml:space="preserve">Audit Services. </w:t>
      </w:r>
      <w:r>
        <w:rPr>
          <w:rFonts w:ascii="Arial" w:cs="Arial" w:eastAsia="Arial" w:hAnsi="Arial"/>
          <w:sz w:val="16"/>
          <w:szCs w:val="16"/>
          <w:color w:val="auto"/>
        </w:rPr>
        <w:t>In both fiscal years, Audit Services consisted of work performed by the principal auditor associated with the audit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 Differences in amounts between fiscal years are primarily the result of differences in foreign currency exchange in effect during each fiscal year.</w:t>
      </w:r>
    </w:p>
    <w:p>
      <w:pPr>
        <w:spacing w:after="0" w:line="28"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In fiscal 2015, Audit-Related Services included certain compliance-related and training services and, in both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a subscription to certain KPMG LLP proprietary accounting research databases.</w:t>
      </w:r>
    </w:p>
    <w:p>
      <w:pPr>
        <w:spacing w:after="0" w:line="3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i w:val="1"/>
          <w:iCs w:val="1"/>
          <w:color w:val="auto"/>
        </w:rPr>
        <w:t xml:space="preserve">Tax Services. </w:t>
      </w:r>
      <w:r>
        <w:rPr>
          <w:rFonts w:ascii="Arial" w:cs="Arial" w:eastAsia="Arial" w:hAnsi="Arial"/>
          <w:sz w:val="18"/>
          <w:szCs w:val="18"/>
          <w:color w:val="auto"/>
        </w:rPr>
        <w:t>In both fiscal years, Tax Services consisted primarily of assistance with respect to global tax compliance (federal,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and local), tax audits, and tax advice associated with organizational structure.</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Committee by the next Committee meeting. Management provides quarterly reports to the Audit Committee for pre-approval related to the fees for all projects requiring services by KPMG LLP.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 sets forth information with respect to the Common Stock of Avnet beneficially owned at September 15, 2015, or, in respect of any 5% Holder, the date of such holder’s most recent Schedule 13D or Schedule 13G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Stock</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Options</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Common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Percent</w:t>
            </w:r>
          </w:p>
        </w:tc>
      </w:tr>
      <w:tr>
        <w:trPr>
          <w:trHeight w:val="138"/>
        </w:trPr>
        <w:tc>
          <w:tcPr>
            <w:tcW w:w="3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jc w:val="right"/>
              <w:ind w:right="760"/>
              <w:spacing w:after="0" w:line="139" w:lineRule="exact"/>
              <w:rPr>
                <w:sz w:val="20"/>
                <w:szCs w:val="20"/>
                <w:color w:val="auto"/>
              </w:rPr>
            </w:pPr>
            <w:r>
              <w:rPr>
                <w:rFonts w:ascii="Arial" w:cs="Arial" w:eastAsia="Arial" w:hAnsi="Arial"/>
                <w:sz w:val="14"/>
                <w:szCs w:val="14"/>
                <w:b w:val="1"/>
                <w:bCs w:val="1"/>
                <w:color w:val="auto"/>
              </w:rPr>
              <w:t>Common</w:t>
            </w:r>
          </w:p>
        </w:tc>
        <w:tc>
          <w:tcPr>
            <w:tcW w:w="1180" w:type="dxa"/>
            <w:vAlign w:val="bottom"/>
            <w:gridSpan w:val="2"/>
          </w:tcPr>
          <w:p>
            <w:pPr>
              <w:jc w:val="center"/>
              <w:ind w:right="420"/>
              <w:spacing w:after="0" w:line="139" w:lineRule="exact"/>
              <w:rPr>
                <w:sz w:val="20"/>
                <w:szCs w:val="20"/>
                <w:color w:val="auto"/>
              </w:rPr>
            </w:pPr>
            <w:r>
              <w:rPr>
                <w:rFonts w:ascii="Arial" w:cs="Arial" w:eastAsia="Arial" w:hAnsi="Arial"/>
                <w:sz w:val="14"/>
                <w:szCs w:val="14"/>
                <w:b w:val="1"/>
                <w:bCs w:val="1"/>
                <w:color w:val="auto"/>
                <w:w w:val="93"/>
              </w:rPr>
              <w:t>Within</w:t>
            </w:r>
          </w:p>
        </w:tc>
        <w:tc>
          <w:tcPr>
            <w:tcW w:w="1380" w:type="dxa"/>
            <w:vAlign w:val="bottom"/>
            <w:gridSpan w:val="2"/>
          </w:tcPr>
          <w:p>
            <w:pPr>
              <w:jc w:val="center"/>
              <w:ind w:right="420"/>
              <w:spacing w:after="0" w:line="139" w:lineRule="exact"/>
              <w:rPr>
                <w:sz w:val="20"/>
                <w:szCs w:val="20"/>
                <w:color w:val="auto"/>
              </w:rPr>
            </w:pPr>
            <w:r>
              <w:rPr>
                <w:rFonts w:ascii="Arial" w:cs="Arial" w:eastAsia="Arial" w:hAnsi="Arial"/>
                <w:sz w:val="14"/>
                <w:szCs w:val="14"/>
                <w:b w:val="1"/>
                <w:bCs w:val="1"/>
                <w:color w:val="auto"/>
                <w:w w:val="97"/>
              </w:rPr>
              <w:t>Beneficially</w:t>
            </w:r>
          </w:p>
        </w:tc>
        <w:tc>
          <w:tcPr>
            <w:tcW w:w="7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0"/>
              </w:rPr>
              <w:t>of</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tcPr>
          <w:p>
            <w:pPr>
              <w:jc w:val="right"/>
              <w:ind w:right="800"/>
              <w:spacing w:after="0" w:line="162"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8"/>
                <w:szCs w:val="18"/>
                <w:b w:val="1"/>
                <w:bCs w:val="1"/>
                <w:color w:val="auto"/>
                <w:vertAlign w:val="superscript"/>
              </w:rPr>
              <w:t>(a)</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60 Days</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Owned</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Class</w:t>
            </w:r>
          </w:p>
        </w:tc>
      </w:tr>
      <w:tr>
        <w:trPr>
          <w:trHeight w:val="176"/>
        </w:trPr>
        <w:tc>
          <w:tcPr>
            <w:tcW w:w="6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Holders</w:t>
            </w:r>
          </w:p>
        </w:tc>
        <w:tc>
          <w:tcPr>
            <w:tcW w:w="3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6"/>
        </w:trPr>
        <w:tc>
          <w:tcPr>
            <w:tcW w:w="6280" w:type="dxa"/>
            <w:vAlign w:val="bottom"/>
            <w:gridSpan w:val="2"/>
          </w:tcPr>
          <w:p>
            <w:pPr>
              <w:spacing w:after="0" w:line="206"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1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11,620,307</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11,620,307</w:t>
            </w:r>
          </w:p>
        </w:tc>
        <w:tc>
          <w:tcPr>
            <w:tcW w:w="4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8.50%</w:t>
            </w:r>
          </w:p>
        </w:tc>
      </w:tr>
      <w:tr>
        <w:trPr>
          <w:trHeight w:val="203"/>
        </w:trPr>
        <w:tc>
          <w:tcPr>
            <w:tcW w:w="6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4"/>
        </w:trPr>
        <w:tc>
          <w:tcPr>
            <w:tcW w:w="62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Artisan Partners Holdings LP</w:t>
            </w:r>
            <w:r>
              <w:rPr>
                <w:rFonts w:ascii="Arial" w:cs="Arial" w:eastAsia="Arial" w:hAnsi="Arial"/>
                <w:sz w:val="11"/>
                <w:szCs w:val="11"/>
                <w:color w:val="auto"/>
              </w:rPr>
              <w:t>(2)</w:t>
            </w:r>
          </w:p>
        </w:tc>
        <w:tc>
          <w:tcPr>
            <w:tcW w:w="12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10,420,537</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10,420,537</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b w:val="1"/>
                <w:bCs w:val="1"/>
                <w:color w:val="auto"/>
              </w:rPr>
              <w:t>7.60%</w:t>
            </w:r>
          </w:p>
        </w:tc>
      </w:tr>
      <w:tr>
        <w:trPr>
          <w:trHeight w:val="206"/>
        </w:trPr>
        <w:tc>
          <w:tcPr>
            <w:tcW w:w="628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875 East Wisconsin Avenue, Suite 800</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Milwaukee, WI 53202</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6"/>
        </w:trPr>
        <w:tc>
          <w:tcPr>
            <w:tcW w:w="6280" w:type="dxa"/>
            <w:vAlign w:val="bottom"/>
            <w:gridSpan w:val="2"/>
          </w:tcPr>
          <w:p>
            <w:pPr>
              <w:spacing w:after="0" w:line="206" w:lineRule="exact"/>
              <w:rPr>
                <w:sz w:val="20"/>
                <w:szCs w:val="20"/>
                <w:color w:val="auto"/>
              </w:rPr>
            </w:pPr>
            <w:r>
              <w:rPr>
                <w:rFonts w:ascii="Arial" w:cs="Arial" w:eastAsia="Arial" w:hAnsi="Arial"/>
                <w:sz w:val="18"/>
                <w:szCs w:val="18"/>
                <w:color w:val="auto"/>
              </w:rPr>
              <w:t>The Vanguard Group</w:t>
            </w:r>
            <w:r>
              <w:rPr>
                <w:rFonts w:ascii="Arial" w:cs="Arial" w:eastAsia="Arial" w:hAnsi="Arial"/>
                <w:sz w:val="11"/>
                <w:szCs w:val="11"/>
                <w:color w:val="auto"/>
              </w:rPr>
              <w:t>(3)</w:t>
            </w:r>
          </w:p>
        </w:tc>
        <w:tc>
          <w:tcPr>
            <w:tcW w:w="12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8,667,735</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8,667,735</w:t>
            </w:r>
          </w:p>
        </w:tc>
        <w:tc>
          <w:tcPr>
            <w:tcW w:w="4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6.32%</w:t>
            </w:r>
          </w:p>
        </w:tc>
      </w:tr>
      <w:tr>
        <w:trPr>
          <w:trHeight w:val="203"/>
        </w:trPr>
        <w:tc>
          <w:tcPr>
            <w:tcW w:w="6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Vanguard Blvd.</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62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Directors and Named Executive Officers</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Rodney C. Adkins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1,773</w:t>
            </w:r>
          </w:p>
        </w:tc>
        <w:tc>
          <w:tcPr>
            <w:tcW w:w="58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1,773</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J. Amelio</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5,126</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5,126</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44,194</w:t>
            </w:r>
            <w:r>
              <w:rPr>
                <w:rFonts w:ascii="Arial" w:cs="Arial" w:eastAsia="Arial" w:hAnsi="Arial"/>
                <w:sz w:val="11"/>
                <w:szCs w:val="11"/>
                <w:color w:val="auto"/>
              </w:rPr>
              <w:t>(4)</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44,194</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A. Bradley</w:t>
            </w:r>
          </w:p>
        </w:tc>
        <w:tc>
          <w:tcPr>
            <w:tcW w:w="18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10,502</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10,502</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13,420</w:t>
            </w:r>
            <w:r>
              <w:rPr>
                <w:rFonts w:ascii="Arial" w:cs="Arial" w:eastAsia="Arial" w:hAnsi="Arial"/>
                <w:sz w:val="11"/>
                <w:szCs w:val="11"/>
                <w:color w:val="auto"/>
              </w:rPr>
              <w:t>(5)</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13,420</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Gerard Fay</w:t>
            </w:r>
          </w:p>
        </w:tc>
        <w:tc>
          <w:tcPr>
            <w:tcW w:w="18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37,316</w:t>
            </w:r>
            <w:r>
              <w:rPr>
                <w:rFonts w:ascii="Arial" w:cs="Arial" w:eastAsia="Arial" w:hAnsi="Arial"/>
                <w:sz w:val="11"/>
                <w:szCs w:val="11"/>
                <w:color w:val="auto"/>
              </w:rPr>
              <w:t>(6)</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30,729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68,045</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Richard P. Hamada</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263,684</w:t>
            </w:r>
            <w:r>
              <w:rPr>
                <w:rFonts w:ascii="Arial" w:cs="Arial" w:eastAsia="Arial" w:hAnsi="Arial"/>
                <w:sz w:val="11"/>
                <w:szCs w:val="11"/>
                <w:color w:val="auto"/>
              </w:rPr>
              <w:t>(7)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322,747</w:t>
            </w: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586,431</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285,048</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285,048</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MaryAnn G. Miller</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37,373</w:t>
            </w:r>
            <w:r>
              <w:rPr>
                <w:rFonts w:ascii="Arial" w:cs="Arial" w:eastAsia="Arial" w:hAnsi="Arial"/>
                <w:sz w:val="11"/>
                <w:szCs w:val="11"/>
                <w:color w:val="auto"/>
              </w:rPr>
              <w:t>(8)</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65,395</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102,768</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Avid Modjtabai</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3,516</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3,516</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44,859</w:t>
            </w:r>
            <w:r>
              <w:rPr>
                <w:rFonts w:ascii="Arial" w:cs="Arial" w:eastAsia="Arial" w:hAnsi="Arial"/>
                <w:sz w:val="11"/>
                <w:szCs w:val="11"/>
                <w:color w:val="auto"/>
              </w:rPr>
              <w:t>(9)</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57,132</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101,991</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 M. Robinson</w:t>
            </w:r>
          </w:p>
        </w:tc>
        <w:tc>
          <w:tcPr>
            <w:tcW w:w="1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33,762</w:t>
            </w:r>
            <w:r>
              <w:rPr>
                <w:rFonts w:ascii="Arial" w:cs="Arial" w:eastAsia="Arial" w:hAnsi="Arial"/>
                <w:sz w:val="11"/>
                <w:szCs w:val="11"/>
                <w:color w:val="auto"/>
              </w:rPr>
              <w:t>(10)</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33,762</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tcPr>
          <w:p>
            <w:pPr>
              <w:spacing w:after="0" w:line="202" w:lineRule="exact"/>
              <w:rPr>
                <w:sz w:val="20"/>
                <w:szCs w:val="20"/>
                <w:color w:val="auto"/>
              </w:rPr>
            </w:pPr>
            <w:r>
              <w:rPr>
                <w:rFonts w:ascii="Arial" w:cs="Arial" w:eastAsia="Arial" w:hAnsi="Arial"/>
                <w:sz w:val="18"/>
                <w:szCs w:val="18"/>
                <w:color w:val="auto"/>
              </w:rPr>
              <w:t>William H. Schumann, III</w:t>
            </w:r>
          </w:p>
        </w:tc>
        <w:tc>
          <w:tcPr>
            <w:tcW w:w="18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32,291</w:t>
            </w:r>
            <w:r>
              <w:rPr>
                <w:rFonts w:ascii="Arial" w:cs="Arial" w:eastAsia="Arial" w:hAnsi="Arial"/>
                <w:sz w:val="11"/>
                <w:szCs w:val="11"/>
                <w:color w:val="auto"/>
              </w:rPr>
              <w:t>(11)</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32,291</w:t>
            </w:r>
          </w:p>
        </w:tc>
        <w:tc>
          <w:tcPr>
            <w:tcW w:w="4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Zammit</w:t>
            </w:r>
          </w:p>
        </w:tc>
        <w:tc>
          <w:tcPr>
            <w:tcW w:w="18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70,881</w:t>
            </w:r>
            <w:r>
              <w:rPr>
                <w:rFonts w:ascii="Arial" w:cs="Arial" w:eastAsia="Arial" w:hAnsi="Arial"/>
                <w:sz w:val="11"/>
                <w:szCs w:val="11"/>
                <w:color w:val="auto"/>
              </w:rPr>
              <w:t>(12)</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55,268</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126,149</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r>
      <w:tr>
        <w:trPr>
          <w:trHeight w:val="23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(17 persons)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954,694</w:t>
            </w: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560,744</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1,515,438</w:t>
            </w:r>
          </w:p>
        </w:tc>
        <w:tc>
          <w:tcPr>
            <w:tcW w:w="4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943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340" w:right="100" w:hanging="332"/>
        <w:spacing w:after="0" w:line="23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47" w:lineRule="exact"/>
        <w:rPr>
          <w:sz w:val="20"/>
          <w:szCs w:val="20"/>
          <w:color w:val="auto"/>
        </w:rPr>
      </w:pPr>
    </w:p>
    <w:p>
      <w:pPr>
        <w:ind w:left="340" w:right="100" w:hanging="332"/>
        <w:spacing w:after="0" w:line="23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5 to a Schedule 13G filed with the Securities and Exchange Commission on January 23, 2015, by BlackRock, Inc., which reports sole voting power with respect to 10,490,335 shares and sole dispositive power with respect to 11,620,307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60" w:hanging="332"/>
        <w:spacing w:after="0" w:line="23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4 to a Schedule 13G filed with the Securities and Exchange Commission on January 30, 2015, by Artisan Partners Holdings LP, which reports shared voting power with respect to 9,945,452 shares and shared dispositive power with respect to 10,420,537 shares.</w:t>
      </w:r>
    </w:p>
    <w:p>
      <w:pPr>
        <w:spacing w:after="0" w:line="45" w:lineRule="exact"/>
        <w:rPr>
          <w:rFonts w:ascii="Arial" w:cs="Arial" w:eastAsia="Arial" w:hAnsi="Arial"/>
          <w:sz w:val="18"/>
          <w:szCs w:val="18"/>
          <w:color w:val="auto"/>
        </w:rPr>
      </w:pPr>
    </w:p>
    <w:p>
      <w:pPr>
        <w:ind w:left="340" w:right="80" w:hanging="332"/>
        <w:spacing w:after="0" w:line="23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2 to a Schedule 13G filed with the Securities and Exchange Commission on February 10, 2015, by The Vanguard Group, which reports sole voting power with respect to 133,020 shares, sole dispositive power with respect to 8,546,915 shares and shared dispositive power with respect to 120,820 shares.</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Biggins’ information includes 24,380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Clark’s information includes 13,420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Fay’s information includes 23,668 Restricted Stock Units allocated but not yet delivered.</w:t>
      </w:r>
    </w:p>
    <w:p>
      <w:pPr>
        <w:spacing w:after="0" w:line="49" w:lineRule="exact"/>
        <w:rPr>
          <w:rFonts w:ascii="Arial" w:cs="Arial" w:eastAsia="Arial" w:hAnsi="Arial"/>
          <w:sz w:val="18"/>
          <w:szCs w:val="18"/>
          <w:color w:val="auto"/>
        </w:rPr>
      </w:pPr>
    </w:p>
    <w:p>
      <w:pPr>
        <w:ind w:left="340" w:right="260" w:hanging="332"/>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Hamada’s information includes 70,898 Restricted Stock Units allocated but not yet delivered. Also includes 192,786 shares of Common Stock held by a family trust for which Mr. Hamada is a trustee.</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Miller’s information includes 16,705 Restricted Stock Units allocated but not yet delivered.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Moriarty’s information includes 26,366 Restricted Stock Units allocated but not yet delivered.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Robinson’s information includes 30,758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Schumann’s information includes 19,003 Phantom Stock Units.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Zammit’s information includes 24,665 Restricted Stock Units allocated but not yet delivered.</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2015 all such filing requirements were complied with in a timely manner by all Directors and executive officers, except for a portion of one Form 4 for Mr. Zammit, which was filed late due to administrative error.</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EXECUTIVE OFFICERS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15, 2015, the executive officers of the Company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Office</w:t>
            </w:r>
          </w:p>
        </w:tc>
        <w:tc>
          <w:tcPr>
            <w:tcW w:w="2120" w:type="dxa"/>
            <w:vAlign w:val="bottom"/>
          </w:tcPr>
          <w:p>
            <w:pPr>
              <w:spacing w:after="0"/>
              <w:rPr>
                <w:sz w:val="16"/>
                <w:szCs w:val="16"/>
                <w:color w:val="auto"/>
              </w:rPr>
            </w:pPr>
          </w:p>
        </w:tc>
      </w:tr>
      <w:tr>
        <w:trPr>
          <w:trHeight w:val="193"/>
        </w:trPr>
        <w:tc>
          <w:tcPr>
            <w:tcW w:w="4060" w:type="dxa"/>
            <w:vAlign w:val="bottom"/>
            <w:gridSpan w:val="2"/>
          </w:tcPr>
          <w:p>
            <w:pPr>
              <w:spacing w:after="0" w:line="191" w:lineRule="exact"/>
              <w:rPr>
                <w:sz w:val="20"/>
                <w:szCs w:val="20"/>
                <w:color w:val="auto"/>
              </w:rPr>
            </w:pPr>
            <w:r>
              <w:rPr>
                <w:rFonts w:ascii="Arial" w:cs="Arial" w:eastAsia="Arial" w:hAnsi="Arial"/>
                <w:sz w:val="18"/>
                <w:szCs w:val="18"/>
                <w:color w:val="auto"/>
              </w:rPr>
              <w:t>Michael D. Buseman</w:t>
            </w:r>
          </w:p>
        </w:tc>
        <w:tc>
          <w:tcPr>
            <w:tcW w:w="260" w:type="dxa"/>
            <w:vAlign w:val="bottom"/>
          </w:tcPr>
          <w:p>
            <w:pPr>
              <w:jc w:val="right"/>
              <w:spacing w:after="0" w:line="193" w:lineRule="exact"/>
              <w:rPr>
                <w:sz w:val="20"/>
                <w:szCs w:val="20"/>
                <w:color w:val="auto"/>
              </w:rPr>
            </w:pPr>
            <w:r>
              <w:rPr>
                <w:rFonts w:ascii="Arial" w:cs="Arial" w:eastAsia="Arial" w:hAnsi="Arial"/>
                <w:sz w:val="18"/>
                <w:szCs w:val="18"/>
                <w:color w:val="auto"/>
              </w:rPr>
              <w:t>54</w:t>
            </w:r>
          </w:p>
        </w:tc>
        <w:tc>
          <w:tcPr>
            <w:tcW w:w="6040" w:type="dxa"/>
            <w:vAlign w:val="bottom"/>
            <w:gridSpan w:val="3"/>
          </w:tcPr>
          <w:p>
            <w:pPr>
              <w:ind w:left="320"/>
              <w:spacing w:after="0" w:line="193" w:lineRule="exact"/>
              <w:rPr>
                <w:sz w:val="20"/>
                <w:szCs w:val="20"/>
                <w:color w:val="auto"/>
              </w:rPr>
            </w:pPr>
            <w:r>
              <w:rPr>
                <w:rFonts w:ascii="Arial" w:cs="Arial" w:eastAsia="Arial" w:hAnsi="Arial"/>
                <w:sz w:val="18"/>
                <w:szCs w:val="18"/>
                <w:color w:val="auto"/>
                <w:w w:val="99"/>
              </w:rPr>
              <w:t>Senior Vice President and Chief Global Logistics and Operations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Gerard W. Fay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President, Avnet Electronics Marketing</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Richard P. Hamada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Chief Executive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Erin Lewin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General Counsel</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7"/>
              </w:rPr>
              <w:t>Senior Vice President and Chief Human Resources Officer and Corporate</w:t>
            </w:r>
          </w:p>
        </w:tc>
      </w:tr>
      <w:tr>
        <w:trPr>
          <w:trHeight w:val="203"/>
        </w:trPr>
        <w:tc>
          <w:tcPr>
            <w:tcW w:w="3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Communications</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Chief Financial Officer and Controller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Steven R. Phillips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6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Chief Information Officer</w:t>
            </w:r>
          </w:p>
        </w:tc>
      </w:tr>
      <w:tr>
        <w:trPr>
          <w:trHeight w:val="211"/>
        </w:trPr>
        <w:tc>
          <w:tcPr>
            <w:tcW w:w="4060" w:type="dxa"/>
            <w:vAlign w:val="bottom"/>
            <w:gridSpan w:val="2"/>
          </w:tcPr>
          <w:p>
            <w:pPr>
              <w:spacing w:after="0"/>
              <w:rPr>
                <w:sz w:val="20"/>
                <w:szCs w:val="20"/>
                <w:color w:val="auto"/>
              </w:rPr>
            </w:pPr>
            <w:r>
              <w:rPr>
                <w:rFonts w:ascii="Arial" w:cs="Arial" w:eastAsia="Arial" w:hAnsi="Arial"/>
                <w:sz w:val="18"/>
                <w:szCs w:val="18"/>
                <w:color w:val="auto"/>
              </w:rPr>
              <w:t>Patrick Zammit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6040" w:type="dxa"/>
            <w:vAlign w:val="bottom"/>
            <w:gridSpan w:val="3"/>
          </w:tcPr>
          <w:p>
            <w:pPr>
              <w:ind w:left="320"/>
              <w:spacing w:after="0"/>
              <w:rPr>
                <w:sz w:val="20"/>
                <w:szCs w:val="20"/>
                <w:color w:val="auto"/>
              </w:rPr>
            </w:pPr>
            <w:r>
              <w:rPr>
                <w:rFonts w:ascii="Arial" w:cs="Arial" w:eastAsia="Arial" w:hAnsi="Arial"/>
                <w:sz w:val="18"/>
                <w:szCs w:val="18"/>
                <w:color w:val="auto"/>
              </w:rPr>
              <w:t>Senior Vice President and President, Avnet Technology Solutions</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Mr. Buseman was appointed as Senior Vice President in 2014, and has been Chief Global Logistics and Operations Officer since 2013.</w:t>
      </w:r>
    </w:p>
    <w:p>
      <w:pPr>
        <w:ind w:right="400"/>
        <w:spacing w:after="0" w:line="239" w:lineRule="auto"/>
        <w:rPr>
          <w:sz w:val="20"/>
          <w:szCs w:val="20"/>
          <w:color w:val="auto"/>
        </w:rPr>
      </w:pPr>
      <w:r>
        <w:rPr>
          <w:rFonts w:ascii="Arial" w:cs="Arial" w:eastAsia="Arial" w:hAnsi="Arial"/>
          <w:sz w:val="18"/>
          <w:szCs w:val="18"/>
          <w:color w:val="auto"/>
        </w:rPr>
        <w:t>Mr. Buseman joined Avnet in 2013 from Plexus Corp, where he was Executive Vice President of Global Manufacturing Operations. He joined Plexus in 2006 as Vice President of Global Technology, Quality and Facilities.</w:t>
      </w:r>
    </w:p>
    <w:p>
      <w:pPr>
        <w:spacing w:after="0" w:line="74"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Mr. Fay has served as Senior Vice President and Global President of Avnet Electronics Marketing since 2013. He previously served as Chief Global Logistics and Operations Officer (2011 — 2013) and served as Senior Vice President of Global Strategic Accounts for Avnet United (2005</w:t>
      </w:r>
    </w:p>
    <w:p>
      <w:pPr>
        <w:spacing w:after="0" w:line="239" w:lineRule="auto"/>
        <w:rPr>
          <w:sz w:val="20"/>
          <w:szCs w:val="20"/>
          <w:color w:val="auto"/>
        </w:rPr>
      </w:pPr>
      <w:r>
        <w:rPr>
          <w:rFonts w:ascii="Arial" w:cs="Arial" w:eastAsia="Arial" w:hAnsi="Arial"/>
          <w:sz w:val="18"/>
          <w:szCs w:val="18"/>
          <w:color w:val="auto"/>
        </w:rPr>
        <w:t>— 2011). Mr. Fay joined Avnet in 2005 with the Company’s acquisition of electronic components distributor Memec, where he served as President of Memec Americas.</w:t>
      </w:r>
    </w:p>
    <w:p>
      <w:pPr>
        <w:spacing w:after="0" w:line="7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Mr. Hamada was appointed as a Director and Chief Executive Officer in 2011. He previously served as President (2010 — 2011), Chief Operating Officer (2006 — 2011) and Senior Vice President of Avnet (2002 — 2010). Mr. Hamada served as the President of Technology Solutions (2003 — 2006) and President of the Computer Marketing operating group (2002 — 2003). He was appointed Vice President of Avnet in 1999.</w:t>
      </w:r>
    </w:p>
    <w:p>
      <w:pPr>
        <w:spacing w:after="0" w:line="4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Ms. Lewin was appointed Senior Vice President and General Counsel in 2013. Previously, she served as Vice President and General Counsel, Americas (2009 — 2013), and Vice President and Chief Ethics and Compliance Officer (2007 — 2009). Before joining Avnet in 2007, Ms. Lewin was Managing Director and Associate General Counsel of US Airways.</w:t>
      </w:r>
    </w:p>
    <w:p>
      <w:pPr>
        <w:spacing w:after="0" w:line="7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Ms. Miller was appointed Senior Vice President in 2011 and served as Vice President from 2009 — 2011. She serves as the Company’s Chief Human Resources Officer and Corporate Communications. She previously served as Senior Vice President Global Human Resources (2008 — 2009) and Vice President of Talent and Organizational Effectiveness (2006 — 2008).</w:t>
      </w:r>
    </w:p>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Moriarty joined the Company in 2013 and is the Company’s Chief Financial Officer and a Senior Vice President. Prior to joining the Company, Mr. Moriarty served in a variety of senior leadership positions at Honeywell International, Inc. (2002 — 2012). He served as Vice President and Chief Financial Officer for Honeywell International’s Aerospace Business Group (2009 — 2012) and served as Vice President and Chief Financial Officer for the company’s Performance Materials and Technologies Group (2008 — 2009).</w:t>
      </w:r>
    </w:p>
    <w:p>
      <w:pPr>
        <w:spacing w:after="0" w:line="7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Mr. Phillips was appointed Senior Vice President and Chief Information Officer of Avnet in 2011 having served as Vice President and Chief Information Officer since 2006. He joined Avnet with the 2005 acquisition of Memec where he had served as Senior Vice President and Chief Information Officer since 2004.</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Mr. Zammit was appointed as Senior Vice President and Global President, Avnet Technology Solutions in 2015. Mr. Zammit previously served as President of Avnet Electronics Marketing EMEA (2006 – 2014).</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2015 Proxy Statement and incorporated by reference into the Company’s annual report on Form 10-K. This Report is provided by the following independent directors, who comprise the Committee:</w:t>
      </w:r>
    </w:p>
    <w:p>
      <w:pPr>
        <w:sectPr>
          <w:pgSz w:w="11900" w:h="16838" w:orient="portrait"/>
          <w:cols w:equalWidth="0" w:num="1">
            <w:col w:w="11380"/>
          </w:cols>
          <w:pgMar w:left="240" w:top="459" w:right="2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 Kerry Clark,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William J. Amelio</w:t>
      </w:r>
    </w:p>
    <w:p>
      <w:pPr>
        <w:spacing w:after="0"/>
        <w:rPr>
          <w:sz w:val="20"/>
          <w:szCs w:val="20"/>
          <w:color w:val="auto"/>
        </w:rPr>
      </w:pPr>
      <w:r>
        <w:rPr>
          <w:rFonts w:ascii="Arial" w:cs="Arial" w:eastAsia="Arial" w:hAnsi="Arial"/>
          <w:sz w:val="18"/>
          <w:szCs w:val="18"/>
          <w:color w:val="auto"/>
        </w:rPr>
        <w:t>J. Veronica Biggins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Michael A. Bradley</w:t>
      </w:r>
    </w:p>
    <w:p>
      <w:pPr>
        <w:spacing w:after="0"/>
        <w:rPr>
          <w:sz w:val="20"/>
          <w:szCs w:val="20"/>
          <w:color w:val="auto"/>
        </w:rPr>
      </w:pPr>
      <w:r>
        <w:rPr>
          <w:rFonts w:ascii="Arial" w:cs="Arial" w:eastAsia="Arial" w:hAnsi="Arial"/>
          <w:sz w:val="16"/>
          <w:szCs w:val="16"/>
          <w:color w:val="auto"/>
        </w:rPr>
        <w:t>William H. Schumann, III</w:t>
      </w:r>
    </w:p>
    <w:p>
      <w:pPr>
        <w:spacing w:after="0" w:line="369" w:lineRule="exact"/>
        <w:rPr>
          <w:sz w:val="20"/>
          <w:szCs w:val="20"/>
          <w:color w:val="auto"/>
        </w:rPr>
      </w:pPr>
    </w:p>
    <w:p>
      <w:pPr>
        <w:sectPr>
          <w:pgSz w:w="11900" w:h="16838" w:orient="portrait"/>
          <w:cols w:equalWidth="0" w:num="2">
            <w:col w:w="5560" w:space="720"/>
            <w:col w:w="510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45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section explains how the Compensation Committee of Avnet’s Board of Directors made its compensation decisions for the fiscal year ended June 27, 2015 (“fiscal 2015”), for the Named Executive Officers (the “NEOs”). The compensation paid to the NEOs for fiscal 2015 is set forth in the Summary Compensation Table in this Proxy Statement. These officers and their titles as of the end of fiscal 2015 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7"/>
              </w:rPr>
              <w:t>Executive</w:t>
            </w:r>
          </w:p>
        </w:tc>
        <w:tc>
          <w:tcPr>
            <w:tcW w:w="100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7"/>
              </w:rPr>
              <w:t>Position</w:t>
            </w:r>
          </w:p>
        </w:tc>
        <w:tc>
          <w:tcPr>
            <w:tcW w:w="8000" w:type="dxa"/>
            <w:vAlign w:val="bottom"/>
            <w:vMerge w:val="restart"/>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Time in</w:t>
            </w:r>
          </w:p>
        </w:tc>
        <w:tc>
          <w:tcPr>
            <w:tcW w:w="0" w:type="dxa"/>
            <w:vAlign w:val="bottom"/>
          </w:tcPr>
          <w:p>
            <w:pPr>
              <w:spacing w:after="0"/>
              <w:rPr>
                <w:sz w:val="1"/>
                <w:szCs w:val="1"/>
                <w:color w:val="auto"/>
              </w:rPr>
            </w:pPr>
          </w:p>
        </w:tc>
      </w:tr>
      <w:tr>
        <w:trPr>
          <w:trHeight w:val="172"/>
        </w:trPr>
        <w:tc>
          <w:tcPr>
            <w:tcW w:w="660" w:type="dxa"/>
            <w:vAlign w:val="bottom"/>
            <w:tcBorders>
              <w:bottom w:val="single" w:sz="8" w:color="auto"/>
            </w:tcBorders>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00" w:type="dxa"/>
            <w:vAlign w:val="bottom"/>
            <w:vMerge w:val="continue"/>
          </w:tcPr>
          <w:p>
            <w:pPr>
              <w:spacing w:after="0"/>
              <w:rPr>
                <w:sz w:val="14"/>
                <w:szCs w:val="14"/>
                <w:color w:val="auto"/>
              </w:rPr>
            </w:pP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Position (yrs)</w:t>
            </w:r>
          </w:p>
        </w:tc>
        <w:tc>
          <w:tcPr>
            <w:tcW w:w="0" w:type="dxa"/>
            <w:vAlign w:val="bottom"/>
          </w:tcPr>
          <w:p>
            <w:pPr>
              <w:spacing w:after="0"/>
              <w:rPr>
                <w:sz w:val="1"/>
                <w:szCs w:val="1"/>
                <w:color w:val="auto"/>
              </w:rPr>
            </w:pPr>
          </w:p>
        </w:tc>
      </w:tr>
      <w:tr>
        <w:trPr>
          <w:trHeight w:val="190"/>
        </w:trPr>
        <w:tc>
          <w:tcPr>
            <w:tcW w:w="1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Richard Hamada</w:t>
            </w:r>
          </w:p>
        </w:tc>
        <w:tc>
          <w:tcPr>
            <w:tcW w:w="8900" w:type="dxa"/>
            <w:vAlign w:val="bottom"/>
            <w:tcBorders>
              <w:top w:val="single" w:sz="8" w:color="CCEEFF"/>
            </w:tcBorders>
            <w:gridSpan w:val="3"/>
            <w:shd w:val="clear" w:color="auto" w:fill="CCEEFF"/>
          </w:tcPr>
          <w:p>
            <w:pPr>
              <w:ind w:left="340"/>
              <w:spacing w:after="0" w:line="189" w:lineRule="exact"/>
              <w:rPr>
                <w:sz w:val="20"/>
                <w:szCs w:val="20"/>
                <w:color w:val="auto"/>
              </w:rPr>
            </w:pPr>
            <w:r>
              <w:rPr>
                <w:rFonts w:ascii="Arial" w:cs="Arial" w:eastAsia="Arial" w:hAnsi="Arial"/>
                <w:sz w:val="18"/>
                <w:szCs w:val="18"/>
                <w:color w:val="auto"/>
              </w:rPr>
              <w:t>Chief Executive Officer (“CEO”)</w:t>
            </w:r>
          </w:p>
        </w:tc>
        <w:tc>
          <w:tcPr>
            <w:tcW w:w="8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89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Senior Vice President and Chief Financial Officer (“CFO”)</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Gerard Fay</w:t>
            </w:r>
          </w:p>
        </w:tc>
        <w:tc>
          <w:tcPr>
            <w:tcW w:w="8900" w:type="dxa"/>
            <w:vAlign w:val="bottom"/>
            <w:gridSpan w:val="3"/>
            <w:shd w:val="clear" w:color="auto" w:fill="CCEEFF"/>
          </w:tcPr>
          <w:p>
            <w:pPr>
              <w:ind w:left="340"/>
              <w:spacing w:after="0" w:line="202" w:lineRule="exact"/>
              <w:rPr>
                <w:sz w:val="20"/>
                <w:szCs w:val="20"/>
                <w:color w:val="auto"/>
              </w:rPr>
            </w:pPr>
            <w:r>
              <w:rPr>
                <w:rFonts w:ascii="Arial" w:cs="Arial" w:eastAsia="Arial" w:hAnsi="Arial"/>
                <w:sz w:val="18"/>
                <w:szCs w:val="18"/>
                <w:color w:val="auto"/>
              </w:rPr>
              <w:t>Senior Vice President, Avnet, Inc. and President, Electronics Marketing (“EM”)</w:t>
            </w:r>
          </w:p>
        </w:tc>
        <w:tc>
          <w:tcPr>
            <w:tcW w:w="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line="202" w:lineRule="exact"/>
              <w:rPr>
                <w:sz w:val="20"/>
                <w:szCs w:val="20"/>
                <w:color w:val="auto"/>
              </w:rPr>
            </w:pPr>
            <w:r>
              <w:rPr>
                <w:rFonts w:ascii="Arial" w:cs="Arial" w:eastAsia="Arial" w:hAnsi="Arial"/>
                <w:sz w:val="18"/>
                <w:szCs w:val="18"/>
                <w:color w:val="auto"/>
              </w:rPr>
              <w:t>Patrick Zammit</w:t>
            </w:r>
          </w:p>
        </w:tc>
        <w:tc>
          <w:tcPr>
            <w:tcW w:w="89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Senior Vice President, Avnet, Inc. and President, Technology Solutions (“TS”)</w:t>
            </w: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5"/>
              </w:rPr>
              <w:t>0.5</w:t>
            </w:r>
          </w:p>
        </w:tc>
        <w:tc>
          <w:tcPr>
            <w:tcW w:w="0" w:type="dxa"/>
            <w:vAlign w:val="bottom"/>
          </w:tcPr>
          <w:p>
            <w:pPr>
              <w:spacing w:after="0"/>
              <w:rPr>
                <w:sz w:val="1"/>
                <w:szCs w:val="1"/>
                <w:color w:val="auto"/>
              </w:rPr>
            </w:pPr>
          </w:p>
        </w:tc>
      </w:tr>
      <w:tr>
        <w:trPr>
          <w:trHeight w:val="206"/>
        </w:trPr>
        <w:tc>
          <w:tcPr>
            <w:tcW w:w="16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MaryAnn Miller</w:t>
            </w:r>
          </w:p>
        </w:tc>
        <w:tc>
          <w:tcPr>
            <w:tcW w:w="8900" w:type="dxa"/>
            <w:vAlign w:val="bottom"/>
            <w:gridSpan w:val="3"/>
            <w:shd w:val="clear" w:color="auto" w:fill="CCEEFF"/>
          </w:tcPr>
          <w:p>
            <w:pPr>
              <w:ind w:left="340"/>
              <w:spacing w:after="0" w:line="206" w:lineRule="exact"/>
              <w:rPr>
                <w:sz w:val="20"/>
                <w:szCs w:val="20"/>
                <w:color w:val="auto"/>
              </w:rPr>
            </w:pPr>
            <w:r>
              <w:rPr>
                <w:rFonts w:ascii="Arial" w:cs="Arial" w:eastAsia="Arial" w:hAnsi="Arial"/>
                <w:sz w:val="18"/>
                <w:szCs w:val="18"/>
                <w:color w:val="auto"/>
              </w:rPr>
              <w:t>Senior Vice President and Chief Human Resources Officer and Corporate Communications (</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900" w:type="dxa"/>
            <w:vAlign w:val="bottom"/>
            <w:gridSpan w:val="3"/>
            <w:shd w:val="clear" w:color="auto" w:fill="CCEEFF"/>
          </w:tcPr>
          <w:p>
            <w:pPr>
              <w:ind w:left="340"/>
              <w:spacing w:after="0" w:line="200" w:lineRule="exact"/>
              <w:rPr>
                <w:sz w:val="20"/>
                <w:szCs w:val="20"/>
                <w:color w:val="auto"/>
              </w:rPr>
            </w:pPr>
            <w:r>
              <w:rPr>
                <w:rFonts w:ascii="Arial" w:cs="Arial" w:eastAsia="Arial" w:hAnsi="Arial"/>
                <w:sz w:val="18"/>
                <w:szCs w:val="18"/>
                <w:color w:val="auto"/>
              </w:rPr>
              <w:t>“CHRO”)</w:t>
            </w:r>
          </w:p>
        </w:tc>
        <w:tc>
          <w:tcPr>
            <w:tcW w:w="8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5"/>
              </w:rPr>
              <w:t>6.5</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Mr. Zammit was promoted to TS President effective January 2015. Prior to this role, Mr. Zammit served as President of Avnet EM EMEA (Europe, the Middle East and Africa).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Avnet has designed its compensation programs and practices around a pay-for-performance philosophy that is geared towards the achievement and linkage of both short- and long-term financial and operational goals that the Company believes support the sustained growth of shareholder value. Senior executives are encouraged to think and behave like owners of the business and to consider the impact of their decisions and performance on the aggregate success of the Company as reflected in its total shareholder return (“TSR”).</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Performance</w:t>
      </w:r>
    </w:p>
    <w:p>
      <w:pPr>
        <w:spacing w:after="0" w:line="97"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The Company delivered consistent improvement in its financial performance as revenue grew year over year and adjusted operating income margin expanded in all four quarters year over year despite the significant strengthening of the U.S. Dollar throughout fiscal 2015. During fiscal 2015, the Company increased reported sales by 1.5%, adjusted operating income increased 4.4% and adjusted earnings per share increased</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5.9%. This increase in profitability, combined with the Company’s working capital management, drove cash flow from operations up 146% from fiscal 2014 to $584 million, and return on working capital increased to 21.6%. In addition, during fiscal 2015, the Company increased its dividend by 7% and returned $247 million to shareholders via its dividend ($87 million) and share repurchase program ($160 million). The Company created total shareholder return of 2.2% over the prior year and 47.0% over the prior three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Performance on key financials is detailed in the table below:</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w w:val="98"/>
              </w:rPr>
              <w:t>Fiscal 2014</w:t>
            </w:r>
          </w:p>
        </w:tc>
        <w:tc>
          <w:tcPr>
            <w:tcW w:w="18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Fiscal 2015</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r>
      <w:tr>
        <w:trPr>
          <w:trHeight w:val="142"/>
        </w:trPr>
        <w:tc>
          <w:tcPr>
            <w:tcW w:w="40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 except per share data</w:t>
            </w: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3720" w:type="dxa"/>
            <w:vAlign w:val="bottom"/>
            <w:gridSpan w:val="3"/>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$27,499.7</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w w:val="96"/>
              </w:rPr>
              <w:t>27,924.7</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Operating income, as adjusted</w:t>
            </w:r>
            <w:r>
              <w:rPr>
                <w:rFonts w:ascii="Arial" w:cs="Arial" w:eastAsia="Arial" w:hAnsi="Arial"/>
                <w:sz w:val="11"/>
                <w:szCs w:val="11"/>
                <w:color w:val="auto"/>
              </w:rPr>
              <w:t>(*)</w:t>
            </w:r>
          </w:p>
        </w:tc>
        <w:tc>
          <w:tcPr>
            <w:tcW w:w="28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931.3</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972.5</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as adjusted</w:t>
            </w:r>
            <w:r>
              <w:rPr>
                <w:rFonts w:ascii="Arial" w:cs="Arial" w:eastAsia="Arial" w:hAnsi="Arial"/>
                <w:sz w:val="11"/>
                <w:szCs w:val="11"/>
                <w:color w:val="auto"/>
              </w:rPr>
              <w:t>(*)</w:t>
            </w:r>
          </w:p>
        </w:tc>
        <w:tc>
          <w:tcPr>
            <w:tcW w:w="28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594.1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623.1</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11"/>
                <w:szCs w:val="11"/>
                <w:color w:val="auto"/>
              </w:rPr>
              <w:t>(*)</w:t>
            </w:r>
          </w:p>
        </w:tc>
        <w:tc>
          <w:tcPr>
            <w:tcW w:w="28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4.24</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4.49</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CEO compensation</w:t>
            </w:r>
            <w:r>
              <w:rPr>
                <w:rFonts w:ascii="Arial" w:cs="Arial" w:eastAsia="Arial" w:hAnsi="Arial"/>
                <w:sz w:val="11"/>
                <w:szCs w:val="11"/>
                <w:color w:val="auto"/>
              </w:rPr>
              <w:t>(+)</w:t>
            </w:r>
          </w:p>
        </w:tc>
        <w:tc>
          <w:tcPr>
            <w:tcW w:w="28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6.91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6.74</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r>
      <w:tr>
        <w:trPr>
          <w:trHeight w:val="363"/>
        </w:trPr>
        <w:tc>
          <w:tcPr>
            <w:tcW w:w="4020" w:type="dxa"/>
            <w:vAlign w:val="bottom"/>
          </w:tcPr>
          <w:p>
            <w:pPr>
              <w:spacing w:after="0"/>
              <w:rPr>
                <w:sz w:val="24"/>
                <w:szCs w:val="24"/>
                <w:color w:val="auto"/>
              </w:rPr>
            </w:pPr>
          </w:p>
        </w:tc>
        <w:tc>
          <w:tcPr>
            <w:tcW w:w="2580" w:type="dxa"/>
            <w:vAlign w:val="bottom"/>
          </w:tcPr>
          <w:p>
            <w:pPr>
              <w:jc w:val="right"/>
              <w:ind w:right="115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340" w:right="20" w:hanging="332"/>
        <w:spacing w:after="0" w:line="229"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presents operating income, net income and diluted earnings per share adjusted to exclude certain items in the table above. The Company believes that these metrics, adjusted for the impact of certain items, is a useful measure to help shareholders better assess and understand the Company’s performance, especially when comparing results with previous periods, primarily because management views the excluded items to be outside of Avnet’s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3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CEO total compensation is based on the compensation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123305" cy="2847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330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See (*) above.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Committee’s objective is to establish and administer a compensation program that supports the achievement of Avnet’s business objectives and alignment of executive and shareholder interests by fairly and competitively rewarding short- and long-term performance that enhances shareholder value over time. Avnet’s short- and long-term incentive programs employ multiple performance measures to ensure focus is on the entire business. Further, the incentive programs 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Advisory Vote on Executive Compensation</w:t>
      </w:r>
    </w:p>
    <w:p>
      <w:pPr>
        <w:spacing w:after="0" w:line="9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At the Company’s annual meeting in November 2014, the Company submitted its executive compensation program to an advisory vote of its shareholders (also known as the “say on pay vote”). This advisory vote received support from approximately 97% of the total votes cast at the annual meeting. The Company pays careful attention to any feedback received from its shareholders about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Company’s executive compensation program, including the say on pay vote. After the annual meeting, the Company conducted a shareholder outreach program with a number of its largest registered shareholders to seek their feedback on the Company’s corporate governance and executive compensation practices. There were no significant concerns expressed during the various discussions with registered shareholders that led the Compensation Committee to make material changes to the Company’s compensation programs. The Compensation Committee carefully considered and continues to consider the results of the say on pay vote and the feedback received from its shareholders in its subsequent executive compensation decision-making.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Compensation Committee and Board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7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designs the compensation strategy and programs;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approves the compensation for executive officers in line with the compensation strategy;</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determines the target compensation, including the amount and related performance goals, for all executive officers except the CEO; and</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recommends the target compensation of the CEO to the independent directors of the Board for their consideration and approval.</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When setting CEO compensation, the Compensation Committee provides a decision-making framework for use in making a recommendation to the Board. As part of this framework, the Chairman of the Board leads the Board in conducting an annual evaluation of CEO performance relative to the performance goals and objectives established for the Company and the CEO. The CEO’s performance objectives include goals relating to enterprise performance, capital allocation strategies, strategic business plans and succession planning.</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other executive officers, the Compensation Committee determines target compensation and sets performance goals. After the end of the fiscal year, the Compensation Committee reviews the prior year’s performance and approves or recommends incentive plan payouts for all executive officers.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aid in determining the compensation for the Company’s executive officers, the CEO discusses the performance of each executive officer with the Compensation Committee and provides the Compensation Committee with recommendations on the compensation levels for each individual. When making the recommendations, the CEO considers items such as the value of the job in the marketplace and within the Company, the executive officer’s performance, overall experience and time in the position, and expected future contributions. The Compensation Committee subsequently evaluates all of the factors considered by the CEO and reviews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9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Compensation Committee has retained Meridian Compensation Partners, LLC (“Meridian”), to serve as the independent compensation consultant. Meridian provides the Compensation Committee and the Board with a summary that tallies the dollar value of the base salary, target annual cash incentive, target long-term incentives and target total direct compensation, along with relevant benchmarking data using the peer groups defined below.</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Benchmarking</w:t>
      </w:r>
    </w:p>
    <w:p>
      <w:pPr>
        <w:spacing w:after="0" w:line="9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To ensure the Compensation Committee has the information necessary to set appropriate compensation levels, the Compensation Committee reviews publicly available executive compensation data from:</w:t>
      </w:r>
    </w:p>
    <w:p>
      <w:pPr>
        <w:spacing w:after="0" w:line="74"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“core peer group”;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“supplemental peer group”.</w:t>
      </w:r>
    </w:p>
    <w:p>
      <w:pPr>
        <w:spacing w:after="0" w:line="7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“core peer group” is comprised of technology distributors and electronic components manufacturing companies that are generally comparable to the Company in terms of revenue and market capitalization. The “supplemental peer group” is comprised of peers of the core peer group that are similar to the Company with respect to business operations, revenue and market capitalization. The supplemental peer group data is used to augment and validate core peer group data by providing a broader data sample from which to evaluate compensation practices.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 fiscal 2015, the peer groups consisted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Core Peer Group</w:t>
            </w:r>
          </w:p>
        </w:tc>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Arrow Electronics, Inc.</w:t>
            </w:r>
          </w:p>
        </w:tc>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Ingram Micro Inc.</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SYNNEX Corporation</w:t>
            </w:r>
          </w:p>
        </w:tc>
      </w:tr>
      <w:tr>
        <w:trPr>
          <w:trHeight w:val="213"/>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(6 Companies)</w:t>
            </w:r>
          </w:p>
        </w:tc>
        <w:tc>
          <w:tcPr>
            <w:tcW w:w="2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Flextronics International Ltd.</w:t>
            </w:r>
          </w:p>
        </w:tc>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Jabil Circuit, Inc.</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Tech Data Corporation</w:t>
            </w:r>
          </w:p>
        </w:tc>
      </w:tr>
      <w:tr>
        <w:trPr>
          <w:trHeight w:val="422"/>
        </w:trPr>
        <w:tc>
          <w:tcPr>
            <w:tcW w:w="2380" w:type="dxa"/>
            <w:vAlign w:val="bottom"/>
          </w:tcPr>
          <w:p>
            <w:pPr>
              <w:spacing w:after="0"/>
              <w:rPr>
                <w:sz w:val="20"/>
                <w:szCs w:val="20"/>
                <w:color w:val="auto"/>
              </w:rPr>
            </w:pPr>
            <w:r>
              <w:rPr>
                <w:rFonts w:ascii="Arial" w:cs="Arial" w:eastAsia="Arial" w:hAnsi="Arial"/>
                <w:sz w:val="18"/>
                <w:szCs w:val="18"/>
                <w:b w:val="1"/>
                <w:bCs w:val="1"/>
                <w:color w:val="auto"/>
              </w:rPr>
              <w:t>Supplemental Peer Group</w:t>
            </w:r>
          </w:p>
        </w:tc>
        <w:tc>
          <w:tcPr>
            <w:tcW w:w="2900" w:type="dxa"/>
            <w:vAlign w:val="bottom"/>
          </w:tcPr>
          <w:p>
            <w:pPr>
              <w:ind w:left="240"/>
              <w:spacing w:after="0"/>
              <w:rPr>
                <w:sz w:val="20"/>
                <w:szCs w:val="20"/>
                <w:color w:val="auto"/>
              </w:rPr>
            </w:pPr>
            <w:r>
              <w:rPr>
                <w:rFonts w:ascii="Arial" w:cs="Arial" w:eastAsia="Arial" w:hAnsi="Arial"/>
                <w:sz w:val="18"/>
                <w:szCs w:val="18"/>
                <w:color w:val="auto"/>
              </w:rPr>
              <w:t>Anixter International Inc.</w:t>
            </w:r>
          </w:p>
        </w:tc>
        <w:tc>
          <w:tcPr>
            <w:tcW w:w="2760" w:type="dxa"/>
            <w:vAlign w:val="bottom"/>
          </w:tcPr>
          <w:p>
            <w:pPr>
              <w:ind w:left="460"/>
              <w:spacing w:after="0"/>
              <w:rPr>
                <w:sz w:val="20"/>
                <w:szCs w:val="20"/>
                <w:color w:val="auto"/>
              </w:rPr>
            </w:pPr>
            <w:r>
              <w:rPr>
                <w:rFonts w:ascii="Arial" w:cs="Arial" w:eastAsia="Arial" w:hAnsi="Arial"/>
                <w:sz w:val="18"/>
                <w:szCs w:val="18"/>
                <w:color w:val="auto"/>
              </w:rPr>
              <w:t>ScanSource, Inc.</w:t>
            </w:r>
          </w:p>
        </w:tc>
        <w:tc>
          <w:tcPr>
            <w:tcW w:w="3380" w:type="dxa"/>
            <w:vAlign w:val="bottom"/>
          </w:tcPr>
          <w:p>
            <w:pPr>
              <w:ind w:left="400"/>
              <w:spacing w:after="0"/>
              <w:rPr>
                <w:sz w:val="20"/>
                <w:szCs w:val="20"/>
                <w:color w:val="auto"/>
              </w:rPr>
            </w:pPr>
            <w:r>
              <w:rPr>
                <w:rFonts w:ascii="Arial" w:cs="Arial" w:eastAsia="Arial" w:hAnsi="Arial"/>
                <w:sz w:val="18"/>
                <w:szCs w:val="18"/>
                <w:color w:val="auto"/>
              </w:rPr>
              <w:t>W.W. Grainger, Inc.</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(13 Companies)</w:t>
            </w:r>
          </w:p>
        </w:tc>
        <w:tc>
          <w:tcPr>
            <w:tcW w:w="2900" w:type="dxa"/>
            <w:vAlign w:val="bottom"/>
          </w:tcPr>
          <w:p>
            <w:pPr>
              <w:ind w:left="240"/>
              <w:spacing w:after="0" w:line="202" w:lineRule="exact"/>
              <w:rPr>
                <w:sz w:val="20"/>
                <w:szCs w:val="20"/>
                <w:color w:val="auto"/>
              </w:rPr>
            </w:pPr>
            <w:r>
              <w:rPr>
                <w:rFonts w:ascii="Arial" w:cs="Arial" w:eastAsia="Arial" w:hAnsi="Arial"/>
                <w:sz w:val="18"/>
                <w:szCs w:val="18"/>
                <w:color w:val="auto"/>
              </w:rPr>
              <w:t>Celestica Inc.</w:t>
            </w:r>
          </w:p>
        </w:tc>
        <w:tc>
          <w:tcPr>
            <w:tcW w:w="2760" w:type="dxa"/>
            <w:vAlign w:val="bottom"/>
          </w:tcPr>
          <w:p>
            <w:pPr>
              <w:ind w:left="460"/>
              <w:spacing w:after="0" w:line="202" w:lineRule="exact"/>
              <w:rPr>
                <w:sz w:val="20"/>
                <w:szCs w:val="20"/>
                <w:color w:val="auto"/>
              </w:rPr>
            </w:pPr>
            <w:r>
              <w:rPr>
                <w:rFonts w:ascii="Arial" w:cs="Arial" w:eastAsia="Arial" w:hAnsi="Arial"/>
                <w:sz w:val="18"/>
                <w:szCs w:val="18"/>
                <w:color w:val="auto"/>
              </w:rPr>
              <w:t>Seagate Technology Plc</w:t>
            </w: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Wesco International, Inc.</w:t>
            </w:r>
          </w:p>
        </w:tc>
      </w:tr>
      <w:tr>
        <w:trPr>
          <w:trHeight w:val="203"/>
        </w:trPr>
        <w:tc>
          <w:tcPr>
            <w:tcW w:w="2380" w:type="dxa"/>
            <w:vAlign w:val="bottom"/>
          </w:tcPr>
          <w:p>
            <w:pPr>
              <w:spacing w:after="0"/>
              <w:rPr>
                <w:sz w:val="17"/>
                <w:szCs w:val="17"/>
                <w:color w:val="auto"/>
              </w:rPr>
            </w:pPr>
          </w:p>
        </w:tc>
        <w:tc>
          <w:tcPr>
            <w:tcW w:w="2900" w:type="dxa"/>
            <w:vAlign w:val="bottom"/>
          </w:tcPr>
          <w:p>
            <w:pPr>
              <w:ind w:left="240"/>
              <w:spacing w:after="0" w:line="202" w:lineRule="exact"/>
              <w:rPr>
                <w:sz w:val="20"/>
                <w:szCs w:val="20"/>
                <w:color w:val="auto"/>
              </w:rPr>
            </w:pPr>
            <w:r>
              <w:rPr>
                <w:rFonts w:ascii="Arial" w:cs="Arial" w:eastAsia="Arial" w:hAnsi="Arial"/>
                <w:sz w:val="18"/>
                <w:szCs w:val="18"/>
                <w:color w:val="auto"/>
              </w:rPr>
              <w:t>Genuine Parts Company</w:t>
            </w:r>
          </w:p>
        </w:tc>
        <w:tc>
          <w:tcPr>
            <w:tcW w:w="2760" w:type="dxa"/>
            <w:vAlign w:val="bottom"/>
          </w:tcPr>
          <w:p>
            <w:pPr>
              <w:ind w:left="460"/>
              <w:spacing w:after="0" w:line="202" w:lineRule="exact"/>
              <w:rPr>
                <w:sz w:val="20"/>
                <w:szCs w:val="20"/>
                <w:color w:val="auto"/>
              </w:rPr>
            </w:pPr>
            <w:r>
              <w:rPr>
                <w:rFonts w:ascii="Arial" w:cs="Arial" w:eastAsia="Arial" w:hAnsi="Arial"/>
                <w:sz w:val="18"/>
                <w:szCs w:val="18"/>
                <w:color w:val="auto"/>
              </w:rPr>
              <w:t>Sysco Corporation</w:t>
            </w: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Western Digital Corporation</w:t>
            </w:r>
          </w:p>
        </w:tc>
      </w:tr>
      <w:tr>
        <w:trPr>
          <w:trHeight w:val="203"/>
        </w:trPr>
        <w:tc>
          <w:tcPr>
            <w:tcW w:w="2380" w:type="dxa"/>
            <w:vAlign w:val="bottom"/>
          </w:tcPr>
          <w:p>
            <w:pPr>
              <w:spacing w:after="0"/>
              <w:rPr>
                <w:sz w:val="17"/>
                <w:szCs w:val="17"/>
                <w:color w:val="auto"/>
              </w:rPr>
            </w:pPr>
          </w:p>
        </w:tc>
        <w:tc>
          <w:tcPr>
            <w:tcW w:w="2900" w:type="dxa"/>
            <w:vAlign w:val="bottom"/>
          </w:tcPr>
          <w:p>
            <w:pPr>
              <w:ind w:left="240"/>
              <w:spacing w:after="0" w:line="202" w:lineRule="exact"/>
              <w:rPr>
                <w:sz w:val="20"/>
                <w:szCs w:val="20"/>
                <w:color w:val="auto"/>
              </w:rPr>
            </w:pPr>
            <w:r>
              <w:rPr>
                <w:rFonts w:ascii="Arial" w:cs="Arial" w:eastAsia="Arial" w:hAnsi="Arial"/>
                <w:sz w:val="18"/>
                <w:szCs w:val="18"/>
                <w:color w:val="auto"/>
              </w:rPr>
              <w:t>Insight Enterprises, Inc.</w:t>
            </w:r>
          </w:p>
        </w:tc>
        <w:tc>
          <w:tcPr>
            <w:tcW w:w="2760" w:type="dxa"/>
            <w:vAlign w:val="bottom"/>
          </w:tcPr>
          <w:p>
            <w:pPr>
              <w:ind w:left="460"/>
              <w:spacing w:after="0" w:line="202" w:lineRule="exact"/>
              <w:rPr>
                <w:sz w:val="20"/>
                <w:szCs w:val="20"/>
                <w:color w:val="auto"/>
              </w:rPr>
            </w:pPr>
            <w:r>
              <w:rPr>
                <w:rFonts w:ascii="Arial" w:cs="Arial" w:eastAsia="Arial" w:hAnsi="Arial"/>
                <w:sz w:val="18"/>
                <w:szCs w:val="18"/>
                <w:color w:val="auto"/>
              </w:rPr>
              <w:t>TE Connectivity Ltd.</w:t>
            </w: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Xerox Corporation</w:t>
            </w:r>
          </w:p>
        </w:tc>
      </w:tr>
      <w:tr>
        <w:trPr>
          <w:trHeight w:val="211"/>
        </w:trPr>
        <w:tc>
          <w:tcPr>
            <w:tcW w:w="2380" w:type="dxa"/>
            <w:vAlign w:val="bottom"/>
          </w:tcPr>
          <w:p>
            <w:pPr>
              <w:spacing w:after="0"/>
              <w:rPr>
                <w:sz w:val="18"/>
                <w:szCs w:val="18"/>
                <w:color w:val="auto"/>
              </w:rPr>
            </w:pPr>
          </w:p>
        </w:tc>
        <w:tc>
          <w:tcPr>
            <w:tcW w:w="2900" w:type="dxa"/>
            <w:vAlign w:val="bottom"/>
          </w:tcPr>
          <w:p>
            <w:pPr>
              <w:ind w:left="240"/>
              <w:spacing w:after="0"/>
              <w:rPr>
                <w:sz w:val="20"/>
                <w:szCs w:val="20"/>
                <w:color w:val="auto"/>
              </w:rPr>
            </w:pPr>
            <w:r>
              <w:rPr>
                <w:rFonts w:ascii="Arial" w:cs="Arial" w:eastAsia="Arial" w:hAnsi="Arial"/>
                <w:sz w:val="18"/>
                <w:szCs w:val="18"/>
                <w:color w:val="auto"/>
              </w:rPr>
              <w:t>Sanmina Corporation</w:t>
            </w:r>
          </w:p>
        </w:tc>
        <w:tc>
          <w:tcPr>
            <w:tcW w:w="2760" w:type="dxa"/>
            <w:vAlign w:val="bottom"/>
          </w:tcPr>
          <w:p>
            <w:pPr>
              <w:spacing w:after="0"/>
              <w:rPr>
                <w:sz w:val="18"/>
                <w:szCs w:val="18"/>
                <w:color w:val="auto"/>
              </w:rPr>
            </w:pPr>
          </w:p>
        </w:tc>
        <w:tc>
          <w:tcPr>
            <w:tcW w:w="3380" w:type="dxa"/>
            <w:vAlign w:val="bottom"/>
          </w:tcPr>
          <w:p>
            <w:pPr>
              <w:spacing w:after="0"/>
              <w:rPr>
                <w:sz w:val="18"/>
                <w:szCs w:val="18"/>
                <w:color w:val="auto"/>
              </w:rPr>
            </w:pPr>
          </w:p>
        </w:tc>
      </w:tr>
    </w:tbl>
    <w:p>
      <w:pPr>
        <w:spacing w:after="0" w:line="8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Data is presented for the peers using two reference points: core peer group only and a combination of the core and supplemental peer groups. The median revenue and market capitalization for each peer group and Avnet is shown in the table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Fiscal 2014 ($ in billions)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Peer Group/Company</w:t>
            </w:r>
          </w:p>
        </w:tc>
        <w:tc>
          <w:tcPr>
            <w:tcW w:w="3500" w:type="dxa"/>
            <w:vAlign w:val="bottom"/>
            <w:vMerge w:val="restart"/>
          </w:tcPr>
          <w:p>
            <w:pPr>
              <w:spacing w:after="0"/>
              <w:rPr>
                <w:sz w:val="10"/>
                <w:szCs w:val="10"/>
                <w:color w:val="auto"/>
              </w:rPr>
            </w:pPr>
          </w:p>
        </w:tc>
        <w:tc>
          <w:tcPr>
            <w:tcW w:w="2940" w:type="dxa"/>
            <w:vAlign w:val="bottom"/>
          </w:tcPr>
          <w:p>
            <w:pPr>
              <w:spacing w:after="0"/>
              <w:rPr>
                <w:sz w:val="10"/>
                <w:szCs w:val="10"/>
                <w:color w:val="auto"/>
              </w:rPr>
            </w:pPr>
          </w:p>
        </w:tc>
        <w:tc>
          <w:tcPr>
            <w:tcW w:w="1520" w:type="dxa"/>
            <w:vAlign w:val="bottom"/>
            <w:gridSpan w:val="3"/>
          </w:tcPr>
          <w:p>
            <w:pPr>
              <w:jc w:val="right"/>
              <w:ind w:right="1000"/>
              <w:spacing w:after="0" w:line="125" w:lineRule="exact"/>
              <w:rPr>
                <w:sz w:val="20"/>
                <w:szCs w:val="20"/>
                <w:color w:val="auto"/>
              </w:rPr>
            </w:pPr>
            <w:r>
              <w:rPr>
                <w:rFonts w:ascii="Arial" w:cs="Arial" w:eastAsia="Arial" w:hAnsi="Arial"/>
                <w:sz w:val="14"/>
                <w:szCs w:val="14"/>
                <w:b w:val="1"/>
                <w:bCs w:val="1"/>
                <w:color w:val="auto"/>
              </w:rPr>
              <w:t>Median</w:t>
            </w:r>
          </w:p>
        </w:tc>
        <w:tc>
          <w:tcPr>
            <w:tcW w:w="9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w w:val="94"/>
              </w:rPr>
              <w:t>Median 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480" w:type="dxa"/>
            <w:vAlign w:val="bottom"/>
            <w:tcBorders>
              <w:bottom w:val="single" w:sz="8" w:color="auto"/>
            </w:tcBorders>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2940" w:type="dxa"/>
            <w:vAlign w:val="bottom"/>
          </w:tcPr>
          <w:p>
            <w:pPr>
              <w:spacing w:after="0"/>
              <w:rPr>
                <w:sz w:val="13"/>
                <w:szCs w:val="13"/>
                <w:color w:val="auto"/>
              </w:rPr>
            </w:pPr>
          </w:p>
        </w:tc>
        <w:tc>
          <w:tcPr>
            <w:tcW w:w="152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Revenue</w:t>
            </w:r>
          </w:p>
        </w:tc>
        <w:tc>
          <w:tcPr>
            <w:tcW w:w="106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Capitalization</w:t>
            </w:r>
          </w:p>
        </w:tc>
        <w:tc>
          <w:tcPr>
            <w:tcW w:w="0" w:type="dxa"/>
            <w:vAlign w:val="bottom"/>
          </w:tcPr>
          <w:p>
            <w:pPr>
              <w:spacing w:after="0"/>
              <w:rPr>
                <w:sz w:val="1"/>
                <w:szCs w:val="1"/>
                <w:color w:val="auto"/>
              </w:rPr>
            </w:pPr>
          </w:p>
        </w:tc>
      </w:tr>
      <w:tr>
        <w:trPr>
          <w:trHeight w:val="20"/>
        </w:trPr>
        <w:tc>
          <w:tcPr>
            <w:tcW w:w="4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Core Peer Group</w:t>
            </w:r>
          </w:p>
        </w:tc>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gridSpan w:val="2"/>
            <w:vMerge w:val="continue"/>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60"/>
              <w:spacing w:after="0" w:line="189" w:lineRule="exact"/>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Supplemental Peer Group</w:t>
            </w:r>
          </w:p>
        </w:tc>
        <w:tc>
          <w:tcPr>
            <w:tcW w:w="3100" w:type="dxa"/>
            <w:vAlign w:val="bottom"/>
            <w:gridSpan w:val="2"/>
          </w:tcPr>
          <w:p>
            <w:pPr>
              <w:ind w:left="29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10.0</w:t>
            </w:r>
          </w:p>
        </w:tc>
        <w:tc>
          <w:tcPr>
            <w:tcW w:w="5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Combined Group</w:t>
            </w:r>
          </w:p>
        </w:tc>
        <w:tc>
          <w:tcPr>
            <w:tcW w:w="3100" w:type="dxa"/>
            <w:vAlign w:val="bottom"/>
            <w:gridSpan w:val="2"/>
            <w:shd w:val="clear" w:color="auto" w:fill="CCEEFF"/>
          </w:tcPr>
          <w:p>
            <w:pPr>
              <w:ind w:left="29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13.9</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4"/>
        </w:trPr>
        <w:tc>
          <w:tcPr>
            <w:tcW w:w="4980" w:type="dxa"/>
            <w:vAlign w:val="bottom"/>
            <w:gridSpan w:val="2"/>
          </w:tcPr>
          <w:p>
            <w:pPr>
              <w:spacing w:after="0"/>
              <w:rPr>
                <w:sz w:val="20"/>
                <w:szCs w:val="20"/>
                <w:color w:val="auto"/>
              </w:rPr>
            </w:pPr>
            <w:r>
              <w:rPr>
                <w:rFonts w:ascii="Arial" w:cs="Arial" w:eastAsia="Arial" w:hAnsi="Arial"/>
                <w:sz w:val="18"/>
                <w:szCs w:val="18"/>
                <w:color w:val="auto"/>
              </w:rPr>
              <w:t>Avnet</w:t>
            </w:r>
          </w:p>
        </w:tc>
        <w:tc>
          <w:tcPr>
            <w:tcW w:w="31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rPr>
              <w:t>27.5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Additionally, the Compensation Committee reviews general industry survey data for similar roles at companies with comparable revenue and market capitalization. For fiscal 2015, the survey data came from the </w:t>
      </w:r>
      <w:r>
        <w:rPr>
          <w:rFonts w:ascii="Arial" w:cs="Arial" w:eastAsia="Arial" w:hAnsi="Arial"/>
          <w:sz w:val="18"/>
          <w:szCs w:val="18"/>
          <w:i w:val="1"/>
          <w:iCs w:val="1"/>
          <w:color w:val="auto"/>
        </w:rPr>
        <w:t>2013 Towers Watson Data Services US Compensation Data Bank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Executive Survey</w:t>
      </w:r>
      <w:r>
        <w:rPr>
          <w:rFonts w:ascii="Arial" w:cs="Arial" w:eastAsia="Arial" w:hAnsi="Arial"/>
          <w:sz w:val="18"/>
          <w:szCs w:val="18"/>
          <w:color w:val="auto"/>
        </w:rPr>
        <w:t>.</w:t>
      </w:r>
    </w:p>
    <w:p>
      <w:pPr>
        <w:spacing w:after="0" w:line="7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pay, annual cash incentive, long-term incentives and total direct compensation. Primary market data for the CEO, CFO and operating group presidents reflects peer proxy data. Primary market data for other executives consists of peer group proxy data where available and general industry survey data. The Compensation Committee does not view benchmarking as a prescriptive determinant of individual compensation. Rather, the Compensation Committee uses the market median as a general guide in its decisions on the target amount and mix of each element of compensation. An individual executive officer’s target compensation also takes into account other factors, such as experience in the position and long-term performance of the individual. An executive officer’s actual compensation may be above or below target compensation and will vary from year to year based on corporate and/or business unit financial results, as well as individual performance, reinforcing the Company’s pay-for-performance culture.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Pay Programs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primary components of the Company’s compensation program and the objectives of each component are set forth in the table below:</w:t>
      </w:r>
    </w:p>
    <w:p>
      <w:pPr>
        <w:sectPr>
          <w:pgSz w:w="11900" w:h="16838" w:orient="portrait"/>
          <w:cols w:equalWidth="0" w:num="1">
            <w:col w:w="11420"/>
          </w:cols>
          <w:pgMar w:left="240" w:top="459" w:right="23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 of Compensation</w:t>
            </w:r>
          </w:p>
        </w:tc>
        <w:tc>
          <w:tcPr>
            <w:tcW w:w="23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Objectives</w:t>
            </w:r>
          </w:p>
        </w:tc>
        <w:tc>
          <w:tcPr>
            <w:tcW w:w="340" w:type="dxa"/>
            <w:vAlign w:val="bottom"/>
          </w:tcPr>
          <w:p>
            <w:pPr>
              <w:spacing w:after="0"/>
              <w:rPr>
                <w:sz w:val="14"/>
                <w:szCs w:val="14"/>
                <w:color w:val="auto"/>
              </w:rPr>
            </w:pPr>
          </w:p>
        </w:tc>
      </w:tr>
      <w:tr>
        <w:trPr>
          <w:trHeight w:val="199"/>
        </w:trPr>
        <w:tc>
          <w:tcPr>
            <w:tcW w:w="178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440" w:type="dxa"/>
            <w:vAlign w:val="bottom"/>
            <w:gridSpan w:val="3"/>
          </w:tcPr>
          <w:p>
            <w:pPr>
              <w:ind w:left="840"/>
              <w:spacing w:after="0" w:line="200" w:lineRule="exact"/>
              <w:rPr>
                <w:sz w:val="20"/>
                <w:szCs w:val="20"/>
                <w:color w:val="auto"/>
              </w:rPr>
            </w:pPr>
            <w:r>
              <w:rPr>
                <w:rFonts w:ascii="Arial" w:cs="Arial" w:eastAsia="Arial" w:hAnsi="Arial"/>
                <w:sz w:val="18"/>
                <w:szCs w:val="18"/>
                <w:color w:val="auto"/>
                <w:w w:val="96"/>
              </w:rPr>
              <w:t>Attract and retain executive talent</w:t>
            </w:r>
          </w:p>
        </w:tc>
      </w:tr>
      <w:tr>
        <w:trPr>
          <w:trHeight w:val="211"/>
        </w:trPr>
        <w:tc>
          <w:tcPr>
            <w:tcW w:w="1780" w:type="dxa"/>
            <w:vAlign w:val="bottom"/>
          </w:tcPr>
          <w:p>
            <w:pPr>
              <w:spacing w:after="0"/>
              <w:rPr>
                <w:sz w:val="18"/>
                <w:szCs w:val="18"/>
                <w:color w:val="auto"/>
              </w:rPr>
            </w:pPr>
          </w:p>
        </w:tc>
        <w:tc>
          <w:tcPr>
            <w:tcW w:w="3440" w:type="dxa"/>
            <w:vAlign w:val="bottom"/>
            <w:gridSpan w:val="3"/>
          </w:tcPr>
          <w:p>
            <w:pPr>
              <w:ind w:left="840"/>
              <w:spacing w:after="0"/>
              <w:rPr>
                <w:sz w:val="20"/>
                <w:szCs w:val="20"/>
                <w:color w:val="auto"/>
              </w:rPr>
            </w:pPr>
            <w:r>
              <w:rPr>
                <w:rFonts w:ascii="Arial" w:cs="Arial" w:eastAsia="Arial" w:hAnsi="Arial"/>
                <w:sz w:val="18"/>
                <w:szCs w:val="18"/>
                <w:color w:val="auto"/>
              </w:rPr>
              <w:t>in a competitive marketplace.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auto"/>
        </w:rPr>
        <w:t>Key Features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Reflects skills, contributions and success over time in role.</w:t>
      </w:r>
    </w:p>
    <w:p>
      <w:pPr>
        <w:spacing w:after="0" w:line="7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Reviewed annually to ensure competitiveness and alignment with individual performance.</w:t>
      </w:r>
    </w:p>
    <w:p>
      <w:pPr>
        <w:spacing w:after="0" w:line="110" w:lineRule="exact"/>
        <w:rPr>
          <w:sz w:val="20"/>
          <w:szCs w:val="20"/>
          <w:color w:val="auto"/>
        </w:rPr>
      </w:pPr>
    </w:p>
    <w:p>
      <w:pPr>
        <w:sectPr>
          <w:pgSz w:w="11900" w:h="16838" w:orient="portrait"/>
          <w:cols w:equalWidth="0" w:num="2">
            <w:col w:w="5920" w:space="720"/>
            <w:col w:w="4780"/>
          </w:cols>
          <w:pgMar w:left="240" w:top="459" w:right="239" w:bottom="1440" w:gutter="0" w:footer="0" w:header="0"/>
          <w:type w:val="continuous"/>
        </w:sectPr>
      </w:pPr>
    </w:p>
    <w:p>
      <w:pPr>
        <w:spacing w:after="0"/>
        <w:tabs>
          <w:tab w:leader="none" w:pos="2600" w:val="left"/>
        </w:tabs>
        <w:rPr>
          <w:sz w:val="20"/>
          <w:szCs w:val="20"/>
          <w:color w:val="auto"/>
        </w:rPr>
      </w:pPr>
      <w:r>
        <w:rPr>
          <w:rFonts w:ascii="Arial" w:cs="Arial" w:eastAsia="Arial" w:hAnsi="Arial"/>
          <w:sz w:val="18"/>
          <w:szCs w:val="18"/>
          <w:color w:val="auto"/>
        </w:rPr>
        <w:t>Annual Cash Incentive</w:t>
      </w:r>
      <w:r>
        <w:rPr>
          <w:sz w:val="20"/>
          <w:szCs w:val="20"/>
          <w:color w:val="auto"/>
        </w:rPr>
        <w:tab/>
      </w:r>
      <w:r>
        <w:rPr>
          <w:rFonts w:ascii="Arial" w:cs="Arial" w:eastAsia="Arial" w:hAnsi="Arial"/>
          <w:sz w:val="16"/>
          <w:szCs w:val="16"/>
          <w:color w:val="auto"/>
        </w:rPr>
        <w:t>Link variable compensation to</w:t>
      </w:r>
    </w:p>
    <w:p>
      <w:pPr>
        <w:ind w:left="2620"/>
        <w:spacing w:after="0" w:line="234" w:lineRule="auto"/>
        <w:rPr>
          <w:sz w:val="20"/>
          <w:szCs w:val="20"/>
          <w:color w:val="auto"/>
        </w:rPr>
      </w:pPr>
      <w:r>
        <w:rPr>
          <w:rFonts w:ascii="Arial" w:cs="Arial" w:eastAsia="Arial" w:hAnsi="Arial"/>
          <w:sz w:val="18"/>
          <w:szCs w:val="18"/>
          <w:color w:val="auto"/>
        </w:rPr>
        <w:t>corporate and/or business unit</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short-term performance as well as</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strategic goals.</w:t>
      </w:r>
    </w:p>
    <w:p>
      <w:pPr>
        <w:spacing w:after="0" w:line="20" w:lineRule="exact"/>
        <w:rPr>
          <w:sz w:val="20"/>
          <w:szCs w:val="20"/>
          <w:color w:val="auto"/>
        </w:rPr>
      </w:pPr>
      <w:r>
        <w:rPr>
          <w:sz w:val="20"/>
          <w:szCs w:val="20"/>
          <w:color w:val="auto"/>
        </w:rPr>
        <w:br w:type="column"/>
      </w:r>
    </w:p>
    <w:p>
      <w:pPr>
        <w:ind w:right="380"/>
        <w:spacing w:after="0" w:line="239" w:lineRule="auto"/>
        <w:rPr>
          <w:sz w:val="20"/>
          <w:szCs w:val="20"/>
          <w:color w:val="auto"/>
        </w:rPr>
      </w:pPr>
      <w:r>
        <w:rPr>
          <w:rFonts w:ascii="Arial" w:cs="Arial" w:eastAsia="Arial" w:hAnsi="Arial"/>
          <w:sz w:val="18"/>
          <w:szCs w:val="18"/>
          <w:color w:val="auto"/>
        </w:rPr>
        <w:t>Key financial measures used to assess performance and align executives with shareholders’ interests.</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Payouts dependent on meeting net income, operating margin and individual strategic goals.</w:t>
      </w:r>
    </w:p>
    <w:p>
      <w:pPr>
        <w:spacing w:after="0" w:line="110" w:lineRule="exact"/>
        <w:rPr>
          <w:sz w:val="20"/>
          <w:szCs w:val="20"/>
          <w:color w:val="auto"/>
        </w:rPr>
      </w:pPr>
    </w:p>
    <w:p>
      <w:pPr>
        <w:sectPr>
          <w:pgSz w:w="11900" w:h="16838" w:orient="portrait"/>
          <w:cols w:equalWidth="0" w:num="2">
            <w:col w:w="5920" w:space="720"/>
            <w:col w:w="47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Long-Term Incentive</w:t>
            </w: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Align executives with</w:t>
            </w:r>
          </w:p>
        </w:tc>
        <w:tc>
          <w:tcPr>
            <w:tcW w:w="55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Encourages retention through multi-year vesting (three to</w:t>
            </w:r>
          </w:p>
        </w:tc>
      </w:tr>
      <w:tr>
        <w:trPr>
          <w:trHeight w:val="203"/>
        </w:trPr>
        <w:tc>
          <w:tcPr>
            <w:tcW w:w="2100" w:type="dxa"/>
            <w:vAlign w:val="bottom"/>
            <w:shd w:val="clear" w:color="auto" w:fill="CCEEFF"/>
          </w:tcPr>
          <w:p>
            <w:pPr>
              <w:spacing w:after="0"/>
              <w:rPr>
                <w:sz w:val="17"/>
                <w:szCs w:val="17"/>
                <w:color w:val="auto"/>
              </w:rPr>
            </w:pPr>
          </w:p>
        </w:tc>
        <w:tc>
          <w:tcPr>
            <w:tcW w:w="3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shareholders by rewarding long-</w:t>
            </w:r>
          </w:p>
        </w:tc>
        <w:tc>
          <w:tcPr>
            <w:tcW w:w="554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four years) and shareholder alignment through the use of</w:t>
            </w:r>
          </w:p>
        </w:tc>
      </w:tr>
      <w:tr>
        <w:trPr>
          <w:trHeight w:val="211"/>
        </w:trPr>
        <w:tc>
          <w:tcPr>
            <w:tcW w:w="2100" w:type="dxa"/>
            <w:vAlign w:val="bottom"/>
            <w:shd w:val="clear" w:color="auto" w:fill="CCEEFF"/>
          </w:tcPr>
          <w:p>
            <w:pPr>
              <w:spacing w:after="0"/>
              <w:rPr>
                <w:sz w:val="18"/>
                <w:szCs w:val="18"/>
                <w:color w:val="auto"/>
              </w:rPr>
            </w:pP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term shareholder value creation.</w:t>
            </w:r>
          </w:p>
        </w:tc>
        <w:tc>
          <w:tcPr>
            <w:tcW w:w="55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performance goals.</w:t>
            </w:r>
          </w:p>
        </w:tc>
      </w:tr>
      <w:tr>
        <w:trPr>
          <w:trHeight w:val="275"/>
        </w:trPr>
        <w:tc>
          <w:tcPr>
            <w:tcW w:w="2100" w:type="dxa"/>
            <w:vAlign w:val="bottom"/>
            <w:shd w:val="clear" w:color="auto" w:fill="CCEEFF"/>
          </w:tcPr>
          <w:p>
            <w:pPr>
              <w:spacing w:after="0"/>
              <w:rPr>
                <w:sz w:val="23"/>
                <w:szCs w:val="23"/>
                <w:color w:val="auto"/>
              </w:rPr>
            </w:pP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Reward stock price appreciation</w:t>
            </w:r>
          </w:p>
        </w:tc>
        <w:tc>
          <w:tcPr>
            <w:tcW w:w="55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Performance units vest, if at all, at end of three-year period</w:t>
            </w:r>
          </w:p>
        </w:tc>
      </w:tr>
      <w:tr>
        <w:trPr>
          <w:trHeight w:val="203"/>
        </w:trPr>
        <w:tc>
          <w:tcPr>
            <w:tcW w:w="2100" w:type="dxa"/>
            <w:vAlign w:val="bottom"/>
            <w:shd w:val="clear" w:color="auto" w:fill="CCEEFF"/>
          </w:tcPr>
          <w:p>
            <w:pPr>
              <w:spacing w:after="0"/>
              <w:rPr>
                <w:sz w:val="17"/>
                <w:szCs w:val="17"/>
                <w:color w:val="auto"/>
              </w:rPr>
            </w:pPr>
          </w:p>
        </w:tc>
        <w:tc>
          <w:tcPr>
            <w:tcW w:w="3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and tie executive wealth</w:t>
            </w:r>
          </w:p>
        </w:tc>
        <w:tc>
          <w:tcPr>
            <w:tcW w:w="554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depending on meeting relative economic profit and relative</w:t>
            </w:r>
          </w:p>
        </w:tc>
      </w:tr>
      <w:tr>
        <w:trPr>
          <w:trHeight w:val="203"/>
        </w:trPr>
        <w:tc>
          <w:tcPr>
            <w:tcW w:w="2100" w:type="dxa"/>
            <w:vAlign w:val="bottom"/>
            <w:shd w:val="clear" w:color="auto" w:fill="CCEEFF"/>
          </w:tcPr>
          <w:p>
            <w:pPr>
              <w:spacing w:after="0"/>
              <w:rPr>
                <w:sz w:val="17"/>
                <w:szCs w:val="17"/>
                <w:color w:val="auto"/>
              </w:rPr>
            </w:pPr>
          </w:p>
        </w:tc>
        <w:tc>
          <w:tcPr>
            <w:tcW w:w="37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accumulation to long-term</w:t>
            </w:r>
          </w:p>
        </w:tc>
        <w:tc>
          <w:tcPr>
            <w:tcW w:w="554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total shareholder return goals.</w:t>
            </w:r>
          </w:p>
        </w:tc>
      </w:tr>
      <w:tr>
        <w:trPr>
          <w:trHeight w:val="213"/>
        </w:trPr>
        <w:tc>
          <w:tcPr>
            <w:tcW w:w="2100" w:type="dxa"/>
            <w:vAlign w:val="bottom"/>
            <w:shd w:val="clear" w:color="auto" w:fill="CCEEFF"/>
          </w:tcPr>
          <w:p>
            <w:pPr>
              <w:spacing w:after="0"/>
              <w:rPr>
                <w:sz w:val="18"/>
                <w:szCs w:val="18"/>
                <w:color w:val="auto"/>
              </w:rPr>
            </w:pP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performance.</w:t>
            </w:r>
          </w:p>
        </w:tc>
        <w:tc>
          <w:tcPr>
            <w:tcW w:w="5540" w:type="dxa"/>
            <w:vAlign w:val="bottom"/>
            <w:shd w:val="clear" w:color="auto" w:fill="CCEEFF"/>
          </w:tcPr>
          <w:p>
            <w:pPr>
              <w:spacing w:after="0"/>
              <w:rPr>
                <w:sz w:val="18"/>
                <w:szCs w:val="18"/>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each NEO is also eligible to receive certain other benefits as described in the “Additional Compensation Elements” below.</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 Mix</w:t>
      </w:r>
    </w:p>
    <w:p>
      <w:pPr>
        <w:spacing w:after="0" w:line="9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compensation mix at target for the CEO and the other NEOs for fiscal 2015 demonstrates that a significant portion of CEO and NEO pay is based on variable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121920</wp:posOffset>
            </wp:positionV>
            <wp:extent cx="4502150" cy="2084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0215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Avnet’s Practices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programs incorporate a number of compensation governance practices:</w:t>
      </w:r>
    </w:p>
    <w:p>
      <w:pPr>
        <w:spacing w:after="0" w:line="57" w:lineRule="exact"/>
        <w:rPr>
          <w:sz w:val="20"/>
          <w:szCs w:val="20"/>
          <w:color w:val="auto"/>
        </w:rPr>
      </w:pPr>
    </w:p>
    <w:p>
      <w:pPr>
        <w:ind w:left="660" w:right="320" w:hanging="206"/>
        <w:spacing w:after="0" w:line="24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Pay-for-Performance Alignment. </w:t>
      </w:r>
      <w:r>
        <w:rPr>
          <w:rFonts w:ascii="Arial" w:cs="Arial" w:eastAsia="Arial" w:hAnsi="Arial"/>
          <w:sz w:val="18"/>
          <w:szCs w:val="18"/>
          <w:color w:val="auto"/>
        </w:rPr>
        <w:t>A significant portion of total compensation is dependent upon the achievement of short- and long-term financial and operational goals that are designed to increase shareholder value over time. As executives gain responsibility and seniority at Avnet and exercise more direct influence over the Company’s financial and operational performance, base salary as a percentage of total compensation will typically decrease and performance-based pay will increase.</w:t>
      </w:r>
    </w:p>
    <w:p>
      <w:pPr>
        <w:spacing w:after="0" w:line="49" w:lineRule="exact"/>
        <w:rPr>
          <w:rFonts w:ascii="Arial" w:cs="Arial" w:eastAsia="Arial" w:hAnsi="Arial"/>
          <w:sz w:val="18"/>
          <w:szCs w:val="18"/>
          <w:color w:val="auto"/>
        </w:rPr>
      </w:pPr>
    </w:p>
    <w:p>
      <w:pPr>
        <w:ind w:left="660" w:right="100" w:hanging="206"/>
        <w:spacing w:after="0" w:line="24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Long-Term Incentive Compensation. </w:t>
      </w:r>
      <w:r>
        <w:rPr>
          <w:rFonts w:ascii="Arial" w:cs="Arial" w:eastAsia="Arial" w:hAnsi="Arial"/>
          <w:sz w:val="18"/>
          <w:szCs w:val="18"/>
          <w:color w:val="auto"/>
        </w:rPr>
        <w:t>Avnet’s equity compensation program is designed to provide a meaningful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goal of having executive officers think and behave like owners over the long term. Equity awards vest over periods ranging from three to four years depending on the award type.</w:t>
      </w:r>
    </w:p>
    <w:p>
      <w:pPr>
        <w:spacing w:after="0" w:line="47" w:lineRule="exact"/>
        <w:rPr>
          <w:rFonts w:ascii="Arial" w:cs="Arial" w:eastAsia="Arial" w:hAnsi="Arial"/>
          <w:sz w:val="18"/>
          <w:szCs w:val="18"/>
          <w:color w:val="auto"/>
        </w:rPr>
      </w:pPr>
    </w:p>
    <w:p>
      <w:pPr>
        <w:ind w:left="660" w:right="120" w:hanging="206"/>
        <w:spacing w:after="0" w:line="24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Holistic View of Performance. </w:t>
      </w:r>
      <w:r>
        <w:rPr>
          <w:rFonts w:ascii="Arial" w:cs="Arial" w:eastAsia="Arial" w:hAnsi="Arial"/>
          <w:sz w:val="18"/>
          <w:szCs w:val="18"/>
          <w:color w:val="auto"/>
        </w:rPr>
        <w:t>Avnet’s annual and long-term incentive programs employ multiple performance measures to assure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is on the entire business. Further, the incentive programs include awards that vest over several different and overlapping periods to help ensure that performance during any one period is not maximized to the detriment of other periods.</w:t>
      </w:r>
    </w:p>
    <w:p>
      <w:pPr>
        <w:spacing w:after="0" w:line="47" w:lineRule="exact"/>
        <w:rPr>
          <w:rFonts w:ascii="Arial" w:cs="Arial" w:eastAsia="Arial" w:hAnsi="Arial"/>
          <w:sz w:val="18"/>
          <w:szCs w:val="18"/>
          <w:color w:val="auto"/>
        </w:rPr>
      </w:pPr>
    </w:p>
    <w:p>
      <w:pPr>
        <w:ind w:left="660" w:right="60" w:hanging="206"/>
        <w:spacing w:after="0" w:line="31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Caps. </w:t>
      </w:r>
      <w:r>
        <w:rPr>
          <w:rFonts w:ascii="Arial" w:cs="Arial" w:eastAsia="Arial" w:hAnsi="Arial"/>
          <w:sz w:val="16"/>
          <w:szCs w:val="16"/>
          <w:color w:val="auto"/>
        </w:rPr>
        <w:t>Awards under the Company’s annual cash incentive plan and performance share unit awards under the Company’s Long-Term Incentive Plan (“LTIP”) are capped at a percentage of the target to ensure such awards do not encourage excessive risk-taking.</w:t>
      </w:r>
    </w:p>
    <w:p>
      <w:pPr>
        <w:ind w:left="660" w:right="2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stock ownership guidelines for its executive officers and, as of June 27, 2015,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 officers was in compliance with these guidelines.</w:t>
      </w:r>
    </w:p>
    <w:p>
      <w:pPr>
        <w:spacing w:after="0" w:line="34"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w:t>
      </w:r>
    </w:p>
    <w:p>
      <w:pPr>
        <w:spacing w:after="0" w:line="76" w:lineRule="exact"/>
        <w:rPr>
          <w:rFonts w:ascii="Arial" w:cs="Arial" w:eastAsia="Arial" w:hAnsi="Arial"/>
          <w:sz w:val="18"/>
          <w:szCs w:val="18"/>
          <w:color w:val="auto"/>
        </w:rPr>
      </w:pPr>
    </w:p>
    <w:p>
      <w:pPr>
        <w:ind w:left="660" w:right="220" w:hanging="206"/>
        <w:spacing w:after="0" w:line="317"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Risk Assessment. </w:t>
      </w:r>
      <w:r>
        <w:rPr>
          <w:rFonts w:ascii="Arial" w:cs="Arial" w:eastAsia="Arial" w:hAnsi="Arial"/>
          <w:sz w:val="16"/>
          <w:szCs w:val="16"/>
          <w:color w:val="auto"/>
        </w:rPr>
        <w:t>The Compensation Committee has assessed the Company’s compensation programs and concluded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policies and practices do not create risks that are reasonably likely to have a material adverse effect on the Company.</w:t>
      </w:r>
    </w:p>
    <w:p>
      <w:pPr>
        <w:ind w:left="660" w:right="72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Independence. </w:t>
      </w:r>
      <w:r>
        <w:rPr>
          <w:rFonts w:ascii="Arial" w:cs="Arial" w:eastAsia="Arial" w:hAnsi="Arial"/>
          <w:sz w:val="18"/>
          <w:szCs w:val="18"/>
          <w:color w:val="auto"/>
        </w:rPr>
        <w:t>The Compensation Committee is made up entirely of independent directors and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Committee’s independent compensation consultant did not provide any services to management.</w:t>
      </w:r>
    </w:p>
    <w:p>
      <w:pPr>
        <w:spacing w:after="0" w:line="34" w:lineRule="exact"/>
        <w:rPr>
          <w:rFonts w:ascii="Arial" w:cs="Arial" w:eastAsia="Arial" w:hAnsi="Arial"/>
          <w:sz w:val="18"/>
          <w:szCs w:val="18"/>
          <w:color w:val="auto"/>
        </w:rPr>
      </w:pPr>
    </w:p>
    <w:p>
      <w:pPr>
        <w:ind w:left="660" w:right="24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Hedging or Pledging are Prohibited</w:t>
      </w:r>
      <w:r>
        <w:rPr>
          <w:rFonts w:ascii="Arial" w:cs="Arial" w:eastAsia="Arial" w:hAnsi="Arial"/>
          <w:sz w:val="18"/>
          <w:szCs w:val="18"/>
          <w:color w:val="auto"/>
        </w:rPr>
        <w:t>. The Company’s insider trading policy prohibits directors and executive officers from hedging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pledging Avnet securities.</w:t>
      </w:r>
    </w:p>
    <w:p>
      <w:pPr>
        <w:spacing w:after="0" w:line="34" w:lineRule="exact"/>
        <w:rPr>
          <w:rFonts w:ascii="Arial" w:cs="Arial" w:eastAsia="Arial" w:hAnsi="Arial"/>
          <w:sz w:val="18"/>
          <w:szCs w:val="18"/>
          <w:color w:val="auto"/>
        </w:rPr>
      </w:pPr>
    </w:p>
    <w:p>
      <w:pPr>
        <w:ind w:left="660" w:right="24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Gross-Ups on Excise Taxes. </w:t>
      </w:r>
      <w:r>
        <w:rPr>
          <w:rFonts w:ascii="Arial" w:cs="Arial" w:eastAsia="Arial" w:hAnsi="Arial"/>
          <w:sz w:val="18"/>
          <w:szCs w:val="18"/>
          <w:color w:val="auto"/>
        </w:rPr>
        <w:t>The Company’s change of control agreements do not provide for excise tax reimbursements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the Company’s executive officers.</w:t>
      </w:r>
    </w:p>
    <w:p>
      <w:pPr>
        <w:spacing w:after="0" w:line="34" w:lineRule="exact"/>
        <w:rPr>
          <w:rFonts w:ascii="Arial" w:cs="Arial" w:eastAsia="Arial" w:hAnsi="Arial"/>
          <w:sz w:val="18"/>
          <w:szCs w:val="18"/>
          <w:color w:val="auto"/>
        </w:rPr>
      </w:pPr>
    </w:p>
    <w:p>
      <w:pPr>
        <w:ind w:left="66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Dividends or Dividend Equivalents on Unearned/Unvested Equity. </w:t>
      </w:r>
      <w:r>
        <w:rPr>
          <w:rFonts w:ascii="Arial" w:cs="Arial" w:eastAsia="Arial" w:hAnsi="Arial"/>
          <w:sz w:val="18"/>
          <w:szCs w:val="18"/>
          <w:color w:val="auto"/>
        </w:rPr>
        <w:t>The Company does not pay dividends or dividend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unearned or unvested equity awards.</w:t>
      </w:r>
    </w:p>
    <w:p>
      <w:pPr>
        <w:spacing w:after="0" w:line="34" w:lineRule="exact"/>
        <w:rPr>
          <w:rFonts w:ascii="Arial" w:cs="Arial" w:eastAsia="Arial" w:hAnsi="Arial"/>
          <w:sz w:val="18"/>
          <w:szCs w:val="18"/>
          <w:color w:val="auto"/>
        </w:rPr>
      </w:pPr>
    </w:p>
    <w:p>
      <w:pPr>
        <w:ind w:left="660" w:right="40" w:hanging="206"/>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Repricing of Awards is Prohibited</w:t>
      </w:r>
      <w:r>
        <w:rPr>
          <w:rFonts w:ascii="Arial" w:cs="Arial" w:eastAsia="Arial" w:hAnsi="Arial"/>
          <w:sz w:val="18"/>
          <w:szCs w:val="18"/>
          <w:color w:val="auto"/>
        </w:rPr>
        <w:t>. Repricing of stock options and stock appreciation rights is prohibited without shareholder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have a history of repricing equity awards.</w:t>
      </w:r>
    </w:p>
    <w:p>
      <w:pPr>
        <w:spacing w:after="0" w:line="34"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No Above-Market Returns</w:t>
      </w:r>
      <w:r>
        <w:rPr>
          <w:rFonts w:ascii="Arial" w:cs="Arial" w:eastAsia="Arial" w:hAnsi="Arial"/>
          <w:sz w:val="18"/>
          <w:szCs w:val="18"/>
          <w:color w:val="auto"/>
        </w:rPr>
        <w:t>.  The Company does not offer preferential or above-market returns on deferred compensation.</w:t>
      </w:r>
    </w:p>
    <w:p>
      <w:pPr>
        <w:spacing w:after="0" w:line="74" w:lineRule="exact"/>
        <w:rPr>
          <w:rFonts w:ascii="Arial" w:cs="Arial" w:eastAsia="Arial" w:hAnsi="Arial"/>
          <w:sz w:val="18"/>
          <w:szCs w:val="18"/>
          <w:color w:val="auto"/>
        </w:rPr>
      </w:pPr>
    </w:p>
    <w:p>
      <w:pPr>
        <w:ind w:left="660" w:right="400" w:hanging="206"/>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Stock Options are Granted at Fair Market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grant stock options with an exercise price below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the Company’s Common Stock on the date of the grant.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fiscal 2014 and fiscal 2015, the annualized salaries as of the end of the applicable fiscal year are as follows: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2014 Year End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2015 Year End</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402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6"/>
              </w:rPr>
              <w:t>Annualized</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4020" w:type="dxa"/>
            <w:vAlign w:val="bottom"/>
            <w:vMerge w:val="continue"/>
          </w:tcPr>
          <w:p>
            <w:pPr>
              <w:spacing w:after="0"/>
              <w:rPr>
                <w:sz w:val="13"/>
                <w:szCs w:val="13"/>
                <w:color w:val="auto"/>
              </w:rPr>
            </w:pPr>
          </w:p>
        </w:tc>
        <w:tc>
          <w:tcPr>
            <w:tcW w:w="3300" w:type="dxa"/>
            <w:vAlign w:val="bottom"/>
          </w:tcPr>
          <w:p>
            <w:pPr>
              <w:spacing w:after="0"/>
              <w:rPr>
                <w:sz w:val="13"/>
                <w:szCs w:val="13"/>
                <w:color w:val="auto"/>
              </w:rPr>
            </w:pPr>
          </w:p>
        </w:tc>
        <w:tc>
          <w:tcPr>
            <w:tcW w:w="1840" w:type="dxa"/>
            <w:vAlign w:val="bottom"/>
            <w:gridSpan w:val="3"/>
          </w:tcPr>
          <w:p>
            <w:pPr>
              <w:jc w:val="center"/>
              <w:ind w:right="920"/>
              <w:spacing w:after="0" w:line="152" w:lineRule="exact"/>
              <w:rPr>
                <w:sz w:val="20"/>
                <w:szCs w:val="20"/>
                <w:color w:val="auto"/>
              </w:rPr>
            </w:pPr>
            <w:r>
              <w:rPr>
                <w:rFonts w:ascii="Arial" w:cs="Arial" w:eastAsia="Arial" w:hAnsi="Arial"/>
                <w:sz w:val="14"/>
                <w:szCs w:val="14"/>
                <w:b w:val="1"/>
                <w:bCs w:val="1"/>
                <w:color w:val="auto"/>
                <w:w w:val="95"/>
              </w:rPr>
              <w:t>Base Salary</w:t>
            </w:r>
          </w:p>
        </w:tc>
        <w:tc>
          <w:tcPr>
            <w:tcW w:w="1020" w:type="dxa"/>
            <w:vAlign w:val="bottom"/>
            <w:gridSpan w:val="3"/>
          </w:tcPr>
          <w:p>
            <w:pPr>
              <w:jc w:val="center"/>
              <w:ind w:right="100"/>
              <w:spacing w:after="0" w:line="152" w:lineRule="exact"/>
              <w:rPr>
                <w:sz w:val="20"/>
                <w:szCs w:val="20"/>
                <w:color w:val="auto"/>
              </w:rPr>
            </w:pPr>
            <w:r>
              <w:rPr>
                <w:rFonts w:ascii="Arial" w:cs="Arial" w:eastAsia="Arial" w:hAnsi="Arial"/>
                <w:sz w:val="14"/>
                <w:szCs w:val="14"/>
                <w:b w:val="1"/>
                <w:bCs w:val="1"/>
                <w:color w:val="auto"/>
                <w:w w:val="95"/>
              </w:rPr>
              <w:t>Base Salary</w:t>
            </w: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
            <w:vMerge w:val="continue"/>
            <w:shd w:val="clear" w:color="auto" w:fill="CCEEFF"/>
          </w:tcPr>
          <w:p>
            <w:pPr>
              <w:spacing w:after="0"/>
              <w:rPr>
                <w:sz w:val="16"/>
                <w:szCs w:val="16"/>
                <w:color w:val="auto"/>
              </w:rPr>
            </w:pPr>
          </w:p>
        </w:tc>
        <w:tc>
          <w:tcPr>
            <w:tcW w:w="3400" w:type="dxa"/>
            <w:vAlign w:val="bottom"/>
            <w:gridSpan w:val="2"/>
            <w:shd w:val="clear" w:color="auto" w:fill="CCEEFF"/>
          </w:tcPr>
          <w:p>
            <w:pPr>
              <w:ind w:left="330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900,000</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3400" w:type="dxa"/>
            <w:vAlign w:val="bottom"/>
            <w:gridSpan w:val="2"/>
          </w:tcPr>
          <w:p>
            <w:pPr>
              <w:ind w:left="330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550,000</w:t>
            </w:r>
          </w:p>
        </w:tc>
        <w:tc>
          <w:tcPr>
            <w:tcW w:w="92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3400" w:type="dxa"/>
            <w:vAlign w:val="bottom"/>
            <w:gridSpan w:val="2"/>
            <w:shd w:val="clear" w:color="auto" w:fill="CCEEFF"/>
          </w:tcPr>
          <w:p>
            <w:pPr>
              <w:ind w:left="330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r>
              <w:rPr>
                <w:rFonts w:ascii="Arial" w:cs="Arial" w:eastAsia="Arial" w:hAnsi="Arial"/>
                <w:sz w:val="11"/>
                <w:szCs w:val="11"/>
                <w:color w:val="auto"/>
              </w:rPr>
              <w:t>(1)</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9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484,000</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3400" w:type="dxa"/>
            <w:vAlign w:val="bottom"/>
            <w:gridSpan w:val="2"/>
            <w:shd w:val="clear" w:color="auto" w:fill="CCEEFF"/>
          </w:tcPr>
          <w:p>
            <w:pPr>
              <w:ind w:left="330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425,000</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180" w:hanging="172"/>
        <w:spacing w:after="0" w:line="233"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Mr. Zammit was not an executive officer during fiscal 2014. He became an executive officer upon his promotion to TS President at the start of the second half of fiscal 2015. Mr. Zammit’s cash compensation is paid in Euros. For purposes of this CD&amp;A, when discussing his cash compensation, the Company assumed an exchange rate of $1.10 to €1.00.</w:t>
      </w:r>
    </w:p>
    <w:p>
      <w:pPr>
        <w:spacing w:after="0" w:line="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generally implements base pay increases for executive officers on a fiscal year basis, with occasional mid-year increases to reflect a promotion, changing circumstances, or the addition of experience or responsibilities. In determining to increase base salaries, the Committee considered the benchmarking data, the NEO’s experience in the position and the long-term performance of the individual NEO.</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Executive officers are eligible to receive annual cash incentive compensation pursuant to the Executive Incentive Plan (the “Incentive Plan”) based on the financial performance of the Company and, where appropriate, the business unit for which the executive officer has direct responsibility. In addition, except with respect to Mr. Zammit, a portion of the annual cash incentive opportunity is tied to individual performance against pre-established strategic goals. Except with respect to Mr. Zammit, for fiscal 2015, 80% of each NEO’s target annual cash incentive related to financial goals and 20% related to individual performance goals. For fiscal 2015, as Mr. Zammit was promoted at the start of the second half of fiscal 2015, his target annual cash incentive is solely based upon achievement of financial goals.</w:t>
      </w:r>
    </w:p>
    <w:p>
      <w:pPr>
        <w:spacing w:after="0" w:line="7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fiscal 2015, payouts to the NEOs for performance related to the Incentive Plan ranged from 95% to 101% of target annual incentive opportunity based on the financial results outlined below and based on the Compensation Committee’s assessment of each NEO’s performance relative to their respective strategic initiatives:</w:t>
      </w:r>
    </w:p>
    <w:p>
      <w:pPr>
        <w:spacing w:after="0" w:line="73"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after tax, as defined below (“NIAT”), was $623.1 million;</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margin was 3.48%;</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before tax, as defined below (“NIBT”), for EM and TS was $778.6 million and $287.2 million, respectively;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income margin for EM and TS was 4.60% and 3.08%,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target annual cash incentive compensation for fiscal 2014 and fiscal 2015 for the NEOs is set forth in the following table: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Hamada</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1,350,000</w:t>
            </w:r>
          </w:p>
        </w:tc>
        <w:tc>
          <w:tcPr>
            <w:tcW w:w="6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1,425,000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550,000</w:t>
            </w:r>
          </w:p>
        </w:tc>
        <w:tc>
          <w:tcPr>
            <w:tcW w:w="6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7"/>
                <w:szCs w:val="17"/>
                <w:color w:val="auto"/>
              </w:rPr>
            </w:pPr>
          </w:p>
        </w:tc>
      </w:tr>
      <w:tr>
        <w:trPr>
          <w:trHeight w:val="203"/>
        </w:trPr>
        <w:tc>
          <w:tcPr>
            <w:tcW w:w="7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7"/>
                <w:szCs w:val="17"/>
                <w:color w:val="auto"/>
              </w:rPr>
            </w:pPr>
          </w:p>
        </w:tc>
      </w:tr>
      <w:tr>
        <w:trPr>
          <w:trHeight w:val="203"/>
        </w:trPr>
        <w:tc>
          <w:tcPr>
            <w:tcW w:w="786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144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242,000</w:t>
            </w:r>
          </w:p>
        </w:tc>
        <w:tc>
          <w:tcPr>
            <w:tcW w:w="120" w:type="dxa"/>
            <w:vAlign w:val="bottom"/>
          </w:tcPr>
          <w:p>
            <w:pPr>
              <w:spacing w:after="0"/>
              <w:rPr>
                <w:sz w:val="17"/>
                <w:szCs w:val="17"/>
                <w:color w:val="auto"/>
              </w:rPr>
            </w:pPr>
          </w:p>
        </w:tc>
      </w:tr>
      <w:tr>
        <w:trPr>
          <w:trHeight w:val="203"/>
        </w:trPr>
        <w:tc>
          <w:tcPr>
            <w:tcW w:w="7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6"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Mr. Zammit was not an executive officer during fiscal 2014. He became an executive officer during the second half of fiscal 2015.</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increases in target cash incentive compensation take into account the benchmarking data, the NEO’s experience in the position and the long-term performance of the individual NEO.</w:t>
      </w:r>
    </w:p>
    <w:p>
      <w:pPr>
        <w:spacing w:after="0" w:line="56"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u w:val="single" w:color="auto"/>
          <w:color w:val="auto"/>
        </w:rPr>
        <w:t>Financial Performance Goals</w:t>
      </w:r>
      <w:r>
        <w:rPr>
          <w:rFonts w:ascii="Arial" w:cs="Arial" w:eastAsia="Arial" w:hAnsi="Arial"/>
          <w:sz w:val="18"/>
          <w:szCs w:val="18"/>
          <w:color w:val="auto"/>
        </w:rPr>
        <w:t>. Financial performance goals are reviewed in conjunction with the Company’s budget for the upcoming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When determining the budget, the Board seeks to ensure that it is fair, challenging and forward-looking, without encouraging excessive risk-taking. Additionally, when determining the fiscal 2015 budget, the Board considered the Company’s results in fiscal 2014, projected growth and the operating environment as projected by industry analysts. At its August meeting, the Compensation Committee or the Board, as appropriate, finalized the financial goals and the target cash incentive compensation relating to such financial goals.</w:t>
      </w:r>
    </w:p>
    <w:p>
      <w:pPr>
        <w:spacing w:after="0" w:line="7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Company-wide performance goals are based on the percentage achievement of Avnet’s fiscal 2015 net income after tax, excluding certain items (“NIAT”), and adjusted operating income margin (“OI Margin”). Operating group performance goals are based upon the achievement of the applicable operating group’s fiscal 2015 net income before tax, excluding certain items (“NIBT”) and OI Margin with respect to the applicable operating group. These measures were selected to drive profitable growth. Corporate and business unit goals by NEO are discussed below:</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7"/>
              </w:rPr>
              <w:t>Executive</w:t>
            </w:r>
          </w:p>
        </w:tc>
        <w:tc>
          <w:tcPr>
            <w:tcW w:w="2260" w:type="dxa"/>
            <w:vAlign w:val="bottom"/>
            <w:vMerge w:val="restart"/>
          </w:tcPr>
          <w:p>
            <w:pPr>
              <w:spacing w:after="0"/>
              <w:rPr>
                <w:sz w:val="14"/>
                <w:szCs w:val="14"/>
                <w:color w:val="auto"/>
              </w:rPr>
            </w:pPr>
          </w:p>
        </w:tc>
        <w:tc>
          <w:tcPr>
            <w:tcW w:w="1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Financial Performance</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4"/>
              </w:rPr>
              <w:t>Business Unit</w:t>
            </w:r>
          </w:p>
        </w:tc>
        <w:tc>
          <w:tcPr>
            <w:tcW w:w="0" w:type="dxa"/>
            <w:vAlign w:val="bottom"/>
          </w:tcPr>
          <w:p>
            <w:pPr>
              <w:spacing w:after="0"/>
              <w:rPr>
                <w:sz w:val="1"/>
                <w:szCs w:val="1"/>
                <w:color w:val="auto"/>
              </w:rPr>
            </w:pPr>
          </w:p>
        </w:tc>
      </w:tr>
      <w:tr>
        <w:trPr>
          <w:trHeight w:val="134"/>
        </w:trPr>
        <w:tc>
          <w:tcPr>
            <w:tcW w:w="660" w:type="dxa"/>
            <w:vAlign w:val="bottom"/>
            <w:tcBorders>
              <w:bottom w:val="single" w:sz="8" w:color="auto"/>
            </w:tcBorders>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1"/>
              </w:rPr>
              <w:t>NIAT</w:t>
            </w:r>
          </w:p>
        </w:tc>
        <w:tc>
          <w:tcPr>
            <w:tcW w:w="6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OI Margin</w:t>
            </w:r>
          </w:p>
        </w:tc>
        <w:tc>
          <w:tcPr>
            <w:tcW w:w="900" w:type="dxa"/>
            <w:vAlign w:val="bottom"/>
          </w:tcPr>
          <w:p>
            <w:pPr>
              <w:spacing w:after="0"/>
              <w:rPr>
                <w:sz w:val="11"/>
                <w:szCs w:val="11"/>
                <w:color w:val="auto"/>
              </w:rPr>
            </w:pPr>
          </w:p>
        </w:tc>
        <w:tc>
          <w:tcPr>
            <w:tcW w:w="48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1"/>
              </w:rPr>
              <w:t>NIBT</w:t>
            </w:r>
          </w:p>
        </w:tc>
        <w:tc>
          <w:tcPr>
            <w:tcW w:w="7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OI Margin</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14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gridSpan w:val="2"/>
            <w:vMerge w:val="continue"/>
            <w:shd w:val="clear" w:color="auto" w:fill="CCEEFF"/>
          </w:tcPr>
          <w:p>
            <w:pPr>
              <w:spacing w:after="0"/>
              <w:rPr>
                <w:sz w:val="16"/>
                <w:szCs w:val="16"/>
                <w:color w:val="auto"/>
              </w:rPr>
            </w:pPr>
          </w:p>
        </w:tc>
        <w:tc>
          <w:tcPr>
            <w:tcW w:w="1940" w:type="dxa"/>
            <w:vAlign w:val="bottom"/>
            <w:tcBorders>
              <w:right w:val="single" w:sz="8" w:color="auto"/>
            </w:tcBorders>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80%</w:t>
            </w:r>
          </w:p>
        </w:tc>
        <w:tc>
          <w:tcPr>
            <w:tcW w:w="1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60%</w:t>
            </w:r>
          </w:p>
        </w:tc>
        <w:tc>
          <w:tcPr>
            <w:tcW w:w="2220" w:type="dxa"/>
            <w:vAlign w:val="bottom"/>
            <w:gridSpan w:val="3"/>
            <w:shd w:val="clear" w:color="auto" w:fill="CCEEFF"/>
          </w:tcPr>
          <w:p>
            <w:pPr>
              <w:jc w:val="right"/>
              <w:ind w:right="740"/>
              <w:spacing w:after="0" w:line="189" w:lineRule="exact"/>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94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222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40%</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1940" w:type="dxa"/>
            <w:vAlign w:val="bottom"/>
            <w:tcBorders>
              <w:right w:val="single" w:sz="8" w:color="auto"/>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22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20%</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920" w:type="dxa"/>
            <w:vAlign w:val="bottom"/>
            <w:gridSpan w:val="2"/>
          </w:tcPr>
          <w:p>
            <w:pPr>
              <w:spacing w:after="0" w:line="203" w:lineRule="exact"/>
              <w:rPr>
                <w:sz w:val="20"/>
                <w:szCs w:val="20"/>
                <w:color w:val="auto"/>
              </w:rPr>
            </w:pPr>
            <w:r>
              <w:rPr>
                <w:rFonts w:ascii="Arial" w:cs="Arial" w:eastAsia="Arial" w:hAnsi="Arial"/>
                <w:sz w:val="18"/>
                <w:szCs w:val="18"/>
                <w:color w:val="auto"/>
              </w:rPr>
              <w:t>Mr. Zammit</w:t>
            </w:r>
            <w:r>
              <w:rPr>
                <w:rFonts w:ascii="Arial" w:cs="Arial" w:eastAsia="Arial" w:hAnsi="Arial"/>
                <w:sz w:val="22"/>
                <w:szCs w:val="22"/>
                <w:color w:val="auto"/>
                <w:vertAlign w:val="superscript"/>
              </w:rPr>
              <w:t>(1)</w:t>
            </w:r>
          </w:p>
        </w:tc>
        <w:tc>
          <w:tcPr>
            <w:tcW w:w="194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100%</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222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12%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1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940" w:type="dxa"/>
            <w:vAlign w:val="bottom"/>
            <w:tcBorders>
              <w:right w:val="single" w:sz="8" w:color="auto"/>
            </w:tcBorders>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80%</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222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40%</w:t>
            </w:r>
          </w:p>
        </w:tc>
        <w:tc>
          <w:tcPr>
            <w:tcW w:w="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180" w:right="80" w:hanging="172"/>
        <w:spacing w:after="0" w:line="233"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7"/>
          <w:szCs w:val="17"/>
          <w:color w:val="auto"/>
        </w:rPr>
        <w:t>As Mr. Zammit was promoted at the start of the second half of fiscal 2015, the first half of his annual cash incentive was based entirely on the performance of EM and EM EMEA, the business he led prior to his promotion. After his promotion, his incentive was based on the performance of Avnet (30%) and TS (70%), as noted above.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performance goals for fiscal 2015 is presented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Company/Business Unit</w:t>
            </w:r>
          </w:p>
        </w:tc>
        <w:tc>
          <w:tcPr>
            <w:tcW w:w="2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1"/>
              </w:rPr>
              <w:t xml:space="preserve">NIAT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000s)</w:t>
            </w:r>
          </w:p>
        </w:tc>
        <w:tc>
          <w:tcPr>
            <w:tcW w:w="620" w:type="dxa"/>
            <w:vAlign w:val="bottom"/>
          </w:tcPr>
          <w:p>
            <w:pPr>
              <w:spacing w:after="0"/>
              <w:rPr>
                <w:sz w:val="14"/>
                <w:szCs w:val="14"/>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 xml:space="preserve">NIBT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000s)</w:t>
            </w:r>
          </w:p>
        </w:tc>
        <w:tc>
          <w:tcPr>
            <w:tcW w:w="1800" w:type="dxa"/>
            <w:vAlign w:val="bottom"/>
          </w:tcPr>
          <w:p>
            <w:pPr>
              <w:ind w:left="1100"/>
              <w:spacing w:after="0"/>
              <w:rPr>
                <w:sz w:val="20"/>
                <w:szCs w:val="20"/>
                <w:color w:val="auto"/>
              </w:rPr>
            </w:pPr>
            <w:r>
              <w:rPr>
                <w:rFonts w:ascii="Arial" w:cs="Arial" w:eastAsia="Arial" w:hAnsi="Arial"/>
                <w:sz w:val="14"/>
                <w:szCs w:val="14"/>
                <w:b w:val="1"/>
                <w:bCs w:val="1"/>
                <w:color w:val="auto"/>
              </w:rPr>
              <w:t>OI Margin</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Avnet</w:t>
            </w:r>
          </w:p>
        </w:tc>
        <w:tc>
          <w:tcPr>
            <w:tcW w:w="29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60" w:type="dxa"/>
            <w:vAlign w:val="bottom"/>
            <w:vMerge w:val="continue"/>
            <w:shd w:val="clear" w:color="auto" w:fill="CCEEFF"/>
          </w:tcPr>
          <w:p>
            <w:pPr>
              <w:spacing w:after="0"/>
              <w:rPr>
                <w:sz w:val="16"/>
                <w:szCs w:val="16"/>
                <w:color w:val="auto"/>
              </w:rPr>
            </w:pPr>
          </w:p>
        </w:tc>
        <w:tc>
          <w:tcPr>
            <w:tcW w:w="3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$ 660,884</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Baseline: 3.40%</w:t>
            </w:r>
          </w:p>
        </w:tc>
        <w:tc>
          <w:tcPr>
            <w:tcW w:w="122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8"/>
                <w:szCs w:val="18"/>
                <w:color w:val="auto"/>
                <w:w w:val="99"/>
              </w:rPr>
              <w:t>Target: 3.60%</w:t>
            </w: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29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813,592</w:t>
            </w:r>
          </w:p>
        </w:tc>
        <w:tc>
          <w:tcPr>
            <w:tcW w:w="620" w:type="dxa"/>
            <w:vAlign w:val="bottom"/>
          </w:tcPr>
          <w:p>
            <w:pPr>
              <w:spacing w:after="0"/>
              <w:rPr>
                <w:sz w:val="17"/>
                <w:szCs w:val="17"/>
                <w:color w:val="auto"/>
              </w:rPr>
            </w:pPr>
          </w:p>
        </w:tc>
        <w:tc>
          <w:tcPr>
            <w:tcW w:w="1800" w:type="dxa"/>
            <w:vAlign w:val="bottom"/>
          </w:tcPr>
          <w:p>
            <w:pPr>
              <w:ind w:left="80"/>
              <w:spacing w:after="0" w:line="202" w:lineRule="exact"/>
              <w:rPr>
                <w:sz w:val="20"/>
                <w:szCs w:val="20"/>
                <w:color w:val="auto"/>
              </w:rPr>
            </w:pPr>
            <w:r>
              <w:rPr>
                <w:rFonts w:ascii="Arial" w:cs="Arial" w:eastAsia="Arial" w:hAnsi="Arial"/>
                <w:sz w:val="18"/>
                <w:szCs w:val="18"/>
                <w:color w:val="auto"/>
              </w:rPr>
              <w:t>Baseline: 4.70%</w:t>
            </w:r>
          </w:p>
        </w:tc>
        <w:tc>
          <w:tcPr>
            <w:tcW w:w="122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9"/>
              </w:rPr>
              <w:t>Target: 4.80%</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29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362,959</w:t>
            </w:r>
          </w:p>
        </w:tc>
        <w:tc>
          <w:tcPr>
            <w:tcW w:w="620" w:type="dxa"/>
            <w:vAlign w:val="bottom"/>
            <w:shd w:val="clear" w:color="auto" w:fill="CCEEFF"/>
          </w:tcPr>
          <w:p>
            <w:pPr>
              <w:spacing w:after="0"/>
              <w:rPr>
                <w:sz w:val="17"/>
                <w:szCs w:val="17"/>
                <w:color w:val="auto"/>
              </w:rPr>
            </w:pPr>
          </w:p>
        </w:tc>
        <w:tc>
          <w:tcPr>
            <w:tcW w:w="1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Baseline: 3.30%</w:t>
            </w:r>
          </w:p>
        </w:tc>
        <w:tc>
          <w:tcPr>
            <w:tcW w:w="1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Target: 3.40%</w:t>
            </w:r>
          </w:p>
        </w:tc>
        <w:tc>
          <w:tcPr>
            <w:tcW w:w="0" w:type="dxa"/>
            <w:vAlign w:val="bottom"/>
          </w:tcPr>
          <w:p>
            <w:pPr>
              <w:spacing w:after="0"/>
              <w:rPr>
                <w:sz w:val="1"/>
                <w:szCs w:val="1"/>
                <w:color w:val="auto"/>
              </w:rPr>
            </w:pPr>
          </w:p>
        </w:tc>
      </w:tr>
      <w:tr>
        <w:trPr>
          <w:trHeight w:val="363"/>
        </w:trPr>
        <w:tc>
          <w:tcPr>
            <w:tcW w:w="1660" w:type="dxa"/>
            <w:vAlign w:val="bottom"/>
          </w:tcPr>
          <w:p>
            <w:pPr>
              <w:spacing w:after="0"/>
              <w:rPr>
                <w:sz w:val="24"/>
                <w:szCs w:val="24"/>
                <w:color w:val="auto"/>
              </w:rPr>
            </w:pP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Performance for NIAT and NIBT is calculated based on the ratio of actual performance to the target goal. For OI Margin, performance is calculated by adding or deducting 0.5% from 100% for every 1 basis point deviation from the baseline and adding an additional 0.5% (for a total of 1.0%) for every basis point above the target. The payout factor on the NIAT, NIBT and OI Margin portion of the incentive is linear for performance attainment between 80% and 120% of the performance goal. If NIAT, NIBT or OI Margin performance attainment is less than 80% or greater than 120% of the target goal, each 1% change in attainment from those percentages will result in a ±3% change in the incentive payout. Maximum cash incentive compensation relating to the financial performance is capped at 200% of target and no cash incentive compensation will be earned if actual performance is less than 60% of the financial target.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outlines the payout ranges that apply to the financial goals.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2"/>
        </w:trPr>
        <w:tc>
          <w:tcPr>
            <w:tcW w:w="1300" w:type="dxa"/>
            <w:vAlign w:val="bottom"/>
            <w:tcBorders>
              <w:top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7"/>
              </w:rPr>
              <w:t>(as percentage of target</w:t>
            </w:r>
          </w:p>
        </w:tc>
      </w:tr>
      <w:tr>
        <w:trPr>
          <w:trHeight w:val="165"/>
        </w:trPr>
        <w:tc>
          <w:tcPr>
            <w:tcW w:w="13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incentive opportunity)</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Below 60%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Between 60% and less than 80% of performance goal</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7"/>
              </w:rPr>
              <w:t>20% - 80%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Between 80% and less than 120%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80% - 120%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Between 120% and less than 147% of performance goal</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8"/>
              </w:rPr>
              <w:t>120% - 200%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Above 147% of performance goal</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200%</w:t>
            </w:r>
          </w:p>
        </w:tc>
      </w:tr>
    </w:tbl>
    <w:p>
      <w:pPr>
        <w:spacing w:after="0" w:line="147"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u w:val="single" w:color="auto"/>
          <w:color w:val="auto"/>
        </w:rPr>
        <w:t>Individual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NEO, with the exception of Mr. Zammit, 20% of their annual cash incentive was tied to achievement of pre-established individual objectives and strategic initiatives. These objectives, which vary by NEO, focus on areas that provide immediate value, as well as those that are important for building future growth capability. These areas include efficiency initiatives, financial planning initiatives and goals with respect to specific businesses or functions. Maximum cash incentive compensation relating to the individual performance goals is capped at 200% of target.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Payout</w:t>
      </w:r>
      <w:r>
        <w:rPr>
          <w:rFonts w:ascii="Arial" w:cs="Arial" w:eastAsia="Arial" w:hAnsi="Arial"/>
          <w:sz w:val="18"/>
          <w:szCs w:val="18"/>
          <w:color w:val="auto"/>
        </w:rPr>
        <w:t>. The NEOs were paid the following annual cash incentive amounts for fiscal 2015 performance:</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760" w:type="dxa"/>
            <w:vAlign w:val="bottom"/>
            <w:vMerge w:val="restart"/>
          </w:tcPr>
          <w:p>
            <w:pPr>
              <w:spacing w:after="0"/>
              <w:rPr>
                <w:sz w:val="14"/>
                <w:szCs w:val="14"/>
                <w:color w:val="auto"/>
              </w:rPr>
            </w:pPr>
          </w:p>
        </w:tc>
        <w:tc>
          <w:tcPr>
            <w:tcW w:w="20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 Cash</w:t>
            </w:r>
          </w:p>
        </w:tc>
        <w:tc>
          <w:tcPr>
            <w:tcW w:w="96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Incentive Paid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6"/>
              <w:spacing w:after="0" w:line="152" w:lineRule="exact"/>
              <w:rPr>
                <w:sz w:val="20"/>
                <w:szCs w:val="20"/>
                <w:color w:val="auto"/>
              </w:rPr>
            </w:pPr>
            <w:r>
              <w:rPr>
                <w:rFonts w:ascii="Arial" w:cs="Arial" w:eastAsia="Arial" w:hAnsi="Arial"/>
                <w:sz w:val="14"/>
                <w:szCs w:val="14"/>
                <w:b w:val="1"/>
                <w:bCs w:val="1"/>
                <w:color w:val="auto"/>
              </w:rPr>
              <w:t>Incentive</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for Fiscal 2015</w:t>
            </w:r>
          </w:p>
        </w:tc>
        <w:tc>
          <w:tcPr>
            <w:tcW w:w="12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3"/>
              </w:rPr>
              <w:t>Target Achieved</w:t>
            </w: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80" w:type="dxa"/>
            <w:vAlign w:val="bottom"/>
            <w:gridSpan w:val="2"/>
            <w:vMerge w:val="continue"/>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1,425,000</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1,354,240</w:t>
            </w:r>
          </w:p>
        </w:tc>
        <w:tc>
          <w:tcPr>
            <w:tcW w:w="9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11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603,206</w:t>
            </w:r>
          </w:p>
        </w:tc>
        <w:tc>
          <w:tcPr>
            <w:tcW w:w="96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w:t>
            </w:r>
          </w:p>
        </w:tc>
        <w:tc>
          <w:tcPr>
            <w:tcW w:w="110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544,144</w:t>
            </w:r>
          </w:p>
        </w:tc>
        <w:tc>
          <w:tcPr>
            <w:tcW w:w="9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r>
              <w:rPr>
                <w:rFonts w:ascii="Arial" w:cs="Arial" w:eastAsia="Arial" w:hAnsi="Arial"/>
                <w:sz w:val="11"/>
                <w:szCs w:val="11"/>
                <w:color w:val="auto"/>
              </w:rPr>
              <w:t>(1)</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242,000</w:t>
            </w:r>
          </w:p>
        </w:tc>
        <w:tc>
          <w:tcPr>
            <w:tcW w:w="110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242,000</w:t>
            </w:r>
          </w:p>
        </w:tc>
        <w:tc>
          <w:tcPr>
            <w:tcW w:w="96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110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377,004</w:t>
            </w:r>
          </w:p>
        </w:tc>
        <w:tc>
          <w:tcPr>
            <w:tcW w:w="9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180" w:right="840" w:hanging="172"/>
        <w:spacing w:after="0" w:line="227"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7"/>
          <w:szCs w:val="17"/>
          <w:color w:val="auto"/>
        </w:rPr>
        <w:t>As Mr. Zammit was promoted to TS President at the start of the second half of fiscal 2015, the portion of his target incentive tied to the performance of Avnet and TS was guaranteed to be not less than the target amount for the second half of fiscal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target cash incentive earned with respect to the financial performance goals were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Company/Business</w:t>
            </w:r>
          </w:p>
        </w:tc>
        <w:tc>
          <w:tcPr>
            <w:tcW w:w="1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 xml:space="preserve">NIAT/NIBT </w:t>
            </w:r>
            <w:r>
              <w:rPr>
                <w:rFonts w:ascii="Arial" w:cs="Arial" w:eastAsia="Arial" w:hAnsi="Arial"/>
                <w:sz w:val="14"/>
                <w:szCs w:val="14"/>
                <w:color w:val="auto"/>
              </w:rPr>
              <w:t>($000s)</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OI Margin</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32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Unit</w:t>
            </w:r>
          </w:p>
        </w:tc>
        <w:tc>
          <w:tcPr>
            <w:tcW w:w="16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Target</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Actual</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 Achieved</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Payout %</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Baseline</w:t>
            </w:r>
          </w:p>
        </w:tc>
        <w:tc>
          <w:tcPr>
            <w:tcW w:w="8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93"/>
              </w:rPr>
              <w:t>Actual</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 Achieved</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20"/>
        </w:trPr>
        <w:tc>
          <w:tcPr>
            <w:tcW w:w="1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Avnet</w:t>
            </w:r>
          </w:p>
        </w:tc>
        <w:tc>
          <w:tcPr>
            <w:tcW w:w="16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20" w:type="dxa"/>
            <w:vAlign w:val="bottom"/>
            <w:vMerge w:val="continue"/>
            <w:shd w:val="clear" w:color="auto" w:fill="CCEEFF"/>
          </w:tcPr>
          <w:p>
            <w:pPr>
              <w:spacing w:after="0"/>
              <w:rPr>
                <w:sz w:val="16"/>
                <w:szCs w:val="16"/>
                <w:color w:val="auto"/>
              </w:rPr>
            </w:pPr>
          </w:p>
        </w:tc>
        <w:tc>
          <w:tcPr>
            <w:tcW w:w="2760" w:type="dxa"/>
            <w:vAlign w:val="bottom"/>
            <w:gridSpan w:val="3"/>
            <w:shd w:val="clear" w:color="auto" w:fill="CCEEFF"/>
          </w:tcPr>
          <w:p>
            <w:pPr>
              <w:jc w:val="center"/>
              <w:ind w:left="1212"/>
              <w:spacing w:after="0" w:line="189" w:lineRule="exact"/>
              <w:rPr>
                <w:sz w:val="20"/>
                <w:szCs w:val="20"/>
                <w:color w:val="auto"/>
              </w:rPr>
            </w:pPr>
            <w:r>
              <w:rPr>
                <w:rFonts w:ascii="Arial" w:cs="Arial" w:eastAsia="Arial" w:hAnsi="Arial"/>
                <w:sz w:val="18"/>
                <w:szCs w:val="18"/>
                <w:color w:val="auto"/>
                <w:w w:val="98"/>
              </w:rPr>
              <w:t>$660,844</w:t>
            </w:r>
          </w:p>
        </w:tc>
        <w:tc>
          <w:tcPr>
            <w:tcW w:w="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$623,090</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94.28%</w:t>
            </w: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94.28%</w:t>
            </w:r>
          </w:p>
        </w:tc>
        <w:tc>
          <w:tcPr>
            <w:tcW w:w="10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3.40%</w:t>
            </w:r>
          </w:p>
        </w:tc>
        <w:tc>
          <w:tcPr>
            <w:tcW w:w="880" w:type="dxa"/>
            <w:vAlign w:val="bottom"/>
            <w:gridSpan w:val="2"/>
            <w:shd w:val="clear" w:color="auto" w:fill="CCEEFF"/>
          </w:tcPr>
          <w:p>
            <w:pPr>
              <w:jc w:val="right"/>
              <w:ind w:right="232"/>
              <w:spacing w:after="0" w:line="189" w:lineRule="exact"/>
              <w:rPr>
                <w:sz w:val="20"/>
                <w:szCs w:val="20"/>
                <w:color w:val="auto"/>
              </w:rPr>
            </w:pPr>
            <w:r>
              <w:rPr>
                <w:rFonts w:ascii="Arial" w:cs="Arial" w:eastAsia="Arial" w:hAnsi="Arial"/>
                <w:sz w:val="18"/>
                <w:szCs w:val="18"/>
                <w:color w:val="auto"/>
              </w:rPr>
              <w:t>3.48%</w:t>
            </w:r>
          </w:p>
        </w:tc>
        <w:tc>
          <w:tcPr>
            <w:tcW w:w="12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104.00%</w:t>
            </w: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03"/>
        </w:trPr>
        <w:tc>
          <w:tcPr>
            <w:tcW w:w="1320" w:type="dxa"/>
            <w:vAlign w:val="bottom"/>
          </w:tcPr>
          <w:p>
            <w:pPr>
              <w:spacing w:after="0" w:line="202" w:lineRule="exact"/>
              <w:rPr>
                <w:sz w:val="20"/>
                <w:szCs w:val="20"/>
                <w:color w:val="auto"/>
              </w:rPr>
            </w:pPr>
            <w:r>
              <w:rPr>
                <w:rFonts w:ascii="Arial" w:cs="Arial" w:eastAsia="Arial" w:hAnsi="Arial"/>
                <w:sz w:val="18"/>
                <w:szCs w:val="18"/>
                <w:color w:val="auto"/>
              </w:rPr>
              <w:t>EM</w:t>
            </w:r>
          </w:p>
        </w:tc>
        <w:tc>
          <w:tcPr>
            <w:tcW w:w="2760" w:type="dxa"/>
            <w:vAlign w:val="bottom"/>
            <w:gridSpan w:val="3"/>
          </w:tcPr>
          <w:p>
            <w:pPr>
              <w:jc w:val="center"/>
              <w:ind w:left="1212"/>
              <w:spacing w:after="0" w:line="202" w:lineRule="exact"/>
              <w:rPr>
                <w:sz w:val="20"/>
                <w:szCs w:val="20"/>
                <w:color w:val="auto"/>
              </w:rPr>
            </w:pPr>
            <w:r>
              <w:rPr>
                <w:rFonts w:ascii="Arial" w:cs="Arial" w:eastAsia="Arial" w:hAnsi="Arial"/>
                <w:sz w:val="18"/>
                <w:szCs w:val="18"/>
                <w:color w:val="auto"/>
                <w:w w:val="98"/>
              </w:rPr>
              <w:t>$813,592</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8"/>
              </w:rPr>
              <w:t>$778,575</w:t>
            </w:r>
          </w:p>
        </w:tc>
        <w:tc>
          <w:tcPr>
            <w:tcW w:w="340" w:type="dxa"/>
            <w:vAlign w:val="bottom"/>
          </w:tcPr>
          <w:p>
            <w:pPr>
              <w:spacing w:after="0"/>
              <w:rPr>
                <w:sz w:val="17"/>
                <w:szCs w:val="17"/>
                <w:color w:val="auto"/>
              </w:rPr>
            </w:pP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95.70%</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95.70%</w:t>
            </w: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4.70%</w:t>
            </w:r>
          </w:p>
        </w:tc>
        <w:tc>
          <w:tcPr>
            <w:tcW w:w="88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4.60%</w:t>
            </w:r>
          </w:p>
        </w:tc>
        <w:tc>
          <w:tcPr>
            <w:tcW w:w="1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95.00%</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TS</w:t>
            </w:r>
          </w:p>
        </w:tc>
        <w:tc>
          <w:tcPr>
            <w:tcW w:w="2760" w:type="dxa"/>
            <w:vAlign w:val="bottom"/>
            <w:gridSpan w:val="3"/>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8"/>
              </w:rPr>
              <w:t>$362,959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$287,164</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79.12%</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77.36%</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3.30%</w:t>
            </w:r>
          </w:p>
        </w:tc>
        <w:tc>
          <w:tcPr>
            <w:tcW w:w="880" w:type="dxa"/>
            <w:vAlign w:val="bottom"/>
            <w:gridSpan w:val="2"/>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3.08%</w:t>
            </w:r>
          </w:p>
        </w:tc>
        <w:tc>
          <w:tcPr>
            <w:tcW w:w="12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89.00%</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363"/>
        </w:trPr>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Performance relative to pre-established individual objectives and strategic initiatives as a percentage of target for fiscal 2015 were:</w:t>
      </w:r>
    </w:p>
    <w:p>
      <w:pPr>
        <w:sectPr>
          <w:pgSz w:w="11900" w:h="16838" w:orient="portrait"/>
          <w:cols w:equalWidth="0" w:num="1">
            <w:col w:w="11400"/>
          </w:cols>
          <w:pgMar w:left="240" w:top="459" w:right="2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Mr. Hamada: 83%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Mr. Zammit: N/A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Mr. Moriarty: 110%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Ms. Miller: 110%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260"/>
        <w:spacing w:after="0"/>
        <w:rPr>
          <w:sz w:val="20"/>
          <w:szCs w:val="20"/>
          <w:color w:val="auto"/>
        </w:rPr>
      </w:pPr>
      <w:r>
        <w:rPr>
          <w:rFonts w:ascii="Arial" w:cs="Arial" w:eastAsia="Arial" w:hAnsi="Arial"/>
          <w:sz w:val="16"/>
          <w:szCs w:val="16"/>
          <w:color w:val="auto"/>
        </w:rPr>
        <w:t>Mr. Fay: 108%</w:t>
      </w:r>
    </w:p>
    <w:p>
      <w:pPr>
        <w:spacing w:after="0" w:line="302" w:lineRule="exact"/>
        <w:rPr>
          <w:sz w:val="20"/>
          <w:szCs w:val="20"/>
          <w:color w:val="auto"/>
        </w:rPr>
      </w:pPr>
    </w:p>
    <w:p>
      <w:pPr>
        <w:sectPr>
          <w:pgSz w:w="11900" w:h="16838" w:orient="portrait"/>
          <w:cols w:equalWidth="0" w:num="3">
            <w:col w:w="3520" w:space="720"/>
            <w:col w:w="3040" w:space="720"/>
            <w:col w:w="3400"/>
          </w:cols>
          <w:pgMar w:left="240" w:top="459" w:right="259" w:bottom="1440" w:gutter="0" w:footer="0" w:header="0"/>
          <w:type w:val="continuous"/>
        </w:sectPr>
      </w:pPr>
    </w:p>
    <w:p>
      <w:pPr>
        <w:spacing w:after="0" w:line="271" w:lineRule="auto"/>
        <w:rPr>
          <w:sz w:val="20"/>
          <w:szCs w:val="20"/>
          <w:color w:val="auto"/>
        </w:rPr>
      </w:pPr>
      <w:r>
        <w:rPr>
          <w:rFonts w:ascii="Arial" w:cs="Arial" w:eastAsia="Arial" w:hAnsi="Arial"/>
          <w:sz w:val="16"/>
          <w:szCs w:val="16"/>
          <w:color w:val="auto"/>
        </w:rPr>
        <w:t>The actual annual cash incentive earned for fiscal 2015 was a result of performance at Avnet, EM and TS, as well as a result of the performance relative to the individual strategic objectives. As a result of the increased performance targets with respect to NIAT and NIBT in the Incentive Plan and the strengthening U.S. Dollar during the fiscal year, the percentage of target achieved decreased an average of 5% for Messrs. Hamada, Moriarty and Fay, and Ms. Miller from fiscal 2014. For Mr. Moriarty and Mr. Fay, the dollar increase in the annual cash incentive paid was a result of the increases in their target annual cash incentive compensation for fiscal 2015. For additional information regarding the fiscal 2015 performance of the Company and its operating groups, please refer to the Company’s Annual Report on Form 10-K for the year ended June 27, 2015.</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Compensation Committee uses long-term incentive compensation in the form of equity awards for all executive officers as a valuable compensation component. Equity awards under the LTIP provide a strong incentive to increase shareholder value over time and improve TSR, as well as aid in retention.</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Avnet utilizes a portfolio approach to long-term incentive awards to better align executive compensation to shareholder interests, provide executive officers with an opportunity to benefit from stock price appreciation and ensure that a portion of long-term pay is tied to performance relative to peer companies. Executive officers do not have a set target for long-term incentive compensation at the beginning of each year (e.g., target value as a percentage of base salary). Rather, at the beginning of each year, long-term incentive awards are determined based on a variety of factors including market competitiveness and the executive officer’s prior-year performance. As a result, the target value of awards on grant date for an executive officer can vary from year to year.</w:t>
      </w:r>
    </w:p>
    <w:p>
      <w:pPr>
        <w:spacing w:after="0" w:line="75"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The Compensation Committee generally awards a mix of restricted stock units (RSUs), stock options and performance share units (PSUs) to the Company’s executive officers. In fiscal 2015, Avnet granted stock options, time-based RSUs and PSUs to each of the NEOs. With respect to the target value of the LTIP awards to the NEOs, generally, RSUs represent 25% of the award, stock options represent 25% of the award and PSUs represent 50% of the award. The fiscal 2015 approved LTIP awards are listed in the following table.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5660" w:type="dxa"/>
            <w:vAlign w:val="bottom"/>
            <w:vMerge w:val="restart"/>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PSUs</w:t>
            </w: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Options</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RSUs</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Target Value of</w:t>
            </w:r>
          </w:p>
        </w:tc>
        <w:tc>
          <w:tcPr>
            <w:tcW w:w="0" w:type="dxa"/>
            <w:vAlign w:val="bottom"/>
          </w:tcPr>
          <w:p>
            <w:pPr>
              <w:spacing w:after="0"/>
              <w:rPr>
                <w:sz w:val="1"/>
                <w:szCs w:val="1"/>
                <w:color w:val="auto"/>
              </w:rPr>
            </w:pPr>
          </w:p>
        </w:tc>
      </w:tr>
      <w:tr>
        <w:trPr>
          <w:trHeight w:val="172"/>
        </w:trPr>
        <w:tc>
          <w:tcPr>
            <w:tcW w:w="320" w:type="dxa"/>
            <w:vAlign w:val="bottom"/>
            <w:tcBorders>
              <w:bottom w:val="single" w:sz="8" w:color="auto"/>
            </w:tcBorders>
            <w:vMerge w:val="continue"/>
          </w:tcPr>
          <w:p>
            <w:pPr>
              <w:spacing w:after="0"/>
              <w:rPr>
                <w:sz w:val="14"/>
                <w:szCs w:val="14"/>
                <w:color w:val="auto"/>
              </w:rPr>
            </w:pPr>
          </w:p>
        </w:tc>
        <w:tc>
          <w:tcPr>
            <w:tcW w:w="5660" w:type="dxa"/>
            <w:vAlign w:val="bottom"/>
            <w:vMerge w:val="continue"/>
          </w:tcPr>
          <w:p>
            <w:pPr>
              <w:spacing w:after="0"/>
              <w:rPr>
                <w:sz w:val="14"/>
                <w:szCs w:val="14"/>
                <w:color w:val="auto"/>
              </w:rPr>
            </w:pPr>
          </w:p>
        </w:tc>
        <w:tc>
          <w:tcPr>
            <w:tcW w:w="600" w:type="dxa"/>
            <w:vAlign w:val="bottom"/>
          </w:tcPr>
          <w:p>
            <w:pPr>
              <w:jc w:val="right"/>
              <w:ind w:right="138"/>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600" w:type="dxa"/>
            <w:vAlign w:val="bottom"/>
          </w:tcPr>
          <w:p>
            <w:pPr>
              <w:ind w:left="220"/>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600" w:type="dxa"/>
            <w:vAlign w:val="bottom"/>
          </w:tcPr>
          <w:p>
            <w:pPr>
              <w:jc w:val="right"/>
              <w:ind w:right="138"/>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11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 xml:space="preserve">LTIP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Mr. Hamada</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56,262</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4"/>
              </w:rPr>
              <w:t>78,124</w:t>
            </w:r>
          </w:p>
        </w:tc>
        <w:tc>
          <w:tcPr>
            <w:tcW w:w="5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28,132</w:t>
            </w: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4,600,000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17,430</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24,200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8,716</w:t>
            </w:r>
          </w:p>
        </w:tc>
        <w:tc>
          <w:tcPr>
            <w:tcW w:w="5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1,425,000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Fay</w:t>
            </w:r>
            <w:r>
              <w:rPr>
                <w:rFonts w:ascii="Arial" w:cs="Arial" w:eastAsia="Arial" w:hAnsi="Arial"/>
                <w:sz w:val="11"/>
                <w:szCs w:val="11"/>
                <w:color w:val="auto"/>
              </w:rPr>
              <w:t>(1)</w:t>
            </w: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14,676</w:t>
            </w: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42,604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14,438</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2" w:lineRule="exact"/>
              <w:rPr>
                <w:sz w:val="20"/>
                <w:szCs w:val="20"/>
                <w:color w:val="auto"/>
              </w:rPr>
            </w:pPr>
            <w:r>
              <w:rPr>
                <w:rFonts w:ascii="Arial" w:cs="Arial" w:eastAsia="Arial" w:hAnsi="Arial"/>
                <w:sz w:val="18"/>
                <w:szCs w:val="18"/>
                <w:color w:val="auto"/>
              </w:rPr>
              <w:t>Mr. Zammit</w:t>
            </w:r>
            <w:r>
              <w:rPr>
                <w:rFonts w:ascii="Arial" w:cs="Arial" w:eastAsia="Arial" w:hAnsi="Arial"/>
                <w:sz w:val="11"/>
                <w:szCs w:val="11"/>
                <w:color w:val="auto"/>
              </w:rPr>
              <w:t>(2)</w:t>
            </w: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11,007</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37,508</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12,602</w:t>
            </w:r>
          </w:p>
        </w:tc>
        <w:tc>
          <w:tcPr>
            <w:tcW w:w="5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11,619</w:t>
            </w: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16,136</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5,808</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2" w:lineRule="exact"/>
        <w:rPr>
          <w:sz w:val="20"/>
          <w:szCs w:val="20"/>
          <w:color w:val="auto"/>
        </w:rPr>
      </w:pPr>
    </w:p>
    <w:p>
      <w:pPr>
        <w:ind w:left="180" w:right="240" w:hanging="172"/>
        <w:spacing w:after="0" w:line="233"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In consideration of organizational changes in the EM business and the expansion of his responsibilities to include initiatives spanning both business groups, Mr. Fay received a one-time equity award of $300,000 worth of RSUs and $300,000 worth of stock options in January 2015. These RSUs vest ratably in January 2016, 2017 and 2018, and these stock options vest ratably in January 2016, 2017, 2018 and 2019.</w:t>
      </w:r>
    </w:p>
    <w:p>
      <w:pPr>
        <w:spacing w:after="0" w:line="74" w:lineRule="exact"/>
        <w:rPr>
          <w:rFonts w:ascii="Arial" w:cs="Arial" w:eastAsia="Arial" w:hAnsi="Arial"/>
          <w:sz w:val="21"/>
          <w:szCs w:val="21"/>
          <w:color w:val="auto"/>
          <w:vertAlign w:val="superscript"/>
        </w:rPr>
      </w:pPr>
    </w:p>
    <w:p>
      <w:pPr>
        <w:ind w:left="180" w:right="120" w:hanging="172"/>
        <w:spacing w:after="0" w:line="233"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In recognition of his promotion to TS President, effective January 2015, Mr. Zammit also received a one-time equity award of $300,000 worth of RSUs and $300,000 worth of stock options. These RSUs vest ratably in January 2016, 2017 and 2018, and these stock options vest ratably in January 2016, 2017, 2018 and 2019.</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u w:val="single" w:color="auto"/>
          <w:color w:val="auto"/>
        </w:rPr>
        <w:t>Performance Stock Units</w:t>
      </w:r>
      <w:r>
        <w:rPr>
          <w:rFonts w:ascii="Arial" w:cs="Arial" w:eastAsia="Arial" w:hAnsi="Arial"/>
          <w:sz w:val="18"/>
          <w:szCs w:val="18"/>
          <w:color w:val="auto"/>
        </w:rPr>
        <w:t>. The Compensation Committee or, where applicable, the Board, uses the combination of three distinct successive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relative economic profit performance periods over three years as a performance goal because the Board believes that economic profit growth is a key factor in the creation of shareholder value. Using annual performance periods makes these goals more meaningful to the executive officers and enhances the line of sight between performance and award results. In addition, the Compensation Committee uses relative TSR as a payout measure to promote a closer alignment between long-term incentive payments and shareholder returns delivered during the three-year performance period.</w:t>
      </w:r>
    </w:p>
    <w:p>
      <w:pPr>
        <w:spacing w:after="0" w:line="7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PSUs awarded in fiscal 2015 vest based upon a three-year performance period covering the Company’s fiscal years 2015, 2016 and 2017. Vesting of these PSUs is subject to Avnet achieving Relative EP, as defined below, and Relative TSR, as defined below, equal to at least the respective threshold levels set forth below. Relative EP and Relative TSR are equally weighted for determining PSU payouts. While Relative EP is calculated for each year during the performance period, the PSUs associated with that performance measure do not vest until the end of the three-year performance period. For Relative EP, the Compensation Committee selected the S&amp;P SuperComposite Technology Distributors Index — Sub-Industry Index, excluding Avnet, as the comparator group. It is comprised of technology distributors that are the most comparable to Avnet in terms of revenue, market capitalization and business environment. For Relative TSR, the Compensation Committee selected the broader S&amp;P MidCap400 Information Technology Index as the comparator group to provide for more stability and continuity in the relative TSR peer group composition and performance levels.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77" w:lineRule="exact"/>
        <w:rPr>
          <w:sz w:val="20"/>
          <w:szCs w:val="20"/>
          <w:color w:val="auto"/>
        </w:rPr>
      </w:pPr>
    </w:p>
    <w:p>
      <w:pPr>
        <w:ind w:left="660" w:right="80" w:hanging="206"/>
        <w:spacing w:after="0" w:line="23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EP” means, with respect to each fiscal year in the three-year Relative EP performance period, Avnet’s economic profit per dollar of average capital for such fiscal year as compared to the economic profit per dollar of average capital of the companies in the S&amp;P SuperComposite Technology Distributors Index — Sub-Industry Index, excluding Avnet.</w:t>
      </w:r>
    </w:p>
    <w:p>
      <w:pPr>
        <w:spacing w:after="0" w:line="72" w:lineRule="exact"/>
        <w:rPr>
          <w:rFonts w:ascii="Arial" w:cs="Arial" w:eastAsia="Arial" w:hAnsi="Arial"/>
          <w:sz w:val="18"/>
          <w:szCs w:val="18"/>
          <w:color w:val="auto"/>
        </w:rPr>
      </w:pPr>
    </w:p>
    <w:p>
      <w:pPr>
        <w:ind w:left="660" w:hanging="206"/>
        <w:spacing w:after="0" w:line="23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profit”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73" w:lineRule="exact"/>
        <w:rPr>
          <w:rFonts w:ascii="Arial" w:cs="Arial" w:eastAsia="Arial" w:hAnsi="Arial"/>
          <w:sz w:val="18"/>
          <w:szCs w:val="18"/>
          <w:color w:val="auto"/>
        </w:rPr>
      </w:pPr>
    </w:p>
    <w:p>
      <w:pPr>
        <w:ind w:left="660" w:right="80" w:hanging="206"/>
        <w:spacing w:after="0" w:line="23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TSR” means the percentile rank (from 0%ile for the lowest to 100%ile for the highest) of Avnet’s “Total Shareholder Return” compared to the individual total shareholder return of each company in the S&amp;P MidCap400 Information Technology Index over the three-year performance period.</w:t>
      </w:r>
    </w:p>
    <w:p>
      <w:pPr>
        <w:spacing w:after="0" w:line="72"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Shareholder Return” means the percent calculated using the following formula: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jc w:val="center"/>
        <w:ind w:right="-19"/>
        <w:spacing w:after="0"/>
        <w:rPr>
          <w:sz w:val="20"/>
          <w:szCs w:val="20"/>
          <w:color w:val="auto"/>
        </w:rPr>
      </w:pPr>
      <w:r>
        <w:rPr>
          <w:rFonts w:ascii="Arial" w:cs="Arial" w:eastAsia="Arial" w:hAnsi="Arial"/>
          <w:sz w:val="18"/>
          <w:szCs w:val="18"/>
          <w:color w:val="auto"/>
        </w:rPr>
        <w:t>Average stock price at the start of period</w:t>
      </w:r>
    </w:p>
    <w:p>
      <w:pPr>
        <w:spacing w:after="0" w:line="77" w:lineRule="exact"/>
        <w:rPr>
          <w:sz w:val="20"/>
          <w:szCs w:val="20"/>
          <w:color w:val="auto"/>
        </w:rPr>
      </w:pPr>
    </w:p>
    <w:p>
      <w:pPr>
        <w:ind w:left="460" w:right="340"/>
        <w:spacing w:after="0" w:line="238"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7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Based upon the Company’s actual Relative EP and Relative TSR, the recipient is eligible to receive a percentage of the target number of shares ranging from 0% to 200% of the participant’s targeted number of shares as set forth below. As Relative EP is calculated each year during the three-year performance period, the payout percentage of target set forth below is multiplied by one-third and the number of PSUs associated with each year’s Relative EP performance vest at the end of the three-year performance period.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Relative EP</w:t>
            </w:r>
          </w:p>
        </w:tc>
        <w:tc>
          <w:tcPr>
            <w:tcW w:w="2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Relative EP relative to the Index</w:t>
            </w:r>
          </w:p>
        </w:tc>
        <w:tc>
          <w:tcPr>
            <w:tcW w:w="25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Payout Percent of Target</w:t>
            </w:r>
          </w:p>
        </w:tc>
        <w:tc>
          <w:tcPr>
            <w:tcW w:w="25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9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150%</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Relative TSR</w:t>
            </w:r>
          </w:p>
        </w:tc>
        <w:tc>
          <w:tcPr>
            <w:tcW w:w="2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ind w:left="420"/>
              <w:spacing w:after="0" w:line="202" w:lineRule="exact"/>
              <w:rPr>
                <w:sz w:val="20"/>
                <w:szCs w:val="20"/>
                <w:color w:val="auto"/>
              </w:rPr>
            </w:pPr>
            <w:r>
              <w:rPr>
                <w:rFonts w:ascii="Arial" w:cs="Arial" w:eastAsia="Arial" w:hAnsi="Arial"/>
                <w:sz w:val="18"/>
                <w:szCs w:val="18"/>
                <w:color w:val="auto"/>
              </w:rPr>
              <w:t>Percentile Rank</w:t>
            </w:r>
          </w:p>
        </w:tc>
        <w:tc>
          <w:tcPr>
            <w:tcW w:w="2520" w:type="dxa"/>
            <w:vAlign w:val="bottom"/>
          </w:tcPr>
          <w:p>
            <w:pPr>
              <w:jc w:val="center"/>
              <w:ind w:left="1632"/>
              <w:spacing w:after="0" w:line="202" w:lineRule="exact"/>
              <w:rPr>
                <w:sz w:val="20"/>
                <w:szCs w:val="20"/>
                <w:color w:val="auto"/>
              </w:rPr>
            </w:pPr>
            <w:r>
              <w:rPr>
                <w:rFonts w:ascii="Arial" w:cs="Arial" w:eastAsia="Arial" w:hAnsi="Arial"/>
                <w:sz w:val="18"/>
                <w:szCs w:val="18"/>
                <w:color w:val="auto"/>
                <w:w w:val="99"/>
              </w:rPr>
              <w:t>&lt;30%ile</w:t>
            </w:r>
          </w:p>
        </w:tc>
        <w:tc>
          <w:tcPr>
            <w:tcW w:w="14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30%ile</w:t>
            </w:r>
          </w:p>
        </w:tc>
        <w:tc>
          <w:tcPr>
            <w:tcW w:w="980" w:type="dxa"/>
            <w:vAlign w:val="bottom"/>
          </w:tcPr>
          <w:p>
            <w:pPr>
              <w:jc w:val="center"/>
              <w:ind w:right="252"/>
              <w:spacing w:after="0" w:line="202" w:lineRule="exact"/>
              <w:rPr>
                <w:sz w:val="20"/>
                <w:szCs w:val="20"/>
                <w:color w:val="auto"/>
              </w:rPr>
            </w:pPr>
            <w:r>
              <w:rPr>
                <w:rFonts w:ascii="Arial" w:cs="Arial" w:eastAsia="Arial" w:hAnsi="Arial"/>
                <w:sz w:val="18"/>
                <w:szCs w:val="18"/>
                <w:color w:val="auto"/>
                <w:w w:val="96"/>
              </w:rPr>
              <w:t>50%ile</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6"/>
              </w:rPr>
              <w:t>75%ile+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Payout Percent of Target</w:t>
            </w:r>
          </w:p>
        </w:tc>
        <w:tc>
          <w:tcPr>
            <w:tcW w:w="25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If Avnet’s actual annual Relative EP or Relative TSR is between two achievement levels set forth in the table above, the percentage vesting shall be determined by linear interpolation.</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Compensation Committee set target payouts at the median level of the TSR peer group with threshold payouts at the 30th percentile to set a minimum relative performance level compared to the comparator group while retaining the retention value of the overall award.</w:t>
      </w:r>
    </w:p>
    <w:p>
      <w:pPr>
        <w:spacing w:after="0" w:line="5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i w:val="1"/>
          <w:iCs w:val="1"/>
          <w:u w:val="single" w:color="auto"/>
          <w:color w:val="auto"/>
        </w:rPr>
        <w:t>Performance Stock Units Earned</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The payout percentages for the PSU awards for the past five years are set forth in the following table: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Period</w:t>
            </w:r>
          </w:p>
        </w:tc>
        <w:tc>
          <w:tcPr>
            <w:tcW w:w="84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20"/>
        </w:trPr>
        <w:tc>
          <w:tcPr>
            <w:tcW w:w="9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Fiscal Years 2013 – 2015</w:t>
            </w: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820" w:type="dxa"/>
            <w:vAlign w:val="bottom"/>
            <w:gridSpan w:val="2"/>
            <w:vMerge w:val="continue"/>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982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2012 – 2014</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9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2011 – 2013</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982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2010 – 2012</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9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2009 – 2011</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provide the opportunity for compensation only if the Company’s stock price appreciates from the date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enhancing the alignment of executive officer pay with shareholder interests. Options typically vest annually in equal installments over a four year period. The exercise price reflects the closing stock price on the date of grant. The vesting parameters are designed to enhance NEO retention.</w:t>
      </w:r>
    </w:p>
    <w:p>
      <w:pPr>
        <w:spacing w:after="0" w:line="9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color w:val="auto"/>
        </w:rPr>
        <w:t>. RSUs typically vest in four equal installments over three-and-a-half years and are intended to enhance the retention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NEOs over an extended period.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Compensation Elements</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u w:val="single" w:color="auto"/>
          <w:color w:val="auto"/>
        </w:rPr>
        <w:t>Retirement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Avnet provides a retirement benefit to certain employees under a tax-qualified retirement plan and a retirement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under nonqualified retirement plans. The Avnet pension plan (the “Pension Plan”) is a 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nonqualified retirement plans consist of the Avnet restoration pension plan (the “Restoration Plan”) and the supplemental executive officers’ retirement plan (the “SERP”). The plans are more fully described in the “Pension Benefits” section. Only U.S. employees are eligible to participate in the Pension and Restoration Plans. Mr. Zammit, as a former resident of France and a current resident of Belgium, is a participant in the Company’s pension plans established in France and Belgium.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Avnet compensation program because the receipt of benefits under these plans is contingent upon the satisfaction of certain age and service requirements. Additionally, as the benefits provided under the nonqualified retirement plans are based in part on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participant’s yearly cash compensation, including a participant’s annual cash incentive compensation, the plans include a performance based element. The Company balances the effectiveness of these plans as a compensation and retention tool with the cost of these plans.</w:t>
      </w:r>
    </w:p>
    <w:p>
      <w:pPr>
        <w:spacing w:after="0" w:line="1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u w:val="single" w:color="auto"/>
          <w:color w:val="auto"/>
        </w:rPr>
        <w:t>Deferred Compensation</w:t>
      </w:r>
      <w:r>
        <w:rPr>
          <w:rFonts w:ascii="Arial" w:cs="Arial" w:eastAsia="Arial" w:hAnsi="Arial"/>
          <w:sz w:val="18"/>
          <w:szCs w:val="18"/>
          <w:i w:val="1"/>
          <w:iCs w:val="1"/>
          <w:color w:val="auto"/>
        </w:rPr>
        <w:t xml:space="preserve"> . </w:t>
      </w:r>
      <w:r>
        <w:rPr>
          <w:rFonts w:ascii="Arial" w:cs="Arial" w:eastAsia="Arial" w:hAnsi="Arial"/>
          <w:sz w:val="18"/>
          <w:szCs w:val="18"/>
          <w:color w:val="auto"/>
        </w:rPr>
        <w:t>The Company maintains a Deferred Compensation Plan for highly compensated U.S. employees, which includes each</w:t>
      </w:r>
      <w:r>
        <w:rPr>
          <w:rFonts w:ascii="Arial" w:cs="Arial" w:eastAsia="Arial" w:hAnsi="Arial"/>
          <w:sz w:val="18"/>
          <w:szCs w:val="18"/>
          <w:i w:val="1"/>
          <w:iCs w:val="1"/>
          <w:color w:val="auto"/>
        </w:rPr>
        <w:t xml:space="preserve"> </w:t>
      </w:r>
      <w:r>
        <w:rPr>
          <w:rFonts w:ascii="Arial" w:cs="Arial" w:eastAsia="Arial" w:hAnsi="Arial"/>
          <w:sz w:val="18"/>
          <w:szCs w:val="18"/>
          <w:color w:val="auto"/>
        </w:rPr>
        <w:t>NEO with the exception of Mr. Zammit.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participant, as described in more detail following the Nonqualified Deferred Compensation Table. The Company does not offer preferential or above market returns on the compensation deferred.</w:t>
      </w:r>
    </w:p>
    <w:p>
      <w:pPr>
        <w:spacing w:after="0" w:line="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u w:val="single" w:color="auto"/>
          <w:color w:val="auto"/>
        </w:rPr>
        <w:t>Executive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NEOs with a limited number of perquisites that the Company and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are reasonable and consistent with Avnet’s overall compensation program, and necessary to remain competitive. Costs associated with the perquisites provided by the Company are included in the “All Other Compensation” column in the Summary Compensation Table.</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Generally, the Company does not increase payment to any employees, including NEOs, to cover personal income taxes. However, certain expatriate allowances, relocation reimbursements and tax equalization payments are made to employees assigned to work outside his or her home country and the Company will cover the personal income taxes due on these items. Mr. Zammit is currently a resident of Belgium and, as such, is subject to personal income taxes in Belgium. In addition, as Mr. Zammit’s position as TS President requires that he periodically conduct business in the United States, he is subject to state and federal personal income taxes in the United States. As a result of his role as TS President, the Company agreed to make certain tax equalization payments (including tax gross-up payments) to him to ensure that the position is tax neutral to Mr. Zammit. The Company expects these payments to cease when Mr. Zammit becomes a resident of the United States. Costs associated with the tax equalization payments provided by the Company are included in the “All Other Compensation” column in the Summary Compensation Table.</w:t>
      </w:r>
    </w:p>
    <w:p>
      <w:pPr>
        <w:spacing w:after="0" w:line="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u w:val="single" w:color="auto"/>
          <w:color w:val="auto"/>
        </w:rPr>
        <w:t>Change of Control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NEO has a change of control agreement with the Company. The change of control agreements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encourage retention in the face of the disruptive impact of an actual or attempted change of control of the Company. The agreements are also intended to align executive officer and shareholder interests by enabling executive officers to consider corporate transactions that are in the best interests of the shareholders and other constituents of the Company without undue concern over whether the transactions may jeopardize the executive officers’ own employment. The change of control agreements do not provide for excise tax reimbursements to any of the Company’s executive officers. More detailed descriptions of these programs are included in the “Potential Payouts Upon Termination and Change of Control” section.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With a significant portion of each executive officer’s total compensation delivered in the form of equity-based incentives, executive officers have a substantial interest and incentive to ensure profitable growth of the Company and to drive long-term shareholder value. To further reinforce this focus, the Compensation Committee has established stock ownership guidelines for all executive officers. The guidelines provide that the executive officers are required to hold shares of the Company’s common stock or unvested RSUs, with a market value equal to a multiple of each officer’s base salary, as set forth below:</w:t>
      </w:r>
    </w:p>
    <w:p>
      <w:pPr>
        <w:sectPr>
          <w:pgSz w:w="11900" w:h="16838" w:orient="portrait"/>
          <w:cols w:equalWidth="0" w:num="1">
            <w:col w:w="11400"/>
          </w:cols>
          <w:pgMar w:left="240" w:top="459" w:right="2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5 times base salary</w:t>
      </w:r>
    </w:p>
    <w:p>
      <w:pPr>
        <w:spacing w:after="0" w:line="27" w:lineRule="exact"/>
        <w:rPr>
          <w:sz w:val="20"/>
          <w:szCs w:val="20"/>
          <w:color w:val="auto"/>
        </w:rPr>
      </w:pPr>
    </w:p>
    <w:p>
      <w:pPr>
        <w:sectPr>
          <w:pgSz w:w="11900" w:h="16838" w:orient="portrait"/>
          <w:cols w:equalWidth="0" w:num="2">
            <w:col w:w="4320" w:space="720"/>
            <w:col w:w="63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Chief Financial Officer, General Counsel and Operating</w:t>
      </w:r>
    </w:p>
    <w:p>
      <w:pPr>
        <w:sectPr>
          <w:pgSz w:w="11900" w:h="16838" w:orient="portrait"/>
          <w:cols w:equalWidth="0" w:num="1">
            <w:col w:w="11400"/>
          </w:cols>
          <w:pgMar w:left="240" w:top="459" w:right="259" w:bottom="1440" w:gutter="0" w:footer="0" w:header="0"/>
          <w:type w:val="continuous"/>
        </w:sectPr>
      </w:pP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Group Presidents</w:t>
      </w:r>
    </w:p>
    <w:p>
      <w:pPr>
        <w:spacing w:after="0"/>
        <w:rPr>
          <w:sz w:val="20"/>
          <w:szCs w:val="20"/>
          <w:color w:val="auto"/>
        </w:rPr>
      </w:pPr>
      <w:r>
        <w:rPr>
          <w:rFonts w:ascii="Arial" w:cs="Arial" w:eastAsia="Arial" w:hAnsi="Arial"/>
          <w:sz w:val="16"/>
          <w:szCs w:val="16"/>
          <w:color w:val="auto"/>
        </w:rPr>
        <w:t>Other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1 times base salary</w:t>
      </w:r>
    </w:p>
    <w:p>
      <w:pPr>
        <w:spacing w:after="0" w:line="181" w:lineRule="exact"/>
        <w:rPr>
          <w:sz w:val="20"/>
          <w:szCs w:val="20"/>
          <w:color w:val="auto"/>
        </w:rPr>
      </w:pPr>
    </w:p>
    <w:p>
      <w:pPr>
        <w:sectPr>
          <w:pgSz w:w="11900" w:h="16838" w:orient="portrait"/>
          <w:cols w:equalWidth="0" w:num="2">
            <w:col w:w="4320" w:space="720"/>
            <w:col w:w="6360"/>
          </w:cols>
          <w:pgMar w:left="240" w:top="459" w:right="259" w:bottom="1440" w:gutter="0" w:footer="0" w:header="0"/>
          <w:type w:val="continuous"/>
        </w:sectPr>
      </w:pPr>
    </w:p>
    <w:p>
      <w:pPr>
        <w:spacing w:after="0" w:line="239" w:lineRule="auto"/>
        <w:rPr>
          <w:sz w:val="20"/>
          <w:szCs w:val="20"/>
          <w:color w:val="auto"/>
        </w:rPr>
      </w:pPr>
      <w:r>
        <w:rPr>
          <w:rFonts w:ascii="Arial" w:cs="Arial" w:eastAsia="Arial" w:hAnsi="Arial"/>
          <w:sz w:val="18"/>
          <w:szCs w:val="18"/>
          <w:color w:val="auto"/>
        </w:rPr>
        <w:t>Until the ownership level under the Company’s stock ownership guidelines is met, executive officers must hold at least 50% of any net shares he or she receives upon the exercise of options or upon the delivery of any RSU or PSU awards. Currently, all NEOs satisfy these guidelines.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Insider Trading and Hedging/Pledging Policy</w:t>
      </w:r>
    </w:p>
    <w:p>
      <w:pPr>
        <w:spacing w:after="0" w:line="9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Company’s insider trading policy expressly prohibits ownership of financial instruments or participation in investment strategies that hedge the economic risk of owning the Company’s securities. Additionally, executive officers and directors are prohibited from hedging or pledging Avnet securities as collateral for loans. The Company’s insider trading policy prohibits executive officers and directors from trading in securities of Avnet or engaging in any other action to take advantage of, or pass on to others, material nonpublic information relating to Avnet or any other company with which Avnet has a relationship, including Avnet’s customers, suppliers or potential parties in a business transaction.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9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Pursuant to the Company’s incentive compensation recoupment policy, in the event of a restatement of the Company’s financial results due to the misconduct of any employee, the Independent Directors are authorized to take action to recoup all or part of any incentive compensation received by an executive officer. For purposes of this policy, incentive compensation includes any cash or stock-based award under the Company’s Incentive Plan or LTIP, the amount of which is determined in whole or in part upon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9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Section 162(m) of the Internal Revenue Code of 1986, as amended (the “Code”), limits to $1 million the amount of remuneration that Avnet may deduct in any calendar year for its CEO and three other highest-paid NEOs, other than the CFO. The limitation applies only to compensation that is not considered “performance based” as defined in the Section 162(m) regulations.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designing the Company’s compensation programs, the Compensation Committee considers the effect of Section 162(m) of the Code, as well as other factors relevant to the Company’s business needs. The Company has historically taken, and intends to continue to take, reasonable and appropriate actions with respect to achieving deductibility of annual incentive and long-term compensation. To maintain flexibility, the Compensation Committee does not have a policy requiring all compensation to be deductible.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 sets forth information concerning the compensation provided by Avnet for the years indicated to the Named Executive Officers.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in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Pension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 and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jc w:val="right"/>
              <w:ind w:right="240"/>
              <w:spacing w:after="0" w:line="139" w:lineRule="exact"/>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Awards</w:t>
            </w:r>
          </w:p>
        </w:tc>
        <w:tc>
          <w:tcPr>
            <w:tcW w:w="11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Compensation</w:t>
            </w: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Earnings</w:t>
            </w:r>
          </w:p>
        </w:tc>
        <w:tc>
          <w:tcPr>
            <w:tcW w:w="11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4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18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160" w:type="dxa"/>
            <w:vAlign w:val="bottom"/>
          </w:tcPr>
          <w:p>
            <w:pPr>
              <w:spacing w:after="0"/>
              <w:rPr>
                <w:sz w:val="12"/>
                <w:szCs w:val="12"/>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(2)</w:t>
            </w:r>
          </w:p>
        </w:tc>
        <w:tc>
          <w:tcPr>
            <w:tcW w:w="160" w:type="dxa"/>
            <w:vAlign w:val="bottom"/>
          </w:tcPr>
          <w:p>
            <w:pPr>
              <w:spacing w:after="0"/>
              <w:rPr>
                <w:sz w:val="12"/>
                <w:szCs w:val="12"/>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(3)</w:t>
            </w:r>
          </w:p>
        </w:tc>
        <w:tc>
          <w:tcPr>
            <w:tcW w:w="18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(b)</w:t>
            </w:r>
          </w:p>
        </w:tc>
        <w:tc>
          <w:tcPr>
            <w:tcW w:w="200" w:type="dxa"/>
            <w:vAlign w:val="bottom"/>
            <w:vMerge w:val="continue"/>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(c)</w:t>
            </w:r>
          </w:p>
        </w:tc>
        <w:tc>
          <w:tcPr>
            <w:tcW w:w="180" w:type="dxa"/>
            <w:vAlign w:val="bottom"/>
            <w:vMerge w:val="continue"/>
          </w:tcPr>
          <w:p>
            <w:pPr>
              <w:spacing w:after="0"/>
              <w:rPr>
                <w:sz w:val="11"/>
                <w:szCs w:val="11"/>
                <w:color w:val="auto"/>
              </w:rPr>
            </w:pPr>
          </w:p>
        </w:tc>
        <w:tc>
          <w:tcPr>
            <w:tcW w:w="54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(d)</w:t>
            </w:r>
          </w:p>
        </w:tc>
        <w:tc>
          <w:tcPr>
            <w:tcW w:w="18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w:t>
            </w:r>
          </w:p>
        </w:tc>
        <w:tc>
          <w:tcPr>
            <w:tcW w:w="18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160" w:type="dxa"/>
            <w:vAlign w:val="bottom"/>
            <w:vMerge w:val="continue"/>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(g)</w:t>
            </w:r>
          </w:p>
        </w:tc>
        <w:tc>
          <w:tcPr>
            <w:tcW w:w="160" w:type="dxa"/>
            <w:vAlign w:val="bottom"/>
            <w:vMerge w:val="continue"/>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(h)</w:t>
            </w:r>
          </w:p>
        </w:tc>
        <w:tc>
          <w:tcPr>
            <w:tcW w:w="160" w:type="dxa"/>
            <w:vAlign w:val="bottom"/>
            <w:vMerge w:val="continue"/>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(i)</w:t>
            </w:r>
          </w:p>
        </w:tc>
        <w:tc>
          <w:tcPr>
            <w:tcW w:w="18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(j)</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58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4"/>
                <w:szCs w:val="14"/>
                <w:color w:val="auto"/>
              </w:rPr>
              <w:t>2015</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w w:val="90"/>
              </w:rPr>
              <w:t>950,000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3,300,087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924,207</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1,354,240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161,057</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48,444</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6,738,035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2014</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900,000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2,288,202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1,330,118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1,382,184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973,982</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6,906,300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900,000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2,699,960</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900,010</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447,879</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29,183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4,977,032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40" w:type="dxa"/>
            <w:vAlign w:val="bottom"/>
          </w:tcPr>
          <w:p>
            <w:pPr>
              <w:spacing w:after="0"/>
              <w:rPr>
                <w:sz w:val="12"/>
                <w:szCs w:val="12"/>
                <w:color w:val="auto"/>
              </w:rPr>
            </w:pPr>
          </w:p>
        </w:tc>
        <w:tc>
          <w:tcPr>
            <w:tcW w:w="54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2015</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600,000</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1,022,396</w:t>
            </w:r>
          </w:p>
        </w:tc>
        <w:tc>
          <w:tcPr>
            <w:tcW w:w="1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286,286</w:t>
            </w:r>
          </w:p>
        </w:tc>
        <w:tc>
          <w:tcPr>
            <w:tcW w:w="16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603,206</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105,686</w:t>
            </w: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20,280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2,637,854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 Chief Financial Officer</w:t>
            </w:r>
          </w:p>
        </w:tc>
        <w:tc>
          <w:tcPr>
            <w:tcW w:w="5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2014</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525,000</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686,406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399,036</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568,612</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20,280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2,479,334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250,000</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1,068,315</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762,960</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81,820</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2,568,945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58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4"/>
                <w:szCs w:val="14"/>
                <w:color w:val="auto"/>
              </w:rPr>
              <w:t>2015</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w w:val="90"/>
              </w:rPr>
              <w:t>550,000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1,152,131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479,559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544,144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107,620</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19,571</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2,853,025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 President, Avnet Electronics</w:t>
            </w:r>
          </w:p>
        </w:tc>
        <w:tc>
          <w:tcPr>
            <w:tcW w:w="5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2014</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418,750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571,986</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332,506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474,867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77,229</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23,450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1,898,788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tcPr>
          <w:p>
            <w:pPr>
              <w:spacing w:after="0" w:line="148" w:lineRule="exact"/>
              <w:rPr>
                <w:sz w:val="20"/>
                <w:szCs w:val="20"/>
                <w:color w:val="auto"/>
              </w:rPr>
            </w:pPr>
            <w:r>
              <w:rPr>
                <w:rFonts w:ascii="Arial" w:cs="Arial" w:eastAsia="Arial" w:hAnsi="Arial"/>
                <w:sz w:val="14"/>
                <w:szCs w:val="14"/>
                <w:color w:val="auto"/>
              </w:rPr>
              <w:t>Patrick Zammit(4)</w:t>
            </w:r>
          </w:p>
        </w:tc>
        <w:tc>
          <w:tcPr>
            <w:tcW w:w="580" w:type="dxa"/>
            <w:vAlign w:val="bottom"/>
            <w:gridSpan w:val="3"/>
          </w:tcPr>
          <w:p>
            <w:pPr>
              <w:ind w:left="80"/>
              <w:spacing w:after="0" w:line="148" w:lineRule="exact"/>
              <w:rPr>
                <w:sz w:val="20"/>
                <w:szCs w:val="20"/>
                <w:color w:val="auto"/>
              </w:rPr>
            </w:pPr>
            <w:r>
              <w:rPr>
                <w:rFonts w:ascii="Arial" w:cs="Arial" w:eastAsia="Arial" w:hAnsi="Arial"/>
                <w:sz w:val="14"/>
                <w:szCs w:val="14"/>
                <w:color w:val="auto"/>
              </w:rPr>
              <w:t>2015</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512,693</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936,866</w:t>
            </w:r>
          </w:p>
        </w:tc>
        <w:tc>
          <w:tcPr>
            <w:tcW w:w="1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419,274</w:t>
            </w:r>
          </w:p>
        </w:tc>
        <w:tc>
          <w:tcPr>
            <w:tcW w:w="16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470,411</w:t>
            </w:r>
          </w:p>
        </w:tc>
        <w:tc>
          <w:tcPr>
            <w:tcW w:w="160" w:type="dxa"/>
            <w:vAlign w:val="bottom"/>
          </w:tcPr>
          <w:p>
            <w:pPr>
              <w:spacing w:after="0"/>
              <w:rPr>
                <w:sz w:val="12"/>
                <w:szCs w:val="12"/>
                <w:color w:val="auto"/>
              </w:rPr>
            </w:pPr>
          </w:p>
        </w:tc>
        <w:tc>
          <w:tcPr>
            <w:tcW w:w="11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126,949</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162,454</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2,628,647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9"/>
              </w:rPr>
              <w:t>Senior Vice President and President, Avnet Technology</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Solutions</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580" w:type="dxa"/>
            <w:vAlign w:val="bottom"/>
            <w:gridSpan w:val="3"/>
            <w:shd w:val="clear" w:color="auto" w:fill="CCEEFF"/>
          </w:tcPr>
          <w:p>
            <w:pPr>
              <w:ind w:left="80"/>
              <w:spacing w:after="0" w:line="148" w:lineRule="exact"/>
              <w:rPr>
                <w:sz w:val="20"/>
                <w:szCs w:val="20"/>
                <w:color w:val="auto"/>
              </w:rPr>
            </w:pPr>
            <w:r>
              <w:rPr>
                <w:rFonts w:ascii="Arial" w:cs="Arial" w:eastAsia="Arial" w:hAnsi="Arial"/>
                <w:sz w:val="14"/>
                <w:szCs w:val="14"/>
                <w:color w:val="auto"/>
              </w:rPr>
              <w:t>2015</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w w:val="90"/>
              </w:rPr>
              <w:t>500,000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681,454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190,889</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377,004</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158,216</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20,372</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1,927,935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2014</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425,000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607,077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176,648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393,315</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353,030</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20,491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1,975,561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Human Resources</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425,000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599,955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199,987</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145,561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118,404</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21,942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1,510,849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Officer and Corporate Communications</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60" w:hanging="332"/>
        <w:spacing w:after="0" w:line="23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under the heading “Stock Awards” reflect the grant date fair value of awards of RSUs and PSUs, computed in accordance with FASB ASC Topic 718, excluding the effect of estimated forfeitures. The grant date fair value of RSUs awarded to each NEO in fiscal 2015 is as follows: Mr. Hamada — $1,113,183; Mr. Moriarty — $344,892; Mr. Fay — $581,675; Mr. Zammit — $509,024; and Ms. Miller — $229,823.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2015, the grant date fair value of the award to each NEO is as follows: Mr. Hamada — $2,186,904; Mr. Moriarty — $677,504; Mr. Fay — $570,456; Mr. Zammit — $427,842; and Ms. Miller — $451,631. Assuming the maximum payout of PSUs granted in fiscal 2015 is achieved, the grant date fair value of such awards would be $4,373,808, $1,355,008, $1,140,912, $855,684 and $903,261 for Messrs. Hamada, Moriarty, Fay, and Zammit, and Ms. Miller, respectively. Amounts shown under the heading “Option Awards”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June 27, 2015.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line="52" w:lineRule="exact"/>
        <w:rPr>
          <w:rFonts w:ascii="Arial" w:cs="Arial" w:eastAsia="Arial" w:hAnsi="Arial"/>
          <w:sz w:val="18"/>
          <w:szCs w:val="18"/>
          <w:color w:val="auto"/>
        </w:rPr>
      </w:pPr>
    </w:p>
    <w:p>
      <w:pPr>
        <w:ind w:left="340" w:right="160" w:hanging="332"/>
        <w:spacing w:after="0" w:line="23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includes the net change in the actuarial present value of accumulated benefits under the Company’s qualified and nonqualified retirement plans. For fiscal 2015, the increase in the actuarial present value of accumulated benefits under the Company’s qualified plan was $40,904, $48,586, $37,912, and $40,818 for Messrs. Hamada, Moriarty, and Fay, and Ms. Miller, respectively. For fiscal 2015, the increase in the actuarial present value of accumulated benefits under the Company’s nonqualified retirement plans was $120,153, $57,100, $69,708, $26,454 and $117,398 for Messrs. Hamada, Moriarty, Fay, and Zammit, and Ms. Miller, respectively. Messrs. Moriarty and Fay are not participants in the SERP. In addition to the SERP, Mr. Zammit is also a participant in a Company sponsored retirement plan in Belgium, and the increase in the value of that plan was $100,495.</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332"/>
        <w:spacing w:after="0" w:line="269"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 includes (a) expenses associated with the Company’s automobile program for each of the NEOs, (b) the cost of annual physical exams, (c) tax equalization payments (including gross-up) of $87,533 on behalf of Mr. Zammit, and (d) the Company’s contribution to a French retirement program on behalf of Mr. Zammit in the amount of $44,460. When Mr. Zammit joined the Company he was a resident in France, and when he relocated to Belgium, the Company continued to fund his French retirement plan, which is a social security type program. Mr. Zammit is subject to personal income taxes in Belgium and the United States. In connection with his promotion to TS President, the Company agreed to make certain tax equalization payments covering his U.S. income tax obligation. For additional discussion on the tax equalization payments, please see the discussion in the CD&amp;A. For Mr. Hamada, his automobile lease and insurance cost included above is $35,853. For the other NEOs, none of their perquisites and personal benefits exceeded the greater of $25,000 or 10% of the total amount of their benefits.</w:t>
      </w:r>
    </w:p>
    <w:p>
      <w:pPr>
        <w:spacing w:after="0" w:line="24" w:lineRule="exact"/>
        <w:rPr>
          <w:rFonts w:ascii="Arial" w:cs="Arial" w:eastAsia="Arial" w:hAnsi="Arial"/>
          <w:sz w:val="16"/>
          <w:szCs w:val="16"/>
          <w:color w:val="auto"/>
        </w:rPr>
      </w:pPr>
    </w:p>
    <w:p>
      <w:pPr>
        <w:ind w:left="340" w:right="360" w:hanging="332"/>
        <w:spacing w:after="0" w:line="23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Zammit’s salary and non-equity incentive were paid in Euros and translated at the average exchange rates applicable to each of the Company’s fiscal quarters. The expenses associated with the Company provided automobile were also paid in Euros and translated at the above referenced average exchange rates. The net change in the actuarial present value of Mr. Zammit’s Belgian retirement plan was translated at the average exchange rate for fiscal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2015 relating to: (1) annual cash incentive awards; (2) PSUs; (3) RSUs; and (4) stock options. The actual payouts earned in fiscal 2015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6"/>
              </w:rPr>
              <w:t>Estimated Future Payouts</w:t>
            </w:r>
          </w:p>
        </w:tc>
        <w:tc>
          <w:tcPr>
            <w:tcW w:w="242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7"/>
              </w:rPr>
              <w:t>Estimated Future Payouts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Awards:</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Exercise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0" w:type="dxa"/>
            <w:vAlign w:val="bottom"/>
            <w:gridSpan w:val="6"/>
            <w:vMerge w:val="continue"/>
          </w:tcPr>
          <w:p>
            <w:pPr>
              <w:spacing w:after="0"/>
              <w:rPr>
                <w:sz w:val="7"/>
                <w:szCs w:val="7"/>
                <w:color w:val="auto"/>
              </w:rPr>
            </w:pPr>
          </w:p>
        </w:tc>
        <w:tc>
          <w:tcPr>
            <w:tcW w:w="2420" w:type="dxa"/>
            <w:vAlign w:val="bottom"/>
            <w:gridSpan w:val="6"/>
            <w:vMerge w:val="continue"/>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Awards:</w:t>
            </w:r>
          </w:p>
        </w:tc>
        <w:tc>
          <w:tcPr>
            <w:tcW w:w="9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or Base</w:t>
            </w: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0" w:type="dxa"/>
            <w:vAlign w:val="bottom"/>
            <w:gridSpan w:val="6"/>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Under Non-Equity Incentive Plan</w:t>
            </w:r>
          </w:p>
        </w:tc>
        <w:tc>
          <w:tcPr>
            <w:tcW w:w="2420" w:type="dxa"/>
            <w:vAlign w:val="bottom"/>
            <w:gridSpan w:val="6"/>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Under Equity Incentive Plan</w:t>
            </w:r>
          </w:p>
        </w:tc>
        <w:tc>
          <w:tcPr>
            <w:tcW w:w="9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Price of</w:t>
            </w: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2"/>
            <w:vMerge w:val="restart"/>
          </w:tcPr>
          <w:p>
            <w:pPr>
              <w:jc w:val="center"/>
              <w:ind w:right="240"/>
              <w:spacing w:after="0" w:line="189" w:lineRule="exact"/>
              <w:rPr>
                <w:sz w:val="20"/>
                <w:szCs w:val="20"/>
                <w:color w:val="auto"/>
              </w:rPr>
            </w:pPr>
            <w:r>
              <w:rPr>
                <w:rFonts w:ascii="Arial" w:cs="Arial" w:eastAsia="Arial" w:hAnsi="Arial"/>
                <w:sz w:val="13"/>
                <w:szCs w:val="13"/>
                <w:b w:val="1"/>
                <w:bCs w:val="1"/>
                <w:color w:val="auto"/>
                <w:w w:val="96"/>
              </w:rPr>
              <w:t>Awards</w:t>
            </w:r>
            <w:r>
              <w:rPr>
                <w:rFonts w:ascii="Arial" w:cs="Arial" w:eastAsia="Arial" w:hAnsi="Arial"/>
                <w:sz w:val="21"/>
                <w:szCs w:val="21"/>
                <w:b w:val="1"/>
                <w:bCs w:val="1"/>
                <w:color w:val="auto"/>
                <w:w w:val="96"/>
                <w:vertAlign w:val="superscript"/>
              </w:rPr>
              <w:t>(1)</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0" w:type="dxa"/>
            <w:vAlign w:val="bottom"/>
            <w:gridSpan w:val="5"/>
            <w:vMerge w:val="restart"/>
          </w:tcPr>
          <w:p>
            <w:pPr>
              <w:jc w:val="center"/>
              <w:spacing w:after="0" w:line="189" w:lineRule="exact"/>
              <w:rPr>
                <w:sz w:val="20"/>
                <w:szCs w:val="20"/>
                <w:color w:val="auto"/>
              </w:rPr>
            </w:pPr>
            <w:r>
              <w:rPr>
                <w:rFonts w:ascii="Arial" w:cs="Arial" w:eastAsia="Arial" w:hAnsi="Arial"/>
                <w:sz w:val="13"/>
                <w:szCs w:val="13"/>
                <w:b w:val="1"/>
                <w:bCs w:val="1"/>
                <w:color w:val="auto"/>
                <w:w w:val="95"/>
              </w:rPr>
              <w:t>Awards (#)</w:t>
            </w:r>
            <w:r>
              <w:rPr>
                <w:rFonts w:ascii="Arial" w:cs="Arial" w:eastAsia="Arial" w:hAnsi="Arial"/>
                <w:sz w:val="21"/>
                <w:szCs w:val="21"/>
                <w:b w:val="1"/>
                <w:bCs w:val="1"/>
                <w:color w:val="auto"/>
                <w:w w:val="95"/>
                <w:vertAlign w:val="superscript"/>
              </w:rPr>
              <w:t>(2)(3)</w:t>
            </w:r>
          </w:p>
        </w:tc>
        <w:tc>
          <w:tcPr>
            <w:tcW w:w="22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tcBorders>
              <w:bottom w:val="single" w:sz="8" w:color="auto"/>
            </w:tcBorders>
            <w:gridSpan w:val="5"/>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7"/>
              </w:rPr>
              <w:t>Shares of</w:t>
            </w: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Grant</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Threshold</w:t>
            </w: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Maximum</w:t>
            </w: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4"/>
              </w:rPr>
              <w:t>Threshold</w:t>
            </w:r>
          </w:p>
        </w:tc>
        <w:tc>
          <w:tcPr>
            <w:tcW w:w="6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Maximum</w:t>
            </w:r>
          </w:p>
        </w:tc>
        <w:tc>
          <w:tcPr>
            <w:tcW w:w="9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Stock or</w:t>
            </w: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Options</w:t>
            </w:r>
          </w:p>
        </w:tc>
        <w:tc>
          <w:tcPr>
            <w:tcW w:w="8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Awards</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Options</w:t>
            </w:r>
          </w:p>
        </w:tc>
        <w:tc>
          <w:tcPr>
            <w:tcW w:w="0" w:type="dxa"/>
            <w:vAlign w:val="bottom"/>
          </w:tcPr>
          <w:p>
            <w:pPr>
              <w:spacing w:after="0"/>
              <w:rPr>
                <w:sz w:val="1"/>
                <w:szCs w:val="1"/>
                <w:color w:val="auto"/>
              </w:rPr>
            </w:pPr>
          </w:p>
        </w:tc>
      </w:tr>
      <w:tr>
        <w:trPr>
          <w:trHeight w:val="182"/>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(3)</w:t>
            </w:r>
          </w:p>
        </w:tc>
        <w:tc>
          <w:tcPr>
            <w:tcW w:w="7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2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($/Sh)</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5"/>
              </w:rPr>
              <w:t>(f)</w:t>
            </w:r>
          </w:p>
        </w:tc>
        <w:tc>
          <w:tcPr>
            <w:tcW w:w="220" w:type="dxa"/>
            <w:vAlign w:val="bottom"/>
          </w:tcPr>
          <w:p>
            <w:pPr>
              <w:spacing w:after="0"/>
              <w:rPr>
                <w:sz w:val="11"/>
                <w:szCs w:val="11"/>
                <w:color w:val="auto"/>
              </w:rPr>
            </w:pPr>
          </w:p>
        </w:tc>
        <w:tc>
          <w:tcPr>
            <w:tcW w:w="4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200" w:type="dxa"/>
            <w:vAlign w:val="bottom"/>
          </w:tcPr>
          <w:p>
            <w:pPr>
              <w:spacing w:after="0"/>
              <w:rPr>
                <w:sz w:val="11"/>
                <w:szCs w:val="11"/>
                <w:color w:val="auto"/>
              </w:rPr>
            </w:pPr>
          </w:p>
        </w:tc>
        <w:tc>
          <w:tcPr>
            <w:tcW w:w="5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(k)</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80" w:type="dxa"/>
            <w:vAlign w:val="bottom"/>
            <w:gridSpan w:val="2"/>
            <w:shd w:val="clear" w:color="auto" w:fill="CCEEFF"/>
          </w:tcPr>
          <w:p>
            <w:pPr>
              <w:jc w:val="center"/>
              <w:ind w:left="112"/>
              <w:spacing w:after="0" w:line="148" w:lineRule="exact"/>
              <w:rPr>
                <w:sz w:val="20"/>
                <w:szCs w:val="20"/>
                <w:color w:val="auto"/>
              </w:rPr>
            </w:pPr>
            <w:r>
              <w:rPr>
                <w:rFonts w:ascii="Arial" w:cs="Arial" w:eastAsia="Arial" w:hAnsi="Arial"/>
                <w:sz w:val="14"/>
                <w:szCs w:val="14"/>
                <w:color w:val="auto"/>
                <w:w w:val="96"/>
              </w:rPr>
              <w:t>8/07/2014</w:t>
            </w:r>
          </w:p>
        </w:tc>
        <w:tc>
          <w:tcPr>
            <w:tcW w:w="110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228,000</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1,425,000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2,850,000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78,124</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40.88</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924,207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56,262</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112,524</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2,186,904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28,132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1,113,183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1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color w:val="auto"/>
                <w:w w:val="96"/>
              </w:rPr>
              <w:t>8/07/2014</w:t>
            </w:r>
          </w:p>
        </w:tc>
        <w:tc>
          <w:tcPr>
            <w:tcW w:w="1100" w:type="dxa"/>
            <w:vAlign w:val="bottom"/>
            <w:gridSpan w:val="3"/>
          </w:tcPr>
          <w:p>
            <w:pPr>
              <w:jc w:val="right"/>
              <w:ind w:right="220"/>
              <w:spacing w:after="0" w:line="148" w:lineRule="exact"/>
              <w:rPr>
                <w:sz w:val="20"/>
                <w:szCs w:val="20"/>
                <w:color w:val="auto"/>
              </w:rPr>
            </w:pPr>
            <w:r>
              <w:rPr>
                <w:rFonts w:ascii="Arial" w:cs="Arial" w:eastAsia="Arial" w:hAnsi="Arial"/>
                <w:sz w:val="14"/>
                <w:szCs w:val="14"/>
                <w:color w:val="auto"/>
              </w:rPr>
              <w:t>96,000</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600,000</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1,200,000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24,200</w:t>
            </w: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40.88</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286,286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17,430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34,860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677,504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8,716</w:t>
            </w:r>
          </w:p>
        </w:tc>
        <w:tc>
          <w:tcPr>
            <w:tcW w:w="2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344,892</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780" w:type="dxa"/>
            <w:vAlign w:val="bottom"/>
            <w:gridSpan w:val="2"/>
            <w:shd w:val="clear" w:color="auto" w:fill="CCEEFF"/>
          </w:tcPr>
          <w:p>
            <w:pPr>
              <w:jc w:val="center"/>
              <w:ind w:left="112"/>
              <w:spacing w:after="0" w:line="148" w:lineRule="exact"/>
              <w:rPr>
                <w:sz w:val="20"/>
                <w:szCs w:val="20"/>
                <w:color w:val="auto"/>
              </w:rPr>
            </w:pPr>
            <w:r>
              <w:rPr>
                <w:rFonts w:ascii="Arial" w:cs="Arial" w:eastAsia="Arial" w:hAnsi="Arial"/>
                <w:sz w:val="14"/>
                <w:szCs w:val="14"/>
                <w:color w:val="auto"/>
                <w:w w:val="96"/>
              </w:rPr>
              <w:t>8/07/2014</w:t>
            </w:r>
          </w:p>
        </w:tc>
        <w:tc>
          <w:tcPr>
            <w:tcW w:w="110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88,000</w:t>
            </w: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550,000</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1,100,000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20,380</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40.88</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241,095</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14,676</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29,352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570,456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7,340</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290,444</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1/05/2015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291,231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1/05/2015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22,224</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42.26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238,464</w:t>
            </w:r>
          </w:p>
        </w:tc>
        <w:tc>
          <w:tcPr>
            <w:tcW w:w="0" w:type="dxa"/>
            <w:vAlign w:val="bottom"/>
          </w:tcPr>
          <w:p>
            <w:pPr>
              <w:spacing w:after="0"/>
              <w:rPr>
                <w:sz w:val="1"/>
                <w:szCs w:val="1"/>
                <w:color w:val="auto"/>
              </w:rPr>
            </w:pPr>
          </w:p>
        </w:tc>
      </w:tr>
      <w:tr>
        <w:trPr>
          <w:trHeight w:val="148"/>
        </w:trPr>
        <w:tc>
          <w:tcPr>
            <w:tcW w:w="2060" w:type="dxa"/>
            <w:vAlign w:val="bottom"/>
            <w:gridSpan w:val="2"/>
          </w:tcPr>
          <w:p>
            <w:pPr>
              <w:spacing w:after="0" w:line="148" w:lineRule="exact"/>
              <w:rPr>
                <w:sz w:val="20"/>
                <w:szCs w:val="20"/>
                <w:color w:val="auto"/>
              </w:rPr>
            </w:pPr>
            <w:r>
              <w:rPr>
                <w:rFonts w:ascii="Arial" w:cs="Arial" w:eastAsia="Arial" w:hAnsi="Arial"/>
                <w:sz w:val="14"/>
                <w:szCs w:val="14"/>
                <w:color w:val="auto"/>
              </w:rPr>
              <w:t>Patrick Zammit</w:t>
            </w:r>
          </w:p>
        </w:tc>
        <w:tc>
          <w:tcPr>
            <w:tcW w:w="14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color w:val="auto"/>
                <w:w w:val="96"/>
              </w:rPr>
              <w:t>8/07/2014</w:t>
            </w:r>
          </w:p>
        </w:tc>
        <w:tc>
          <w:tcPr>
            <w:tcW w:w="1100" w:type="dxa"/>
            <w:vAlign w:val="bottom"/>
            <w:gridSpan w:val="3"/>
          </w:tcPr>
          <w:p>
            <w:pPr>
              <w:jc w:val="right"/>
              <w:ind w:right="220"/>
              <w:spacing w:after="0" w:line="148" w:lineRule="exact"/>
              <w:rPr>
                <w:sz w:val="20"/>
                <w:szCs w:val="20"/>
                <w:color w:val="auto"/>
              </w:rPr>
            </w:pPr>
            <w:r>
              <w:rPr>
                <w:rFonts w:ascii="Arial" w:cs="Arial" w:eastAsia="Arial" w:hAnsi="Arial"/>
                <w:sz w:val="14"/>
                <w:szCs w:val="14"/>
                <w:color w:val="auto"/>
              </w:rPr>
              <w:t>242,000</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242,000</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484,000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15,284</w:t>
            </w: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40.88</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180,810</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11,007</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22,014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427,842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5,504</w:t>
            </w:r>
          </w:p>
        </w:tc>
        <w:tc>
          <w:tcPr>
            <w:tcW w:w="2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217,793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1/05/2015</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7,098</w:t>
            </w:r>
          </w:p>
        </w:tc>
        <w:tc>
          <w:tcPr>
            <w:tcW w:w="2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291,231</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96"/>
              </w:rPr>
              <w:t>1/05/2015</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22,224</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42.26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238,464</w:t>
            </w:r>
          </w:p>
        </w:tc>
        <w:tc>
          <w:tcPr>
            <w:tcW w:w="0" w:type="dxa"/>
            <w:vAlign w:val="bottom"/>
          </w:tcPr>
          <w:p>
            <w:pPr>
              <w:spacing w:after="0"/>
              <w:rPr>
                <w:sz w:val="1"/>
                <w:szCs w:val="1"/>
                <w:color w:val="auto"/>
              </w:rPr>
            </w:pPr>
          </w:p>
        </w:tc>
      </w:tr>
      <w:tr>
        <w:trPr>
          <w:trHeight w:val="148"/>
        </w:trPr>
        <w:tc>
          <w:tcPr>
            <w:tcW w:w="20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780" w:type="dxa"/>
            <w:vAlign w:val="bottom"/>
            <w:gridSpan w:val="2"/>
            <w:shd w:val="clear" w:color="auto" w:fill="CCEEFF"/>
          </w:tcPr>
          <w:p>
            <w:pPr>
              <w:jc w:val="center"/>
              <w:ind w:left="112"/>
              <w:spacing w:after="0" w:line="148" w:lineRule="exact"/>
              <w:rPr>
                <w:sz w:val="20"/>
                <w:szCs w:val="20"/>
                <w:color w:val="auto"/>
              </w:rPr>
            </w:pPr>
            <w:r>
              <w:rPr>
                <w:rFonts w:ascii="Arial" w:cs="Arial" w:eastAsia="Arial" w:hAnsi="Arial"/>
                <w:sz w:val="14"/>
                <w:szCs w:val="14"/>
                <w:color w:val="auto"/>
                <w:w w:val="96"/>
              </w:rPr>
              <w:t>8/07/2014</w:t>
            </w:r>
          </w:p>
        </w:tc>
        <w:tc>
          <w:tcPr>
            <w:tcW w:w="110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60,000</w:t>
            </w: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375,000</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750,000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16,136</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40.88</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190,889</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11,619</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23,238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451,631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8/07/2014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7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threshold column assumes payout of 20% of the target amount that is based on financial measures and no payout of the target amount based on the individual performance component. The target column assumes that the annual incentive was paid at 100% of target for the financial and individual components. The maximum column assumes the highest amounts payable on the financial and individual components, resulting in a payout of 200% of the target amount. Achievement below the threshold would yield a payout of $0. For Mr. Zammit, the above represents his target incentive in connection with his new role as TS President. Mr. Zammit’s incentive was guaranteed for the second half of FY 2015 and was based solely on financial measures. For purposes of this table, the Company assumed an exchange rate of $1.10 to €1.00.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20" w:hanging="332"/>
        <w:spacing w:after="0" w:line="23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column represents grants of PSUs. As discussed in the CD&amp;A, based upon the Company’s actual Relative EP and Relative TSR during the three-year performance period, the executive is eligible to receive a percentage of the target number of shares ranging from 0% to 200% of his or her targeted number of shares.</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vesting schedules for the PSUs, RSUs and the stock option grants made in fiscal 2015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Awards Made in Fiscal 2015</w:t>
            </w:r>
          </w:p>
        </w:tc>
        <w:tc>
          <w:tcPr>
            <w:tcW w:w="53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Vesting Schedule</w:t>
            </w:r>
          </w:p>
        </w:tc>
        <w:tc>
          <w:tcPr>
            <w:tcW w:w="2240" w:type="dxa"/>
            <w:vAlign w:val="bottom"/>
          </w:tcPr>
          <w:p>
            <w:pPr>
              <w:spacing w:after="0"/>
              <w:rPr>
                <w:sz w:val="14"/>
                <w:szCs w:val="14"/>
                <w:color w:val="auto"/>
              </w:rPr>
            </w:pPr>
          </w:p>
        </w:tc>
      </w:tr>
      <w:tr>
        <w:trPr>
          <w:trHeight w:val="141"/>
        </w:trPr>
        <w:tc>
          <w:tcPr>
            <w:tcW w:w="2460" w:type="dxa"/>
            <w:vAlign w:val="bottom"/>
          </w:tcPr>
          <w:p>
            <w:pPr>
              <w:spacing w:after="0" w:line="141" w:lineRule="exact"/>
              <w:rPr>
                <w:sz w:val="20"/>
                <w:szCs w:val="20"/>
                <w:color w:val="auto"/>
              </w:rPr>
            </w:pPr>
            <w:r>
              <w:rPr>
                <w:rFonts w:ascii="Arial" w:cs="Arial" w:eastAsia="Arial" w:hAnsi="Arial"/>
                <w:sz w:val="14"/>
                <w:szCs w:val="14"/>
                <w:color w:val="auto"/>
              </w:rPr>
              <w:t>Performance Share Units (PSUs)</w:t>
            </w:r>
          </w:p>
        </w:tc>
        <w:tc>
          <w:tcPr>
            <w:tcW w:w="6540" w:type="dxa"/>
            <w:vAlign w:val="bottom"/>
            <w:gridSpan w:val="2"/>
          </w:tcPr>
          <w:p>
            <w:pPr>
              <w:ind w:left="2920"/>
              <w:spacing w:after="0" w:line="141" w:lineRule="exact"/>
              <w:rPr>
                <w:sz w:val="20"/>
                <w:szCs w:val="20"/>
                <w:color w:val="auto"/>
              </w:rPr>
            </w:pPr>
            <w:r>
              <w:rPr>
                <w:rFonts w:ascii="Arial" w:cs="Arial" w:eastAsia="Arial" w:hAnsi="Arial"/>
                <w:sz w:val="14"/>
                <w:szCs w:val="14"/>
                <w:color w:val="auto"/>
              </w:rPr>
              <w:t>vest, if at all, at the end of fiscal 2017 (July 1, 2017)</w:t>
            </w:r>
          </w:p>
        </w:tc>
        <w:tc>
          <w:tcPr>
            <w:tcW w:w="2240" w:type="dxa"/>
            <w:vAlign w:val="bottom"/>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Restricted Stock Units (RSUs)</w:t>
            </w:r>
          </w:p>
        </w:tc>
        <w:tc>
          <w:tcPr>
            <w:tcW w:w="8780" w:type="dxa"/>
            <w:vAlign w:val="bottom"/>
            <w:gridSpan w:val="3"/>
          </w:tcPr>
          <w:p>
            <w:pPr>
              <w:ind w:left="2920"/>
              <w:spacing w:after="0" w:line="149" w:lineRule="exact"/>
              <w:rPr>
                <w:sz w:val="20"/>
                <w:szCs w:val="20"/>
                <w:color w:val="auto"/>
              </w:rPr>
            </w:pPr>
            <w:r>
              <w:rPr>
                <w:rFonts w:ascii="Arial" w:cs="Arial" w:eastAsia="Arial" w:hAnsi="Arial"/>
                <w:sz w:val="14"/>
                <w:szCs w:val="14"/>
                <w:color w:val="auto"/>
                <w:w w:val="96"/>
              </w:rPr>
              <w:t>25% each on the first business day in January of 2015 through 2018; RSUs granted on January 5,</w:t>
            </w:r>
          </w:p>
        </w:tc>
      </w:tr>
      <w:tr>
        <w:trPr>
          <w:trHeight w:val="149"/>
        </w:trPr>
        <w:tc>
          <w:tcPr>
            <w:tcW w:w="2460" w:type="dxa"/>
            <w:vAlign w:val="bottom"/>
          </w:tcPr>
          <w:p>
            <w:pPr>
              <w:spacing w:after="0"/>
              <w:rPr>
                <w:sz w:val="12"/>
                <w:szCs w:val="12"/>
                <w:color w:val="auto"/>
              </w:rPr>
            </w:pPr>
          </w:p>
        </w:tc>
        <w:tc>
          <w:tcPr>
            <w:tcW w:w="8780" w:type="dxa"/>
            <w:vAlign w:val="bottom"/>
            <w:gridSpan w:val="3"/>
          </w:tcPr>
          <w:p>
            <w:pPr>
              <w:ind w:left="2920"/>
              <w:spacing w:after="0" w:line="149" w:lineRule="exact"/>
              <w:rPr>
                <w:sz w:val="20"/>
                <w:szCs w:val="20"/>
                <w:color w:val="auto"/>
              </w:rPr>
            </w:pPr>
            <w:r>
              <w:rPr>
                <w:rFonts w:ascii="Arial" w:cs="Arial" w:eastAsia="Arial" w:hAnsi="Arial"/>
                <w:sz w:val="14"/>
                <w:szCs w:val="14"/>
                <w:color w:val="auto"/>
                <w:w w:val="96"/>
              </w:rPr>
              <w:t>2015 to Messrs. Fay and Zammit will vest over three years in January 2016 through January 2018</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Stock Options</w:t>
            </w:r>
          </w:p>
        </w:tc>
        <w:tc>
          <w:tcPr>
            <w:tcW w:w="8780" w:type="dxa"/>
            <w:vAlign w:val="bottom"/>
            <w:gridSpan w:val="3"/>
          </w:tcPr>
          <w:p>
            <w:pPr>
              <w:ind w:left="2920"/>
              <w:spacing w:after="0"/>
              <w:rPr>
                <w:sz w:val="20"/>
                <w:szCs w:val="20"/>
                <w:color w:val="auto"/>
              </w:rPr>
            </w:pPr>
            <w:r>
              <w:rPr>
                <w:rFonts w:ascii="Arial" w:cs="Arial" w:eastAsia="Arial" w:hAnsi="Arial"/>
                <w:sz w:val="14"/>
                <w:szCs w:val="14"/>
                <w:color w:val="auto"/>
              </w:rPr>
              <w:t>25% on each of the first through fourth anniversaries of the grant date</w:t>
            </w:r>
          </w:p>
        </w:tc>
      </w:tr>
    </w:tbl>
    <w:p>
      <w:pPr>
        <w:spacing w:after="0" w:line="71"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For additional description of the terms and awards of RSUs, stock options and PSUs made in fiscal 2015, see the description of long-term incentives in the CD&amp;A and Note 12 to the Company’s Consolidated Financial Statements included in its Form 10-K for the fiscal year ended June 27, 2015.</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June 27, 2015. This table includes unexercised and unvested option grants,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27, 2015, which was $42.09. The PSUs are subject to specified performance objectives over the performance period. The market values as of June 27, 2015, shown in columns (h) and (j) below, assume 100% achievement of these performance objectives. For additional information about the option grants and stock awards, see the description of long-term incentives in the CD&amp;A and Note 12 to the Company’s Consolidated Financial Statements included in its Form 10-K for the fiscal year ended June 27,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Option Awards</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w w:val="99"/>
              </w:rPr>
              <w:t>Stock Awards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8"/>
              </w:rPr>
              <w:t>Equity</w:t>
            </w: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Plan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Awards: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Shares</w:t>
            </w:r>
          </w:p>
        </w:tc>
        <w:tc>
          <w:tcPr>
            <w:tcW w:w="6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or Units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Unearned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That Have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Options</w:t>
            </w: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Options</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Award</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02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110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Exercise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(RSUs)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Vested</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Not Vested</w:t>
            </w:r>
          </w:p>
        </w:tc>
        <w:tc>
          <w:tcPr>
            <w:tcW w:w="0" w:type="dxa"/>
            <w:vAlign w:val="bottom"/>
          </w:tcPr>
          <w:p>
            <w:pPr>
              <w:spacing w:after="0"/>
              <w:rPr>
                <w:sz w:val="1"/>
                <w:szCs w:val="1"/>
                <w:color w:val="auto"/>
              </w:rPr>
            </w:pPr>
          </w:p>
        </w:tc>
      </w:tr>
      <w:tr>
        <w:trPr>
          <w:trHeight w:val="172"/>
        </w:trPr>
        <w:tc>
          <w:tcPr>
            <w:tcW w:w="2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840" w:type="dxa"/>
            <w:vAlign w:val="bottom"/>
            <w:gridSpan w:val="2"/>
          </w:tcPr>
          <w:p>
            <w:pPr>
              <w:jc w:val="center"/>
              <w:ind w:right="40"/>
              <w:spacing w:after="0" w:line="152" w:lineRule="exact"/>
              <w:rPr>
                <w:sz w:val="20"/>
                <w:szCs w:val="20"/>
                <w:color w:val="auto"/>
              </w:rPr>
            </w:pPr>
            <w:r>
              <w:rPr>
                <w:rFonts w:ascii="Arial" w:cs="Arial" w:eastAsia="Arial" w:hAnsi="Arial"/>
                <w:sz w:val="14"/>
                <w:szCs w:val="14"/>
                <w:b w:val="1"/>
                <w:bCs w:val="1"/>
                <w:color w:val="auto"/>
                <w:w w:val="97"/>
              </w:rPr>
              <w:t>Exercisable</w:t>
            </w:r>
          </w:p>
        </w:tc>
        <w:tc>
          <w:tcPr>
            <w:tcW w:w="180" w:type="dxa"/>
            <w:vAlign w:val="bottom"/>
          </w:tcPr>
          <w:p>
            <w:pPr>
              <w:spacing w:after="0"/>
              <w:rPr>
                <w:sz w:val="14"/>
                <w:szCs w:val="14"/>
                <w:color w:val="auto"/>
              </w:rPr>
            </w:pPr>
          </w:p>
        </w:tc>
        <w:tc>
          <w:tcPr>
            <w:tcW w:w="11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780" w:type="dxa"/>
            <w:vAlign w:val="bottom"/>
            <w:gridSpan w:val="2"/>
          </w:tcPr>
          <w:p>
            <w:pPr>
              <w:jc w:val="right"/>
              <w:ind w:right="240"/>
              <w:spacing w:after="0" w:line="152"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8"/>
              </w:rPr>
              <w:t>Date</w:t>
            </w:r>
          </w:p>
        </w:tc>
        <w:tc>
          <w:tcPr>
            <w:tcW w:w="86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2"/>
              </w:rPr>
              <w:t>Date</w:t>
            </w:r>
          </w:p>
        </w:tc>
        <w:tc>
          <w:tcPr>
            <w:tcW w:w="5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0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8"/>
              </w:rPr>
              <w:t>(PSUs)(#)</w:t>
            </w: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56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(e)</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(h)</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(i)</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8/09/2007</w:t>
            </w:r>
          </w:p>
        </w:tc>
        <w:tc>
          <w:tcPr>
            <w:tcW w:w="10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30,932</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34.34</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45,128</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50,916</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44,871</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14,957</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4,281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180,187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39,648</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39,648</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467,199</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28,470</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85,410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5,122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215,585</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51,231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2,156,313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78,124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40.88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8/06/2024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21,099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888,057</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56,262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2,368,068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1/02/2013</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34,000</w:t>
            </w:r>
          </w:p>
        </w:tc>
        <w:tc>
          <w:tcPr>
            <w:tcW w:w="1320" w:type="dxa"/>
            <w:vAlign w:val="bottom"/>
            <w:gridSpan w:val="3"/>
          </w:tcPr>
          <w:p>
            <w:pPr>
              <w:jc w:val="right"/>
              <w:ind w:right="220"/>
              <w:spacing w:after="0" w:line="148" w:lineRule="exact"/>
              <w:rPr>
                <w:sz w:val="20"/>
                <w:szCs w:val="20"/>
                <w:color w:val="auto"/>
              </w:rPr>
            </w:pPr>
            <w:r>
              <w:rPr>
                <w:rFonts w:ascii="Arial" w:cs="Arial" w:eastAsia="Arial" w:hAnsi="Arial"/>
                <w:sz w:val="14"/>
                <w:szCs w:val="14"/>
                <w:color w:val="auto"/>
              </w:rPr>
              <w:t>34,000</w:t>
            </w: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31.89</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1/01/2023</w:t>
            </w:r>
          </w:p>
        </w:tc>
        <w:tc>
          <w:tcPr>
            <w:tcW w:w="2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1/02/2013</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8,333</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350,736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10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8,541</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25,623</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64,650</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15,369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646,881</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8/07/2014</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24,200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40.88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8/06/2024</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6,537</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275,142</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17,430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733,629</w:t>
            </w: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Gerry Fay</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8/11/2011</w:t>
            </w:r>
          </w:p>
        </w:tc>
        <w:tc>
          <w:tcPr>
            <w:tcW w:w="10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2,671</w:t>
            </w:r>
          </w:p>
        </w:tc>
        <w:tc>
          <w:tcPr>
            <w:tcW w:w="13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2,671</w:t>
            </w:r>
          </w:p>
        </w:tc>
        <w:tc>
          <w:tcPr>
            <w:tcW w:w="7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765</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32,199</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3,029</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6,058</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71,385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7,117</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21,351</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53,875</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12,807</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539,047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20,380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40.88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8/06/2024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5,505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231,705</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14,676</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617,713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1/05/2015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22,224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42.26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1/04/2025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1/05/2015</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7,098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298,755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line="148" w:lineRule="exact"/>
              <w:rPr>
                <w:sz w:val="20"/>
                <w:szCs w:val="20"/>
                <w:color w:val="auto"/>
              </w:rPr>
            </w:pPr>
            <w:r>
              <w:rPr>
                <w:rFonts w:ascii="Arial" w:cs="Arial" w:eastAsia="Arial" w:hAnsi="Arial"/>
                <w:sz w:val="14"/>
                <w:szCs w:val="14"/>
                <w:color w:val="auto"/>
              </w:rPr>
              <w:t>Patrick Zammit</w:t>
            </w: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8/13/2009</w:t>
            </w:r>
          </w:p>
        </w:tc>
        <w:tc>
          <w:tcPr>
            <w:tcW w:w="1060" w:type="dxa"/>
            <w:vAlign w:val="bottom"/>
            <w:gridSpan w:val="3"/>
          </w:tcPr>
          <w:p>
            <w:pPr>
              <w:jc w:val="right"/>
              <w:ind w:right="40"/>
              <w:spacing w:after="0" w:line="148" w:lineRule="exact"/>
              <w:rPr>
                <w:sz w:val="20"/>
                <w:szCs w:val="20"/>
                <w:color w:val="auto"/>
              </w:rPr>
            </w:pPr>
            <w:r>
              <w:rPr>
                <w:rFonts w:ascii="Arial" w:cs="Arial" w:eastAsia="Arial" w:hAnsi="Arial"/>
                <w:sz w:val="14"/>
                <w:szCs w:val="14"/>
                <w:color w:val="auto"/>
              </w:rPr>
              <w:t>462</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24.75</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8/12/2019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8/12/2010</w:t>
            </w:r>
          </w:p>
        </w:tc>
        <w:tc>
          <w:tcPr>
            <w:tcW w:w="10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12,728</w:t>
            </w:r>
          </w:p>
        </w:tc>
        <w:tc>
          <w:tcPr>
            <w:tcW w:w="1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8/11/2011</w:t>
            </w:r>
          </w:p>
        </w:tc>
        <w:tc>
          <w:tcPr>
            <w:tcW w:w="10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12,822</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4,274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51,476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8/09/2012</w:t>
            </w:r>
          </w:p>
        </w:tc>
        <w:tc>
          <w:tcPr>
            <w:tcW w:w="10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9,362</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9,362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110,360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8/08/2013</w:t>
            </w:r>
          </w:p>
        </w:tc>
        <w:tc>
          <w:tcPr>
            <w:tcW w:w="10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3,559</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10,677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2,562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107,835</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10,245</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431,212</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8/07/2014</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15,284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40.88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8/06/2024</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4,128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173,748</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11,007</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463,285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1/05/2015</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22,224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42.26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1/04/2025</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1/05/2015</w:t>
            </w:r>
          </w:p>
        </w:tc>
        <w:tc>
          <w:tcPr>
            <w:tcW w:w="2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7,098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298,755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MaryAnn Miller</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5/08/2009</w:t>
            </w:r>
          </w:p>
        </w:tc>
        <w:tc>
          <w:tcPr>
            <w:tcW w:w="10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6,000</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22.08</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5/07/2019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5/08/2009</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9,024</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11,456</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10,578</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3,526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42,469</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8,810</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8,810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2,466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103,794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3,781</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11,343</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8/07/2023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8/08/2013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2,722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114,569</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10,887</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458,234</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16,136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40.88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8/06/2024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8/07/2014</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4,356</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183,344</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11,619</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489,044</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schedules:</w:t>
      </w:r>
    </w:p>
    <w:p>
      <w:pPr>
        <w:spacing w:after="0" w:line="9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Stock Options — All stock options vest in 25% annual increments commencing on the first anniversary of the grant date. Stock options typically expire the day before the tenth anniversary of the grant date.</w:t>
      </w:r>
    </w:p>
    <w:p>
      <w:pPr>
        <w:spacing w:after="0" w:line="7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Restricted Stock Unit Awards (RSUs) — All RSUs granted prior to FY 2014, except for the award dated January 2, 2013, to Mr. Moriarty, vest in 20% annual increments commencing in the January following the grant date. The awards dated August 8, 2013, and August 7, 2014, will vest in 25% annual increments in the January following the grant date. The awards dated January 2, 2013, to Mr. Moriarty and the awards dated January 5, 2015, to Messrs. Fay and Zammit vest ratably over 3 years on the anniversaries of the respective grants.</w:t>
      </w:r>
    </w:p>
    <w:p>
      <w:pPr>
        <w:spacing w:after="0" w:line="74"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Performance Share Units (PSUs) — All PSUs vest, if at all, depending on whether vesting conditions are met, on the last day of the fiscal year coincident with the end of the three-year performance period.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2015,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3"/>
          </w:tcPr>
          <w:p>
            <w:pPr>
              <w:jc w:val="right"/>
              <w:ind w:right="1580"/>
              <w:spacing w:after="0"/>
              <w:rPr>
                <w:sz w:val="20"/>
                <w:szCs w:val="20"/>
                <w:color w:val="auto"/>
              </w:rPr>
            </w:pPr>
            <w:r>
              <w:rPr>
                <w:rFonts w:ascii="Arial" w:cs="Arial" w:eastAsia="Arial" w:hAnsi="Arial"/>
                <w:sz w:val="14"/>
                <w:szCs w:val="14"/>
                <w:b w:val="1"/>
                <w:bCs w:val="1"/>
                <w:color w:val="auto"/>
                <w:w w:val="94"/>
              </w:rPr>
              <w:t>Option Awards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7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60"/>
              <w:spacing w:after="0" w:line="125"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Shares</w:t>
            </w: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Acquired</w:t>
            </w:r>
          </w:p>
        </w:tc>
        <w:tc>
          <w:tcPr>
            <w:tcW w:w="800" w:type="dxa"/>
            <w:vAlign w:val="bottom"/>
          </w:tcPr>
          <w:p>
            <w:pPr>
              <w:spacing w:after="0"/>
              <w:rPr>
                <w:sz w:val="12"/>
                <w:szCs w:val="12"/>
                <w:color w:val="auto"/>
              </w:rPr>
            </w:pPr>
          </w:p>
        </w:tc>
        <w:tc>
          <w:tcPr>
            <w:tcW w:w="17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Acquired</w:t>
            </w:r>
          </w:p>
        </w:tc>
        <w:tc>
          <w:tcPr>
            <w:tcW w:w="7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on Exercise</w:t>
            </w:r>
          </w:p>
        </w:tc>
        <w:tc>
          <w:tcPr>
            <w:tcW w:w="800" w:type="dxa"/>
            <w:vAlign w:val="bottom"/>
          </w:tcPr>
          <w:p>
            <w:pPr>
              <w:spacing w:after="0"/>
              <w:rPr>
                <w:sz w:val="12"/>
                <w:szCs w:val="12"/>
                <w:color w:val="auto"/>
              </w:rPr>
            </w:pP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on Vesting</w:t>
            </w:r>
          </w:p>
        </w:tc>
        <w:tc>
          <w:tcPr>
            <w:tcW w:w="74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72"/>
        </w:trPr>
        <w:tc>
          <w:tcPr>
            <w:tcW w:w="4660" w:type="dxa"/>
            <w:vAlign w:val="bottom"/>
            <w:gridSpan w:val="2"/>
            <w:vMerge w:val="continue"/>
          </w:tcPr>
          <w:p>
            <w:pPr>
              <w:spacing w:after="0"/>
              <w:rPr>
                <w:sz w:val="14"/>
                <w:szCs w:val="14"/>
                <w:color w:val="auto"/>
              </w:rPr>
            </w:pP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740" w:type="dxa"/>
            <w:vAlign w:val="bottom"/>
            <w:gridSpan w:val="2"/>
          </w:tcPr>
          <w:p>
            <w:pPr>
              <w:jc w:val="center"/>
              <w:ind w:left="726"/>
              <w:spacing w:after="0" w:line="15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1700" w:type="dxa"/>
            <w:vAlign w:val="bottom"/>
            <w:gridSpan w:val="2"/>
          </w:tcPr>
          <w:p>
            <w:pPr>
              <w:jc w:val="center"/>
              <w:ind w:left="658"/>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28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800" w:type="dxa"/>
            <w:vAlign w:val="bottom"/>
          </w:tcPr>
          <w:p>
            <w:pPr>
              <w:spacing w:after="0"/>
              <w:rPr>
                <w:sz w:val="11"/>
                <w:szCs w:val="11"/>
                <w:color w:val="auto"/>
              </w:rPr>
            </w:pPr>
          </w:p>
        </w:tc>
        <w:tc>
          <w:tcPr>
            <w:tcW w:w="9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80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82,594</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3,451,513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7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20,386</w:t>
            </w:r>
          </w:p>
        </w:tc>
        <w:tc>
          <w:tcPr>
            <w:tcW w:w="18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861,435</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14,285</w:t>
            </w:r>
          </w:p>
        </w:tc>
        <w:tc>
          <w:tcPr>
            <w:tcW w:w="18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599,005</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Patrick Zammit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19,000</w:t>
            </w:r>
          </w:p>
        </w:tc>
        <w:tc>
          <w:tcPr>
            <w:tcW w:w="2540" w:type="dxa"/>
            <w:vAlign w:val="bottom"/>
            <w:gridSpan w:val="3"/>
          </w:tcPr>
          <w:p>
            <w:pPr>
              <w:jc w:val="right"/>
              <w:ind w:right="800"/>
              <w:spacing w:after="0" w:line="202" w:lineRule="exact"/>
              <w:rPr>
                <w:sz w:val="20"/>
                <w:szCs w:val="20"/>
                <w:color w:val="auto"/>
              </w:rPr>
            </w:pPr>
            <w:r>
              <w:rPr>
                <w:rFonts w:ascii="Arial" w:cs="Arial" w:eastAsia="Arial" w:hAnsi="Arial"/>
                <w:sz w:val="18"/>
                <w:szCs w:val="18"/>
                <w:color w:val="auto"/>
              </w:rPr>
              <w:t>358,325</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20,157</w:t>
            </w:r>
          </w:p>
        </w:tc>
        <w:tc>
          <w:tcPr>
            <w:tcW w:w="18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843,147</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19,103</w:t>
            </w:r>
          </w:p>
        </w:tc>
        <w:tc>
          <w:tcPr>
            <w:tcW w:w="18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799,214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value realized on vesting of stock awards includes RSUs that vested on January 2, 2015, and the vesting of PSUs on June 27, 2015, which covered the fiscal 2013-2015 performance period. The value realized with respect to the RSUs is as follows: Mr. Hamada — 23,131 shares and $995,096; Mr. Moriarty —11,280 shares and $485,266; Mr. Fay — 5,200 shares and $223,704; Mr. Zammit — 6,118 shares and $263,196; and Ms. Miller — 5,889 shares and $253,344. The value realized with respect to the PSUs is as follows: Mr. Hamada — 59,463 shares and $2,456,417; Mr. Moriarty – 9,106 and $376,169; Mr. Fay — 9,085 shares and $375,301; Mr. Zammit — 14,039 shares and $579,951; and Ms. Miller — 13,214 shares and $545,870.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Benefits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Further to the discussion of the retirement benefits in the CD&amp;A, the Company provides a retirement benefit under a tax-qualified retirement plan to U.S. employees and a retirement benefit under nonqualified retirement plans. Mr. Zammit is a participant in the SERP, which is described below, in addition to a retirement plan in Belgium. The retirement plan in Belgium is a voluntary defined contribution plan funded entirely by the Company.</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this plan the Company’s contributions increase based on the level of the employee, with the highest amount applicable to the senior executive level. 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Currently, the maximum amount of earnings on which benefits can be accrued is $265,000, which is the 2015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73"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 imposed limits on the Pension Plan. The excess benefit over the Code imposed limits in the Pension Plan is paid from the Restoration Plan.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table below shows the number of years of service credited to each such NEO and the actuarial present value of accumulated benefits payable to each of the NEOs as of the end of the fiscal year. There were no payments made during the last fiscal year under any of the retirement plans. The present value of the accumulated benefit was determined using interest rate assumptions consistent with those used in the Company’s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Present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Years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Credited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396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Plan Name</w:t>
            </w: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Service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Benefit</w:t>
            </w:r>
          </w:p>
        </w:tc>
        <w:tc>
          <w:tcPr>
            <w:tcW w:w="0" w:type="dxa"/>
            <w:vAlign w:val="bottom"/>
          </w:tcPr>
          <w:p>
            <w:pPr>
              <w:spacing w:after="0"/>
              <w:rPr>
                <w:sz w:val="1"/>
                <w:szCs w:val="1"/>
                <w:color w:val="auto"/>
              </w:rPr>
            </w:pPr>
          </w:p>
        </w:tc>
      </w:tr>
      <w:tr>
        <w:trPr>
          <w:trHeight w:val="172"/>
        </w:trPr>
        <w:tc>
          <w:tcPr>
            <w:tcW w:w="4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960" w:type="dxa"/>
            <w:vAlign w:val="bottom"/>
            <w:gridSpan w:val="2"/>
            <w:vMerge w:val="continue"/>
          </w:tcPr>
          <w:p>
            <w:pPr>
              <w:spacing w:after="0"/>
              <w:rPr>
                <w:sz w:val="14"/>
                <w:szCs w:val="14"/>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500" w:type="dxa"/>
            <w:vAlign w:val="bottom"/>
            <w:tcBorders>
              <w:top w:val="single" w:sz="8" w:color="auto"/>
            </w:tcBorders>
          </w:tcPr>
          <w:p>
            <w:pPr>
              <w:ind w:left="1680"/>
              <w:spacing w:after="0" w:line="136" w:lineRule="exact"/>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560" w:type="dxa"/>
            <w:vAlign w:val="bottom"/>
          </w:tcPr>
          <w:p>
            <w:pPr>
              <w:spacing w:after="0"/>
              <w:rPr>
                <w:sz w:val="11"/>
                <w:szCs w:val="11"/>
                <w:color w:val="auto"/>
              </w:rPr>
            </w:pPr>
          </w:p>
        </w:tc>
        <w:tc>
          <w:tcPr>
            <w:tcW w:w="8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4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30.5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366,949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31.6</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4,920,267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60" w:type="dxa"/>
            <w:vAlign w:val="bottom"/>
            <w:gridSpan w:val="2"/>
          </w:tcPr>
          <w:p>
            <w:pPr>
              <w:spacing w:after="0" w:line="206" w:lineRule="exact"/>
              <w:rPr>
                <w:sz w:val="20"/>
                <w:szCs w:val="20"/>
                <w:color w:val="auto"/>
              </w:rPr>
            </w:pPr>
            <w:r>
              <w:rPr>
                <w:rFonts w:ascii="Arial" w:cs="Arial" w:eastAsia="Arial" w:hAnsi="Arial"/>
                <w:sz w:val="18"/>
                <w:szCs w:val="18"/>
                <w:color w:val="auto"/>
              </w:rPr>
              <w:t>Kevin Moriarty</w:t>
            </w:r>
          </w:p>
        </w:tc>
        <w:tc>
          <w:tcPr>
            <w:tcW w:w="420" w:type="dxa"/>
            <w:vAlign w:val="bottom"/>
          </w:tcPr>
          <w:p>
            <w:pPr>
              <w:spacing w:after="0"/>
              <w:rPr>
                <w:sz w:val="17"/>
                <w:szCs w:val="17"/>
                <w:color w:val="auto"/>
              </w:rPr>
            </w:pPr>
          </w:p>
        </w:tc>
        <w:tc>
          <w:tcPr>
            <w:tcW w:w="3960" w:type="dxa"/>
            <w:vAlign w:val="bottom"/>
            <w:gridSpan w:val="2"/>
          </w:tcPr>
          <w:p>
            <w:pPr>
              <w:spacing w:after="0" w:line="206" w:lineRule="exact"/>
              <w:rPr>
                <w:sz w:val="20"/>
                <w:szCs w:val="20"/>
                <w:color w:val="auto"/>
              </w:rPr>
            </w:pPr>
            <w:r>
              <w:rPr>
                <w:rFonts w:ascii="Arial" w:cs="Arial" w:eastAsia="Arial" w:hAnsi="Arial"/>
                <w:sz w:val="18"/>
                <w:szCs w:val="18"/>
                <w:color w:val="auto"/>
              </w:rPr>
              <w:t>Avnet Pension Plan</w:t>
            </w:r>
          </w:p>
        </w:tc>
        <w:tc>
          <w:tcPr>
            <w:tcW w:w="12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48,586</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(1)</w:t>
            </w:r>
          </w:p>
        </w:tc>
        <w:tc>
          <w:tcPr>
            <w:tcW w:w="122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2.5</w:t>
            </w:r>
          </w:p>
        </w:tc>
        <w:tc>
          <w:tcPr>
            <w:tcW w:w="9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57,100</w:t>
            </w: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4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(1)</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60" w:type="dxa"/>
            <w:vAlign w:val="bottom"/>
            <w:gridSpan w:val="2"/>
          </w:tcPr>
          <w:p>
            <w:pPr>
              <w:spacing w:after="0" w:line="206" w:lineRule="exact"/>
              <w:rPr>
                <w:sz w:val="20"/>
                <w:szCs w:val="20"/>
                <w:color w:val="auto"/>
              </w:rPr>
            </w:pPr>
            <w:r>
              <w:rPr>
                <w:rFonts w:ascii="Arial" w:cs="Arial" w:eastAsia="Arial" w:hAnsi="Arial"/>
                <w:sz w:val="18"/>
                <w:szCs w:val="18"/>
                <w:color w:val="auto"/>
              </w:rPr>
              <w:t>Patrick Zammit</w:t>
            </w:r>
          </w:p>
        </w:tc>
        <w:tc>
          <w:tcPr>
            <w:tcW w:w="420" w:type="dxa"/>
            <w:vAlign w:val="bottom"/>
          </w:tcPr>
          <w:p>
            <w:pPr>
              <w:spacing w:after="0"/>
              <w:rPr>
                <w:sz w:val="17"/>
                <w:szCs w:val="17"/>
                <w:color w:val="auto"/>
              </w:rPr>
            </w:pPr>
          </w:p>
        </w:tc>
        <w:tc>
          <w:tcPr>
            <w:tcW w:w="3960" w:type="dxa"/>
            <w:vAlign w:val="bottom"/>
            <w:gridSpan w:val="2"/>
          </w:tcPr>
          <w:p>
            <w:pPr>
              <w:spacing w:after="0" w:line="206" w:lineRule="exact"/>
              <w:rPr>
                <w:sz w:val="20"/>
                <w:szCs w:val="20"/>
                <w:color w:val="auto"/>
              </w:rPr>
            </w:pPr>
            <w:r>
              <w:rPr>
                <w:rFonts w:ascii="Arial" w:cs="Arial" w:eastAsia="Arial" w:hAnsi="Arial"/>
                <w:sz w:val="18"/>
                <w:szCs w:val="18"/>
                <w:color w:val="auto"/>
              </w:rPr>
              <w:t>Belgian Pension Plan</w:t>
            </w:r>
          </w:p>
        </w:tc>
        <w:tc>
          <w:tcPr>
            <w:tcW w:w="122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8.5</w:t>
            </w: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561,669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Nonqualified Retirement Plans</w:t>
            </w:r>
          </w:p>
        </w:tc>
        <w:tc>
          <w:tcPr>
            <w:tcW w:w="122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21.8</w:t>
            </w: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1,523,203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MaryAnn Miller</w:t>
            </w:r>
          </w:p>
        </w:tc>
        <w:tc>
          <w:tcPr>
            <w:tcW w:w="4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189,308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11"/>
                <w:szCs w:val="11"/>
                <w:color w:val="auto"/>
              </w:rPr>
              <w:t>(2)</w:t>
            </w: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1,498,397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Messrs. Moriarty and Fay are not participants in the SERP.</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end of fiscal 2015, Ms. Miller’s benefit under the SERP has not yet vested.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18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offers the Avnet Deferred Compensation Plan (“DCP”) for highly compensated U.S. based employees, defined as those earning $265,000 or more in target income, including all of the NEOs except for Mr. Zammit.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NEOs, only Mr. Fay has deferred a portion of his cash compensation in fiscal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Aggregate</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Executive</w:t>
            </w:r>
          </w:p>
        </w:tc>
        <w:tc>
          <w:tcPr>
            <w:tcW w:w="18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Registrant</w:t>
            </w:r>
          </w:p>
        </w:tc>
        <w:tc>
          <w:tcPr>
            <w:tcW w:w="14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7"/>
              </w:rPr>
              <w:t>Earnings/</w:t>
            </w: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Aggregate</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Contributions in</w:t>
            </w:r>
          </w:p>
        </w:tc>
        <w:tc>
          <w:tcPr>
            <w:tcW w:w="18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4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9"/>
              </w:rPr>
              <w:t>(Loss) in</w:t>
            </w: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at Last</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Last FY</w:t>
            </w:r>
          </w:p>
        </w:tc>
        <w:tc>
          <w:tcPr>
            <w:tcW w:w="18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Last FY</w:t>
            </w:r>
          </w:p>
        </w:tc>
        <w:tc>
          <w:tcPr>
            <w:tcW w:w="14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Last FY</w:t>
            </w: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Distributions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72"/>
        </w:trPr>
        <w:tc>
          <w:tcPr>
            <w:tcW w:w="3920" w:type="dxa"/>
            <w:vAlign w:val="bottom"/>
            <w:gridSpan w:val="2"/>
            <w:vMerge w:val="continue"/>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54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76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7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780" w:type="dxa"/>
            <w:vAlign w:val="bottom"/>
          </w:tcPr>
          <w:p>
            <w:pPr>
              <w:spacing w:after="0"/>
              <w:rPr>
                <w:sz w:val="11"/>
                <w:szCs w:val="11"/>
                <w:color w:val="auto"/>
              </w:rPr>
            </w:pPr>
          </w:p>
        </w:tc>
        <w:tc>
          <w:tcPr>
            <w:tcW w:w="8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7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Gerry Fay</w:t>
            </w:r>
          </w:p>
        </w:tc>
        <w:tc>
          <w:tcPr>
            <w:tcW w:w="18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94,973</w:t>
            </w:r>
          </w:p>
        </w:tc>
        <w:tc>
          <w:tcPr>
            <w:tcW w:w="18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6,053</w:t>
            </w:r>
          </w:p>
        </w:tc>
        <w:tc>
          <w:tcPr>
            <w:tcW w:w="7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608,549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Potential Payouts Upon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of the NEOs has entered into an employment agreement with the Company or one of its subsidiaries. The employment agreements for Mr. Hamada, Mr. Fay and Ms. Miller are terminable by either the individual or the Company upon one-year advance written notice to the other. Mr. Moriarty’s agreement is terminable by either party upon 90-days advance written notice. Mr. Zammit’s employment agreement includes a notification period that is established by Belgian labor laws, and is currently approximately 24 months. The employment agreements contain provisions dealing with termination for cause. Additionally, Messrs. Hamada’s, Moriarty’s, and Fay’s, and Ms. Miller’s employment agreements include provisions dealing with termination upon a death or disability. For purposes of these agreements, “cause” generally includes gross misconduct, breach of any material term of the agreement, willful breach, habitual neglect or wanton disregard of the executive’s duties, or conviction of certain criminal acts. Pursuant to Mr. Hamada’s employment agreement, if Mr. Hamada should become disabled, the Company will pay an annual disability benefit of $300,000 until the earlier of his 65th birthday, the disability ceases or death. Additionally, Messrs. Hamada’s, Moriarty’s, and Fay’s, and Ms. Miller’s agreements include provisions dealing with termination upon a change in office and duties. The amount of compensation (including base salary and incentive compensation) to be paid to each NEO is not fixed and is to be agreed upon by the NEO and the Company from time to time. The employment agreements contain restrictive covenants relating to non-competition, confidential information and non-solicitation of employees.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7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Each of the NEOs has entered into change of control agreements with the Company providing that, in the event of actual or constructive termination within 24 months of a change of control, the Company must pay to the executive all accrued base salary and pro-rata incentive payments, plus 2.99 times the sum of (i) the executive’s then current annual base salary, and (ii) the executive’s target incentive compensation for the year in which such termination occurred. Further, unvested stock options shall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except for Mr. Zammit, any other action or inaction that constitutes a material breach by the Company under its employment agreement with the executive. A change of control is defined as including the acquisition of voting or dispositive power with respect to 50% or more of the outstanding shares of Avnet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 in the event of the termination of their employment under various scenarios. The table assumes that the termination occurred on June 27, 2015, which is the Company’s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55"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the executive’s employment;</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 employment agreement);</w:t>
      </w:r>
    </w:p>
    <w:p>
      <w:pPr>
        <w:spacing w:after="0" w:line="76" w:lineRule="exact"/>
        <w:rPr>
          <w:rFonts w:ascii="Arial" w:cs="Arial" w:eastAsia="Arial" w:hAnsi="Arial"/>
          <w:sz w:val="18"/>
          <w:szCs w:val="18"/>
          <w:color w:val="auto"/>
        </w:rPr>
      </w:pPr>
    </w:p>
    <w:p>
      <w:pPr>
        <w:ind w:left="660" w:right="28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30" w:lineRule="exact"/>
        <w:rPr>
          <w:rFonts w:ascii="Arial" w:cs="Arial" w:eastAsia="Arial" w:hAnsi="Arial"/>
          <w:sz w:val="18"/>
          <w:szCs w:val="18"/>
          <w:color w:val="auto"/>
        </w:rPr>
      </w:pPr>
    </w:p>
    <w:p>
      <w:pPr>
        <w:ind w:left="660" w:right="300" w:hanging="206"/>
        <w:spacing w:after="0" w:line="32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“Retirement” for the purpose of determining benefit under the stock plans, </w:t>
      </w:r>
      <w:r>
        <w:rPr>
          <w:rFonts w:ascii="Arial" w:cs="Arial" w:eastAsia="Arial" w:hAnsi="Arial"/>
          <w:sz w:val="16"/>
          <w:szCs w:val="16"/>
          <w:color w:val="auto"/>
        </w:rPr>
        <w:t>means all of the following: (a) age 55, (b) five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 age plus years of service is equal to at least 65, and (d) the executive must have signed a non-compete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29"/>
        </w:trPr>
        <w:tc>
          <w:tcPr>
            <w:tcW w:w="6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Richard Hamada:</w:t>
            </w: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7,475,000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2,844,428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2,844,428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2,844,428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2,844,428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2,844,428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949,673</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949,673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949,673</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949,673</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1,751,028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1,751,028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1,751,028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1,751,028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1,751,028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4,729,696</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7,027,179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7,027,179</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7,027,179</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7,027,179</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63,066</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63,066</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63,066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63,066</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63,066</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1,905,597</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111,193</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178,838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357,675</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357,675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357,675</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357,675</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4,608,480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4,697,584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4,697,584</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4,697,584</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4,697,584</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Kevin Moriarty</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978,571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3,887,000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372,850</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372,850</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372,850</w:t>
            </w:r>
          </w:p>
        </w:tc>
        <w:tc>
          <w:tcPr>
            <w:tcW w:w="680" w:type="dxa"/>
            <w:vAlign w:val="bottom"/>
          </w:tcPr>
          <w:p>
            <w:pPr>
              <w:jc w:val="right"/>
              <w:spacing w:after="0"/>
              <w:rPr>
                <w:sz w:val="20"/>
                <w:szCs w:val="20"/>
                <w:color w:val="auto"/>
              </w:rPr>
            </w:pPr>
            <w:r>
              <w:rPr>
                <w:rFonts w:ascii="Arial" w:cs="Arial" w:eastAsia="Arial" w:hAnsi="Arial"/>
                <w:sz w:val="14"/>
                <w:szCs w:val="14"/>
                <w:color w:val="auto"/>
              </w:rPr>
              <w:t>372,850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372,850</w:t>
            </w:r>
          </w:p>
        </w:tc>
        <w:tc>
          <w:tcPr>
            <w:tcW w:w="100" w:type="dxa"/>
            <w:vAlign w:val="bottom"/>
          </w:tcPr>
          <w:p>
            <w:pPr>
              <w:spacing w:after="0"/>
              <w:rPr>
                <w:sz w:val="14"/>
                <w:szCs w:val="14"/>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42"/>
        </w:trPr>
        <w:tc>
          <w:tcPr>
            <w:tcW w:w="65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Settlement of unvested stock options</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454,232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690,528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690,528</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1,059,069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1,059,069</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1,763,782</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46,080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46,080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46,080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46,080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46,080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70,896</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25,184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50,368</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50,368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59,194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59,194</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59,194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59,194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59,194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Gerry Fay</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3,588,000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88,762</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88,762</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88,762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88,762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88,762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186,096</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186,096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186,096</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186,096</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687,919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687,919</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687,919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687,919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687,919</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947,656</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1,539,148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1,539,148</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1,539,148</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1,539,148</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44,160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44,160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44,160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44,160</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44,160</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58,016</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96,716</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193,432</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193,432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193,432</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193,432</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123,906</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123,906</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123,906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123,906</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123,906</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Patrick Zammit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2,946,944</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515,765</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515,765</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515,765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515,765</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515,765</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201,973</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742,174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742,174</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1,032,805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1,032,805</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1,485,399</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128,844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128,844</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128,844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128,844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128,844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61,896</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Belgian pension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561,669</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561,669</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561,669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561,669</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561,669</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1,966,208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549,662</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549,662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549,662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549,662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MaryAnn Miller</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2,840,500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725,394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725,394</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725,394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725,394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725,394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189,119</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189,119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189,119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189,119</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444,176</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444,176</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444,176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444,176</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444,176</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1,024,681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1,503,455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1,503,455</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1,503,455</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1,503,455</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38,400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38,400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38,400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38,400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38,400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64,080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95,611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191,222</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191,222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191,222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191,222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SERP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1,754,008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149,807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149,807</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149,807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149,807</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149,807</w:t>
            </w:r>
          </w:p>
        </w:tc>
        <w:tc>
          <w:tcPr>
            <w:tcW w:w="100" w:type="dxa"/>
            <w:vAlign w:val="bottom"/>
            <w:shd w:val="clear" w:color="auto" w:fill="CCEEFF"/>
          </w:tcPr>
          <w:p>
            <w:pPr>
              <w:spacing w:after="0"/>
              <w:rPr>
                <w:sz w:val="12"/>
                <w:szCs w:val="12"/>
                <w:color w:val="auto"/>
              </w:rPr>
            </w:pPr>
          </w:p>
        </w:tc>
      </w:tr>
    </w:tbl>
    <w:p>
      <w:pPr>
        <w:spacing w:after="0" w:line="84"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employment agreements for Messrs. Hamada, Fay, and Zammit, and Ms. Miller, do not provide for a “severance payment” in the event of a termination by the Company without cause. Pursuant to each NEO’s employment agreement, each NEO is entitled to the advance notice discussed in “Employment Agreements”, above. During the notice period, each of the executives shall continue as an employee of the Company and receive compensation and other benefits in accordance with their employment agreements. Mr. Moriarty is entitled to receive his base salary and other compensation for a period of one year after he is provided with notice of his termination without cause. For purposes of the table above, it is assumed that the applicable notice period ended on June 27, 2015, which is the last business day of the Company’s fiscal year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Except as noted immediately below, because Mr. Hamada, Mr. Fay and Ms. Miller, are retirement eligible under the applicable equity compensation plans, the amount of potential payouts to each of them in the event of a disability or termination by the Company without cause is the same as that under “Retirement” because the amount received upon retirement is greater than would be received upon a disability or termination without cause. Mr. Hamada’s welfare benefit in the event of a disability equals the present value of the disability benefit provided under his employment agreement assuming he reaches age 65. The present value attributable to this benefit is included in “Welfare benefits”, above. The amount included with respect to the SERP is calculated based on the present value of the benefit described above relating to Pension Benefits, discounted to reflect the earliest age at which the executive can begin receiving such benefit. While Mr. Zammit’s benefits under the SERP have vested, he is not eligible to receive a distribution until he has reached at least age 55. As Ms. Miller’s benefit under the SERP has not yet vested, she is only entitled to a benefit under such plan in the event of death. Messrs. Moriarty and Fay are not participants in the SERP.</w:t>
      </w: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Executives receiving PSUs, including each of the NEOs, would be entitled to receive a pro-rata number of performance shares in the case of death or disability and all of the performance shares in the case of retirement or a change of control earned for a three-year performance cycle. As noted above, because Mr. Hamada, Mr. Fay and Ms. Miller are retirement eligible under the applicable equity compensation plans, the value shown in the table above for PSU awards in the event of a disability equals the value earned upon retirement. The value shown for the settlement of PSUs in the table above is calculated with the assumption that the triggering event has occurred on June 27, 2015. Furthermore, the value of the PSU awards for the fiscal 2013 – 2015 performance cycle is included in the table above because, while the actual PSU payouts were not issued until September 2015, the PSU awards were fully vested on June 27, 2015. Additionally, the value of the PSUs covering the fiscal 2014-2016 and fiscal 2015-2017 performance periods assumes that the target number of shares is awarded to Mr. Hamada, Mr. Fay and Ms. Miller. The value of RSUs reflected in the table above in all cases, other than termination without cause, equals the value of all RSUs allocated to the NEOs but not yet delivered at June 27, 2015. In the case of termination without cause, the value of RSUs is only applicable for those who are retirement eligible at June 27, 2015 — Mr. Hamada, Mr. Fay and Ms. Miller.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8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Directors of Avnet who are also officers or employees of Avnet (currently Mr. Hamada) do not receive any special or additional remuneration for service on the Board of Directors or any of its committees. Upon the recommendation of the Corporate Governance Committee and approval of the Board of Directors, non-employee Directors receive compensation for their services on the Board as set out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 Cash to Equity</w:t>
            </w:r>
          </w:p>
        </w:tc>
        <w:tc>
          <w:tcPr>
            <w:tcW w:w="2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43/57</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Retainer</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100,000</w:t>
            </w:r>
            <w:r>
              <w:rPr>
                <w:rFonts w:ascii="Arial" w:cs="Arial" w:eastAsia="Arial" w:hAnsi="Arial"/>
                <w:sz w:val="11"/>
                <w:szCs w:val="11"/>
                <w:color w:val="auto"/>
                <w:w w:val="96"/>
              </w:rPr>
              <w:t>(1)</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1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6"/>
              </w:rPr>
              <w:t>130,000</w:t>
            </w:r>
            <w:r>
              <w:rPr>
                <w:rFonts w:ascii="Arial" w:cs="Arial" w:eastAsia="Arial" w:hAnsi="Arial"/>
                <w:sz w:val="11"/>
                <w:szCs w:val="11"/>
                <w:color w:val="auto"/>
                <w:w w:val="96"/>
              </w:rPr>
              <w:t>(2)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w w:val="95"/>
              </w:rPr>
              <w:t>230,000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Audit Committee Chair Retainer</w:t>
            </w:r>
          </w:p>
        </w:tc>
        <w:tc>
          <w:tcPr>
            <w:tcW w:w="2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Committee Retainer</w:t>
            </w:r>
          </w:p>
        </w:tc>
        <w:tc>
          <w:tcPr>
            <w:tcW w:w="21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Compensation Committee Chair Retainer</w:t>
            </w:r>
          </w:p>
        </w:tc>
        <w:tc>
          <w:tcPr>
            <w:tcW w:w="2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Governance Committee Chair Retainer</w:t>
            </w:r>
          </w:p>
        </w:tc>
        <w:tc>
          <w:tcPr>
            <w:tcW w:w="21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add:</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15,000</w:t>
            </w:r>
          </w:p>
        </w:tc>
      </w:tr>
      <w:tr>
        <w:trPr>
          <w:trHeight w:val="214"/>
        </w:trPr>
        <w:tc>
          <w:tcPr>
            <w:tcW w:w="5280" w:type="dxa"/>
            <w:vAlign w:val="bottom"/>
          </w:tcPr>
          <w:p>
            <w:pPr>
              <w:spacing w:after="0"/>
              <w:rPr>
                <w:sz w:val="20"/>
                <w:szCs w:val="20"/>
                <w:color w:val="auto"/>
              </w:rPr>
            </w:pPr>
            <w:r>
              <w:rPr>
                <w:rFonts w:ascii="Arial" w:cs="Arial" w:eastAsia="Arial" w:hAnsi="Arial"/>
                <w:sz w:val="18"/>
                <w:szCs w:val="18"/>
                <w:color w:val="auto"/>
              </w:rPr>
              <w:t>Independent Chairman Retainer</w:t>
            </w:r>
          </w:p>
        </w:tc>
        <w:tc>
          <w:tcPr>
            <w:tcW w:w="2160" w:type="dxa"/>
            <w:vAlign w:val="bottom"/>
          </w:tcPr>
          <w:p>
            <w:pPr>
              <w:jc w:val="right"/>
              <w:ind w:right="232"/>
              <w:spacing w:after="0"/>
              <w:rPr>
                <w:sz w:val="20"/>
                <w:szCs w:val="20"/>
                <w:color w:val="auto"/>
              </w:rPr>
            </w:pPr>
            <w:r>
              <w:rPr>
                <w:rFonts w:ascii="Arial" w:cs="Arial" w:eastAsia="Arial" w:hAnsi="Arial"/>
                <w:sz w:val="18"/>
                <w:szCs w:val="18"/>
                <w:color w:val="auto"/>
              </w:rPr>
              <w:t>add: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w w:val="95"/>
              </w:rPr>
              <w:t>175,000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60" w:hanging="332"/>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46"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Prorated upon first election and generally delivered each January following reelection, unless election is made to defer under the Avnet Deferred Compensation Plan for Outside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2015 and the grant date fair value of stock awards to non-employee directors made in fiscal 2015.</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Fees Earned or</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6780" w:type="dxa"/>
            <w:vAlign w:val="bottom"/>
            <w:gridSpan w:val="2"/>
            <w:vMerge w:val="continue"/>
          </w:tcPr>
          <w:p>
            <w:pPr>
              <w:spacing w:after="0"/>
              <w:rPr>
                <w:sz w:val="14"/>
                <w:szCs w:val="14"/>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700" w:type="dxa"/>
            <w:vAlign w:val="bottom"/>
          </w:tcPr>
          <w:p>
            <w:pPr>
              <w:jc w:val="right"/>
              <w:ind w:right="17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64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6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1"/>
                <w:szCs w:val="11"/>
                <w:color w:val="auto"/>
              </w:rPr>
            </w:pPr>
          </w:p>
        </w:tc>
        <w:tc>
          <w:tcPr>
            <w:tcW w:w="700" w:type="dxa"/>
            <w:vAlign w:val="bottom"/>
            <w:tcBorders>
              <w:top w:val="single" w:sz="8" w:color="auto"/>
            </w:tcBorders>
          </w:tcPr>
          <w:p>
            <w:pPr>
              <w:jc w:val="right"/>
              <w:ind w:right="177"/>
              <w:spacing w:after="0" w:line="136" w:lineRule="exact"/>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Rodney Adkins</w:t>
            </w:r>
            <w:r>
              <w:rPr>
                <w:rFonts w:ascii="Arial" w:cs="Arial" w:eastAsia="Arial" w:hAnsi="Arial"/>
                <w:sz w:val="11"/>
                <w:szCs w:val="11"/>
                <w:color w:val="auto"/>
              </w:rPr>
              <w:t>(1)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8,958</w:t>
            </w:r>
          </w:p>
        </w:tc>
        <w:tc>
          <w:tcPr>
            <w:tcW w:w="6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75,796</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84,754</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William Amelio</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 Veronica Biggins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242,500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Michael Bradley</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Kerry Clark</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122,500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252,500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121,250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251,250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Avid Modjtabai</w:t>
            </w:r>
            <w:r>
              <w:rPr>
                <w:rFonts w:ascii="Arial" w:cs="Arial" w:eastAsia="Arial" w:hAnsi="Arial"/>
                <w:sz w:val="11"/>
                <w:szCs w:val="11"/>
                <w:color w:val="auto"/>
              </w:rPr>
              <w:t>(2)</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71,667</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151,667</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223,334</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Ray M. Robinson</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H. Schumann, III</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262,500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3" w:lineRule="exact"/>
        <w:rPr>
          <w:sz w:val="20"/>
          <w:szCs w:val="20"/>
          <w:color w:val="auto"/>
        </w:rPr>
      </w:pPr>
    </w:p>
    <w:p>
      <w:pPr>
        <w:ind w:left="340" w:right="220" w:hanging="332"/>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Adkins was appointed to the Board effective June 15, 2015, and as such, the above amounts reflect a pro-rata amount of fees and stock awards earned in respect to fiscal 2015.</w:t>
      </w:r>
    </w:p>
    <w:p>
      <w:pPr>
        <w:spacing w:after="0" w:line="46" w:lineRule="exact"/>
        <w:rPr>
          <w:rFonts w:ascii="Arial" w:cs="Arial" w:eastAsia="Arial" w:hAnsi="Arial"/>
          <w:sz w:val="18"/>
          <w:szCs w:val="18"/>
          <w:color w:val="auto"/>
        </w:rPr>
      </w:pPr>
    </w:p>
    <w:p>
      <w:pPr>
        <w:ind w:left="340" w:right="80" w:hanging="332"/>
        <w:spacing w:after="0" w:line="23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 Modjtabai was appointed to the Board effective November 6, 2014, and as such, the above reflects a pro-rata amount of fees earned in respect to fiscal 2015. The above stock awards reflect a pro-rata amount pertaining to November 2014 and December 2014, in addition to the delivery of shares made in January 2015.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receive phantom stock units in lieu of some or all of the shares of Common Stock that would otherwise be awarded as the Director’s annual equity compensation. The number of shares of phantom stock units to be credited to the phantom stock unit portion of the Director’s account (assuming the election is made to defer the entire amount) is determined by dividing $130,000 by the average of the high and low price of Common Stock on the NYSE on the first business day in January of each year. In addition, a non-employee Director may elect to defer all or a portion of his or her annual cash compensation in a cash or phantom stock unit account under this plan. Compensation deferred as cash is credited at the beginning of each quarter with interest at a rate corresponding to the rate of interest on U.S. Treasury 10-year notes on the first day of that quarter. During fiscal 2015, there were no “above market” earnings. Compensation deferred under this plan, or interest credited thereon, will be payable to a Director (i) 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the Company (as defined in the plan), in a single lump sum. Phantom stock units are payable in Common Stock with cash payment made for fractional shares. In the event of the death of a Director before receipt of all payments, all remaining payments shall be made to the Director’s designated beneficiary.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D&amp;O Insurance</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Insurance Company, Zurich American Insurance Company, National Union Fire Insurance Co. of Pittsburgh, PA, Allied World National Assurance Company, Berkshire Hathaway Specialty Insurance and Lloyd’s of London. The coverage was renewed effective August 1, 2015, for a one-year term. The total premium paid for both primary and excess insurance was $1,060,399.</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 for the Company’s fiscal 2015.</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74" w:lineRule="exact"/>
        <w:rPr>
          <w:sz w:val="20"/>
          <w:szCs w:val="20"/>
          <w:color w:val="auto"/>
        </w:rPr>
      </w:pPr>
    </w:p>
    <w:p>
      <w:pPr>
        <w:ind w:left="460" w:right="60"/>
        <w:spacing w:after="0" w:line="29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spacing w:after="0" w:line="2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the Annual Meeting. Abstentions are not counted in determining the votes cast. Brokers who hold shares of Common Stock as nominees will not have discretionary authority to vote such shares for a director nominee.</w:t>
      </w:r>
    </w:p>
    <w:p>
      <w:pPr>
        <w:spacing w:after="0" w:line="7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 The Company currently conducts an annual advisory vote on named executive officer compensation and expects to conduct the next advisory vote at the 2016 annual meeting of shareholders.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3</w:t>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7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July 2, 2016.</w:t>
      </w:r>
    </w:p>
    <w:p>
      <w:pPr>
        <w:spacing w:after="0" w:line="7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7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For a summary of the fees that were paid to KPMG LLP in fiscal years 2015 and 2014, please refer to the section of this Proxy Statement entitled “Principal Accounting Firm Fees.”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2016.</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18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Avnet’s Annual Report to Shareholders for the fiscal year ended June 27, 2015, including the Company’s audited financial statements, is being delivered with this Proxy Statement. Avnet will provide a copy of its Annual Report on Form 10-K for the fiscal year ended June 27, 2015, to each shareholder without charge (other than a reasonable charge for any exhibit requested) upon written request to Michael McCoy, Secretary, Avnet, Inc., 2211 South 47th Street, Phoenix, Arizona 85034.</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2016 ANNUAL MEETING</w:t>
      </w:r>
    </w:p>
    <w:p>
      <w:pPr>
        <w:spacing w:after="0" w:line="1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Rule 14a-8 of the Exchange Act, some shareholder proposals may be eligible to be included in Avnet’s 2016 proxy statement. Shareholder proposals must be submitted, along with proof of ownership of Avnet stock in accordance with Rule 14a-8(b), to the Company’s principal executive office at: Michael McCoy, Secretary, Avnet, Inc., 2211 South 47th Street, Phoenix, Arizona 85034. All shareholder proposals submitted pursuant to Rule 14a-8 must be received by June 2, 2016.</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Board of Directors, please see “Corporate Governance — Director Nominations” in this Proxy Statement.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Alternatively, under the Company’s By-laws, any shareholder wishing to appear at the 2016 Annual Meeting and submit a proposal or nominate a person as a director candidate must submit the proposal or nomination to the Company’s Secretary not earlier than May 3, 2016, and not later than June 2, 2016.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June 2, 2016, or if it meets other requirements of the SEC rules, the persons named as proxies in the proxy materials relating to the 2016 Annual Meeting will use their discretion in voting the proxies when these matters are raised at the meeting.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2015 through 2011.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9"/>
          </w:tcPr>
          <w:p>
            <w:pPr>
              <w:jc w:val="right"/>
              <w:ind w:right="1340"/>
              <w:spacing w:after="0"/>
              <w:rPr>
                <w:sz w:val="20"/>
                <w:szCs w:val="20"/>
                <w:color w:val="auto"/>
              </w:rPr>
            </w:pPr>
            <w:r>
              <w:rPr>
                <w:rFonts w:ascii="Arial" w:cs="Arial" w:eastAsia="Arial" w:hAnsi="Arial"/>
                <w:sz w:val="14"/>
                <w:szCs w:val="14"/>
                <w:b w:val="1"/>
                <w:bCs w:val="1"/>
                <w:color w:val="auto"/>
              </w:rPr>
              <w:t>Fiscal Year 2015</w:t>
            </w:r>
          </w:p>
        </w:tc>
        <w:tc>
          <w:tcPr>
            <w:tcW w:w="240" w:type="dxa"/>
            <w:vAlign w:val="bottom"/>
          </w:tcPr>
          <w:p>
            <w:pPr>
              <w:spacing w:after="0"/>
              <w:rPr>
                <w:sz w:val="14"/>
                <w:szCs w:val="14"/>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Operating Income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8"/>
              </w:rPr>
              <w:t>Net Income</w:t>
            </w:r>
          </w:p>
        </w:tc>
        <w:tc>
          <w:tcPr>
            <w:tcW w:w="24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8"/>
          </w:tcPr>
          <w:p>
            <w:pPr>
              <w:jc w:val="right"/>
              <w:ind w:right="320"/>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827,673</w:t>
            </w:r>
          </w:p>
        </w:tc>
        <w:tc>
          <w:tcPr>
            <w:tcW w:w="1740" w:type="dxa"/>
            <w:vAlign w:val="bottom"/>
            <w:gridSpan w:val="6"/>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$ 571,913</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232"/>
              <w:spacing w:after="0" w:line="202" w:lineRule="exact"/>
              <w:rPr>
                <w:sz w:val="20"/>
                <w:szCs w:val="20"/>
                <w:color w:val="auto"/>
              </w:rPr>
            </w:pPr>
            <w:r>
              <w:rPr>
                <w:rFonts w:ascii="Arial" w:cs="Arial" w:eastAsia="Arial" w:hAnsi="Arial"/>
                <w:sz w:val="18"/>
                <w:szCs w:val="18"/>
                <w:color w:val="auto"/>
              </w:rPr>
              <w:t>90,805</w:t>
            </w:r>
          </w:p>
        </w:tc>
        <w:tc>
          <w:tcPr>
            <w:tcW w:w="1740" w:type="dxa"/>
            <w:vAlign w:val="bottom"/>
            <w:gridSpan w:val="6"/>
          </w:tcPr>
          <w:p>
            <w:pPr>
              <w:jc w:val="right"/>
              <w:ind w:right="440"/>
              <w:spacing w:after="0" w:line="202" w:lineRule="exact"/>
              <w:rPr>
                <w:sz w:val="20"/>
                <w:szCs w:val="20"/>
                <w:color w:val="auto"/>
              </w:rPr>
            </w:pPr>
            <w:r>
              <w:rPr>
                <w:rFonts w:ascii="Arial" w:cs="Arial" w:eastAsia="Arial" w:hAnsi="Arial"/>
                <w:sz w:val="18"/>
                <w:szCs w:val="18"/>
                <w:color w:val="auto"/>
              </w:rPr>
              <w:t>65,897</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loss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6"/>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3,737</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232"/>
              <w:spacing w:after="0" w:line="202" w:lineRule="exact"/>
              <w:rPr>
                <w:sz w:val="20"/>
                <w:szCs w:val="20"/>
                <w:color w:val="auto"/>
              </w:rPr>
            </w:pPr>
            <w:r>
              <w:rPr>
                <w:rFonts w:ascii="Arial" w:cs="Arial" w:eastAsia="Arial" w:hAnsi="Arial"/>
                <w:sz w:val="18"/>
                <w:szCs w:val="18"/>
                <w:color w:val="auto"/>
              </w:rPr>
              <w:t>54,049</w:t>
            </w:r>
          </w:p>
        </w:tc>
        <w:tc>
          <w:tcPr>
            <w:tcW w:w="1740" w:type="dxa"/>
            <w:vAlign w:val="bottom"/>
            <w:gridSpan w:val="6"/>
          </w:tcPr>
          <w:p>
            <w:pPr>
              <w:jc w:val="right"/>
              <w:ind w:right="440"/>
              <w:spacing w:after="0" w:line="202" w:lineRule="exact"/>
              <w:rPr>
                <w:sz w:val="20"/>
                <w:szCs w:val="20"/>
                <w:color w:val="auto"/>
              </w:rPr>
            </w:pPr>
            <w:r>
              <w:rPr>
                <w:rFonts w:ascii="Arial" w:cs="Arial" w:eastAsia="Arial" w:hAnsi="Arial"/>
                <w:sz w:val="18"/>
                <w:szCs w:val="18"/>
                <w:color w:val="auto"/>
              </w:rPr>
              <w:t>36,643</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126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(55,101)</w:t>
            </w:r>
          </w:p>
        </w:tc>
        <w:tc>
          <w:tcPr>
            <w:tcW w:w="8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144,854</w:t>
            </w:r>
          </w:p>
        </w:tc>
        <w:tc>
          <w:tcPr>
            <w:tcW w:w="3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51,176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7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972,527</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$ 623,089</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9"/>
          </w:tcPr>
          <w:p>
            <w:pPr>
              <w:jc w:val="right"/>
              <w:ind w:right="1460"/>
              <w:spacing w:after="0"/>
              <w:rPr>
                <w:sz w:val="20"/>
                <w:szCs w:val="20"/>
                <w:color w:val="auto"/>
              </w:rPr>
            </w:pPr>
            <w:r>
              <w:rPr>
                <w:rFonts w:ascii="Arial" w:cs="Arial" w:eastAsia="Arial" w:hAnsi="Arial"/>
                <w:sz w:val="14"/>
                <w:szCs w:val="14"/>
                <w:b w:val="1"/>
                <w:bCs w:val="1"/>
                <w:color w:val="auto"/>
              </w:rPr>
              <w:t>Fiscal Year 2014</w:t>
            </w:r>
          </w:p>
        </w:tc>
        <w:tc>
          <w:tcPr>
            <w:tcW w:w="240" w:type="dxa"/>
            <w:vAlign w:val="bottom"/>
          </w:tcPr>
          <w:p>
            <w:pPr>
              <w:spacing w:after="0"/>
              <w:rPr>
                <w:sz w:val="24"/>
                <w:szCs w:val="24"/>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Diluted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Income</w:t>
            </w:r>
          </w:p>
        </w:tc>
        <w:tc>
          <w:tcPr>
            <w:tcW w:w="400" w:type="dxa"/>
            <w:vAlign w:val="bottom"/>
          </w:tcPr>
          <w:p>
            <w:pPr>
              <w:spacing w:after="0"/>
              <w:rPr>
                <w:sz w:val="14"/>
                <w:szCs w:val="14"/>
                <w:color w:val="auto"/>
              </w:rPr>
            </w:pPr>
          </w:p>
        </w:tc>
        <w:tc>
          <w:tcPr>
            <w:tcW w:w="13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Net Income</w:t>
            </w:r>
          </w:p>
        </w:tc>
        <w:tc>
          <w:tcPr>
            <w:tcW w:w="24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(thousands except per share data)</w:t>
            </w:r>
          </w:p>
        </w:tc>
        <w:tc>
          <w:tcPr>
            <w:tcW w:w="5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789,940</w:t>
            </w: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$ 545,604</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94,623</w:t>
            </w:r>
          </w:p>
        </w:tc>
        <w:tc>
          <w:tcPr>
            <w:tcW w:w="300" w:type="dxa"/>
            <w:vAlign w:val="bottom"/>
          </w:tcPr>
          <w:p>
            <w:pPr>
              <w:spacing w:after="0"/>
              <w:rPr>
                <w:sz w:val="17"/>
                <w:szCs w:val="17"/>
                <w:color w:val="auto"/>
              </w:rPr>
            </w:pPr>
          </w:p>
        </w:tc>
        <w:tc>
          <w:tcPr>
            <w:tcW w:w="130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70,773</w:t>
            </w:r>
          </w:p>
        </w:tc>
        <w:tc>
          <w:tcPr>
            <w:tcW w:w="4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legal settlement and foreign currency loss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(11,475)</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46,783</w:t>
            </w:r>
          </w:p>
        </w:tc>
        <w:tc>
          <w:tcPr>
            <w:tcW w:w="300" w:type="dxa"/>
            <w:vAlign w:val="bottom"/>
          </w:tcPr>
          <w:p>
            <w:pPr>
              <w:spacing w:after="0"/>
              <w:rPr>
                <w:sz w:val="17"/>
                <w:szCs w:val="17"/>
                <w:color w:val="auto"/>
              </w:rPr>
            </w:pPr>
          </w:p>
        </w:tc>
        <w:tc>
          <w:tcPr>
            <w:tcW w:w="130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32,946</w:t>
            </w:r>
          </w:p>
        </w:tc>
        <w:tc>
          <w:tcPr>
            <w:tcW w:w="4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(43,789)</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48,455</w:t>
            </w:r>
          </w:p>
        </w:tc>
        <w:tc>
          <w:tcPr>
            <w:tcW w:w="4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931,346</w:t>
            </w: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$ 594,059</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$ 4.24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Fiscal Year 2013</w:t>
            </w: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Borders>
              <w:bottom w:val="single" w:sz="8" w:color="auto"/>
            </w:tcBorders>
            <w:gridSpan w:val="7"/>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10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625,981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$450,073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149,501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116,382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32,370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22,659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(50,376)</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181,871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10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807,852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507,764</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00" w:type="dxa"/>
            <w:vAlign w:val="bottom"/>
            <w:gridSpan w:val="3"/>
          </w:tcPr>
          <w:p>
            <w:pPr>
              <w:jc w:val="right"/>
              <w:ind w:right="1042"/>
              <w:spacing w:after="0"/>
              <w:rPr>
                <w:sz w:val="20"/>
                <w:szCs w:val="20"/>
                <w:color w:val="auto"/>
              </w:rPr>
            </w:pPr>
            <w:r>
              <w:rPr>
                <w:rFonts w:ascii="Arial" w:cs="Arial" w:eastAsia="Arial" w:hAnsi="Arial"/>
                <w:sz w:val="18"/>
                <w:szCs w:val="18"/>
                <w:color w:val="auto"/>
              </w:rPr>
              <w:t>A-1</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437"/>
              <w:spacing w:after="0"/>
              <w:rPr>
                <w:sz w:val="20"/>
                <w:szCs w:val="20"/>
                <w:color w:val="auto"/>
              </w:rPr>
            </w:pPr>
            <w:r>
              <w:rPr>
                <w:rFonts w:ascii="Arial" w:cs="Arial" w:eastAsia="Arial" w:hAnsi="Arial"/>
                <w:sz w:val="14"/>
                <w:szCs w:val="14"/>
                <w:b w:val="1"/>
                <w:bCs w:val="1"/>
                <w:color w:val="auto"/>
                <w:w w:val="95"/>
              </w:rPr>
              <w:t>Fiscal Year 2012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left="41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2200" w:type="dxa"/>
            <w:vAlign w:val="bottom"/>
            <w:gridSpan w:val="2"/>
            <w:shd w:val="clear" w:color="auto" w:fill="CCEEFF"/>
          </w:tcPr>
          <w:p>
            <w:pPr>
              <w:ind w:left="196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884,165</w:t>
            </w:r>
          </w:p>
        </w:tc>
        <w:tc>
          <w:tcPr>
            <w:tcW w:w="820" w:type="dxa"/>
            <w:vAlign w:val="bottom"/>
            <w:tcBorders>
              <w:lef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$567,019</w:t>
            </w: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73,585</w:t>
            </w:r>
          </w:p>
        </w:tc>
        <w:tc>
          <w:tcPr>
            <w:tcW w:w="8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52,963</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19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(3,463)</w:t>
            </w: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27,786</w:t>
            </w:r>
          </w:p>
        </w:tc>
        <w:tc>
          <w:tcPr>
            <w:tcW w:w="8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19,450</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9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lef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(8,616)</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9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101,371</w:t>
            </w:r>
          </w:p>
        </w:tc>
        <w:tc>
          <w:tcPr>
            <w:tcW w:w="8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2200" w:type="dxa"/>
            <w:vAlign w:val="bottom"/>
            <w:gridSpan w:val="2"/>
            <w:shd w:val="clear" w:color="auto" w:fill="CCEEFF"/>
          </w:tcPr>
          <w:p>
            <w:pPr>
              <w:ind w:left="196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985,536</w:t>
            </w:r>
          </w:p>
        </w:tc>
        <w:tc>
          <w:tcPr>
            <w:tcW w:w="820" w:type="dxa"/>
            <w:vAlign w:val="bottom"/>
            <w:tcBorders>
              <w:lef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627,353</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417"/>
              <w:spacing w:after="0"/>
              <w:rPr>
                <w:sz w:val="20"/>
                <w:szCs w:val="20"/>
                <w:color w:val="auto"/>
              </w:rPr>
            </w:pPr>
            <w:r>
              <w:rPr>
                <w:rFonts w:ascii="Arial" w:cs="Arial" w:eastAsia="Arial" w:hAnsi="Arial"/>
                <w:sz w:val="14"/>
                <w:szCs w:val="14"/>
                <w:b w:val="1"/>
                <w:bCs w:val="1"/>
                <w:color w:val="auto"/>
                <w:w w:val="97"/>
              </w:rPr>
              <w:t>Fiscal Year 2011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left="41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2200" w:type="dxa"/>
            <w:vAlign w:val="bottom"/>
            <w:gridSpan w:val="2"/>
            <w:shd w:val="clear" w:color="auto" w:fill="CCEEFF"/>
          </w:tcPr>
          <w:p>
            <w:pPr>
              <w:ind w:left="19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929,979</w:t>
            </w:r>
          </w:p>
        </w:tc>
        <w:tc>
          <w:tcPr>
            <w:tcW w:w="820" w:type="dxa"/>
            <w:vAlign w:val="bottom"/>
            <w:tcBorders>
              <w:lef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$669,069</w:t>
            </w: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77,176</w:t>
            </w:r>
          </w:p>
        </w:tc>
        <w:tc>
          <w:tcPr>
            <w:tcW w:w="8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56,169</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bargain purchase and other</w:t>
            </w:r>
          </w:p>
        </w:tc>
        <w:tc>
          <w:tcPr>
            <w:tcW w:w="19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(25,720)</w:t>
            </w: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21,244</w:t>
            </w:r>
          </w:p>
        </w:tc>
        <w:tc>
          <w:tcPr>
            <w:tcW w:w="8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14,871</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adjustments</w:t>
            </w:r>
          </w:p>
        </w:tc>
        <w:tc>
          <w:tcPr>
            <w:tcW w:w="19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(32,901)</w:t>
            </w:r>
          </w:p>
        </w:tc>
      </w:tr>
      <w:tr>
        <w:trPr>
          <w:trHeight w:val="20"/>
        </w:trPr>
        <w:tc>
          <w:tcPr>
            <w:tcW w:w="5720" w:type="dxa"/>
            <w:vAlign w:val="bottom"/>
            <w:gridSpan w:val="2"/>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98,420</w:t>
            </w:r>
          </w:p>
        </w:tc>
        <w:tc>
          <w:tcPr>
            <w:tcW w:w="8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12,419</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19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1,028,399</w:t>
            </w:r>
          </w:p>
        </w:tc>
        <w:tc>
          <w:tcPr>
            <w:tcW w:w="820" w:type="dxa"/>
            <w:vAlign w:val="bottom"/>
            <w:tcBorders>
              <w:left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681,488</w:t>
            </w:r>
          </w:p>
        </w:tc>
        <w:tc>
          <w:tcPr>
            <w:tcW w:w="100" w:type="dxa"/>
            <w:vAlign w:val="bottom"/>
            <w:shd w:val="clear" w:color="auto" w:fill="CCEEFF"/>
          </w:tcPr>
          <w:p>
            <w:pPr>
              <w:spacing w:after="0"/>
              <w:rPr>
                <w:sz w:val="17"/>
                <w:szCs w:val="17"/>
                <w:color w:val="auto"/>
              </w:rPr>
            </w:pPr>
          </w:p>
        </w:tc>
      </w:tr>
    </w:tbl>
    <w:p>
      <w:pPr>
        <w:spacing w:after="0" w:line="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or non-cash in nature. The Company analyzes operating income without the impact of these items as an indicator of ongoing margin performance and underlying trends in the business.</w:t>
      </w:r>
    </w:p>
    <w:p>
      <w:pPr>
        <w:spacing w:after="0" w:line="4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believes net income and diluted earnings per share,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and diluted earnings per share excluding the impact of these items provides an important measure of the Company’s net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w:t>
      </w:r>
    </w:p>
    <w:p>
      <w:pPr>
        <w:spacing w:after="0" w:line="239" w:lineRule="auto"/>
        <w:rPr>
          <w:sz w:val="20"/>
          <w:szCs w:val="20"/>
          <w:color w:val="auto"/>
        </w:rPr>
      </w:pPr>
      <w:r>
        <w:rPr>
          <w:rFonts w:ascii="Arial" w:cs="Arial" w:eastAsia="Arial" w:hAnsi="Arial"/>
          <w:sz w:val="18"/>
          <w:szCs w:val="18"/>
          <w:color w:val="auto"/>
        </w:rPr>
        <w:t>Form 10-K filed with the Securities and Exchange Commission. Any analysis of results on a non-GAAP basis should be used as a complement to, and in conjunction with, data presented in accordance with GAAP.</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-564515</wp:posOffset>
            </wp:positionV>
            <wp:extent cx="1423670" cy="386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23670" cy="38608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2211 SOUTH 47TH STREET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PHOENIX, AZ 85034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THERE ARE THREE WAYS TO VOTE YOUR PROXY</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jc w:val="both"/>
        <w:ind w:right="140"/>
        <w:spacing w:after="0" w:line="222" w:lineRule="auto"/>
        <w:rPr>
          <w:sz w:val="20"/>
          <w:szCs w:val="20"/>
          <w:color w:val="auto"/>
        </w:rPr>
      </w:pPr>
      <w:r>
        <w:rPr>
          <w:rFonts w:ascii="Arial" w:cs="Arial" w:eastAsia="Arial" w:hAnsi="Arial"/>
          <w:sz w:val="13"/>
          <w:szCs w:val="13"/>
          <w:color w:val="auto"/>
        </w:rPr>
        <w:t xml:space="preserve">Use the Internet to transmit your voting instructions and for electronic delivery of information up until 11:59 PM, Eastern Time, the day before the cut-off date or meeting date </w:t>
      </w:r>
      <w:r>
        <w:rPr>
          <w:rFonts w:ascii="Arial" w:cs="Arial" w:eastAsia="Arial" w:hAnsi="Arial"/>
          <w:sz w:val="13"/>
          <w:szCs w:val="13"/>
          <w:b w:val="1"/>
          <w:bCs w:val="1"/>
          <w:color w:val="auto"/>
        </w:rPr>
        <w:t>scheduled for November 12, 2015</w:t>
      </w:r>
      <w:r>
        <w:rPr>
          <w:rFonts w:ascii="Arial" w:cs="Arial" w:eastAsia="Arial" w:hAnsi="Arial"/>
          <w:sz w:val="13"/>
          <w:szCs w:val="13"/>
          <w:color w:val="auto"/>
        </w:rPr>
        <w:t>. Have your proxy card in hand when you access the web site and follow the instructions to obtain your records and to create an electronic voting instruction form.</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200"/>
        <w:spacing w:after="0" w:line="224" w:lineRule="auto"/>
        <w:rPr>
          <w:sz w:val="20"/>
          <w:szCs w:val="20"/>
          <w:color w:val="auto"/>
        </w:rPr>
      </w:pPr>
      <w:r>
        <w:rPr>
          <w:rFonts w:ascii="Arial" w:cs="Arial" w:eastAsia="Arial" w:hAnsi="Arial"/>
          <w:sz w:val="13"/>
          <w:szCs w:val="13"/>
          <w:color w:val="auto"/>
        </w:rPr>
        <w:t xml:space="preserve">Use any touch-tone telephone to transmit your voting instructions up until 11:59 PM, Eastern Time, the day before the cut-off date or meeting date </w:t>
      </w:r>
      <w:r>
        <w:rPr>
          <w:rFonts w:ascii="Arial" w:cs="Arial" w:eastAsia="Arial" w:hAnsi="Arial"/>
          <w:sz w:val="13"/>
          <w:szCs w:val="13"/>
          <w:b w:val="1"/>
          <w:bCs w:val="1"/>
          <w:color w:val="auto"/>
        </w:rPr>
        <w:t>scheduled for November 12, 2015</w:t>
      </w:r>
      <w:r>
        <w:rPr>
          <w:rFonts w:ascii="Arial" w:cs="Arial" w:eastAsia="Arial" w:hAnsi="Arial"/>
          <w:sz w:val="13"/>
          <w:szCs w:val="13"/>
          <w:color w:val="auto"/>
        </w:rPr>
        <w:t>. Have your proxy card in hand when you call and then follow the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ind w:right="160"/>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ind w:right="240"/>
        <w:spacing w:after="0" w:line="22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304" w:lineRule="exact"/>
        <w:rPr>
          <w:sz w:val="20"/>
          <w:szCs w:val="20"/>
          <w:color w:val="auto"/>
        </w:rPr>
      </w:pPr>
    </w:p>
    <w:p>
      <w:pPr>
        <w:ind w:left="300"/>
        <w:spacing w:after="0"/>
        <w:tabs>
          <w:tab w:leader="none" w:pos="2980" w:val="left"/>
        </w:tabs>
        <w:rPr>
          <w:sz w:val="20"/>
          <w:szCs w:val="20"/>
          <w:color w:val="auto"/>
        </w:rPr>
      </w:pPr>
      <w:r>
        <w:rPr>
          <w:rFonts w:ascii="Arial" w:cs="Arial" w:eastAsia="Arial" w:hAnsi="Arial"/>
          <w:sz w:val="13"/>
          <w:szCs w:val="13"/>
          <w:color w:val="auto"/>
        </w:rPr>
        <w:t>M96397-P69221-Z66352</w:t>
      </w:r>
      <w:r>
        <w:rPr>
          <w:sz w:val="20"/>
          <w:szCs w:val="20"/>
          <w:color w:val="auto"/>
        </w:rPr>
        <w:tab/>
      </w:r>
      <w:r>
        <w:rPr>
          <w:rFonts w:ascii="Arial" w:cs="Arial" w:eastAsia="Arial" w:hAnsi="Arial"/>
          <w:sz w:val="11"/>
          <w:szCs w:val="11"/>
          <w:color w:val="auto"/>
        </w:rPr>
        <w:t>KEEP THIS PORTION FOR YOUR RECORDS</w:t>
      </w:r>
    </w:p>
    <w:p>
      <w:pPr>
        <w:spacing w:after="0" w:line="1" w:lineRule="exact"/>
        <w:rPr>
          <w:sz w:val="20"/>
          <w:szCs w:val="20"/>
          <w:color w:val="auto"/>
        </w:rPr>
      </w:pPr>
    </w:p>
    <w:p>
      <w:pPr>
        <w:sectPr>
          <w:pgSz w:w="11900" w:h="16838" w:orient="portrait"/>
          <w:cols w:equalWidth="0" w:num="2">
            <w:col w:w="5100" w:space="720"/>
            <w:col w:w="5620"/>
          </w:cols>
          <w:pgMar w:left="240" w:top="459" w:right="219" w:bottom="1440" w:gutter="0" w:footer="0" w:header="0"/>
          <w:type w:val="continuous"/>
        </w:sect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92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40" w:type="dxa"/>
            <w:vAlign w:val="bottom"/>
            <w:gridSpan w:val="7"/>
          </w:tcPr>
          <w:p>
            <w:pPr>
              <w:ind w:left="220"/>
              <w:spacing w:after="0"/>
              <w:rPr>
                <w:sz w:val="20"/>
                <w:szCs w:val="20"/>
                <w:color w:val="auto"/>
              </w:rPr>
            </w:pPr>
            <w:r>
              <w:rPr>
                <w:rFonts w:ascii="Arial" w:cs="Arial" w:eastAsia="Arial" w:hAnsi="Arial"/>
                <w:sz w:val="13"/>
                <w:szCs w:val="13"/>
                <w:color w:val="auto"/>
                <w:w w:val="96"/>
              </w:rPr>
              <w:t>DETACH AND RETURN THIS PORTION ONLY</w:t>
            </w:r>
          </w:p>
        </w:tc>
        <w:tc>
          <w:tcPr>
            <w:tcW w:w="0" w:type="dxa"/>
            <w:vAlign w:val="bottom"/>
          </w:tcPr>
          <w:p>
            <w:pPr>
              <w:spacing w:after="0"/>
              <w:rPr>
                <w:sz w:val="1"/>
                <w:szCs w:val="1"/>
                <w:color w:val="auto"/>
              </w:rPr>
            </w:pPr>
          </w:p>
        </w:tc>
      </w:tr>
      <w:tr>
        <w:trPr>
          <w:trHeight w:val="89"/>
        </w:trPr>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492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580" w:type="dxa"/>
            <w:vAlign w:val="bottom"/>
            <w:tcBorders>
              <w:bottom w:val="single" w:sz="8" w:color="auto"/>
            </w:tcBorders>
            <w:gridSpan w:val="3"/>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AVNET, INC.</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 w:type="dxa"/>
            <w:vAlign w:val="bottom"/>
            <w:tcBorders>
              <w:left w:val="single" w:sz="8" w:color="auto"/>
            </w:tcBorders>
          </w:tcPr>
          <w:p>
            <w:pPr>
              <w:spacing w:after="0"/>
              <w:rPr>
                <w:sz w:val="17"/>
                <w:szCs w:val="17"/>
                <w:color w:val="auto"/>
              </w:rPr>
            </w:pPr>
          </w:p>
        </w:tc>
        <w:tc>
          <w:tcPr>
            <w:tcW w:w="454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The Board of Directors recommends you vote FOR the following proposals:</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Borders>
              <w:left w:val="single" w:sz="8" w:color="auto"/>
            </w:tcBorders>
          </w:tcPr>
          <w:p>
            <w:pPr>
              <w:spacing w:after="0"/>
              <w:rPr>
                <w:sz w:val="19"/>
                <w:szCs w:val="19"/>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b w:val="1"/>
                <w:bCs w:val="1"/>
                <w:color w:val="auto"/>
              </w:rPr>
              <w:t>Vote on Directors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tcBorders>
              <w:left w:val="single" w:sz="8" w:color="auto"/>
            </w:tcBorders>
          </w:tcPr>
          <w:p>
            <w:pPr>
              <w:spacing w:after="0"/>
              <w:rPr>
                <w:sz w:val="18"/>
                <w:szCs w:val="18"/>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1.  Election of Directors</w:t>
            </w:r>
          </w:p>
        </w:tc>
        <w:tc>
          <w:tcPr>
            <w:tcW w:w="640" w:type="dxa"/>
            <w:vAlign w:val="bottom"/>
          </w:tcPr>
          <w:p>
            <w:pPr>
              <w:spacing w:after="0"/>
              <w:rPr>
                <w:sz w:val="18"/>
                <w:szCs w:val="18"/>
                <w:color w:val="auto"/>
              </w:rPr>
            </w:pPr>
          </w:p>
        </w:tc>
        <w:tc>
          <w:tcPr>
            <w:tcW w:w="560" w:type="dxa"/>
            <w:vAlign w:val="bottom"/>
            <w:vMerge w:val="restart"/>
          </w:tcPr>
          <w:p>
            <w:pPr>
              <w:jc w:val="center"/>
              <w:ind w:left="217"/>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2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Vote on Proposals</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w:t>
            </w: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Against</w:t>
            </w:r>
          </w:p>
        </w:tc>
        <w:tc>
          <w:tcPr>
            <w:tcW w:w="88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33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Nominees:</w:t>
            </w:r>
          </w:p>
        </w:tc>
        <w:tc>
          <w:tcPr>
            <w:tcW w:w="6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auto"/>
            </w:tcBorders>
          </w:tcPr>
          <w:p>
            <w:pPr>
              <w:spacing w:after="0"/>
              <w:rPr>
                <w:sz w:val="5"/>
                <w:szCs w:val="5"/>
                <w:color w:val="auto"/>
              </w:rPr>
            </w:pPr>
          </w:p>
        </w:tc>
        <w:tc>
          <w:tcPr>
            <w:tcW w:w="33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1a.</w:t>
            </w:r>
          </w:p>
        </w:tc>
        <w:tc>
          <w:tcPr>
            <w:tcW w:w="2860" w:type="dxa"/>
            <w:vAlign w:val="bottom"/>
          </w:tcPr>
          <w:p>
            <w:pPr>
              <w:ind w:left="60"/>
              <w:spacing w:after="0"/>
              <w:rPr>
                <w:sz w:val="20"/>
                <w:szCs w:val="20"/>
                <w:color w:val="auto"/>
              </w:rPr>
            </w:pPr>
            <w:r>
              <w:rPr>
                <w:rFonts w:ascii="Arial" w:cs="Arial" w:eastAsia="Arial" w:hAnsi="Arial"/>
                <w:sz w:val="13"/>
                <w:szCs w:val="13"/>
                <w:color w:val="auto"/>
              </w:rPr>
              <w:t>Rodney C. Adkins</w:t>
            </w:r>
          </w:p>
        </w:tc>
        <w:tc>
          <w:tcPr>
            <w:tcW w:w="640" w:type="dxa"/>
            <w:vAlign w:val="bottom"/>
          </w:tcPr>
          <w:p>
            <w:pPr>
              <w:spacing w:after="0"/>
              <w:rPr>
                <w:sz w:val="21"/>
                <w:szCs w:val="21"/>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700" w:type="dxa"/>
            <w:vAlign w:val="bottom"/>
            <w:gridSpan w:val="2"/>
          </w:tcPr>
          <w:p>
            <w:pPr>
              <w:ind w:left="100"/>
              <w:spacing w:after="0"/>
              <w:rPr>
                <w:sz w:val="20"/>
                <w:szCs w:val="20"/>
                <w:color w:val="auto"/>
              </w:rPr>
            </w:pPr>
            <w:r>
              <w:rPr>
                <w:rFonts w:ascii="Arial" w:cs="Arial" w:eastAsia="Arial" w:hAnsi="Arial"/>
                <w:sz w:val="13"/>
                <w:szCs w:val="13"/>
                <w:color w:val="auto"/>
                <w:w w:val="98"/>
              </w:rPr>
              <w:t>2.  Advisory vote on executive compensation.</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78"/>
        </w:trPr>
        <w:tc>
          <w:tcPr>
            <w:tcW w:w="240" w:type="dxa"/>
            <w:vAlign w:val="bottom"/>
            <w:tcBorders>
              <w:left w:val="single" w:sz="8" w:color="auto"/>
            </w:tcBorders>
          </w:tcPr>
          <w:p>
            <w:pPr>
              <w:spacing w:after="0"/>
              <w:rPr>
                <w:sz w:val="15"/>
                <w:szCs w:val="15"/>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1b.</w:t>
            </w:r>
          </w:p>
        </w:tc>
        <w:tc>
          <w:tcPr>
            <w:tcW w:w="2860" w:type="dxa"/>
            <w:vAlign w:val="bottom"/>
          </w:tcPr>
          <w:p>
            <w:pPr>
              <w:ind w:left="60"/>
              <w:spacing w:after="0"/>
              <w:rPr>
                <w:sz w:val="20"/>
                <w:szCs w:val="20"/>
                <w:color w:val="auto"/>
              </w:rPr>
            </w:pPr>
            <w:r>
              <w:rPr>
                <w:rFonts w:ascii="Arial" w:cs="Arial" w:eastAsia="Arial" w:hAnsi="Arial"/>
                <w:sz w:val="13"/>
                <w:szCs w:val="13"/>
                <w:color w:val="auto"/>
              </w:rPr>
              <w:t>William J. Amelio</w:t>
            </w:r>
          </w:p>
        </w:tc>
        <w:tc>
          <w:tcPr>
            <w:tcW w:w="640" w:type="dxa"/>
            <w:vAlign w:val="bottom"/>
          </w:tcPr>
          <w:p>
            <w:pPr>
              <w:spacing w:after="0"/>
              <w:rPr>
                <w:sz w:val="15"/>
                <w:szCs w:val="15"/>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920" w:type="dxa"/>
            <w:vAlign w:val="bottom"/>
            <w:gridSpan w:val="5"/>
          </w:tcPr>
          <w:p>
            <w:pPr>
              <w:ind w:left="100"/>
              <w:spacing w:after="0"/>
              <w:rPr>
                <w:sz w:val="20"/>
                <w:szCs w:val="20"/>
                <w:color w:val="auto"/>
              </w:rPr>
            </w:pPr>
            <w:r>
              <w:rPr>
                <w:rFonts w:ascii="Arial" w:cs="Arial" w:eastAsia="Arial" w:hAnsi="Arial"/>
                <w:sz w:val="13"/>
                <w:szCs w:val="13"/>
                <w:color w:val="auto"/>
              </w:rPr>
              <w:t>3.  Ratification of appointment of KPMG LLP as the independent</w:t>
            </w:r>
          </w:p>
        </w:tc>
        <w:tc>
          <w:tcPr>
            <w:tcW w:w="3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880" w:type="dxa"/>
            <w:vAlign w:val="bottom"/>
            <w:tcBorders>
              <w:right w:val="single" w:sz="8" w:color="auto"/>
            </w:tcBorders>
            <w:gridSpan w:val="2"/>
          </w:tcPr>
          <w:p>
            <w:pPr>
              <w:jc w:val="center"/>
              <w:ind w:right="200"/>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34"/>
        </w:trPr>
        <w:tc>
          <w:tcPr>
            <w:tcW w:w="240" w:type="dxa"/>
            <w:vAlign w:val="bottom"/>
            <w:tcBorders>
              <w:left w:val="single" w:sz="8" w:color="auto"/>
            </w:tcBorders>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1c.</w:t>
            </w:r>
          </w:p>
        </w:tc>
        <w:tc>
          <w:tcPr>
            <w:tcW w:w="2860" w:type="dxa"/>
            <w:vAlign w:val="bottom"/>
            <w:vMerge w:val="restart"/>
          </w:tcPr>
          <w:p>
            <w:pPr>
              <w:ind w:left="60"/>
              <w:spacing w:after="0"/>
              <w:rPr>
                <w:sz w:val="20"/>
                <w:szCs w:val="20"/>
                <w:color w:val="auto"/>
              </w:rPr>
            </w:pPr>
            <w:r>
              <w:rPr>
                <w:rFonts w:ascii="Arial" w:cs="Arial" w:eastAsia="Arial" w:hAnsi="Arial"/>
                <w:sz w:val="13"/>
                <w:szCs w:val="13"/>
                <w:color w:val="auto"/>
              </w:rPr>
              <w:t>J. Veronica Biggins</w:t>
            </w:r>
          </w:p>
        </w:tc>
        <w:tc>
          <w:tcPr>
            <w:tcW w:w="640" w:type="dxa"/>
            <w:vAlign w:val="bottom"/>
          </w:tcPr>
          <w:p>
            <w:pPr>
              <w:spacing w:after="0"/>
              <w:rPr>
                <w:sz w:val="11"/>
                <w:szCs w:val="11"/>
                <w:color w:val="auto"/>
              </w:rPr>
            </w:pPr>
          </w:p>
        </w:tc>
        <w:tc>
          <w:tcPr>
            <w:tcW w:w="560" w:type="dxa"/>
            <w:vAlign w:val="bottom"/>
            <w:vMerge w:val="restart"/>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1"/>
                <w:szCs w:val="11"/>
                <w:color w:val="auto"/>
              </w:rPr>
            </w:pPr>
          </w:p>
        </w:tc>
        <w:tc>
          <w:tcPr>
            <w:tcW w:w="3700" w:type="dxa"/>
            <w:vAlign w:val="bottom"/>
            <w:gridSpan w:val="4"/>
          </w:tcPr>
          <w:p>
            <w:pPr>
              <w:ind w:left="100"/>
              <w:spacing w:after="0" w:line="134" w:lineRule="exact"/>
              <w:rPr>
                <w:sz w:val="20"/>
                <w:szCs w:val="20"/>
                <w:color w:val="auto"/>
              </w:rPr>
            </w:pPr>
            <w:r>
              <w:rPr>
                <w:rFonts w:ascii="Arial" w:cs="Arial" w:eastAsia="Arial" w:hAnsi="Arial"/>
                <w:sz w:val="13"/>
                <w:szCs w:val="13"/>
                <w:color w:val="auto"/>
                <w:w w:val="95"/>
              </w:rPr>
              <w:t>registered public accounting firm for the fiscal year ending July 2,</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480" w:type="dxa"/>
            <w:vAlign w:val="bottom"/>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700" w:type="dxa"/>
            <w:vAlign w:val="bottom"/>
            <w:gridSpan w:val="2"/>
          </w:tcPr>
          <w:p>
            <w:pPr>
              <w:ind w:left="320"/>
              <w:spacing w:after="0"/>
              <w:rPr>
                <w:sz w:val="20"/>
                <w:szCs w:val="20"/>
                <w:color w:val="auto"/>
              </w:rPr>
            </w:pPr>
            <w:r>
              <w:rPr>
                <w:rFonts w:ascii="Arial" w:cs="Arial" w:eastAsia="Arial" w:hAnsi="Arial"/>
                <w:sz w:val="13"/>
                <w:szCs w:val="13"/>
                <w:color w:val="auto"/>
              </w:rPr>
              <w:t>2016.</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1d.</w:t>
            </w:r>
          </w:p>
        </w:tc>
        <w:tc>
          <w:tcPr>
            <w:tcW w:w="2860" w:type="dxa"/>
            <w:vAlign w:val="bottom"/>
          </w:tcPr>
          <w:p>
            <w:pPr>
              <w:ind w:left="60"/>
              <w:spacing w:after="0"/>
              <w:rPr>
                <w:sz w:val="20"/>
                <w:szCs w:val="20"/>
                <w:color w:val="auto"/>
              </w:rPr>
            </w:pPr>
            <w:r>
              <w:rPr>
                <w:rFonts w:ascii="Arial" w:cs="Arial" w:eastAsia="Arial" w:hAnsi="Arial"/>
                <w:sz w:val="13"/>
                <w:szCs w:val="13"/>
                <w:color w:val="auto"/>
              </w:rPr>
              <w:t>Michael A. Bradley</w:t>
            </w:r>
          </w:p>
        </w:tc>
        <w:tc>
          <w:tcPr>
            <w:tcW w:w="640" w:type="dxa"/>
            <w:vAlign w:val="bottom"/>
          </w:tcPr>
          <w:p>
            <w:pPr>
              <w:spacing w:after="0"/>
              <w:rPr>
                <w:sz w:val="16"/>
                <w:szCs w:val="16"/>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3920" w:type="dxa"/>
            <w:vAlign w:val="bottom"/>
            <w:gridSpan w:val="5"/>
          </w:tcPr>
          <w:p>
            <w:pPr>
              <w:ind w:left="100"/>
              <w:spacing w:after="0"/>
              <w:rPr>
                <w:sz w:val="20"/>
                <w:szCs w:val="20"/>
                <w:color w:val="auto"/>
              </w:rPr>
            </w:pPr>
            <w:r>
              <w:rPr>
                <w:rFonts w:ascii="Arial" w:cs="Arial" w:eastAsia="Arial" w:hAnsi="Arial"/>
                <w:sz w:val="13"/>
                <w:szCs w:val="13"/>
                <w:b w:val="1"/>
                <w:bCs w:val="1"/>
                <w:color w:val="auto"/>
                <w:w w:val="90"/>
              </w:rPr>
              <w:t xml:space="preserve">NOTE: </w:t>
            </w:r>
            <w:r>
              <w:rPr>
                <w:rFonts w:ascii="Arial" w:cs="Arial" w:eastAsia="Arial" w:hAnsi="Arial"/>
                <w:sz w:val="13"/>
                <w:szCs w:val="13"/>
                <w:color w:val="auto"/>
                <w:w w:val="90"/>
              </w:rPr>
              <w:t>Such other business as may properly come before the meeting or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3"/>
                <w:szCs w:val="13"/>
                <w:color w:val="auto"/>
              </w:rPr>
              <w:t>1e.</w:t>
            </w:r>
          </w:p>
        </w:tc>
        <w:tc>
          <w:tcPr>
            <w:tcW w:w="2860" w:type="dxa"/>
            <w:vAlign w:val="bottom"/>
            <w:vMerge w:val="restart"/>
          </w:tcPr>
          <w:p>
            <w:pPr>
              <w:ind w:left="60"/>
              <w:spacing w:after="0"/>
              <w:rPr>
                <w:sz w:val="20"/>
                <w:szCs w:val="20"/>
                <w:color w:val="auto"/>
              </w:rPr>
            </w:pPr>
            <w:r>
              <w:rPr>
                <w:rFonts w:ascii="Arial" w:cs="Arial" w:eastAsia="Arial" w:hAnsi="Arial"/>
                <w:sz w:val="13"/>
                <w:szCs w:val="13"/>
                <w:color w:val="auto"/>
              </w:rPr>
              <w:t>R. Kerry Clark</w:t>
            </w:r>
          </w:p>
        </w:tc>
        <w:tc>
          <w:tcPr>
            <w:tcW w:w="640" w:type="dxa"/>
            <w:vAlign w:val="bottom"/>
          </w:tcPr>
          <w:p>
            <w:pPr>
              <w:spacing w:after="0"/>
              <w:rPr>
                <w:sz w:val="13"/>
                <w:szCs w:val="13"/>
                <w:color w:val="auto"/>
              </w:rPr>
            </w:pPr>
          </w:p>
        </w:tc>
        <w:tc>
          <w:tcPr>
            <w:tcW w:w="560" w:type="dxa"/>
            <w:vAlign w:val="bottom"/>
            <w:vMerge w:val="restart"/>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700" w:type="dxa"/>
            <w:vAlign w:val="bottom"/>
            <w:gridSpan w:val="2"/>
          </w:tcPr>
          <w:p>
            <w:pPr>
              <w:ind w:left="100"/>
              <w:spacing w:after="0"/>
              <w:rPr>
                <w:sz w:val="20"/>
                <w:szCs w:val="20"/>
                <w:color w:val="auto"/>
              </w:rPr>
            </w:pPr>
            <w:r>
              <w:rPr>
                <w:rFonts w:ascii="Arial" w:cs="Arial" w:eastAsia="Arial" w:hAnsi="Arial"/>
                <w:sz w:val="13"/>
                <w:szCs w:val="13"/>
                <w:color w:val="auto"/>
              </w:rPr>
              <w:t>any adjournment thereof.</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0" w:type="dxa"/>
            <w:vAlign w:val="bottom"/>
            <w:tcBorders>
              <w:left w:val="single" w:sz="8" w:color="auto"/>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28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1f.</w:t>
            </w:r>
          </w:p>
        </w:tc>
        <w:tc>
          <w:tcPr>
            <w:tcW w:w="2860" w:type="dxa"/>
            <w:vAlign w:val="bottom"/>
          </w:tcPr>
          <w:p>
            <w:pPr>
              <w:ind w:left="60"/>
              <w:spacing w:after="0"/>
              <w:rPr>
                <w:sz w:val="20"/>
                <w:szCs w:val="20"/>
                <w:color w:val="auto"/>
              </w:rPr>
            </w:pPr>
            <w:r>
              <w:rPr>
                <w:rFonts w:ascii="Arial" w:cs="Arial" w:eastAsia="Arial" w:hAnsi="Arial"/>
                <w:sz w:val="13"/>
                <w:szCs w:val="13"/>
                <w:color w:val="auto"/>
              </w:rPr>
              <w:t>Richard P. Hamada</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1g.</w:t>
            </w:r>
          </w:p>
        </w:tc>
        <w:tc>
          <w:tcPr>
            <w:tcW w:w="2860" w:type="dxa"/>
            <w:vAlign w:val="bottom"/>
          </w:tcPr>
          <w:p>
            <w:pPr>
              <w:ind w:left="60"/>
              <w:spacing w:after="0"/>
              <w:rPr>
                <w:sz w:val="20"/>
                <w:szCs w:val="20"/>
                <w:color w:val="auto"/>
              </w:rPr>
            </w:pPr>
            <w:r>
              <w:rPr>
                <w:rFonts w:ascii="Arial" w:cs="Arial" w:eastAsia="Arial" w:hAnsi="Arial"/>
                <w:sz w:val="13"/>
                <w:szCs w:val="13"/>
                <w:color w:val="auto"/>
              </w:rPr>
              <w:t>James A. Lawrence</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1h.</w:t>
            </w:r>
          </w:p>
        </w:tc>
        <w:tc>
          <w:tcPr>
            <w:tcW w:w="2860" w:type="dxa"/>
            <w:vAlign w:val="bottom"/>
          </w:tcPr>
          <w:p>
            <w:pPr>
              <w:ind w:left="60"/>
              <w:spacing w:after="0"/>
              <w:rPr>
                <w:sz w:val="20"/>
                <w:szCs w:val="20"/>
                <w:color w:val="auto"/>
              </w:rPr>
            </w:pPr>
            <w:r>
              <w:rPr>
                <w:rFonts w:ascii="Arial" w:cs="Arial" w:eastAsia="Arial" w:hAnsi="Arial"/>
                <w:sz w:val="13"/>
                <w:szCs w:val="13"/>
                <w:color w:val="auto"/>
              </w:rPr>
              <w:t>Avid Modjtabai</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1i.</w:t>
            </w:r>
          </w:p>
        </w:tc>
        <w:tc>
          <w:tcPr>
            <w:tcW w:w="2860" w:type="dxa"/>
            <w:vAlign w:val="bottom"/>
          </w:tcPr>
          <w:p>
            <w:pPr>
              <w:ind w:left="60"/>
              <w:spacing w:after="0"/>
              <w:rPr>
                <w:sz w:val="20"/>
                <w:szCs w:val="20"/>
                <w:color w:val="auto"/>
              </w:rPr>
            </w:pPr>
            <w:r>
              <w:rPr>
                <w:rFonts w:ascii="Arial" w:cs="Arial" w:eastAsia="Arial" w:hAnsi="Arial"/>
                <w:sz w:val="13"/>
                <w:szCs w:val="13"/>
                <w:color w:val="auto"/>
              </w:rPr>
              <w:t>Ray M. Robinson</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3"/>
                <w:szCs w:val="13"/>
                <w:color w:val="auto"/>
              </w:rPr>
              <w:t>1j.</w:t>
            </w:r>
          </w:p>
        </w:tc>
        <w:tc>
          <w:tcPr>
            <w:tcW w:w="2860" w:type="dxa"/>
            <w:vAlign w:val="bottom"/>
          </w:tcPr>
          <w:p>
            <w:pPr>
              <w:ind w:left="60"/>
              <w:spacing w:after="0"/>
              <w:rPr>
                <w:sz w:val="20"/>
                <w:szCs w:val="20"/>
                <w:color w:val="auto"/>
              </w:rPr>
            </w:pPr>
            <w:r>
              <w:rPr>
                <w:rFonts w:ascii="Arial" w:cs="Arial" w:eastAsia="Arial" w:hAnsi="Arial"/>
                <w:sz w:val="13"/>
                <w:szCs w:val="13"/>
                <w:color w:val="auto"/>
              </w:rPr>
              <w:t>William H. Schumann III</w:t>
            </w:r>
          </w:p>
        </w:tc>
        <w:tc>
          <w:tcPr>
            <w:tcW w:w="640" w:type="dxa"/>
            <w:vAlign w:val="bottom"/>
          </w:tcPr>
          <w:p>
            <w:pPr>
              <w:spacing w:after="0"/>
              <w:rPr>
                <w:sz w:val="19"/>
                <w:szCs w:val="19"/>
                <w:color w:val="auto"/>
              </w:rPr>
            </w:pPr>
          </w:p>
        </w:tc>
        <w:tc>
          <w:tcPr>
            <w:tcW w:w="560" w:type="dxa"/>
            <w:vAlign w:val="bottom"/>
          </w:tcPr>
          <w:p>
            <w:pPr>
              <w:jc w:val="center"/>
              <w:ind w:left="217"/>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40" w:type="dxa"/>
            <w:vAlign w:val="bottom"/>
            <w:tcBorders>
              <w:left w:val="single" w:sz="8" w:color="auto"/>
            </w:tcBorders>
          </w:tcPr>
          <w:p>
            <w:pPr>
              <w:spacing w:after="0"/>
              <w:rPr>
                <w:sz w:val="15"/>
                <w:szCs w:val="15"/>
                <w:color w:val="auto"/>
              </w:rPr>
            </w:pPr>
          </w:p>
        </w:tc>
        <w:tc>
          <w:tcPr>
            <w:tcW w:w="5560" w:type="dxa"/>
            <w:vAlign w:val="bottom"/>
            <w:gridSpan w:val="6"/>
          </w:tcPr>
          <w:p>
            <w:pPr>
              <w:ind w:left="60"/>
              <w:spacing w:after="0"/>
              <w:rPr>
                <w:sz w:val="20"/>
                <w:szCs w:val="20"/>
                <w:color w:val="auto"/>
              </w:rPr>
            </w:pPr>
            <w:r>
              <w:rPr>
                <w:rFonts w:ascii="Arial" w:cs="Arial" w:eastAsia="Arial" w:hAnsi="Arial"/>
                <w:sz w:val="13"/>
                <w:szCs w:val="13"/>
                <w:color w:val="auto"/>
                <w:w w:val="87"/>
              </w:rPr>
              <w:t>Please sign exactly as your name(s) appear(s) hereon. When signing as attorney, executor, administrator, or</w:t>
            </w:r>
          </w:p>
        </w:tc>
        <w:tc>
          <w:tcPr>
            <w:tcW w:w="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 w:type="dxa"/>
            <w:vAlign w:val="bottom"/>
            <w:tcBorders>
              <w:left w:val="single" w:sz="8" w:color="auto"/>
            </w:tcBorders>
          </w:tcPr>
          <w:p>
            <w:pPr>
              <w:spacing w:after="0"/>
              <w:rPr>
                <w:sz w:val="11"/>
                <w:szCs w:val="11"/>
                <w:color w:val="auto"/>
              </w:rPr>
            </w:pPr>
          </w:p>
        </w:tc>
        <w:tc>
          <w:tcPr>
            <w:tcW w:w="55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8"/>
              </w:rPr>
              <w:t>other fiduciary, please give full title as such. Joint owners should each sign personally. All holders must sign.</w:t>
            </w: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5560" w:type="dxa"/>
            <w:vAlign w:val="bottom"/>
            <w:gridSpan w:val="6"/>
          </w:tcPr>
          <w:p>
            <w:pPr>
              <w:ind w:left="60"/>
              <w:spacing w:after="0"/>
              <w:rPr>
                <w:sz w:val="20"/>
                <w:szCs w:val="20"/>
                <w:color w:val="auto"/>
              </w:rPr>
            </w:pPr>
            <w:r>
              <w:rPr>
                <w:rFonts w:ascii="Arial" w:cs="Arial" w:eastAsia="Arial" w:hAnsi="Arial"/>
                <w:sz w:val="13"/>
                <w:szCs w:val="13"/>
                <w:color w:val="auto"/>
                <w:w w:val="94"/>
              </w:rPr>
              <w:t>If a corporation or partnership, please sign in full corporate or partnership name by authorized officer.</w:t>
            </w: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0" w:type="dxa"/>
            <w:vAlign w:val="bottom"/>
            <w:tcBorders>
              <w:left w:val="single" w:sz="8" w:color="auto"/>
            </w:tcBorders>
          </w:tcPr>
          <w:p>
            <w:pPr>
              <w:spacing w:after="0"/>
              <w:rPr>
                <w:sz w:val="10"/>
                <w:szCs w:val="10"/>
                <w:color w:val="auto"/>
              </w:rPr>
            </w:pPr>
          </w:p>
        </w:tc>
        <w:tc>
          <w:tcPr>
            <w:tcW w:w="33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240" w:type="dxa"/>
            <w:vAlign w:val="bottom"/>
            <w:tcBorders>
              <w:left w:val="single" w:sz="8" w:color="auto"/>
              <w:right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86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0" w:type="dxa"/>
            <w:vAlign w:val="bottom"/>
            <w:tcBorders>
              <w:left w:val="single" w:sz="8" w:color="auto"/>
            </w:tcBorders>
          </w:tcPr>
          <w:p>
            <w:pPr>
              <w:spacing w:after="0"/>
              <w:rPr>
                <w:sz w:val="13"/>
                <w:szCs w:val="13"/>
                <w:color w:val="auto"/>
              </w:rPr>
            </w:pPr>
          </w:p>
        </w:tc>
        <w:tc>
          <w:tcPr>
            <w:tcW w:w="3340" w:type="dxa"/>
            <w:vAlign w:val="bottom"/>
            <w:gridSpan w:val="2"/>
          </w:tcPr>
          <w:p>
            <w:pPr>
              <w:ind w:left="60"/>
              <w:spacing w:after="0"/>
              <w:rPr>
                <w:sz w:val="20"/>
                <w:szCs w:val="20"/>
                <w:color w:val="auto"/>
              </w:rPr>
            </w:pPr>
            <w:r>
              <w:rPr>
                <w:rFonts w:ascii="Arial" w:cs="Arial" w:eastAsia="Arial" w:hAnsi="Arial"/>
                <w:sz w:val="13"/>
                <w:szCs w:val="13"/>
                <w:color w:val="auto"/>
              </w:rPr>
              <w:t>Signature [PLEASE SIGN WITHIN BOX]</w:t>
            </w:r>
          </w:p>
        </w:tc>
        <w:tc>
          <w:tcPr>
            <w:tcW w:w="640" w:type="dxa"/>
            <w:vAlign w:val="bottom"/>
          </w:tcPr>
          <w:p>
            <w:pPr>
              <w:ind w:left="80"/>
              <w:spacing w:after="0"/>
              <w:rPr>
                <w:sz w:val="20"/>
                <w:szCs w:val="20"/>
                <w:color w:val="auto"/>
              </w:rPr>
            </w:pPr>
            <w:r>
              <w:rPr>
                <w:rFonts w:ascii="Arial" w:cs="Arial" w:eastAsia="Arial" w:hAnsi="Arial"/>
                <w:sz w:val="13"/>
                <w:szCs w:val="13"/>
                <w:color w:val="auto"/>
              </w:rPr>
              <w:t>Date</w:t>
            </w: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tcPr>
          <w:p>
            <w:pPr>
              <w:ind w:left="100"/>
              <w:spacing w:after="0"/>
              <w:rPr>
                <w:sz w:val="20"/>
                <w:szCs w:val="20"/>
                <w:color w:val="auto"/>
              </w:rPr>
            </w:pPr>
            <w:r>
              <w:rPr>
                <w:rFonts w:ascii="Arial" w:cs="Arial" w:eastAsia="Arial" w:hAnsi="Arial"/>
                <w:sz w:val="13"/>
                <w:szCs w:val="13"/>
                <w:color w:val="auto"/>
              </w:rPr>
              <w:t>Signature (Joint Owners)</w:t>
            </w:r>
          </w:p>
        </w:tc>
        <w:tc>
          <w:tcPr>
            <w:tcW w:w="4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auto"/>
              </w:rPr>
              <w:t>Date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205740</wp:posOffset>
            </wp:positionV>
            <wp:extent cx="2444115" cy="677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441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November 12,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7:30 a.m. (local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2211 South 47th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AZ 85034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may vote through the Internet, by telephone or by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read the card carefully for instructions.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However you decide to vote, your presence, in person or by proxy,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297180</wp:posOffset>
            </wp:positionV>
            <wp:extent cx="639762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97625" cy="2603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340360</wp:posOffset>
            </wp:positionV>
            <wp:extent cx="63976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M96398-P69221-Z66352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7263765" cy="2898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289877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on November 12, 2015</w:t>
      </w:r>
    </w:p>
    <w:p>
      <w:pPr>
        <w:spacing w:after="0" w:line="238" w:lineRule="exact"/>
        <w:rPr>
          <w:sz w:val="20"/>
          <w:szCs w:val="20"/>
          <w:color w:val="auto"/>
        </w:rPr>
      </w:pPr>
    </w:p>
    <w:p>
      <w:pPr>
        <w:ind w:left="160" w:right="240"/>
        <w:spacing w:after="0" w:line="257" w:lineRule="auto"/>
        <w:rPr>
          <w:sz w:val="20"/>
          <w:szCs w:val="20"/>
          <w:color w:val="auto"/>
        </w:rPr>
      </w:pPr>
      <w:r>
        <w:rPr>
          <w:rFonts w:ascii="Arial" w:cs="Arial" w:eastAsia="Arial" w:hAnsi="Arial"/>
          <w:sz w:val="18"/>
          <w:szCs w:val="18"/>
          <w:color w:val="auto"/>
        </w:rPr>
        <w:t>The undersigned shareholder of AVNET, INC. (the “Company”) hereby constitutes and appoints Richard Hamada and Kevin Moriarty,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12, 2015, or at any adjournment thereof, with all the powers which the undersigned would possess if personally present, as designated on the reverse side.</w:t>
      </w:r>
    </w:p>
    <w:p>
      <w:pPr>
        <w:spacing w:after="0" w:line="211" w:lineRule="exact"/>
        <w:rPr>
          <w:sz w:val="20"/>
          <w:szCs w:val="20"/>
          <w:color w:val="auto"/>
        </w:rPr>
      </w:pPr>
    </w:p>
    <w:p>
      <w:pPr>
        <w:ind w:left="160" w:right="200"/>
        <w:spacing w:after="0" w:line="277" w:lineRule="auto"/>
        <w:rPr>
          <w:sz w:val="20"/>
          <w:szCs w:val="20"/>
          <w:color w:val="auto"/>
        </w:rPr>
      </w:pPr>
      <w:r>
        <w:rPr>
          <w:rFonts w:ascii="Arial" w:cs="Arial" w:eastAsia="Arial" w:hAnsi="Arial"/>
          <w:sz w:val="17"/>
          <w:szCs w:val="17"/>
          <w:color w:val="auto"/>
        </w:rPr>
        <w:t xml:space="preserve">The undersigned hereby instructs the said proxies (i) to vote in accordance with the instructions indicated on the reverse side for each proposal, </w:t>
      </w:r>
      <w:r>
        <w:rPr>
          <w:rFonts w:ascii="Arial" w:cs="Arial" w:eastAsia="Arial" w:hAnsi="Arial"/>
          <w:sz w:val="17"/>
          <w:szCs w:val="17"/>
          <w:b w:val="1"/>
          <w:bCs w:val="1"/>
          <w:color w:val="auto"/>
        </w:rPr>
        <w:t>but, if no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instruction is given on the reverse side, to vote FOR the election of directors of the ten persons named on the reverse side, FOR the approval of the advisory vote on executive compensation, and FOR the ratification of KPMG LLP as the independent registered public accounting firm for the fiscal year ending July 2, 2016 </w:t>
      </w:r>
      <w:r>
        <w:rPr>
          <w:rFonts w:ascii="Arial" w:cs="Arial" w:eastAsia="Arial" w:hAnsi="Arial"/>
          <w:sz w:val="17"/>
          <w:szCs w:val="17"/>
          <w:color w:val="auto"/>
        </w:rPr>
        <w:t>and (ii) to vote, in their discretion, with respect to other such matters (including matters incidental to the conduct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meeting) as may properly come before the meeting or any postponements or adjournments thereof.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2)"/>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emdash "/>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2019-12-05T02:56:12Z</dcterms:created>
  <dcterms:modified xsi:type="dcterms:W3CDTF">2019-12-05T02:56:12Z</dcterms:modified>
</cp:coreProperties>
</file>