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October 2, 2021</w:t>
      </w:r>
    </w:p>
    <w:p>
      <w:pPr>
        <w:spacing w:after="0" w:line="14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85725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76835</wp:posOffset>
            </wp:positionV>
            <wp:extent cx="1611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2" w:lineRule="exact"/>
        <w:rPr>
          <w:sz w:val="24"/>
          <w:szCs w:val="24"/>
          <w:color w:val="auto"/>
        </w:rPr>
      </w:pPr>
    </w:p>
    <w:p>
      <w:pPr>
        <w:ind w:right="200"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560"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ind w:right="200"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right="500" w:firstLine="427"/>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ind w:right="540" w:firstLine="427"/>
        <w:spacing w:after="0" w:line="277" w:lineRule="auto"/>
        <w:rPr>
          <w:sz w:val="20"/>
          <w:szCs w:val="20"/>
          <w:color w:val="auto"/>
        </w:rPr>
      </w:pPr>
      <w:r>
        <w:rPr>
          <w:rFonts w:ascii="Arial" w:cs="Arial" w:eastAsia="Arial" w:hAnsi="Arial"/>
          <w:sz w:val="18"/>
          <w:szCs w:val="18"/>
          <w:color w:val="auto"/>
        </w:rPr>
        <w:t>As of October 21, 2021, the total number of shares outstanding of the registrant’s Common Stock was 99,222,109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622935</wp:posOffset>
            </wp:positionV>
            <wp:extent cx="64636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83185</wp:posOffset>
            </wp:positionV>
            <wp:extent cx="64636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Arial" w:cs="Arial" w:eastAsia="Arial" w:hAnsi="Arial"/>
                <w:sz w:val="18"/>
                <w:szCs w:val="18"/>
                <w:color w:val="auto"/>
                <w:w w:val="97"/>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4"/>
            <w:vMerge w:val="restart"/>
          </w:tcPr>
          <w:p>
            <w:pPr>
              <w:jc w:val="center"/>
              <w:ind w:right="256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October 2, 2021 and July 3, 2021</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first quarters ended October 2, 2021 and October 3, 2020</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first quarters ended October 2, 2021 and</w:t>
              </w:r>
            </w:hyperlink>
          </w:p>
        </w:tc>
        <w:tc>
          <w:tcPr>
            <w:tcW w:w="280" w:type="dxa"/>
            <w:vAlign w:val="bottom"/>
            <w:tcBorders>
              <w:top w:val="single" w:sz="8" w:color="0000EE"/>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3, 2020</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Shareholders’ Equity for the first quarters ended October 2, 2021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October 3, 2020</w:t>
              </w:r>
            </w:hyperlink>
          </w:p>
        </w:tc>
        <w:tc>
          <w:tcPr>
            <w:tcW w:w="5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first quarters ended October 2, 2021 and October 3, 2020</w:t>
              </w:r>
            </w:hyperlink>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1. Legal Proceedings</w:t>
              </w:r>
            </w:hyperlink>
          </w:p>
        </w:tc>
        <w:tc>
          <w:tcPr>
            <w:tcW w:w="604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632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Signature Page</w:t>
              </w:r>
            </w:hyperlink>
          </w:p>
        </w:tc>
        <w:tc>
          <w:tcPr>
            <w:tcW w:w="60" w:type="dxa"/>
            <w:vAlign w:val="bottom"/>
            <w:tcBorders>
              <w:top w:val="single" w:sz="8" w:color="0000EE"/>
            </w:tcBorders>
          </w:tcPr>
          <w:p>
            <w:pPr>
              <w:spacing w:after="0"/>
              <w:rPr>
                <w:sz w:val="24"/>
                <w:szCs w:val="24"/>
                <w:color w:val="auto"/>
              </w:rPr>
            </w:pPr>
          </w:p>
        </w:tc>
        <w:tc>
          <w:tcPr>
            <w:tcW w:w="678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40"/>
              <w:spacing w:after="0" w:line="184" w:lineRule="exact"/>
              <w:rPr>
                <w:sz w:val="20"/>
                <w:szCs w:val="20"/>
                <w:color w:val="auto"/>
              </w:rPr>
            </w:pPr>
            <w:r>
              <w:rPr>
                <w:rFonts w:ascii="Arial" w:cs="Arial" w:eastAsia="Arial" w:hAnsi="Arial"/>
                <w:sz w:val="18"/>
                <w:szCs w:val="18"/>
                <w:b w:val="1"/>
                <w:bCs w:val="1"/>
                <w:color w:val="auto"/>
                <w:w w:val="93"/>
              </w:rPr>
              <w:t>(Thousands, except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299,101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3,720,296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3,576,130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3,236,837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161,845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7,465,067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7,163,421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351,873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289,728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9,211,309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8,925,422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7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2,401,357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588,340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57,256</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3,113,339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3,055,238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1,191,329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230,350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332,332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5,065,710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4,841,238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99,336,434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99,601,393 shares,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1,631,667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1,622,160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4,145,599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4,084,184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9,211,309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8,925,422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October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October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tcPr>
          <w:p>
            <w:pPr>
              <w:jc w:val="right"/>
              <w:ind w:right="50"/>
              <w:spacing w:after="0" w:line="202" w:lineRule="exact"/>
              <w:rPr>
                <w:sz w:val="20"/>
                <w:szCs w:val="20"/>
                <w:color w:val="auto"/>
              </w:rPr>
            </w:pPr>
            <w:r>
              <w:rPr>
                <w:rFonts w:ascii="Arial" w:cs="Arial" w:eastAsia="Arial" w:hAnsi="Arial"/>
                <w:sz w:val="18"/>
                <w:szCs w:val="18"/>
                <w:b w:val="1"/>
                <w:bCs w:val="1"/>
                <w:color w:val="auto"/>
                <w:w w:val="88"/>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5,584,695</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4,925,002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659,693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486,178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471,158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168,243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111,318</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Basic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2"/>
                <w:szCs w:val="22"/>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99,647</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101,116</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98,897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1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October 3,</w:t>
            </w:r>
          </w:p>
        </w:tc>
      </w:tr>
      <w:tr>
        <w:trPr>
          <w:trHeight w:val="241"/>
        </w:trPr>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3"/>
        </w:trPr>
        <w:tc>
          <w:tcPr>
            <w:tcW w:w="5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90,373</w:t>
            </w:r>
          </w:p>
        </w:tc>
      </w:tr>
      <w:tr>
        <w:trPr>
          <w:trHeight w:val="223"/>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r>
      <w:tr>
        <w:trPr>
          <w:trHeight w:val="216"/>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1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81,107</w:t>
            </w:r>
          </w:p>
        </w:tc>
      </w:tr>
      <w:tr>
        <w:trPr>
          <w:trHeight w:val="20"/>
        </w:trPr>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9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40" w:type="dxa"/>
            <w:vAlign w:val="bottom"/>
          </w:tcPr>
          <w:p>
            <w:pPr>
              <w:spacing w:after="0"/>
              <w:rPr>
                <w:sz w:val="19"/>
                <w:szCs w:val="19"/>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189"/>
        </w:trPr>
        <w:tc>
          <w:tcPr>
            <w:tcW w:w="29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74"/>
              </w:rPr>
              <w:t>(Thousands)</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July 3, 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$ 99,601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$ 1,622,160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$ 2,516,170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(153,747)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4,084,184</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111,318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111,318</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(29,036)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(29,036)</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4,012</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(23,893)</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(275)</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(275)</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(10,228)</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(10,503)</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9,507</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w:t>
            </w:r>
          </w:p>
        </w:tc>
      </w:tr>
      <w:tr>
        <w:trPr>
          <w:trHeight w:val="189"/>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October 2,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99,336</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$ 99,336</w:t>
            </w: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$ 1,631,667</w:t>
            </w:r>
          </w:p>
        </w:tc>
        <w:tc>
          <w:tcPr>
            <w:tcW w:w="180" w:type="dxa"/>
            <w:vAlign w:val="bottom"/>
            <w:tcBorders>
              <w:top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$ 2,593,367</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(178,771)</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4,145,599</w:t>
            </w: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99"/>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9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40" w:type="dxa"/>
            <w:vAlign w:val="bottom"/>
          </w:tcPr>
          <w:p>
            <w:pPr>
              <w:spacing w:after="0"/>
              <w:rPr>
                <w:sz w:val="19"/>
                <w:szCs w:val="19"/>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189"/>
        </w:trPr>
        <w:tc>
          <w:tcPr>
            <w:tcW w:w="29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74"/>
              </w:rPr>
              <w:t>(Thousands)</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27, 2020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$ 98,793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$ 1,594,140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$ 2,421,845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(388,380)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3,726,398</w:t>
            </w:r>
          </w:p>
        </w:tc>
      </w:tr>
      <w:tr>
        <w:trPr>
          <w:trHeight w:val="202"/>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(18,889)</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(18,889)</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9,623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9,623</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(20,756)</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(20,756)</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Effects of new accounting principles,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(14,480)</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(14,480)</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w:t>
            </w:r>
          </w:p>
        </w:tc>
      </w:tr>
      <w:tr>
        <w:trPr>
          <w:trHeight w:val="190"/>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October 3,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98,844</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$ 98,844</w:t>
            </w: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$ 1,599,331</w:t>
            </w:r>
          </w:p>
        </w:tc>
        <w:tc>
          <w:tcPr>
            <w:tcW w:w="180" w:type="dxa"/>
            <w:vAlign w:val="bottom"/>
            <w:tcBorders>
              <w:top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$ 2,367,720</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(288,384)</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3,777,511</w:t>
            </w: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First Quarters Ended</w:t>
            </w:r>
          </w:p>
        </w:tc>
      </w:tr>
      <w:tr>
        <w:trPr>
          <w:trHeight w:val="210"/>
        </w:trPr>
        <w:tc>
          <w:tcPr>
            <w:tcW w:w="5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October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October 3,</w:t>
            </w:r>
          </w:p>
        </w:tc>
      </w:tr>
      <w:tr>
        <w:trPr>
          <w:trHeight w:val="229"/>
        </w:trPr>
        <w:tc>
          <w:tcPr>
            <w:tcW w:w="5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203"/>
        </w:trPr>
        <w:tc>
          <w:tcPr>
            <w:tcW w:w="5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111,318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(18,889)</w:t>
            </w:r>
          </w:p>
        </w:tc>
      </w:tr>
      <w:tr>
        <w:trPr>
          <w:trHeight w:val="219"/>
        </w:trPr>
        <w:tc>
          <w:tcPr>
            <w:tcW w:w="5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21,845</w:t>
            </w:r>
          </w:p>
        </w:tc>
      </w:tr>
      <w:tr>
        <w:trPr>
          <w:trHeight w:val="213"/>
        </w:trPr>
        <w:tc>
          <w:tcPr>
            <w:tcW w:w="574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20,117</w:t>
            </w: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operating lease assets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14,079</w:t>
            </w:r>
          </w:p>
        </w:tc>
      </w:tr>
      <w:tr>
        <w:trPr>
          <w:trHeight w:val="213"/>
        </w:trPr>
        <w:tc>
          <w:tcPr>
            <w:tcW w:w="574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6,614</w:t>
            </w: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r>
      <w:tr>
        <w:trPr>
          <w:trHeight w:val="213"/>
        </w:trPr>
        <w:tc>
          <w:tcPr>
            <w:tcW w:w="5740" w:type="dxa"/>
            <w:vAlign w:val="bottom"/>
          </w:tcPr>
          <w:p>
            <w:pPr>
              <w:ind w:left="320"/>
              <w:spacing w:after="0"/>
              <w:rPr>
                <w:sz w:val="20"/>
                <w:szCs w:val="20"/>
                <w:color w:val="auto"/>
              </w:rPr>
            </w:pPr>
            <w:r>
              <w:rPr>
                <w:rFonts w:ascii="Arial" w:cs="Arial" w:eastAsia="Arial" w:hAnsi="Arial"/>
                <w:sz w:val="16"/>
                <w:szCs w:val="16"/>
                <w:color w:val="auto"/>
              </w:rPr>
              <w:t>Impairments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10,898</w:t>
            </w: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 and divested):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(7,116)</w:t>
            </w:r>
          </w:p>
        </w:tc>
      </w:tr>
      <w:tr>
        <w:trPr>
          <w:trHeight w:val="213"/>
        </w:trPr>
        <w:tc>
          <w:tcPr>
            <w:tcW w:w="57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(136,426)</w:t>
            </w:r>
          </w:p>
        </w:tc>
      </w:tr>
      <w:tr>
        <w:trPr>
          <w:trHeight w:val="219"/>
        </w:trPr>
        <w:tc>
          <w:tcPr>
            <w:tcW w:w="5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228,740</w:t>
            </w:r>
          </w:p>
        </w:tc>
      </w:tr>
      <w:tr>
        <w:trPr>
          <w:trHeight w:val="223"/>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Accrued expenses and other, net</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(37,545)</w:t>
            </w:r>
          </w:p>
        </w:tc>
      </w:tr>
      <w:tr>
        <w:trPr>
          <w:trHeight w:val="223"/>
        </w:trPr>
        <w:tc>
          <w:tcPr>
            <w:tcW w:w="5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provided by 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122,444</w:t>
            </w:r>
          </w:p>
        </w:tc>
      </w:tr>
      <w:tr>
        <w:trPr>
          <w:trHeight w:val="216"/>
        </w:trPr>
        <w:tc>
          <w:tcPr>
            <w:tcW w:w="5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Borrowings under accounts receivable securitization,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166,900</w:t>
            </w:r>
          </w:p>
        </w:tc>
      </w:tr>
      <w:tr>
        <w:trPr>
          <w:trHeight w:val="219"/>
        </w:trPr>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(repayments) under senior unsecured credit facility, net</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(234,190)</w:t>
            </w: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Borrowings (repayments) under bank credit facilities and other debt,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9"/>
        </w:trPr>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(20,756)</w:t>
            </w:r>
          </w:p>
        </w:tc>
      </w:tr>
      <w:tr>
        <w:trPr>
          <w:trHeight w:val="226"/>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23"/>
        </w:trPr>
        <w:tc>
          <w:tcPr>
            <w:tcW w:w="57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by financing activities</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142,486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(88,310)</w:t>
            </w:r>
          </w:p>
        </w:tc>
      </w:tr>
      <w:tr>
        <w:trPr>
          <w:trHeight w:val="216"/>
        </w:trPr>
        <w:tc>
          <w:tcPr>
            <w:tcW w:w="5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w:t>
            </w:r>
          </w:p>
        </w:tc>
      </w:tr>
      <w:tr>
        <w:trPr>
          <w:trHeight w:val="213"/>
        </w:trPr>
        <w:tc>
          <w:tcPr>
            <w:tcW w:w="5740" w:type="dxa"/>
            <w:vAlign w:val="bottom"/>
          </w:tcPr>
          <w:p>
            <w:pPr>
              <w:ind w:left="100"/>
              <w:spacing w:after="0"/>
              <w:rPr>
                <w:sz w:val="20"/>
                <w:szCs w:val="20"/>
                <w:color w:val="auto"/>
              </w:rPr>
            </w:pPr>
            <w:r>
              <w:rPr>
                <w:rFonts w:ascii="Arial" w:cs="Arial" w:eastAsia="Arial" w:hAnsi="Arial"/>
                <w:sz w:val="16"/>
                <w:szCs w:val="16"/>
                <w:color w:val="auto"/>
              </w:rPr>
              <w:t>Acquisitions of assets and businesses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(18,700)</w:t>
            </w:r>
          </w:p>
        </w:tc>
      </w:tr>
      <w:tr>
        <w:trPr>
          <w:trHeight w:val="226"/>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23"/>
        </w:trPr>
        <w:tc>
          <w:tcPr>
            <w:tcW w:w="57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(37,945)</w:t>
            </w:r>
          </w:p>
        </w:tc>
      </w:tr>
      <w:tr>
        <w:trPr>
          <w:trHeight w:val="216"/>
        </w:trPr>
        <w:tc>
          <w:tcPr>
            <w:tcW w:w="5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9,829</w:t>
            </w:r>
          </w:p>
        </w:tc>
      </w:tr>
      <w:tr>
        <w:trPr>
          <w:trHeight w:val="219"/>
        </w:trPr>
        <w:tc>
          <w:tcPr>
            <w:tcW w:w="5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 increase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r>
      <w:tr>
        <w:trPr>
          <w:trHeight w:val="223"/>
        </w:trPr>
        <w:tc>
          <w:tcPr>
            <w:tcW w:w="5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at beginning of period</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199,691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477,038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483,056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ind w:left="60" w:right="419"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ind w:left="60" w:right="299" w:firstLine="427"/>
        <w:spacing w:after="0" w:line="286" w:lineRule="auto"/>
        <w:rPr>
          <w:sz w:val="20"/>
          <w:szCs w:val="20"/>
          <w:color w:val="auto"/>
        </w:rPr>
      </w:pPr>
      <w:r>
        <w:rPr>
          <w:rFonts w:ascii="Arial" w:cs="Arial" w:eastAsia="Arial" w:hAnsi="Arial"/>
          <w:sz w:val="17"/>
          <w:szCs w:val="17"/>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ind w:left="60" w:right="579" w:firstLine="427"/>
        <w:spacing w:after="0" w:line="311" w:lineRule="auto"/>
        <w:rPr>
          <w:sz w:val="20"/>
          <w:szCs w:val="20"/>
          <w:color w:val="auto"/>
        </w:rPr>
      </w:pPr>
      <w:r>
        <w:rPr>
          <w:rFonts w:ascii="Arial" w:cs="Arial" w:eastAsia="Arial" w:hAnsi="Arial"/>
          <w:sz w:val="16"/>
          <w:szCs w:val="16"/>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3, 2021.</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left="60" w:right="179" w:firstLine="427"/>
        <w:spacing w:after="0" w:line="263" w:lineRule="auto"/>
        <w:rPr>
          <w:sz w:val="20"/>
          <w:szCs w:val="20"/>
          <w:color w:val="auto"/>
        </w:rPr>
      </w:pPr>
      <w:r>
        <w:rPr>
          <w:rFonts w:ascii="Arial" w:cs="Arial" w:eastAsia="Arial" w:hAnsi="Arial"/>
          <w:sz w:val="18"/>
          <w:szCs w:val="18"/>
          <w:color w:val="auto"/>
        </w:rPr>
        <w:t>The Company operates on a “52/53 week” fiscal year, and fiscal 2022 contains 52 weeks compared to fiscal 2021, which contained 53 weeks. As a result, the first quarter of fiscal 2022, contained 13 weeks compared to the first quarter of fiscal 2021, which contained 14 weeks.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99" w:firstLine="427"/>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xml:space="preserve"> (“ASU No. 2019-12”), which simplifies the income tax accounting, eliminates certain exceptions within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and clarifies certain aspects of the current guidance to promote consistency among reporting entities. Most</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within ASU No. 2019-12 are required to be applied on a prospective basis, while certain amendments must be applied on a retrospective or modified retrospective basis. The Company’s adoption of ASU No. 2019-12 beginning the first quarter of fiscal 2022 did not have a material impact on the Company’s Consolidated Financial Statements.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Reference Rate Reform on Financial Reporting </w:t>
      </w:r>
      <w:r>
        <w:rPr>
          <w:rFonts w:ascii="Arial" w:cs="Arial" w:eastAsia="Arial" w:hAnsi="Arial"/>
          <w:sz w:val="17"/>
          <w:szCs w:val="17"/>
          <w:color w:val="auto"/>
        </w:rPr>
        <w:t>(“ASU No. 2020-04”), which provides optional guidance to 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potential burden in accounting for reference rate reform on financial reporting. The new guidance provides optional expedients and exceptions for applying GAAP to transactions affected by reference rate reform if certain criteria are met. In January 2021, the FASB issued ASU No.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(“ASU No. 2021-01”), to clarify certain optional expedients and exceptions in Topic 848 for contract modifications and hedge accounting to apply to derivatives that are affected by the discounting transition. Both ASU No. 2020-04 and ASU No. 2021-01 are effective upon issuance through December 31, 2022. The Company is currently evaluating the effects of adopting the provisions of ASU No. 2020-04 and ASU No. 2021-01, but does not currently expect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2. Receivables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20" w:type="dxa"/>
            <w:vAlign w:val="bottom"/>
          </w:tcPr>
          <w:p>
            <w:pPr>
              <w:ind w:left="440"/>
              <w:spacing w:after="0"/>
              <w:rPr>
                <w:sz w:val="20"/>
                <w:szCs w:val="20"/>
                <w:color w:val="auto"/>
              </w:rPr>
            </w:pPr>
            <w:r>
              <w:rPr>
                <w:rFonts w:ascii="Arial" w:cs="Arial" w:eastAsia="Arial" w:hAnsi="Arial"/>
                <w:sz w:val="18"/>
                <w:szCs w:val="18"/>
                <w:color w:val="auto"/>
                <w:w w:val="96"/>
              </w:rPr>
              <w:t>The Company’s receivables and allowance for credit losses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October 2,</w:t>
            </w:r>
          </w:p>
        </w:tc>
        <w:tc>
          <w:tcPr>
            <w:tcW w:w="2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w:t>
            </w: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3,808,214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3,664,290</w:t>
            </w:r>
          </w:p>
        </w:tc>
        <w:tc>
          <w:tcPr>
            <w:tcW w:w="20" w:type="dxa"/>
            <w:vAlign w:val="bottom"/>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(87,918)</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had the following activity in the allowance for credit losses during the first quarters of fiscal 2022 and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3"/>
        </w:trPr>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October 2,</w:t>
            </w: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w:t>
            </w: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Effect of adopting credit loss accounting standard</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Provisions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20" w:type="dxa"/>
            <w:vAlign w:val="bottom"/>
          </w:tcPr>
          <w:p>
            <w:pPr>
              <w:spacing w:after="0"/>
              <w:rPr>
                <w:sz w:val="18"/>
                <w:szCs w:val="18"/>
                <w:color w:val="auto"/>
              </w:rPr>
            </w:pPr>
          </w:p>
        </w:tc>
      </w:tr>
      <w:tr>
        <w:trPr>
          <w:trHeight w:val="223"/>
        </w:trPr>
        <w:tc>
          <w:tcPr>
            <w:tcW w:w="6320" w:type="dxa"/>
            <w:vAlign w:val="bottom"/>
          </w:tcPr>
          <w:p>
            <w:pPr>
              <w:ind w:left="120"/>
              <w:spacing w:after="0"/>
              <w:rPr>
                <w:sz w:val="20"/>
                <w:szCs w:val="20"/>
                <w:color w:val="auto"/>
              </w:rPr>
            </w:pPr>
            <w:r>
              <w:rPr>
                <w:rFonts w:ascii="Arial" w:cs="Arial" w:eastAsia="Arial" w:hAnsi="Arial"/>
                <w:sz w:val="18"/>
                <w:szCs w:val="18"/>
                <w:color w:val="auto"/>
              </w:rPr>
              <w:t>Foreign Currency Effect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19"/>
                <w:szCs w:val="19"/>
                <w:color w:val="auto"/>
              </w:rPr>
            </w:pPr>
          </w:p>
        </w:tc>
      </w:tr>
      <w:tr>
        <w:trPr>
          <w:trHeight w:val="216"/>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81,527</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change in goodwill by reportable segment for the three months ended October 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0"/>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3, 2021 </w:t>
            </w:r>
            <w:r>
              <w:rPr>
                <w:rFonts w:ascii="Arial" w:cs="Arial" w:eastAsia="Arial" w:hAnsi="Arial"/>
                <w:sz w:val="25"/>
                <w:szCs w:val="25"/>
                <w:color w:val="auto"/>
                <w:vertAlign w:val="superscript"/>
              </w:rPr>
              <w:t>(1)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527,523</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October 2, 2021 </w:t>
            </w:r>
            <w:r>
              <w:rPr>
                <w:rFonts w:ascii="Arial" w:cs="Arial" w:eastAsia="Arial" w:hAnsi="Arial"/>
                <w:sz w:val="25"/>
                <w:szCs w:val="25"/>
                <w:color w:val="auto"/>
                <w:vertAlign w:val="superscript"/>
              </w:rPr>
              <w:t>(1)</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516,860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823,953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6"/>
          <w:szCs w:val="16"/>
          <w:color w:val="auto"/>
        </w:rPr>
        <w:t>Includes accumulated impairments of $1,482,677 from prior fiscal years.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35" w:lineRule="exact"/>
        <w:rPr>
          <w:rFonts w:ascii="Arial" w:cs="Arial" w:eastAsia="Arial" w:hAnsi="Arial"/>
          <w:sz w:val="12"/>
          <w:szCs w:val="12"/>
          <w:color w:val="auto"/>
        </w:rPr>
      </w:pPr>
    </w:p>
    <w:p>
      <w:pPr>
        <w:ind w:left="4460"/>
        <w:spacing w:after="0"/>
        <w:rPr>
          <w:rFonts w:ascii="Arial" w:cs="Arial" w:eastAsia="Arial" w:hAnsi="Arial"/>
          <w:sz w:val="12"/>
          <w:szCs w:val="12"/>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799"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October 2, 2021 and July 3, 2021, respectively.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October 2,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July 3, 2021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1320" w:type="dxa"/>
            <w:vAlign w:val="bottom"/>
            <w:gridSpan w:val="4"/>
          </w:tcPr>
          <w:p>
            <w:pPr>
              <w:ind w:left="180"/>
              <w:spacing w:after="0" w:line="189" w:lineRule="exact"/>
              <w:rPr>
                <w:sz w:val="20"/>
                <w:szCs w:val="20"/>
                <w:color w:val="auto"/>
              </w:rPr>
            </w:pPr>
            <w:r>
              <w:rPr>
                <w:rFonts w:ascii="Arial" w:cs="Arial" w:eastAsia="Arial" w:hAnsi="Arial"/>
                <w:sz w:val="18"/>
                <w:szCs w:val="18"/>
                <w:b w:val="1"/>
                <w:bCs w:val="1"/>
                <w:color w:val="auto"/>
                <w:w w:val="99"/>
              </w:rPr>
              <w:t>Accumulated</w:t>
            </w:r>
          </w:p>
        </w:tc>
        <w:tc>
          <w:tcPr>
            <w:tcW w:w="80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auto"/>
                <w:w w:val="96"/>
              </w:rPr>
              <w:t>Net Book</w:t>
            </w:r>
          </w:p>
        </w:tc>
        <w:tc>
          <w:tcPr>
            <w:tcW w:w="18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6"/>
                <w:szCs w:val="16"/>
                <w:color w:val="auto"/>
              </w:rPr>
            </w:pPr>
          </w:p>
        </w:tc>
        <w:tc>
          <w:tcPr>
            <w:tcW w:w="128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8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r>
      <w:tr>
        <w:trPr>
          <w:trHeight w:val="24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1"/>
                <w:szCs w:val="21"/>
                <w:color w:val="auto"/>
              </w:rPr>
            </w:pPr>
          </w:p>
        </w:tc>
        <w:tc>
          <w:tcPr>
            <w:tcW w:w="820" w:type="dxa"/>
            <w:vAlign w:val="bottom"/>
            <w:gridSpan w:val="2"/>
          </w:tcPr>
          <w:p>
            <w:pPr>
              <w:jc w:val="right"/>
              <w:spacing w:after="0" w:line="242" w:lineRule="exact"/>
              <w:rPr>
                <w:sz w:val="20"/>
                <w:szCs w:val="20"/>
                <w:color w:val="auto"/>
              </w:rPr>
            </w:pPr>
            <w:r>
              <w:rPr>
                <w:rFonts w:ascii="Arial" w:cs="Arial" w:eastAsia="Arial" w:hAnsi="Arial"/>
                <w:sz w:val="18"/>
                <w:szCs w:val="18"/>
                <w:b w:val="1"/>
                <w:bCs w:val="1"/>
                <w:color w:val="auto"/>
                <w:w w:val="87"/>
              </w:rPr>
              <w:t>Amount</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1"/>
                <w:szCs w:val="21"/>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right"/>
              <w:ind w:right="23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$ 318,429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(312,392)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12,165</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$ 431,150</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(408,076)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23,074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439,409</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(410,870)</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28,539</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 w:lineRule="exact"/>
        <w:rPr>
          <w:sz w:val="20"/>
          <w:szCs w:val="20"/>
          <w:color w:val="auto"/>
        </w:rPr>
      </w:pPr>
    </w:p>
    <w:p>
      <w:pPr>
        <w:ind w:left="320" w:hanging="270"/>
        <w:spacing w:after="0"/>
        <w:tabs>
          <w:tab w:leader="none" w:pos="32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Acquired amount reduced by impairment of $17,473 from prior fiscal years.</w:t>
      </w:r>
    </w:p>
    <w:p>
      <w:pPr>
        <w:spacing w:after="0" w:line="181" w:lineRule="exact"/>
        <w:rPr>
          <w:sz w:val="20"/>
          <w:szCs w:val="20"/>
          <w:color w:val="auto"/>
        </w:rPr>
      </w:pPr>
    </w:p>
    <w:p>
      <w:pPr>
        <w:ind w:left="60" w:right="459" w:firstLine="427"/>
        <w:spacing w:after="0" w:line="277" w:lineRule="auto"/>
        <w:rPr>
          <w:sz w:val="20"/>
          <w:szCs w:val="20"/>
          <w:color w:val="auto"/>
        </w:rPr>
      </w:pPr>
      <w:r>
        <w:rPr>
          <w:rFonts w:ascii="Arial" w:cs="Arial" w:eastAsia="Arial" w:hAnsi="Arial"/>
          <w:sz w:val="18"/>
          <w:szCs w:val="18"/>
          <w:color w:val="auto"/>
        </w:rPr>
        <w:t>Intangible asset amortization expense was $5.2 million and $20.1 million for the first quarters of fiscal 2022 and 2021, respectively.</w:t>
      </w:r>
    </w:p>
    <w:p>
      <w:pPr>
        <w:spacing w:after="0" w:line="170" w:lineRule="exact"/>
        <w:rPr>
          <w:sz w:val="20"/>
          <w:szCs w:val="20"/>
          <w:color w:val="auto"/>
        </w:rPr>
      </w:pPr>
    </w:p>
    <w:p>
      <w:pPr>
        <w:ind w:left="60" w:right="179" w:firstLine="427"/>
        <w:spacing w:after="0" w:line="277" w:lineRule="auto"/>
        <w:rPr>
          <w:sz w:val="20"/>
          <w:szCs w:val="20"/>
          <w:color w:val="auto"/>
        </w:rPr>
      </w:pPr>
      <w:r>
        <w:rPr>
          <w:rFonts w:ascii="Arial" w:cs="Arial" w:eastAsia="Arial" w:hAnsi="Arial"/>
          <w:sz w:val="18"/>
          <w:szCs w:val="18"/>
          <w:color w:val="auto"/>
        </w:rPr>
        <w:t>The following table presents the estimated future amortization expense for the remainder of fiscal 2022 and the next five fiscal years (in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33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2023</w:t>
            </w:r>
          </w:p>
        </w:tc>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2025</w:t>
            </w:r>
          </w:p>
        </w:tc>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9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w:t>
            </w:r>
          </w:p>
        </w:tc>
        <w:tc>
          <w:tcPr>
            <w:tcW w:w="396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October 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9"/>
              </w:rPr>
              <w:t>July 3,</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October 2,</w:t>
            </w:r>
          </w:p>
        </w:tc>
        <w:tc>
          <w:tcPr>
            <w:tcW w:w="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July 3,</w:t>
            </w:r>
          </w:p>
        </w:tc>
      </w:tr>
      <w:tr>
        <w:trPr>
          <w:trHeight w:val="241"/>
        </w:trPr>
        <w:tc>
          <w:tcPr>
            <w:tcW w:w="522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98"/>
              </w:rPr>
              <w:t>Balance</w:t>
            </w:r>
          </w:p>
        </w:tc>
        <w:tc>
          <w:tcPr>
            <w:tcW w:w="80" w:type="dxa"/>
            <w:vAlign w:val="bottom"/>
            <w:tcBorders>
              <w:bottom w:val="single" w:sz="8" w:color="CCEEFF"/>
            </w:tcBorders>
          </w:tcPr>
          <w:p>
            <w:pPr>
              <w:spacing w:after="0"/>
              <w:rPr>
                <w:sz w:val="18"/>
                <w:szCs w:val="18"/>
                <w:color w:val="auto"/>
              </w:rPr>
            </w:pPr>
          </w:p>
        </w:tc>
      </w:tr>
      <w:tr>
        <w:trPr>
          <w:trHeight w:val="23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$ 23,078</w:t>
            </w:r>
          </w:p>
        </w:tc>
        <w:tc>
          <w:tcPr>
            <w:tcW w:w="80" w:type="dxa"/>
            <w:vAlign w:val="bottom"/>
            <w:shd w:val="clear" w:color="auto" w:fill="CCEEFF"/>
          </w:tcPr>
          <w:p>
            <w:pPr>
              <w:spacing w:after="0"/>
              <w:rPr>
                <w:sz w:val="20"/>
                <w:szCs w:val="20"/>
                <w:color w:val="auto"/>
              </w:rPr>
            </w:pPr>
          </w:p>
        </w:tc>
      </w:tr>
      <w:tr>
        <w:trPr>
          <w:trHeight w:val="203"/>
        </w:trPr>
        <w:tc>
          <w:tcPr>
            <w:tcW w:w="5220" w:type="dxa"/>
            <w:vAlign w:val="bottom"/>
            <w:tcBorders>
              <w:top w:val="single" w:sz="8" w:color="CCEEFF"/>
            </w:tcBorders>
          </w:tcPr>
          <w:p>
            <w:pPr>
              <w:ind w:left="100"/>
              <w:spacing w:after="0" w:line="203" w:lineRule="exact"/>
              <w:rPr>
                <w:sz w:val="20"/>
                <w:szCs w:val="20"/>
                <w:color w:val="auto"/>
              </w:rPr>
            </w:pPr>
            <w:r>
              <w:rPr>
                <w:rFonts w:ascii="Arial" w:cs="Arial" w:eastAsia="Arial" w:hAnsi="Arial"/>
                <w:sz w:val="18"/>
                <w:szCs w:val="18"/>
                <w:color w:val="auto"/>
              </w:rPr>
              <w:t>Short-term debt</w:t>
            </w: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6"/>
              </w:rPr>
              <w:t>$ 23,078</w:t>
            </w:r>
          </w:p>
        </w:tc>
        <w:tc>
          <w:tcPr>
            <w:tcW w:w="80" w:type="dxa"/>
            <w:vAlign w:val="bottom"/>
            <w:tcBorders>
              <w:top w:val="single" w:sz="8" w:color="CCEEFF"/>
            </w:tcBorders>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32"/>
        <w:spacing w:after="0" w:line="263"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October 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July 3,</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October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w:t>
            </w:r>
          </w:p>
        </w:tc>
      </w:tr>
      <w:tr>
        <w:trPr>
          <w:trHeight w:val="241"/>
        </w:trPr>
        <w:tc>
          <w:tcPr>
            <w:tcW w:w="5180" w:type="dxa"/>
            <w:vAlign w:val="bottom"/>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76"/>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10"/>
              <w:spacing w:after="0" w:line="202" w:lineRule="exact"/>
              <w:rPr>
                <w:sz w:val="20"/>
                <w:szCs w:val="20"/>
                <w:color w:val="auto"/>
              </w:rPr>
            </w:pPr>
            <w:r>
              <w:rPr>
                <w:rFonts w:ascii="Arial" w:cs="Arial" w:eastAsia="Arial" w:hAnsi="Arial"/>
                <w:sz w:val="18"/>
                <w:szCs w:val="18"/>
                <w:b w:val="1"/>
                <w:bCs w:val="1"/>
                <w:color w:val="auto"/>
                <w:w w:val="89"/>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820" w:type="dxa"/>
            <w:vAlign w:val="bottom"/>
          </w:tcPr>
          <w:p>
            <w:pPr>
              <w:ind w:left="240"/>
              <w:spacing w:after="0"/>
              <w:rPr>
                <w:sz w:val="20"/>
                <w:szCs w:val="20"/>
                <w:color w:val="auto"/>
              </w:rPr>
            </w:pPr>
            <w:r>
              <w:rPr>
                <w:rFonts w:ascii="Arial" w:cs="Arial" w:eastAsia="Arial" w:hAnsi="Arial"/>
                <w:sz w:val="18"/>
                <w:szCs w:val="18"/>
                <w:color w:val="auto"/>
                <w:w w:val="99"/>
              </w:rPr>
              <w:t>0.83 %</w:t>
            </w:r>
          </w:p>
        </w:tc>
        <w:tc>
          <w:tcPr>
            <w:tcW w:w="20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 (due June 2023)</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1.18 %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Public notes due: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2022</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4.88 %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April 2026</w:t>
            </w:r>
          </w:p>
        </w:tc>
        <w:tc>
          <w:tcPr>
            <w:tcW w:w="820" w:type="dxa"/>
            <w:vAlign w:val="bottom"/>
          </w:tcPr>
          <w:p>
            <w:pPr>
              <w:ind w:left="240"/>
              <w:spacing w:after="0"/>
              <w:rPr>
                <w:sz w:val="20"/>
                <w:szCs w:val="20"/>
                <w:color w:val="auto"/>
              </w:rPr>
            </w:pPr>
            <w:r>
              <w:rPr>
                <w:rFonts w:ascii="Arial" w:cs="Arial" w:eastAsia="Arial" w:hAnsi="Arial"/>
                <w:sz w:val="18"/>
                <w:szCs w:val="18"/>
                <w:color w:val="auto"/>
                <w:w w:val="99"/>
              </w:rPr>
              <w:t>4.63 %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2031</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3.00 %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9"/>
              </w:rPr>
              <w:t>1.40 %</w:t>
            </w: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1,398,883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1,201,185</w:t>
            </w:r>
          </w:p>
        </w:tc>
        <w:tc>
          <w:tcPr>
            <w:tcW w:w="60" w:type="dxa"/>
            <w:vAlign w:val="bottom"/>
            <w:shd w:val="clear" w:color="auto" w:fill="CCEEFF"/>
          </w:tcPr>
          <w:p>
            <w:pPr>
              <w:spacing w:after="0"/>
              <w:rPr>
                <w:sz w:val="18"/>
                <w:szCs w:val="18"/>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60" w:type="dxa"/>
            <w:vAlign w:val="bottom"/>
            <w:tcBorders>
              <w:bottom w:val="single" w:sz="8" w:color="CCEEFF"/>
            </w:tcBorders>
          </w:tcPr>
          <w:p>
            <w:pPr>
              <w:spacing w:after="0"/>
              <w:rPr>
                <w:sz w:val="19"/>
                <w:szCs w:val="19"/>
                <w:color w:val="auto"/>
              </w:rPr>
            </w:pPr>
          </w:p>
        </w:tc>
      </w:tr>
      <w:tr>
        <w:trPr>
          <w:trHeight w:val="216"/>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1,389,689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1,191,329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427"/>
        <w:spacing w:after="0" w:line="287" w:lineRule="auto"/>
        <w:rPr>
          <w:sz w:val="20"/>
          <w:szCs w:val="20"/>
          <w:color w:val="auto"/>
        </w:rPr>
      </w:pPr>
      <w:r>
        <w:rPr>
          <w:rFonts w:ascii="Arial" w:cs="Arial" w:eastAsia="Arial" w:hAnsi="Arial"/>
          <w:sz w:val="16"/>
          <w:szCs w:val="16"/>
          <w:color w:val="auto"/>
        </w:rPr>
        <w:t>In August 2021,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$772.1 million and $717.4 million at October 2, 2021, and July 3, 2021, respectively. The Securitization Program contains certain covenants relating to the quality of the receivables sold. Interest on borrowings is calculated using a one-month LIBOR rate plus a spread of 0.75%. The facility fee on the unused balance of the facility is up to 0.35%.</w:t>
      </w:r>
    </w:p>
    <w:p>
      <w:pPr>
        <w:spacing w:after="0" w:line="172" w:lineRule="exact"/>
        <w:rPr>
          <w:sz w:val="20"/>
          <w:szCs w:val="20"/>
          <w:color w:val="auto"/>
        </w:rPr>
      </w:pPr>
    </w:p>
    <w:p>
      <w:pPr>
        <w:ind w:left="60" w:right="139" w:firstLine="432"/>
        <w:spacing w:after="0" w:line="290" w:lineRule="auto"/>
        <w:rPr>
          <w:sz w:val="20"/>
          <w:szCs w:val="20"/>
          <w:color w:val="auto"/>
        </w:rPr>
      </w:pPr>
      <w:r>
        <w:rPr>
          <w:rFonts w:ascii="Arial" w:cs="Arial" w:eastAsia="Arial" w:hAnsi="Arial"/>
          <w:sz w:val="16"/>
          <w:szCs w:val="16"/>
          <w:color w:val="auto"/>
        </w:rPr>
        <w:t>The Company has a five-year $1.25 billion revolving credit facility (the “Credit Facility”) with a syndicate of banks, which expires in June 2023. It consists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October 2, 2021, and July 3, 2021.</w:t>
      </w:r>
    </w:p>
    <w:p>
      <w:pPr>
        <w:spacing w:after="0" w:line="165" w:lineRule="exact"/>
        <w:rPr>
          <w:sz w:val="20"/>
          <w:szCs w:val="20"/>
          <w:color w:val="auto"/>
        </w:rPr>
      </w:pPr>
    </w:p>
    <w:p>
      <w:pPr>
        <w:ind w:left="60" w:right="339" w:firstLine="432"/>
        <w:spacing w:after="0" w:line="277" w:lineRule="auto"/>
        <w:rPr>
          <w:sz w:val="20"/>
          <w:szCs w:val="20"/>
          <w:color w:val="auto"/>
        </w:rPr>
      </w:pPr>
      <w:r>
        <w:rPr>
          <w:rFonts w:ascii="Arial" w:cs="Arial" w:eastAsia="Arial" w:hAnsi="Arial"/>
          <w:sz w:val="18"/>
          <w:szCs w:val="18"/>
          <w:color w:val="auto"/>
        </w:rPr>
        <w:t>As of October 2, 2021, and July 3, 2021, there were $1.2 million and $1.3 million, respectively, in letters of credit issued under the Credit Facility.</w:t>
      </w:r>
    </w:p>
    <w:p>
      <w:pPr>
        <w:spacing w:after="0" w:line="170" w:lineRule="exact"/>
        <w:rPr>
          <w:sz w:val="20"/>
          <w:szCs w:val="20"/>
          <w:color w:val="auto"/>
        </w:rPr>
      </w:pPr>
    </w:p>
    <w:p>
      <w:pPr>
        <w:ind w:left="60" w:right="199" w:firstLine="427"/>
        <w:spacing w:after="0" w:line="257" w:lineRule="auto"/>
        <w:rPr>
          <w:sz w:val="20"/>
          <w:szCs w:val="20"/>
          <w:color w:val="auto"/>
        </w:rPr>
      </w:pPr>
      <w:r>
        <w:rPr>
          <w:rFonts w:ascii="Arial" w:cs="Arial" w:eastAsia="Arial" w:hAnsi="Arial"/>
          <w:sz w:val="18"/>
          <w:szCs w:val="18"/>
          <w:color w:val="auto"/>
        </w:rPr>
        <w:t>As of October 2, 2021, the carrying value and fair value of the Company’s total debt was $1.39 billion and $1.47 billion, respectively. At July 3, 2021, the carrying value and fair value of the Company’s total debt was $1.21 billion and $1.30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60" w:right="11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17 years. The Company’s equipment leases are primarily for automobiles and equipment and are not material to the consolidated financial statements.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October 2,</w:t>
            </w:r>
          </w:p>
        </w:tc>
        <w:tc>
          <w:tcPr>
            <w:tcW w:w="180" w:type="dxa"/>
            <w:vAlign w:val="bottom"/>
          </w:tcPr>
          <w:p>
            <w:pPr>
              <w:spacing w:after="0"/>
              <w:rPr>
                <w:sz w:val="17"/>
                <w:szCs w:val="17"/>
                <w:color w:val="auto"/>
              </w:rPr>
            </w:pPr>
          </w:p>
        </w:tc>
        <w:tc>
          <w:tcPr>
            <w:tcW w:w="11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6"/>
              </w:rPr>
              <w:t>October 3,</w:t>
            </w:r>
          </w:p>
        </w:tc>
      </w:tr>
      <w:tr>
        <w:trPr>
          <w:trHeight w:val="241"/>
        </w:trPr>
        <w:tc>
          <w:tcPr>
            <w:tcW w:w="6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r>
      <w:tr>
        <w:trPr>
          <w:trHeight w:val="216"/>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October 2, 2021, are as follows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2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133,533</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345,837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ind w:left="20"/>
              <w:spacing w:after="0"/>
              <w:rPr>
                <w:sz w:val="20"/>
                <w:szCs w:val="20"/>
                <w:color w:val="auto"/>
              </w:rPr>
            </w:pPr>
            <w:r>
              <w:rPr>
                <w:rFonts w:ascii="Arial" w:cs="Arial" w:eastAsia="Arial" w:hAnsi="Arial"/>
                <w:sz w:val="18"/>
                <w:szCs w:val="18"/>
                <w:color w:val="auto"/>
                <w:w w:val="99"/>
              </w:rPr>
              <w:t>Total imputed interest on operating lease liabilities</w:t>
            </w:r>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287,606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gridSpan w:val="5"/>
            <w:vMerge w:val="restart"/>
          </w:tcPr>
          <w:p>
            <w:pPr>
              <w:ind w:left="42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04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First Quarters Ended</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6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October 2,</w:t>
            </w:r>
          </w:p>
        </w:tc>
        <w:tc>
          <w:tcPr>
            <w:tcW w:w="18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rPr>
              <w:t>October 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Operating Lease Term and Discount Rate</w:t>
            </w:r>
          </w:p>
        </w:tc>
        <w:tc>
          <w:tcPr>
            <w:tcW w:w="1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Weighted-average remaining lease term in years</w:t>
            </w:r>
          </w:p>
        </w:tc>
        <w:tc>
          <w:tcPr>
            <w:tcW w:w="29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Weighted-average discount rate</w:t>
            </w:r>
          </w:p>
        </w:tc>
        <w:tc>
          <w:tcPr>
            <w:tcW w:w="2900" w:type="dxa"/>
            <w:vAlign w:val="bottom"/>
            <w:gridSpan w:val="2"/>
          </w:tcPr>
          <w:p>
            <w:pPr>
              <w:ind w:left="238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color w:val="auto"/>
              </w:rPr>
              <w:t>11</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October 2,</w:t>
            </w:r>
          </w:p>
        </w:tc>
        <w:tc>
          <w:tcPr>
            <w:tcW w:w="180" w:type="dxa"/>
            <w:vAlign w:val="bottom"/>
          </w:tcPr>
          <w:p>
            <w:pPr>
              <w:spacing w:after="0"/>
              <w:rPr>
                <w:sz w:val="17"/>
                <w:szCs w:val="17"/>
                <w:color w:val="auto"/>
              </w:rPr>
            </w:pPr>
          </w:p>
        </w:tc>
        <w:tc>
          <w:tcPr>
            <w:tcW w:w="11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6"/>
              </w:rPr>
              <w:t>October 3,</w:t>
            </w:r>
          </w:p>
        </w:tc>
      </w:tr>
      <w:tr>
        <w:trPr>
          <w:trHeight w:val="241"/>
        </w:trPr>
        <w:tc>
          <w:tcPr>
            <w:tcW w:w="6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14,710</w:t>
            </w: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21,718</w:t>
            </w: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ind w:left="60" w:right="179"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Arial" w:cs="Arial" w:eastAsia="Arial" w:hAnsi="Arial"/>
          <w:sz w:val="16"/>
          <w:szCs w:val="16"/>
          <w:i w:val="1"/>
          <w:iCs w:val="1"/>
          <w:color w:val="auto"/>
        </w:rPr>
        <w:t>i.e.</w:t>
      </w:r>
      <w:r>
        <w:rPr>
          <w:rFonts w:ascii="Arial" w:cs="Arial" w:eastAsia="Arial" w:hAnsi="Arial"/>
          <w:sz w:val="16"/>
          <w:szCs w:val="16"/>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October 2, 2021, and July 3, 2021.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4" w:lineRule="exact"/>
        <w:rPr>
          <w:sz w:val="20"/>
          <w:szCs w:val="20"/>
          <w:color w:val="auto"/>
        </w:rPr>
      </w:pPr>
    </w:p>
    <w:p>
      <w:pPr>
        <w:ind w:left="60" w:right="179" w:firstLine="427"/>
        <w:spacing w:after="0" w:line="263"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84" w:lineRule="exact"/>
        <w:rPr>
          <w:sz w:val="20"/>
          <w:szCs w:val="20"/>
          <w:color w:val="auto"/>
        </w:rPr>
      </w:pPr>
    </w:p>
    <w:p>
      <w:pPr>
        <w:ind w:left="60" w:right="79" w:firstLine="427"/>
        <w:spacing w:after="0" w:line="27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76"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w:t>
            </w:r>
          </w:p>
        </w:tc>
        <w:tc>
          <w:tcPr>
            <w:tcW w:w="2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3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33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4"/>
          </w:tcPr>
          <w:p>
            <w:pPr>
              <w:jc w:val="right"/>
              <w:ind w:right="77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23,994</w:t>
            </w:r>
          </w:p>
        </w:tc>
        <w:tc>
          <w:tcPr>
            <w:tcW w:w="20" w:type="dxa"/>
            <w:vAlign w:val="bottom"/>
          </w:tcPr>
          <w:p>
            <w:pPr>
              <w:spacing w:after="0"/>
              <w:rPr>
                <w:sz w:val="20"/>
                <w:szCs w:val="20"/>
                <w:color w:val="auto"/>
              </w:rPr>
            </w:pPr>
          </w:p>
        </w:tc>
      </w:tr>
      <w:tr>
        <w:trPr>
          <w:trHeight w:val="850"/>
        </w:trPr>
        <w:tc>
          <w:tcPr>
            <w:tcW w:w="3340" w:type="dxa"/>
            <w:vAlign w:val="bottom"/>
          </w:tcPr>
          <w:p>
            <w:pPr>
              <w:spacing w:after="0"/>
              <w:rPr>
                <w:sz w:val="24"/>
                <w:szCs w:val="24"/>
                <w:color w:val="auto"/>
              </w:rPr>
            </w:pPr>
          </w:p>
        </w:tc>
        <w:tc>
          <w:tcPr>
            <w:tcW w:w="2940" w:type="dxa"/>
            <w:vAlign w:val="bottom"/>
          </w:tcPr>
          <w:p>
            <w:pPr>
              <w:jc w:val="right"/>
              <w:ind w:right="16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199" w:firstLine="427"/>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6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9"/>
              </w:rPr>
              <w:t>October 2,</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9"/>
              </w:rPr>
              <w:t>October 3,</w:t>
            </w:r>
          </w:p>
        </w:tc>
        <w:tc>
          <w:tcPr>
            <w:tcW w:w="60" w:type="dxa"/>
            <w:vAlign w:val="bottom"/>
          </w:tcPr>
          <w:p>
            <w:pPr>
              <w:spacing w:after="0"/>
              <w:rPr>
                <w:sz w:val="17"/>
                <w:szCs w:val="17"/>
                <w:color w:val="auto"/>
              </w:rPr>
            </w:pPr>
          </w:p>
        </w:tc>
      </w:tr>
      <w:tr>
        <w:trPr>
          <w:trHeight w:val="241"/>
        </w:trPr>
        <w:tc>
          <w:tcPr>
            <w:tcW w:w="6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03"/>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center"/>
              <w:ind w:right="70"/>
              <w:spacing w:after="0" w:line="202" w:lineRule="exact"/>
              <w:rPr>
                <w:sz w:val="20"/>
                <w:szCs w:val="20"/>
                <w:color w:val="auto"/>
              </w:rPr>
            </w:pPr>
            <w:r>
              <w:rPr>
                <w:rFonts w:ascii="Arial" w:cs="Arial" w:eastAsia="Arial" w:hAnsi="Arial"/>
                <w:sz w:val="18"/>
                <w:szCs w:val="18"/>
                <w:b w:val="1"/>
                <w:bCs w:val="1"/>
                <w:color w:val="auto"/>
                <w:w w:val="88"/>
              </w:rPr>
              <w:t>(Thousands)</w:t>
            </w:r>
          </w:p>
        </w:tc>
        <w:tc>
          <w:tcPr>
            <w:tcW w:w="60" w:type="dxa"/>
            <w:vAlign w:val="bottom"/>
          </w:tcPr>
          <w:p>
            <w:pPr>
              <w:spacing w:after="0"/>
              <w:rPr>
                <w:sz w:val="17"/>
                <w:szCs w:val="17"/>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(7,816)</w:t>
            </w:r>
          </w:p>
        </w:tc>
      </w:tr>
    </w:tbl>
    <w:p>
      <w:pPr>
        <w:spacing w:after="0" w:line="202" w:lineRule="exact"/>
        <w:rPr>
          <w:sz w:val="20"/>
          <w:szCs w:val="20"/>
          <w:color w:val="auto"/>
        </w:rPr>
      </w:pPr>
    </w:p>
    <w:p>
      <w:pPr>
        <w:ind w:left="60" w:right="339" w:firstLine="427"/>
        <w:spacing w:after="0" w:line="263"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ind w:left="60" w:right="79"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92" w:lineRule="exact"/>
        <w:rPr>
          <w:sz w:val="20"/>
          <w:szCs w:val="20"/>
          <w:color w:val="auto"/>
        </w:rPr>
      </w:pPr>
    </w:p>
    <w:p>
      <w:pPr>
        <w:ind w:left="60" w:right="179" w:firstLine="427"/>
        <w:spacing w:after="0" w:line="342" w:lineRule="auto"/>
        <w:rPr>
          <w:sz w:val="20"/>
          <w:szCs w:val="20"/>
          <w:color w:val="auto"/>
        </w:rPr>
      </w:pPr>
      <w:r>
        <w:rPr>
          <w:rFonts w:ascii="Arial" w:cs="Arial" w:eastAsia="Arial" w:hAnsi="Arial"/>
          <w:sz w:val="16"/>
          <w:szCs w:val="16"/>
          <w:color w:val="auto"/>
        </w:rPr>
        <w:t>As of October 2, 2021, and July 3, 2021, the Company had aggregate estimated liabilities of $14.7 million classified within accrued expenses and other for such compliance-related matters that were reasonably estimable as of such dates.</w:t>
      </w:r>
    </w:p>
    <w:p>
      <w:pPr>
        <w:spacing w:after="0" w:line="124" w:lineRule="exact"/>
        <w:rPr>
          <w:sz w:val="20"/>
          <w:szCs w:val="20"/>
          <w:color w:val="auto"/>
        </w:rPr>
      </w:pPr>
    </w:p>
    <w:p>
      <w:pPr>
        <w:ind w:left="60" w:right="419" w:firstLine="427"/>
        <w:spacing w:after="0" w:line="277" w:lineRule="auto"/>
        <w:rPr>
          <w:sz w:val="20"/>
          <w:szCs w:val="20"/>
          <w:color w:val="auto"/>
        </w:rPr>
      </w:pPr>
      <w:r>
        <w:rPr>
          <w:rFonts w:ascii="Arial" w:cs="Arial" w:eastAsia="Arial" w:hAnsi="Arial"/>
          <w:sz w:val="18"/>
          <w:szCs w:val="18"/>
          <w:color w:val="auto"/>
        </w:rPr>
        <w:t>During the first quarter of fiscal 2021, the Company recorded a gain on legal settlement of $8.2 million, which is classified as a component of Restructuring, integration and other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60" w:right="139" w:firstLine="427"/>
        <w:spacing w:after="0" w:line="263" w:lineRule="auto"/>
        <w:rPr>
          <w:sz w:val="20"/>
          <w:szCs w:val="20"/>
          <w:color w:val="auto"/>
        </w:rPr>
      </w:pPr>
      <w:r>
        <w:rPr>
          <w:rFonts w:ascii="Arial" w:cs="Arial" w:eastAsia="Arial" w:hAnsi="Arial"/>
          <w:sz w:val="18"/>
          <w:szCs w:val="18"/>
          <w:color w:val="auto"/>
        </w:rPr>
        <w:t>The Company’s effective tax rate on its income before taxes was 23.2% in the first quarter of fiscal 2022. During the first quarter of fiscal 2022, the Company’s effective tax rate was unfavorably impacted primarily by increases to valuation allowances.</w:t>
      </w:r>
    </w:p>
    <w:p>
      <w:pPr>
        <w:spacing w:after="0" w:line="184" w:lineRule="exact"/>
        <w:rPr>
          <w:sz w:val="20"/>
          <w:szCs w:val="20"/>
          <w:color w:val="auto"/>
        </w:rPr>
      </w:pPr>
    </w:p>
    <w:p>
      <w:pPr>
        <w:ind w:left="60" w:right="159" w:firstLine="427"/>
        <w:spacing w:after="0" w:line="259" w:lineRule="auto"/>
        <w:rPr>
          <w:sz w:val="20"/>
          <w:szCs w:val="20"/>
          <w:color w:val="auto"/>
        </w:rPr>
      </w:pPr>
      <w:r>
        <w:rPr>
          <w:rFonts w:ascii="Arial" w:cs="Arial" w:eastAsia="Arial" w:hAnsi="Arial"/>
          <w:sz w:val="18"/>
          <w:szCs w:val="18"/>
          <w:color w:val="auto"/>
        </w:rPr>
        <w:t>During the first quarter of fiscal 2021, the Company’s effective tax rate on its loss before taxes was a benefit of 18.9%. During the first quarter of fiscal 2021, the Company’s effective tax rate was unfavorably impacted primarily by increases to valuation allowances, partially offset by (i) the release of unrecognized tax benefit reserves and (ii) the mix of income in lower tax jurisdictions.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5"/>
          </w:tcPr>
          <w:p>
            <w:pPr>
              <w:ind w:left="80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ind w:right="780"/>
              <w:spacing w:after="0" w:line="198" w:lineRule="exact"/>
              <w:rPr>
                <w:sz w:val="20"/>
                <w:szCs w:val="20"/>
                <w:color w:val="auto"/>
              </w:rPr>
            </w:pPr>
            <w:r>
              <w:rPr>
                <w:rFonts w:ascii="Arial" w:cs="Arial" w:eastAsia="Arial" w:hAnsi="Arial"/>
                <w:sz w:val="18"/>
                <w:szCs w:val="18"/>
                <w:b w:val="1"/>
                <w:bCs w:val="1"/>
                <w:color w:val="auto"/>
              </w:rPr>
              <w:t>October 2,</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w w:val="96"/>
              </w:rPr>
              <w:t>October 3,</w:t>
            </w:r>
          </w:p>
        </w:tc>
        <w:tc>
          <w:tcPr>
            <w:tcW w:w="20" w:type="dxa"/>
            <w:vAlign w:val="bottom"/>
          </w:tcPr>
          <w:p>
            <w:pPr>
              <w:spacing w:after="0"/>
              <w:rPr>
                <w:sz w:val="17"/>
                <w:szCs w:val="17"/>
                <w:color w:val="auto"/>
              </w:rPr>
            </w:pPr>
          </w:p>
        </w:tc>
      </w:tr>
      <w:tr>
        <w:trPr>
          <w:trHeight w:val="241"/>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0"/>
                <w:szCs w:val="20"/>
                <w:color w:val="auto"/>
              </w:rPr>
            </w:pPr>
          </w:p>
        </w:tc>
      </w:tr>
      <w:tr>
        <w:trPr>
          <w:trHeight w:val="175"/>
        </w:trPr>
        <w:tc>
          <w:tcPr>
            <w:tcW w:w="5120" w:type="dxa"/>
            <w:vAlign w:val="bottom"/>
          </w:tcPr>
          <w:p>
            <w:pPr>
              <w:ind w:left="100"/>
              <w:spacing w:after="0" w:line="176" w:lineRule="exact"/>
              <w:rPr>
                <w:sz w:val="20"/>
                <w:szCs w:val="20"/>
                <w:color w:val="auto"/>
              </w:rPr>
            </w:pPr>
            <w:r>
              <w:rPr>
                <w:rFonts w:ascii="Arial" w:cs="Arial" w:eastAsia="Arial" w:hAnsi="Arial"/>
                <w:sz w:val="18"/>
                <w:szCs w:val="18"/>
                <w:color w:val="auto"/>
              </w:rPr>
              <w:t>Total net periodic pension cost within selling, general and</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120" w:type="dxa"/>
            <w:vAlign w:val="bottom"/>
          </w:tcPr>
          <w:p>
            <w:pPr>
              <w:ind w:left="10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3,752</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(12,284)</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3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20" w:type="dxa"/>
            <w:vAlign w:val="bottom"/>
          </w:tcPr>
          <w:p>
            <w:pPr>
              <w:spacing w:after="0"/>
              <w:rPr>
                <w:sz w:val="20"/>
                <w:szCs w:val="20"/>
                <w:color w:val="auto"/>
              </w:rPr>
            </w:pPr>
          </w:p>
        </w:tc>
      </w:tr>
      <w:tr>
        <w:trPr>
          <w:trHeight w:val="203"/>
        </w:trPr>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Total net periodic pension benefit within other expense, net</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(4,250)</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(3,218)</w:t>
            </w:r>
          </w:p>
        </w:tc>
        <w:tc>
          <w:tcPr>
            <w:tcW w:w="20" w:type="dxa"/>
            <w:vAlign w:val="bottom"/>
          </w:tcPr>
          <w:p>
            <w:pPr>
              <w:spacing w:after="0"/>
              <w:rPr>
                <w:sz w:val="17"/>
                <w:szCs w:val="17"/>
                <w:color w:val="auto"/>
              </w:rPr>
            </w:pPr>
          </w:p>
        </w:tc>
      </w:tr>
      <w:tr>
        <w:trPr>
          <w:trHeight w:val="236"/>
        </w:trPr>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 cost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340" w:type="dxa"/>
            <w:vAlign w:val="bottom"/>
          </w:tcPr>
          <w:p>
            <w:pPr>
              <w:spacing w:after="0"/>
              <w:rPr>
                <w:sz w:val="17"/>
                <w:szCs w:val="17"/>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59" w:firstLine="427"/>
        <w:spacing w:after="0" w:line="308" w:lineRule="auto"/>
        <w:rPr>
          <w:sz w:val="20"/>
          <w:szCs w:val="20"/>
          <w:color w:val="auto"/>
        </w:rPr>
      </w:pPr>
      <w:r>
        <w:rPr>
          <w:rFonts w:ascii="Arial" w:cs="Arial" w:eastAsia="Arial" w:hAnsi="Arial"/>
          <w:sz w:val="17"/>
          <w:szCs w:val="17"/>
          <w:color w:val="auto"/>
        </w:rPr>
        <w:t>The Company made $8.0 million of contributions during the first quarter of fiscal 2022 and expects to make additional contributions to the Plan of up to $8.0 million in the remainder of fiscal 2022.</w:t>
      </w:r>
    </w:p>
    <w:p>
      <w:pPr>
        <w:spacing w:after="0" w:line="142" w:lineRule="exact"/>
        <w:rPr>
          <w:sz w:val="20"/>
          <w:szCs w:val="20"/>
          <w:color w:val="auto"/>
        </w:rPr>
      </w:pPr>
    </w:p>
    <w:p>
      <w:pPr>
        <w:ind w:left="480" w:right="6619" w:hanging="430"/>
        <w:spacing w:after="0" w:line="566" w:lineRule="auto"/>
        <w:tabs>
          <w:tab w:leader="none" w:pos="32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ind w:left="60" w:right="159" w:firstLine="427"/>
        <w:spacing w:after="0" w:line="272"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first quarter ended October 2, 2021, the Company repurchased 0.3 million shares under this program for a total cost of $10.5 million. As of October 2, 2021, the Company had $458.5 million remaining under its share repurchase authorization.</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60" w:right="339" w:firstLine="432"/>
        <w:spacing w:after="0" w:line="277" w:lineRule="auto"/>
        <w:rPr>
          <w:sz w:val="20"/>
          <w:szCs w:val="20"/>
          <w:color w:val="auto"/>
        </w:rPr>
      </w:pPr>
      <w:r>
        <w:rPr>
          <w:rFonts w:ascii="Arial" w:cs="Arial" w:eastAsia="Arial" w:hAnsi="Arial"/>
          <w:sz w:val="18"/>
          <w:szCs w:val="18"/>
          <w:color w:val="auto"/>
        </w:rPr>
        <w:t>In August 2021, the Company’s Board of Directors approved a dividend of $0.24 per common share and dividend payments of $23.9 million were made in September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60"/>
              <w:spacing w:after="0"/>
              <w:rPr>
                <w:sz w:val="20"/>
                <w:szCs w:val="20"/>
                <w:color w:val="auto"/>
              </w:rPr>
            </w:pPr>
            <w:r>
              <w:rPr>
                <w:rFonts w:ascii="Arial" w:cs="Arial" w:eastAsia="Arial" w:hAnsi="Arial"/>
                <w:sz w:val="18"/>
                <w:szCs w:val="18"/>
                <w:b w:val="1"/>
                <w:bCs w:val="1"/>
                <w:color w:val="auto"/>
              </w:rPr>
              <w:t>11. Earnings per share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36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6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October 2,</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October 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14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w w:val="82"/>
              </w:rPr>
              <w:t>(Thousands, except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6"/>
              </w:rPr>
              <w:t>per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111,318</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for basic earnings per share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dilutive stock-based compensation awards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for diluted earnings per share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(loss) per share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Arial" w:cs="Arial" w:eastAsia="Arial" w:hAnsi="Arial"/>
                <w:sz w:val="18"/>
                <w:szCs w:val="18"/>
                <w:color w:val="auto"/>
                <w:w w:val="92"/>
              </w:rPr>
              <w:t>Stock options excluded from earnings per share calculation due to anti-dilutive effect</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For the first quarter of fiscal 2021, the diluted net loss per share is the same as basic net loss per share as the effect of all potential common shares would be anti-dilutive.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4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October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October 3,</w:t>
            </w:r>
          </w:p>
        </w:tc>
      </w:tr>
      <w:tr>
        <w:trPr>
          <w:trHeight w:val="241"/>
        </w:trPr>
        <w:tc>
          <w:tcPr>
            <w:tcW w:w="4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3"/>
        </w:trPr>
        <w:tc>
          <w:tcPr>
            <w:tcW w:w="4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12,538</w:t>
            </w: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w:t>
            </w:r>
          </w:p>
        </w:tc>
      </w:tr>
    </w:tbl>
    <w:p>
      <w:pPr>
        <w:spacing w:after="0" w:line="202"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Included in cash and cash equivalents as of October 2, 2021, and July 3, 2021, was $3.4 million and $3.8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6"/>
          <w:szCs w:val="16"/>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October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4"/>
              </w:rPr>
              <w:t>October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750"/>
              <w:spacing w:after="0" w:line="202" w:lineRule="exact"/>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Electronic Components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5,129,497</w:t>
            </w:r>
          </w:p>
        </w:tc>
        <w:tc>
          <w:tcPr>
            <w:tcW w:w="20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4,382,148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455,198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5,584,695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Electronic Components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162,462</w:t>
            </w:r>
          </w:p>
        </w:tc>
        <w:tc>
          <w:tcPr>
            <w:tcW w:w="20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49,593</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212,055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43"/>
        </w:trPr>
        <w:tc>
          <w:tcPr>
            <w:tcW w:w="502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168,243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Sales, by geographic area:</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1,258,811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1,747,579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1,480,674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(3)</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2,578,305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2,036,690</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1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5,584,695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4,723,059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ind w:left="380" w:right="339" w:hanging="330"/>
        <w:spacing w:after="0" w:line="207"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$1.16 billion and $1.13 billion for the first quarters ended October 2, 2021, and October 3, 2020, respectively.</w:t>
      </w:r>
    </w:p>
    <w:p>
      <w:pPr>
        <w:spacing w:after="0" w:line="201" w:lineRule="exact"/>
        <w:rPr>
          <w:rFonts w:ascii="Arial" w:cs="Arial" w:eastAsia="Arial" w:hAnsi="Arial"/>
          <w:sz w:val="27"/>
          <w:szCs w:val="27"/>
          <w:color w:val="auto"/>
          <w:vertAlign w:val="superscript"/>
        </w:rPr>
      </w:pPr>
    </w:p>
    <w:p>
      <w:pPr>
        <w:ind w:left="380" w:right="139" w:hanging="330"/>
        <w:spacing w:after="0" w:line="219"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sales from Germany and Belgium of $697.1 million and $307.6 million, respectively, for the first quarter ended October 2, 2021. Includes sales from Germany and Belgium of $574.8 million and $294.4 million, respectively, for the first quarter ended October 3, 2020.</w:t>
      </w:r>
    </w:p>
    <w:p>
      <w:pPr>
        <w:spacing w:after="0" w:line="202" w:lineRule="exact"/>
        <w:rPr>
          <w:rFonts w:ascii="Arial" w:cs="Arial" w:eastAsia="Arial" w:hAnsi="Arial"/>
          <w:sz w:val="27"/>
          <w:szCs w:val="27"/>
          <w:color w:val="auto"/>
          <w:vertAlign w:val="superscript"/>
        </w:rPr>
      </w:pPr>
    </w:p>
    <w:p>
      <w:pPr>
        <w:ind w:left="380" w:right="179" w:hanging="330"/>
        <w:spacing w:after="0" w:line="226"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$826.8 million, $1.20 billion and $264.0 million, respectively, for the first quarter ended October 2, 2021. Includes sales from China (including Hong Kong), Taiwan and Singapore of $631.8 million, $916.3 million and $272.0 million, respectively, for the first quarter ended October 3,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tbl>
      <w:tblPr>
        <w:tblLayout w:type="fixed"/>
        <w:tblInd w:w="100" w:type="dxa"/>
        <w:tblCellMar>
          <w:top w:w="0" w:type="dxa"/>
          <w:left w:w="0" w:type="dxa"/>
          <w:bottom w:w="0" w:type="dxa"/>
          <w:right w:w="0" w:type="dxa"/>
        </w:tblCellMar>
      </w:tblPr>
      <w:tr>
        <w:trPr>
          <w:trHeight w:val="207"/>
        </w:trPr>
        <w:tc>
          <w:tcPr>
            <w:tcW w:w="6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17"/>
        </w:trPr>
        <w:tc>
          <w:tcPr>
            <w:tcW w:w="1260" w:type="dxa"/>
            <w:vAlign w:val="bottom"/>
            <w:tcBorders>
              <w:top w:val="single" w:sz="8" w:color="0000EE"/>
            </w:tcBorders>
          </w:tcPr>
          <w:p>
            <w:pPr>
              <w:spacing w:after="0"/>
              <w:rPr>
                <w:sz w:val="24"/>
                <w:szCs w:val="24"/>
                <w:color w:val="auto"/>
              </w:rPr>
            </w:pPr>
          </w:p>
        </w:tc>
        <w:tc>
          <w:tcPr>
            <w:tcW w:w="4920" w:type="dxa"/>
            <w:vAlign w:val="bottom"/>
          </w:tcPr>
          <w:p>
            <w:pPr>
              <w:ind w:left="1780"/>
              <w:spacing w:after="0"/>
              <w:rPr>
                <w:sz w:val="20"/>
                <w:szCs w:val="20"/>
                <w:color w:val="auto"/>
              </w:rPr>
            </w:pPr>
            <w:r>
              <w:rPr>
                <w:rFonts w:ascii="Arial" w:cs="Arial" w:eastAsia="Arial" w:hAnsi="Arial"/>
                <w:sz w:val="18"/>
                <w:szCs w:val="18"/>
                <w:b w:val="1"/>
                <w:bCs w:val="1"/>
                <w:color w:val="auto"/>
              </w:rPr>
              <w:t>AVNET, INC. AND SUBSIDIARIES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6380" w:type="dxa"/>
            <w:vAlign w:val="bottom"/>
            <w:gridSpan w:val="4"/>
          </w:tcPr>
          <w:p>
            <w:pPr>
              <w:jc w:val="right"/>
              <w:ind w:right="211"/>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1"/>
        </w:trPr>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w w:val="89"/>
              </w:rPr>
              <w:t>October 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12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r>
      <w:tr>
        <w:trPr>
          <w:trHeight w:val="203"/>
        </w:trPr>
        <w:tc>
          <w:tcPr>
            <w:tcW w:w="12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80"/>
              <w:spacing w:after="0"/>
              <w:rPr>
                <w:sz w:val="20"/>
                <w:szCs w:val="20"/>
                <w:color w:val="auto"/>
              </w:rPr>
            </w:pPr>
            <w:r>
              <w:rPr>
                <w:rFonts w:ascii="Arial" w:cs="Arial" w:eastAsia="Arial" w:hAnsi="Arial"/>
                <w:sz w:val="17"/>
                <w:szCs w:val="17"/>
                <w:b w:val="1"/>
                <w:bCs w:val="1"/>
                <w:color w:val="auto"/>
                <w:w w:val="72"/>
              </w:rPr>
              <w:t>(Thousands)</w:t>
            </w:r>
          </w:p>
        </w:tc>
        <w:tc>
          <w:tcPr>
            <w:tcW w:w="8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138,380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146,042</w:t>
            </w:r>
          </w:p>
        </w:tc>
        <w:tc>
          <w:tcPr>
            <w:tcW w:w="18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185,753</w:t>
            </w:r>
          </w:p>
        </w:tc>
        <w:tc>
          <w:tcPr>
            <w:tcW w:w="18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34,606</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36,657</w:t>
            </w:r>
          </w:p>
        </w:tc>
        <w:tc>
          <w:tcPr>
            <w:tcW w:w="180" w:type="dxa"/>
            <w:vAlign w:val="bottom"/>
            <w:tcBorders>
              <w:bottom w:val="single" w:sz="8" w:color="CCEEFF"/>
            </w:tcBorders>
          </w:tcPr>
          <w:p>
            <w:pPr>
              <w:spacing w:after="0"/>
              <w:rPr>
                <w:sz w:val="19"/>
                <w:szCs w:val="19"/>
                <w:color w:val="auto"/>
              </w:rPr>
            </w:pPr>
          </w:p>
        </w:tc>
      </w:tr>
      <w:tr>
        <w:trPr>
          <w:trHeight w:val="216"/>
        </w:trPr>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351,873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368,452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ind w:left="420" w:right="320" w:hanging="330"/>
        <w:spacing w:after="0" w:line="207" w:lineRule="auto"/>
        <w:tabs>
          <w:tab w:leader="none" w:pos="42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$135.0 million and $142.7 million as of October 2, 2021, and July 3, 2021, respectively, in the United States.</w:t>
      </w:r>
    </w:p>
    <w:p>
      <w:pPr>
        <w:spacing w:after="0" w:line="201" w:lineRule="exact"/>
        <w:rPr>
          <w:rFonts w:ascii="Arial" w:cs="Arial" w:eastAsia="Arial" w:hAnsi="Arial"/>
          <w:sz w:val="27"/>
          <w:szCs w:val="27"/>
          <w:color w:val="auto"/>
          <w:vertAlign w:val="superscript"/>
        </w:rPr>
      </w:pPr>
    </w:p>
    <w:p>
      <w:pPr>
        <w:ind w:left="420" w:right="180" w:hanging="330"/>
        <w:spacing w:after="0" w:line="219" w:lineRule="auto"/>
        <w:tabs>
          <w:tab w:leader="none" w:pos="42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$74.1 million, $81.0 million and $19.9 million in Germany, the United Kingdom and Belgium, respectively, as of October 2, 2021; and $77.9 million, $83.5 million and $20.9 million in Germany, the United Kingdom and Belgium, respectively, as of July 3, 2021.</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Fiscal 2021 and prior</w:t>
      </w:r>
    </w:p>
    <w:p>
      <w:pPr>
        <w:spacing w:after="0" w:line="225" w:lineRule="exact"/>
        <w:rPr>
          <w:sz w:val="20"/>
          <w:szCs w:val="20"/>
          <w:color w:val="auto"/>
        </w:rPr>
      </w:pPr>
    </w:p>
    <w:p>
      <w:pPr>
        <w:ind w:left="100" w:right="180" w:firstLine="432"/>
        <w:spacing w:after="0" w:line="259" w:lineRule="auto"/>
        <w:rPr>
          <w:sz w:val="20"/>
          <w:szCs w:val="20"/>
          <w:color w:val="auto"/>
        </w:rPr>
      </w:pPr>
      <w:r>
        <w:rPr>
          <w:rFonts w:ascii="Arial" w:cs="Arial" w:eastAsia="Arial" w:hAnsi="Arial"/>
          <w:sz w:val="18"/>
          <w:szCs w:val="18"/>
          <w:color w:val="auto"/>
        </w:rPr>
        <w:t>During fiscal 2021 and prior, the Company incurred restructuring expenses related to various restructuring actions intended to achieve planned synergies from acquired businesses and to reduce future operating expenses. The following table presents the activity during the first quarter of fiscal 2022 related to the remaining restructuring liabilities established during fiscal 2021 and prior: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Exit Costs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4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(11,892)</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(1,319)</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(13,211)</w:t>
            </w:r>
          </w:p>
        </w:tc>
      </w:tr>
      <w:tr>
        <w:trPr>
          <w:trHeight w:val="216"/>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3"/>
        </w:trPr>
        <w:tc>
          <w:tcPr>
            <w:tcW w:w="4360" w:type="dxa"/>
            <w:vAlign w:val="bottom"/>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 2021</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26,021</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the majority of the remaining amounts to be paid by the end of fiscal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27" w:right="1419"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3, 2021, could affect the Company’s future results of operations, and could cause those results or other outcomes to differ materially from those expressed or implied in the forward-looking statements: the scope and duration of the COVID-19 pandemic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natural and weather-related disasters, pandemics and health related crisis, or warehouse modernization and relocation efforts; risks related to cyber-attacks, other privacy and security incidents and information systems failures, including related to current or future implementations, integrations or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geopolitical events; and legislative or regulatory changes affecting the Company’s businesses.</w:t>
      </w:r>
    </w:p>
    <w:p>
      <w:pPr>
        <w:spacing w:after="0" w:line="178" w:lineRule="exact"/>
        <w:rPr>
          <w:sz w:val="20"/>
          <w:szCs w:val="20"/>
          <w:color w:val="auto"/>
        </w:rPr>
      </w:pPr>
    </w:p>
    <w:p>
      <w:pPr>
        <w:ind w:left="60" w:right="27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32"/>
        <w:spacing w:after="0" w:line="290" w:lineRule="auto"/>
        <w:rPr>
          <w:sz w:val="20"/>
          <w:szCs w:val="20"/>
          <w:color w:val="auto"/>
        </w:rPr>
      </w:pPr>
      <w:r>
        <w:rPr>
          <w:rFonts w:ascii="Arial" w:cs="Arial" w:eastAsia="Arial" w:hAnsi="Arial"/>
          <w:sz w:val="16"/>
          <w:szCs w:val="16"/>
          <w:color w:val="auto"/>
        </w:rPr>
        <w:t xml:space="preserve">For a description of the Company’s critical accounting policies and an understanding of Avnet and the significant factors that influenced the Company’s performance during the quarter ended October 2, 2021, this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(“MD&amp;A”) should be read in conjunction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financial statements, including the related notes, appearing in Item 1 of this Quarterly Report on Form 10-Q, as well as the Company’s Annual Report on Form 10-K for the fiscal year ended July 3, 2021. The Company operates on a “52/53 week” fiscal year and fiscal 2022 contains 52 weeks compared to 53 weeks in fiscal 2021. As a result, the first quarter of fiscal 2022 contained 13 weeks and the first quarter of fiscal 2021 contained 14 weeks. This extra week in the first quarter of fiscal 2021 impacts the year-over-year analysis in this MD&amp;A.</w:t>
      </w:r>
    </w:p>
    <w:p>
      <w:pPr>
        <w:spacing w:after="0" w:line="165" w:lineRule="exact"/>
        <w:rPr>
          <w:sz w:val="20"/>
          <w:szCs w:val="20"/>
          <w:color w:val="auto"/>
        </w:rPr>
      </w:pPr>
    </w:p>
    <w:p>
      <w:pPr>
        <w:ind w:left="60" w:right="139" w:firstLine="432"/>
        <w:spacing w:after="0" w:line="255" w:lineRule="auto"/>
        <w:rPr>
          <w:sz w:val="20"/>
          <w:szCs w:val="20"/>
          <w:color w:val="auto"/>
        </w:rPr>
      </w:pPr>
      <w:r>
        <w:rPr>
          <w:rFonts w:ascii="Arial" w:cs="Arial" w:eastAsia="Arial" w:hAnsi="Arial"/>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32"/>
        <w:spacing w:after="0" w:line="342"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24" w:lineRule="exact"/>
        <w:rPr>
          <w:sz w:val="20"/>
          <w:szCs w:val="20"/>
          <w:color w:val="auto"/>
        </w:rPr>
      </w:pPr>
    </w:p>
    <w:p>
      <w:pPr>
        <w:ind w:left="720" w:right="159" w:hanging="319"/>
        <w:spacing w:after="0" w:line="25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Additionally, the Company has adjusted sales for the impact of the termination of the Texas Instruments (“TI”) distribution agreement between fiscal years. Sales taking into account these adjustments are referred to as “organic sales.”</w:t>
      </w:r>
    </w:p>
    <w:p>
      <w:pPr>
        <w:spacing w:after="0" w:line="194" w:lineRule="exact"/>
        <w:rPr>
          <w:rFonts w:ascii="Arial" w:cs="Arial" w:eastAsia="Arial" w:hAnsi="Arial"/>
          <w:sz w:val="18"/>
          <w:szCs w:val="18"/>
          <w:color w:val="auto"/>
        </w:rPr>
      </w:pPr>
    </w:p>
    <w:p>
      <w:pPr>
        <w:ind w:left="720" w:right="159" w:hanging="319"/>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(ii) amortization of acquired intangible assets, and (iii) goodwill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 impairment expense. Operating income excluding such amounts is referred to as “adjusted operating income.”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October 3,</w:t>
            </w:r>
          </w:p>
        </w:tc>
      </w:tr>
      <w:tr>
        <w:trPr>
          <w:trHeight w:val="241"/>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2"/>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26,420</w:t>
            </w:r>
          </w:p>
        </w:tc>
      </w:tr>
      <w:tr>
        <w:trPr>
          <w:trHeight w:val="236"/>
        </w:trPr>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1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178,754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65,097</w:t>
            </w:r>
          </w:p>
        </w:tc>
      </w:tr>
      <w:tr>
        <w:trPr>
          <w:trHeight w:val="20"/>
        </w:trPr>
        <w:tc>
          <w:tcPr>
            <w:tcW w:w="5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60" w:right="99" w:firstLine="432"/>
        <w:spacing w:after="0" w:line="272" w:lineRule="auto"/>
        <w:rPr>
          <w:sz w:val="20"/>
          <w:szCs w:val="20"/>
          <w:color w:val="auto"/>
        </w:rPr>
      </w:pPr>
      <w:r>
        <w:rPr>
          <w:rFonts w:ascii="Arial" w:cs="Arial" w:eastAsia="Arial" w:hAnsi="Arial"/>
          <w:sz w:val="17"/>
          <w:szCs w:val="17"/>
          <w:color w:val="auto"/>
        </w:rPr>
        <w:t>Avnet, Inc. and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unique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77" w:lineRule="exact"/>
        <w:rPr>
          <w:sz w:val="20"/>
          <w:szCs w:val="20"/>
          <w:color w:val="auto"/>
        </w:rPr>
      </w:pPr>
    </w:p>
    <w:p>
      <w:pPr>
        <w:ind w:left="60" w:right="239"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Sales of $5.58 billion in the first quarter of fiscal 2022 were 18.2% higher than the prior year first quarter sales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$4.72 billion. Excluding the impact of changes in foreign currency, sales increased 17.5% as compared to sales in the prior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 first quarter.</w:t>
      </w:r>
    </w:p>
    <w:p>
      <w:pPr>
        <w:spacing w:after="0" w:line="211" w:lineRule="exact"/>
        <w:rPr>
          <w:sz w:val="20"/>
          <w:szCs w:val="20"/>
          <w:color w:val="auto"/>
        </w:rPr>
      </w:pPr>
    </w:p>
    <w:p>
      <w:pPr>
        <w:jc w:val="both"/>
        <w:ind w:left="60" w:right="259" w:firstLine="432"/>
        <w:spacing w:after="0" w:line="263" w:lineRule="auto"/>
        <w:rPr>
          <w:sz w:val="20"/>
          <w:szCs w:val="20"/>
          <w:color w:val="auto"/>
        </w:rPr>
      </w:pPr>
      <w:r>
        <w:rPr>
          <w:rFonts w:ascii="Arial" w:cs="Arial" w:eastAsia="Arial" w:hAnsi="Arial"/>
          <w:sz w:val="18"/>
          <w:szCs w:val="18"/>
          <w:color w:val="auto"/>
        </w:rPr>
        <w:t>Gross profit margin of 11.8% increased 88 basis points compared to 10.9% in the first quarter of fiscal 2021. This increase is primarily due to strong overall demand for electronic components and improvements in product and customer mix, partially offset by an unfavorable geographic regional sales mix.</w:t>
      </w:r>
    </w:p>
    <w:p>
      <w:pPr>
        <w:spacing w:after="0" w:line="184" w:lineRule="exact"/>
        <w:rPr>
          <w:sz w:val="20"/>
          <w:szCs w:val="20"/>
          <w:color w:val="auto"/>
        </w:rPr>
      </w:pPr>
    </w:p>
    <w:p>
      <w:pPr>
        <w:ind w:left="60" w:right="79" w:firstLine="432"/>
        <w:spacing w:after="0" w:line="293" w:lineRule="auto"/>
        <w:rPr>
          <w:sz w:val="20"/>
          <w:szCs w:val="20"/>
          <w:color w:val="auto"/>
        </w:rPr>
      </w:pPr>
      <w:r>
        <w:rPr>
          <w:rFonts w:ascii="Arial" w:cs="Arial" w:eastAsia="Arial" w:hAnsi="Arial"/>
          <w:sz w:val="16"/>
          <w:szCs w:val="16"/>
          <w:color w:val="auto"/>
        </w:rPr>
        <w:t>Operating income of $168.2 million was $149.7 million higher than the first quarter of fiscal 2021. Operating income margin was 3.0% in the first quarter of fiscal 2022, as compared to 0.4% in the prior year first quarter. The increase in operating income margin is the result of increases in sales and in gross profit margin and from lower operating expenses. Adjusted operating income margin was 3.2% in the first quarter of fiscal 2022 as compared to 1.4% in the first quarter of fiscal 2021, an increase of 182 basis points. This increase in adjusted operating income margin is primarily due to the increases in sales and gross margin, partially offset by increases in selling, general and administrative expenses.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left="60" w:right="319" w:firstLine="427"/>
        <w:spacing w:after="0" w:line="235" w:lineRule="auto"/>
        <w:rPr>
          <w:sz w:val="20"/>
          <w:szCs w:val="20"/>
          <w:color w:val="auto"/>
        </w:rPr>
      </w:pPr>
      <w:r>
        <w:rPr>
          <w:rFonts w:ascii="Arial" w:cs="Arial" w:eastAsia="Arial" w:hAnsi="Arial"/>
          <w:sz w:val="18"/>
          <w:szCs w:val="18"/>
          <w:color w:val="auto"/>
        </w:rPr>
        <w:t>Reported sales were the same as organic sales in the first quarter of fiscal 2022. The following table presents the reconciliation of reported sales to organic sales for the first quarter of fiscal 2021 by geographic region and by operating group.</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Estimated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Organic</w:t>
            </w:r>
          </w:p>
        </w:tc>
      </w:tr>
      <w:tr>
        <w:trPr>
          <w:trHeight w:val="203"/>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Sales</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Extra</w:t>
            </w: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Organic</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81"/>
              </w:rPr>
              <w:t>Sales</w:t>
            </w:r>
          </w:p>
        </w:tc>
      </w:tr>
      <w:tr>
        <w:trPr>
          <w:trHeight w:val="203"/>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As Reported</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Week in</w:t>
            </w: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Sales</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TI Sales</w:t>
            </w: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Adj for TI</w:t>
            </w:r>
          </w:p>
        </w:tc>
      </w:tr>
      <w:tr>
        <w:trPr>
          <w:trHeight w:val="189"/>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Q1-Fiscal</w:t>
            </w: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Q1-Fiscal</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Q1-Fiscal</w:t>
            </w:r>
          </w:p>
        </w:tc>
        <w:tc>
          <w:tcPr>
            <w:tcW w:w="16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Q1-Fiscal</w:t>
            </w: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Q1-Fiscal</w:t>
            </w:r>
          </w:p>
        </w:tc>
      </w:tr>
      <w:tr>
        <w:trPr>
          <w:trHeight w:val="237"/>
        </w:trPr>
        <w:tc>
          <w:tcPr>
            <w:tcW w:w="2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line="230" w:lineRule="exact"/>
              <w:rPr>
                <w:sz w:val="20"/>
                <w:szCs w:val="20"/>
                <w:color w:val="auto"/>
              </w:rPr>
            </w:pPr>
            <w:r>
              <w:rPr>
                <w:rFonts w:ascii="Arial" w:cs="Arial" w:eastAsia="Arial" w:hAnsi="Arial"/>
                <w:sz w:val="16"/>
                <w:szCs w:val="16"/>
                <w:b w:val="1"/>
                <w:bCs w:val="1"/>
                <w:color w:val="auto"/>
                <w:w w:val="86"/>
              </w:rPr>
              <w:t>2021</w:t>
            </w:r>
            <w:r>
              <w:rPr>
                <w:rFonts w:ascii="Arial" w:cs="Arial" w:eastAsia="Arial" w:hAnsi="Arial"/>
                <w:sz w:val="24"/>
                <w:szCs w:val="24"/>
                <w:b w:val="1"/>
                <w:bCs w:val="1"/>
                <w:color w:val="auto"/>
                <w:w w:val="86"/>
                <w:vertAlign w:val="superscript"/>
              </w:rPr>
              <w:t>(1)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9"/>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9"/>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(2)</w:t>
            </w:r>
          </w:p>
        </w:tc>
      </w:tr>
      <w:tr>
        <w:trPr>
          <w:trHeight w:val="189"/>
        </w:trPr>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89"/>
              </w:rPr>
              <w:t>(Thousands)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Avnet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4,723,059</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306,000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4,417,059</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240,984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4,176,075</w:t>
            </w: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Avnet by region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1,205,695</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77,000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1,128,695</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68,500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1,060,195</w:t>
            </w:r>
          </w:p>
        </w:tc>
      </w:tr>
      <w:tr>
        <w:trPr>
          <w:trHeight w:val="203"/>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EMEA</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1,480,674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1,383,674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1,280,764</w:t>
            </w: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Asia</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2,036,690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1,904,690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1,835,116</w:t>
            </w: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Avnet by operating group</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EC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4,382,148</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284,000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4,098,148</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240,984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3,857,164</w:t>
            </w:r>
          </w:p>
        </w:tc>
      </w:tr>
      <w:tr>
        <w:trPr>
          <w:trHeight w:val="203"/>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Farnell</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318,911</w:t>
            </w:r>
          </w:p>
        </w:tc>
      </w:tr>
      <w:tr>
        <w:trPr>
          <w:trHeight w:val="220"/>
        </w:trPr>
        <w:tc>
          <w:tcPr>
            <w:tcW w:w="222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 w:lineRule="exact"/>
        <w:rPr>
          <w:sz w:val="20"/>
          <w:szCs w:val="20"/>
          <w:color w:val="auto"/>
        </w:rPr>
      </w:pPr>
    </w:p>
    <w:p>
      <w:pPr>
        <w:ind w:left="420" w:hanging="329"/>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4"/>
          <w:szCs w:val="14"/>
          <w:color w:val="auto"/>
        </w:rPr>
        <w:t>The impact of the additional week of sales in the first quarter of fiscal 2021 is estimated.</w:t>
      </w:r>
    </w:p>
    <w:p>
      <w:pPr>
        <w:spacing w:after="0" w:line="18" w:lineRule="exact"/>
        <w:rPr>
          <w:rFonts w:ascii="Arial" w:cs="Arial" w:eastAsia="Arial" w:hAnsi="Arial"/>
          <w:sz w:val="16"/>
          <w:szCs w:val="16"/>
          <w:color w:val="auto"/>
        </w:rPr>
      </w:pPr>
    </w:p>
    <w:p>
      <w:pPr>
        <w:ind w:left="420" w:hanging="329"/>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4"/>
          <w:szCs w:val="14"/>
          <w:color w:val="auto"/>
        </w:rPr>
        <w:t>Sales adjusted for the impact of the termination of the Texas Instruments (“TI”) distribution agreement.</w:t>
      </w:r>
    </w:p>
    <w:p>
      <w:pPr>
        <w:spacing w:after="0" w:line="214" w:lineRule="exact"/>
        <w:rPr>
          <w:sz w:val="20"/>
          <w:szCs w:val="20"/>
          <w:color w:val="auto"/>
        </w:rPr>
      </w:pPr>
    </w:p>
    <w:p>
      <w:pPr>
        <w:ind w:left="60" w:right="239" w:firstLine="427"/>
        <w:spacing w:after="0" w:line="277" w:lineRule="auto"/>
        <w:rPr>
          <w:sz w:val="20"/>
          <w:szCs w:val="20"/>
          <w:color w:val="auto"/>
        </w:rPr>
      </w:pPr>
      <w:r>
        <w:rPr>
          <w:rFonts w:ascii="Arial" w:cs="Arial" w:eastAsia="Arial" w:hAnsi="Arial"/>
          <w:sz w:val="18"/>
          <w:szCs w:val="18"/>
          <w:color w:val="auto"/>
        </w:rPr>
        <w:t>The following table presents reported and organic sales growth rates for the first quarter of fiscal 2022 as compared to fiscal 2021 by geographic region and by operating group.</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Sales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Organic</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1"/>
              </w:rPr>
              <w:t>Sales</w:t>
            </w:r>
          </w:p>
        </w:tc>
      </w:tr>
      <w:tr>
        <w:trPr>
          <w:trHeight w:val="203"/>
        </w:trPr>
        <w:tc>
          <w:tcPr>
            <w:tcW w:w="2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As Reported</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Sales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Adj for TI</w:t>
            </w: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1"/>
              </w:rPr>
              <w:t>Sales</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Year-Year %</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Organic</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Year-Year %</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 Reported</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Change in</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Sales</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Change in</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r>
      <w:tr>
        <w:trPr>
          <w:trHeight w:val="189"/>
        </w:trPr>
        <w:tc>
          <w:tcPr>
            <w:tcW w:w="22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Year-Year</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Constant</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Year-Year</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Constant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r>
      <w:tr>
        <w:trPr>
          <w:trHeight w:val="237"/>
        </w:trPr>
        <w:tc>
          <w:tcPr>
            <w:tcW w:w="22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 Change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 Change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18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89"/>
              </w:rPr>
              <w:t>Currency</w:t>
            </w:r>
            <w:r>
              <w:rPr>
                <w:rFonts w:ascii="Arial" w:cs="Arial" w:eastAsia="Arial" w:hAnsi="Arial"/>
                <w:sz w:val="24"/>
                <w:szCs w:val="24"/>
                <w:b w:val="1"/>
                <w:bCs w:val="1"/>
                <w:color w:val="auto"/>
                <w:w w:val="89"/>
                <w:vertAlign w:val="superscript"/>
              </w:rPr>
              <w:t>(1)</w:t>
            </w:r>
          </w:p>
        </w:tc>
      </w:tr>
      <w:tr>
        <w:trPr>
          <w:trHeight w:val="203"/>
        </w:trPr>
        <w:tc>
          <w:tcPr>
            <w:tcW w:w="22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18.2 %</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17.5 %</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26.4 %</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25.6 %</w:t>
            </w: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32.9 %</w:t>
            </w:r>
          </w:p>
        </w:tc>
      </w:tr>
      <w:tr>
        <w:trPr>
          <w:trHeight w:val="203"/>
        </w:trPr>
        <w:tc>
          <w:tcPr>
            <w:tcW w:w="2280" w:type="dxa"/>
            <w:vAlign w:val="bottom"/>
          </w:tcPr>
          <w:p>
            <w:pPr>
              <w:ind w:left="20"/>
              <w:spacing w:after="0"/>
              <w:rPr>
                <w:sz w:val="20"/>
                <w:szCs w:val="20"/>
                <w:color w:val="auto"/>
              </w:rPr>
            </w:pPr>
            <w:r>
              <w:rPr>
                <w:rFonts w:ascii="Arial" w:cs="Arial" w:eastAsia="Arial" w:hAnsi="Arial"/>
                <w:sz w:val="16"/>
                <w:szCs w:val="16"/>
                <w:color w:val="auto"/>
              </w:rPr>
              <w:t>Avnet by region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4.4 %</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11.5 %</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11.5 %</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18.7 %</w:t>
            </w:r>
          </w:p>
        </w:tc>
      </w:tr>
      <w:tr>
        <w:trPr>
          <w:trHeight w:val="203"/>
        </w:trPr>
        <w:tc>
          <w:tcPr>
            <w:tcW w:w="2280" w:type="dxa"/>
            <w:vAlign w:val="bottom"/>
          </w:tcPr>
          <w:p>
            <w:pPr>
              <w:ind w:left="120"/>
              <w:spacing w:after="0"/>
              <w:rPr>
                <w:sz w:val="20"/>
                <w:szCs w:val="20"/>
                <w:color w:val="auto"/>
              </w:rPr>
            </w:pPr>
            <w:r>
              <w:rPr>
                <w:rFonts w:ascii="Arial" w:cs="Arial" w:eastAsia="Arial" w:hAnsi="Arial"/>
                <w:sz w:val="16"/>
                <w:szCs w:val="16"/>
                <w:color w:val="auto"/>
              </w:rPr>
              <w:t>EMEA</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16.2</w:t>
            </w:r>
          </w:p>
        </w:tc>
        <w:tc>
          <w:tcPr>
            <w:tcW w:w="260" w:type="dxa"/>
            <w:vAlign w:val="bottom"/>
          </w:tcPr>
          <w:p>
            <w:pPr>
              <w:spacing w:after="0"/>
              <w:rPr>
                <w:sz w:val="17"/>
                <w:szCs w:val="17"/>
                <w:color w:val="auto"/>
              </w:rPr>
            </w:pPr>
          </w:p>
        </w:tc>
        <w:tc>
          <w:tcPr>
            <w:tcW w:w="1120" w:type="dxa"/>
            <w:vAlign w:val="bottom"/>
          </w:tcPr>
          <w:p>
            <w:pPr>
              <w:ind w:left="540"/>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7"/>
                <w:szCs w:val="17"/>
                <w:color w:val="auto"/>
              </w:rPr>
            </w:pPr>
          </w:p>
        </w:tc>
        <w:tc>
          <w:tcPr>
            <w:tcW w:w="1140" w:type="dxa"/>
            <w:vAlign w:val="bottom"/>
          </w:tcPr>
          <w:p>
            <w:pPr>
              <w:ind w:left="560"/>
              <w:spacing w:after="0"/>
              <w:rPr>
                <w:sz w:val="20"/>
                <w:szCs w:val="20"/>
                <w:color w:val="auto"/>
              </w:rPr>
            </w:pPr>
            <w:r>
              <w:rPr>
                <w:rFonts w:ascii="Arial" w:cs="Arial" w:eastAsia="Arial" w:hAnsi="Arial"/>
                <w:sz w:val="16"/>
                <w:szCs w:val="16"/>
                <w:color w:val="auto"/>
              </w:rPr>
              <w:t>24.3</w:t>
            </w:r>
          </w:p>
        </w:tc>
        <w:tc>
          <w:tcPr>
            <w:tcW w:w="240" w:type="dxa"/>
            <w:vAlign w:val="bottom"/>
          </w:tcPr>
          <w:p>
            <w:pPr>
              <w:spacing w:after="0"/>
              <w:rPr>
                <w:sz w:val="17"/>
                <w:szCs w:val="17"/>
                <w:color w:val="auto"/>
              </w:rPr>
            </w:pPr>
          </w:p>
        </w:tc>
        <w:tc>
          <w:tcPr>
            <w:tcW w:w="1180" w:type="dxa"/>
            <w:vAlign w:val="bottom"/>
          </w:tcPr>
          <w:p>
            <w:pPr>
              <w:ind w:left="580"/>
              <w:spacing w:after="0"/>
              <w:rPr>
                <w:sz w:val="20"/>
                <w:szCs w:val="20"/>
                <w:color w:val="auto"/>
              </w:rPr>
            </w:pPr>
            <w:r>
              <w:rPr>
                <w:rFonts w:ascii="Arial" w:cs="Arial" w:eastAsia="Arial" w:hAnsi="Arial"/>
                <w:sz w:val="16"/>
                <w:szCs w:val="16"/>
                <w:color w:val="auto"/>
              </w:rPr>
              <w:t>34.3</w:t>
            </w:r>
          </w:p>
        </w:tc>
      </w:tr>
      <w:tr>
        <w:trPr>
          <w:trHeight w:val="203"/>
        </w:trPr>
        <w:tc>
          <w:tcPr>
            <w:tcW w:w="2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26.4</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35.4</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35.2</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40.3</w:t>
            </w:r>
          </w:p>
        </w:tc>
      </w:tr>
      <w:tr>
        <w:trPr>
          <w:trHeight w:val="203"/>
        </w:trPr>
        <w:tc>
          <w:tcPr>
            <w:tcW w:w="2280" w:type="dxa"/>
            <w:vAlign w:val="bottom"/>
          </w:tcPr>
          <w:p>
            <w:pPr>
              <w:ind w:left="20"/>
              <w:spacing w:after="0"/>
              <w:rPr>
                <w:sz w:val="20"/>
                <w:szCs w:val="20"/>
                <w:color w:val="auto"/>
              </w:rPr>
            </w:pPr>
            <w:r>
              <w:rPr>
                <w:rFonts w:ascii="Arial" w:cs="Arial" w:eastAsia="Arial" w:hAnsi="Arial"/>
                <w:sz w:val="16"/>
                <w:szCs w:val="16"/>
                <w:color w:val="auto"/>
              </w:rPr>
              <w:t>Avnet by operating group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17.1 %</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25.2 %</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24.6 %</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32.3 %</w:t>
            </w:r>
          </w:p>
        </w:tc>
      </w:tr>
      <w:tr>
        <w:trPr>
          <w:trHeight w:val="203"/>
        </w:trPr>
        <w:tc>
          <w:tcPr>
            <w:tcW w:w="2280" w:type="dxa"/>
            <w:vAlign w:val="bottom"/>
          </w:tcPr>
          <w:p>
            <w:pPr>
              <w:ind w:left="120"/>
              <w:spacing w:after="0"/>
              <w:rPr>
                <w:sz w:val="20"/>
                <w:szCs w:val="20"/>
                <w:color w:val="auto"/>
              </w:rPr>
            </w:pPr>
            <w:r>
              <w:rPr>
                <w:rFonts w:ascii="Arial" w:cs="Arial" w:eastAsia="Arial" w:hAnsi="Arial"/>
                <w:sz w:val="16"/>
                <w:szCs w:val="16"/>
                <w:color w:val="auto"/>
              </w:rPr>
              <w:t>Farnell</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33.5</w:t>
            </w:r>
          </w:p>
        </w:tc>
        <w:tc>
          <w:tcPr>
            <w:tcW w:w="24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7"/>
                <w:szCs w:val="17"/>
                <w:color w:val="auto"/>
              </w:rPr>
            </w:pPr>
          </w:p>
        </w:tc>
        <w:tc>
          <w:tcPr>
            <w:tcW w:w="1120" w:type="dxa"/>
            <w:vAlign w:val="bottom"/>
          </w:tcPr>
          <w:p>
            <w:pPr>
              <w:ind w:left="540"/>
              <w:spacing w:after="0"/>
              <w:rPr>
                <w:sz w:val="20"/>
                <w:szCs w:val="20"/>
                <w:color w:val="auto"/>
              </w:rPr>
            </w:pPr>
            <w:r>
              <w:rPr>
                <w:rFonts w:ascii="Arial" w:cs="Arial" w:eastAsia="Arial" w:hAnsi="Arial"/>
                <w:sz w:val="16"/>
                <w:szCs w:val="16"/>
                <w:color w:val="auto"/>
              </w:rPr>
              <w:t>42.7</w:t>
            </w:r>
          </w:p>
        </w:tc>
        <w:tc>
          <w:tcPr>
            <w:tcW w:w="240" w:type="dxa"/>
            <w:vAlign w:val="bottom"/>
          </w:tcPr>
          <w:p>
            <w:pPr>
              <w:spacing w:after="0"/>
              <w:rPr>
                <w:sz w:val="17"/>
                <w:szCs w:val="17"/>
                <w:color w:val="auto"/>
              </w:rPr>
            </w:pPr>
          </w:p>
        </w:tc>
        <w:tc>
          <w:tcPr>
            <w:tcW w:w="1140" w:type="dxa"/>
            <w:vAlign w:val="bottom"/>
          </w:tcPr>
          <w:p>
            <w:pPr>
              <w:ind w:left="560"/>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7"/>
                <w:szCs w:val="17"/>
                <w:color w:val="auto"/>
              </w:rPr>
            </w:pPr>
          </w:p>
        </w:tc>
        <w:tc>
          <w:tcPr>
            <w:tcW w:w="1180" w:type="dxa"/>
            <w:vAlign w:val="bottom"/>
          </w:tcPr>
          <w:p>
            <w:pPr>
              <w:ind w:left="580"/>
              <w:spacing w:after="0"/>
              <w:rPr>
                <w:sz w:val="20"/>
                <w:szCs w:val="20"/>
                <w:color w:val="auto"/>
              </w:rPr>
            </w:pPr>
            <w:r>
              <w:rPr>
                <w:rFonts w:ascii="Arial" w:cs="Arial" w:eastAsia="Arial" w:hAnsi="Arial"/>
                <w:sz w:val="16"/>
                <w:szCs w:val="16"/>
                <w:color w:val="auto"/>
              </w:rPr>
              <w:t>39.0</w:t>
            </w:r>
          </w:p>
        </w:tc>
      </w:tr>
      <w:tr>
        <w:trPr>
          <w:trHeight w:val="216"/>
        </w:trPr>
        <w:tc>
          <w:tcPr>
            <w:tcW w:w="2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bl>
    <w:p>
      <w:pPr>
        <w:ind w:left="60"/>
        <w:spacing w:after="0"/>
        <w:rPr>
          <w:sz w:val="20"/>
          <w:szCs w:val="20"/>
          <w:color w:val="auto"/>
        </w:rPr>
      </w:pPr>
      <w:r>
        <w:rPr>
          <w:rFonts w:ascii="Arial" w:cs="Arial" w:eastAsia="Arial" w:hAnsi="Arial"/>
          <w:sz w:val="18"/>
          <w:szCs w:val="18"/>
          <w:color w:val="auto"/>
        </w:rPr>
        <w:t>___________</w:t>
      </w:r>
    </w:p>
    <w:p>
      <w:pPr>
        <w:ind w:left="420" w:hanging="329"/>
        <w:spacing w:after="0" w:line="181" w:lineRule="auto"/>
        <w:tabs>
          <w:tab w:leader="none" w:pos="420" w:val="left"/>
        </w:tabs>
        <w:numPr>
          <w:ilvl w:val="0"/>
          <w:numId w:val="10"/>
        </w:numPr>
        <w:rPr>
          <w:rFonts w:ascii="Arial" w:cs="Arial" w:eastAsia="Arial" w:hAnsi="Arial"/>
          <w:sz w:val="23"/>
          <w:szCs w:val="23"/>
          <w:color w:val="auto"/>
          <w:vertAlign w:val="superscript"/>
        </w:rPr>
      </w:pPr>
      <w:r>
        <w:rPr>
          <w:rFonts w:ascii="Arial" w:cs="Arial" w:eastAsia="Arial" w:hAnsi="Arial"/>
          <w:sz w:val="12"/>
          <w:szCs w:val="12"/>
          <w:color w:val="auto"/>
        </w:rPr>
        <w:t>Sales growth rates excluding the impact of the termination of the TI distribution agreement.</w:t>
      </w:r>
    </w:p>
    <w:p>
      <w:pPr>
        <w:spacing w:after="0" w:line="214" w:lineRule="exact"/>
        <w:rPr>
          <w:sz w:val="20"/>
          <w:szCs w:val="20"/>
          <w:color w:val="auto"/>
        </w:rPr>
      </w:pPr>
    </w:p>
    <w:p>
      <w:pPr>
        <w:ind w:left="60" w:right="299" w:firstLine="427"/>
        <w:spacing w:after="0" w:line="273" w:lineRule="auto"/>
        <w:rPr>
          <w:sz w:val="20"/>
          <w:szCs w:val="20"/>
          <w:color w:val="auto"/>
        </w:rPr>
      </w:pPr>
      <w:r>
        <w:rPr>
          <w:rFonts w:ascii="Arial" w:cs="Arial" w:eastAsia="Arial" w:hAnsi="Arial"/>
          <w:sz w:val="17"/>
          <w:szCs w:val="17"/>
          <w:color w:val="auto"/>
        </w:rPr>
        <w:t>Sales of $5.58 billion for the first quarter of fiscal 2022 were up $861.6 million, or 18.2%, from the prior year first quarter sales of $4.72 billion. Sales in constant currency in the first quarter of fiscal 2022 increased by 17.5% year over year. The increase in sales is primarily the result of increased sales in the Company’s Asia and EMEA regions and sales growth at Farnell. Organic sales in constant currency excluding TI sales in the first quarter of fiscal 2022 were 32.9% higher than sales in the first quarter of fiscal 2021, reflecting sales growth in both operating groups across all regions driven by strong demand globally for electronic components.</w:t>
      </w:r>
    </w:p>
    <w:p>
      <w:pPr>
        <w:spacing w:after="0" w:line="178" w:lineRule="exact"/>
        <w:rPr>
          <w:sz w:val="20"/>
          <w:szCs w:val="20"/>
          <w:color w:val="auto"/>
        </w:rPr>
      </w:pPr>
    </w:p>
    <w:p>
      <w:pPr>
        <w:ind w:left="60" w:right="99" w:firstLine="432"/>
        <w:spacing w:after="0" w:line="257" w:lineRule="auto"/>
        <w:rPr>
          <w:sz w:val="20"/>
          <w:szCs w:val="20"/>
          <w:color w:val="auto"/>
        </w:rPr>
      </w:pPr>
      <w:r>
        <w:rPr>
          <w:rFonts w:ascii="Arial" w:cs="Arial" w:eastAsia="Arial" w:hAnsi="Arial"/>
          <w:sz w:val="18"/>
          <w:szCs w:val="18"/>
          <w:color w:val="auto"/>
        </w:rPr>
        <w:t>EC sales of $5.13 billion in the first quarter of fiscal 2022 increased $747.3 million or 17.1% from the prior year first quarter sales of $4.38 billion. On an organic basis, EC sales excluding TI increased 32.3% year over year in constant currency, reflecting sales growth in all three regions. The increase in sales in the Company’s EC operating group is primarily due to improvements in overall market demand and stronger demand in certain industry sectors, particularly the transportation and industrial sectors.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0" w:right="139" w:firstLine="427"/>
        <w:spacing w:after="0" w:line="263" w:lineRule="auto"/>
        <w:rPr>
          <w:sz w:val="20"/>
          <w:szCs w:val="20"/>
          <w:color w:val="auto"/>
        </w:rPr>
      </w:pPr>
      <w:r>
        <w:rPr>
          <w:rFonts w:ascii="Arial" w:cs="Arial" w:eastAsia="Arial" w:hAnsi="Arial"/>
          <w:sz w:val="18"/>
          <w:szCs w:val="18"/>
          <w:color w:val="auto"/>
        </w:rPr>
        <w:t>Farnell sales for the first quarter of fiscal 2022 were $455.2 million, an increase of $114.3 million or 33.5% from the prior year first quarter sales of $340.9 million. Sales in constant currency increased 30.1% year over year. These increases were primarily a result of increased market demand in all three regions.</w:t>
      </w:r>
    </w:p>
    <w:p>
      <w:pPr>
        <w:spacing w:after="0" w:line="184" w:lineRule="exact"/>
        <w:rPr>
          <w:sz w:val="20"/>
          <w:szCs w:val="20"/>
          <w:color w:val="auto"/>
        </w:rPr>
      </w:pPr>
    </w:p>
    <w:p>
      <w:pPr>
        <w:ind w:left="60" w:right="59" w:firstLine="427"/>
        <w:spacing w:after="0" w:line="257" w:lineRule="auto"/>
        <w:rPr>
          <w:sz w:val="20"/>
          <w:szCs w:val="20"/>
          <w:color w:val="auto"/>
        </w:rPr>
      </w:pPr>
      <w:r>
        <w:rPr>
          <w:rFonts w:ascii="Arial" w:cs="Arial" w:eastAsia="Arial" w:hAnsi="Arial"/>
          <w:sz w:val="18"/>
          <w:szCs w:val="18"/>
          <w:color w:val="auto"/>
        </w:rPr>
        <w:t>As a result of the recent notification the Company received from Maxim Integrated Products, Inc. (“Maxim”) related to the termination of the Company’s distribution agreement for the Electronic Components operating group, the Company may experience lower sales and gross profit in the future if the impact of the termination is not offset by sales growth, gross margin improvements or operating cost reductions. Sales from Maxim products represented approximately 3% of total sales in fiscal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right="139" w:firstLine="432"/>
        <w:spacing w:after="0" w:line="272" w:lineRule="auto"/>
        <w:rPr>
          <w:sz w:val="20"/>
          <w:szCs w:val="20"/>
          <w:color w:val="auto"/>
        </w:rPr>
      </w:pPr>
      <w:r>
        <w:rPr>
          <w:rFonts w:ascii="Arial" w:cs="Arial" w:eastAsia="Arial" w:hAnsi="Arial"/>
          <w:sz w:val="17"/>
          <w:szCs w:val="17"/>
          <w:color w:val="auto"/>
        </w:rPr>
        <w:t>Gross profit for the first quarter of fiscal 2022 was $659.7 million, an increase of $143.6 million, or 27.8%, from the first quarter of fiscal 2021 gross profit of $516.1 million. Gross profit margin increased to 11.8% (or 88 basis points) from the first quarter of fiscal 2021 gross profit margin of 10.9%, driven by increases in gross profit margin in both operating groups. The increases in gross profit margin in both operating groups are primarily due to strong demand for electronic components that resulted in a favorable pricing environment, partially offset by unfavorable geographic region sales mix. Sales in the higher gross profit margin western regions represented approximately 54% of sales in the first quarter of fiscal 2022, as compared to 57% during the first quarter of fiscal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79" w:firstLine="432"/>
        <w:spacing w:after="0" w:line="301" w:lineRule="auto"/>
        <w:rPr>
          <w:sz w:val="20"/>
          <w:szCs w:val="20"/>
          <w:color w:val="auto"/>
        </w:rPr>
      </w:pPr>
      <w:r>
        <w:rPr>
          <w:rFonts w:ascii="Arial" w:cs="Arial" w:eastAsia="Arial" w:hAnsi="Arial"/>
          <w:sz w:val="16"/>
          <w:szCs w:val="16"/>
          <w:color w:val="auto"/>
        </w:rPr>
        <w:t>Selling, general and administrative expenses (“SG&amp;A expenses”) were $486.2 million in the first quarter of fiscal 2022, an increase of $15.0 million, or 3.2%, from the first quarter of fiscal 2021. The year-over-year increase in SG&amp;A expenses was primarily due to increases in costs to support sales growth, increased costs related to inflation including merit pay increases for employees, and to a lesser extent the impact of foreign currency due to the weakening of the U.S. Dollar.</w:t>
      </w:r>
    </w:p>
    <w:p>
      <w:pPr>
        <w:spacing w:after="0" w:line="157" w:lineRule="exact"/>
        <w:rPr>
          <w:sz w:val="20"/>
          <w:szCs w:val="20"/>
          <w:color w:val="auto"/>
        </w:rPr>
      </w:pPr>
    </w:p>
    <w:p>
      <w:pPr>
        <w:ind w:left="60" w:right="139" w:firstLine="427"/>
        <w:spacing w:after="0" w:line="296"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first quarter of fiscal 2022, SG&amp;A expenses were 8.7% of sales and 73.7% of gross profit, as compared with 10.0% and 91.3%, respectively, in the first quarter of fiscal 2021. The decrease in SG&amp;A expenses as a percentage of gross profit primarily results from operating leverage created from higher sales, increase in gross profit margin, and lower amortization expense, partially offset by increases in SG&amp;A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left="60" w:right="119" w:firstLine="427"/>
        <w:spacing w:after="0" w:line="263" w:lineRule="auto"/>
        <w:rPr>
          <w:sz w:val="20"/>
          <w:szCs w:val="20"/>
          <w:color w:val="auto"/>
        </w:rPr>
      </w:pPr>
      <w:r>
        <w:rPr>
          <w:rFonts w:ascii="Arial" w:cs="Arial" w:eastAsia="Arial" w:hAnsi="Arial"/>
          <w:sz w:val="18"/>
          <w:szCs w:val="18"/>
          <w:color w:val="auto"/>
        </w:rPr>
        <w:t>The Company recorded restructuring, integration and other expenses of $5.3 million during the first quarter of fiscal 2022, substantially all of which was related to integration costs. The after-tax impact of restructuring, integration and other expenses were $4.3 million and $0.04 per share on a diluted basis.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left="60" w:right="119" w:firstLine="427"/>
        <w:spacing w:after="0" w:line="257" w:lineRule="auto"/>
        <w:rPr>
          <w:sz w:val="20"/>
          <w:szCs w:val="20"/>
          <w:color w:val="auto"/>
        </w:rPr>
      </w:pPr>
      <w:r>
        <w:rPr>
          <w:rFonts w:ascii="Arial" w:cs="Arial" w:eastAsia="Arial" w:hAnsi="Arial"/>
          <w:sz w:val="18"/>
          <w:szCs w:val="18"/>
          <w:color w:val="auto"/>
        </w:rPr>
        <w:t>Operating income for the first quarter of fiscal 2022 was $168.2 million, an increase of $149.7 million, from the first quarter of fiscal 2021 operating income of $18.5 million. Adjusted operating income for the first quarter of fiscal 2022 was $178.8 million, an increase of $113.7 million, or 174.6%, from the first quarter of fiscal 2021. The year-over-year increase in adjusted operating income was primarily driven by the increase in sales and in gross profit margin, partially offset by an increase in SG&amp;A expenses.</w:t>
      </w:r>
    </w:p>
    <w:p>
      <w:pPr>
        <w:spacing w:after="0" w:line="188"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EC operating income margin increased 124 basis points year over year to 3.2% and Farnell operating income margin increased 738 basis points year over year to 10.9%.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 and Other Expense, Net</w:t>
      </w:r>
    </w:p>
    <w:p>
      <w:pPr>
        <w:spacing w:after="0" w:line="229" w:lineRule="exact"/>
        <w:rPr>
          <w:sz w:val="20"/>
          <w:szCs w:val="20"/>
          <w:color w:val="auto"/>
        </w:rPr>
      </w:pPr>
    </w:p>
    <w:p>
      <w:pPr>
        <w:ind w:left="60" w:right="79" w:firstLine="432"/>
        <w:spacing w:after="0" w:line="259" w:lineRule="auto"/>
        <w:rPr>
          <w:sz w:val="20"/>
          <w:szCs w:val="20"/>
          <w:color w:val="auto"/>
        </w:rPr>
      </w:pPr>
      <w:r>
        <w:rPr>
          <w:rFonts w:ascii="Arial" w:cs="Arial" w:eastAsia="Arial" w:hAnsi="Arial"/>
          <w:sz w:val="18"/>
          <w:szCs w:val="18"/>
          <w:color w:val="auto"/>
        </w:rPr>
        <w:t>Interest and other financing expenses in the first quarter of fiscal 2022 was $22.8 million, an increase of $0.5 million, or 2.4%, as compared with interest and other financing expenses of $22.3 million in the first quarter of fiscal 2021. The increase in interest and other financing expenses was primarily related to more outstanding borrowings during the first quarter of fiscal 2022 as compared to the first quarter of fiscal 2021.</w:t>
      </w:r>
    </w:p>
    <w:p>
      <w:pPr>
        <w:spacing w:after="0" w:line="187" w:lineRule="exact"/>
        <w:rPr>
          <w:sz w:val="20"/>
          <w:szCs w:val="20"/>
          <w:color w:val="auto"/>
        </w:rPr>
      </w:pPr>
    </w:p>
    <w:p>
      <w:pPr>
        <w:ind w:left="60" w:right="279" w:firstLine="427"/>
        <w:spacing w:after="0" w:line="279" w:lineRule="auto"/>
        <w:rPr>
          <w:sz w:val="20"/>
          <w:szCs w:val="20"/>
          <w:color w:val="auto"/>
        </w:rPr>
      </w:pPr>
      <w:r>
        <w:rPr>
          <w:rFonts w:ascii="Arial" w:cs="Arial" w:eastAsia="Arial" w:hAnsi="Arial"/>
          <w:sz w:val="17"/>
          <w:szCs w:val="17"/>
          <w:color w:val="auto"/>
        </w:rPr>
        <w:t>During the first quarter of fiscal 2022, the Company had $0.4 million of other expense as compared with $19.5 million of other expense in the first quarter of fiscal 2021. The year-over-year differences in other expense was primarily due to the equity investment impairment expense included in the other expense in the first quarter of fiscal 2021, and differences in foreign currency exchange rates between the first quarters of fiscal 2022 and fiscal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60" w:right="139" w:firstLine="427"/>
        <w:spacing w:after="0" w:line="263" w:lineRule="auto"/>
        <w:rPr>
          <w:sz w:val="20"/>
          <w:szCs w:val="20"/>
          <w:color w:val="auto"/>
        </w:rPr>
      </w:pPr>
      <w:r>
        <w:rPr>
          <w:rFonts w:ascii="Arial" w:cs="Arial" w:eastAsia="Arial" w:hAnsi="Arial"/>
          <w:sz w:val="18"/>
          <w:szCs w:val="18"/>
          <w:color w:val="auto"/>
        </w:rPr>
        <w:t>The Company’s effective tax rate on its income before taxes was 23.2% in the first quarter of fiscal 2022. During the first quarter of fiscal 2022, the Company’s effective tax rate was unfavorably impacted primarily by increases to valuation allowances.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left="60" w:right="11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2022 was $111.3 million, or $1.10 per share on a diluted basis, as compared with net loss of $18.9 million, or $0.19 per share on a diluted basis, in the first quarter of fiscal 2021.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left="60" w:right="79" w:firstLine="432"/>
        <w:spacing w:after="0" w:line="269" w:lineRule="auto"/>
        <w:rPr>
          <w:sz w:val="20"/>
          <w:szCs w:val="20"/>
          <w:color w:val="auto"/>
        </w:rPr>
      </w:pPr>
      <w:r>
        <w:rPr>
          <w:rFonts w:ascii="Arial" w:cs="Arial" w:eastAsia="Arial" w:hAnsi="Arial"/>
          <w:sz w:val="17"/>
          <w:szCs w:val="17"/>
          <w:color w:val="auto"/>
        </w:rPr>
        <w:t>During the first quarter of fiscal 2022, the Company used $31.0 million of cash flow from operations compared to $122.4 million of cash generated by operations in the first quarter of fiscal 2021.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used for working capital and other was $191.6 million during the first quarter of fiscal 2022, including increases in accounts receivable of $170.0 million and in inventories of $74.0 million both to support sales growth in the first quarter of fiscal 2022, and a decrease in accrued expenses and other of $32.9 million, offset by an increase in accounts payable of $85.2 million. Comparatively, cash generated from working capital and other was $47.7 million during the first quarter of fiscal 2021, including an increase in accounts payable of $228.7 million, offset by increases in inventories of $136.4 million and accounts receivable of $7.1 million, and a decrease in accrued expenses and other of $37.5 million.</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left="60" w:right="439" w:firstLine="432"/>
        <w:spacing w:after="0" w:line="286" w:lineRule="auto"/>
        <w:rPr>
          <w:sz w:val="20"/>
          <w:szCs w:val="20"/>
          <w:color w:val="auto"/>
        </w:rPr>
      </w:pPr>
      <w:r>
        <w:rPr>
          <w:rFonts w:ascii="Arial" w:cs="Arial" w:eastAsia="Arial" w:hAnsi="Arial"/>
          <w:sz w:val="17"/>
          <w:szCs w:val="17"/>
          <w:color w:val="auto"/>
        </w:rPr>
        <w:t>During the first quarter of fiscal 2022, the Company received net proceeds of $118.7 million under the Credit Facility, and $59.3 million under the Securitization Program. During the first quarter of fiscal 2022, the Company paid dividends on common stock of $23.9 million and repurchased $9.6 million of common stock.</w:t>
      </w:r>
    </w:p>
    <w:p>
      <w:pPr>
        <w:spacing w:after="0" w:line="165" w:lineRule="exact"/>
        <w:rPr>
          <w:sz w:val="20"/>
          <w:szCs w:val="20"/>
          <w:color w:val="auto"/>
        </w:rPr>
      </w:pPr>
    </w:p>
    <w:p>
      <w:pPr>
        <w:ind w:left="60" w:right="119" w:firstLine="432"/>
        <w:spacing w:after="0" w:line="263" w:lineRule="auto"/>
        <w:rPr>
          <w:sz w:val="20"/>
          <w:szCs w:val="20"/>
          <w:color w:val="auto"/>
        </w:rPr>
      </w:pPr>
      <w:r>
        <w:rPr>
          <w:rFonts w:ascii="Arial" w:cs="Arial" w:eastAsia="Arial" w:hAnsi="Arial"/>
          <w:sz w:val="18"/>
          <w:szCs w:val="18"/>
          <w:color w:val="auto"/>
        </w:rPr>
        <w:t>During the first quarter of fiscal 2021, the Company received net proceeds of $166.9 million under the Securitization Program and made a net repayment of $234.2 million under the Credit Facility. During the first quarter of fiscal 2021, the Company paid dividends on common stock of $20.8 million.</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ind w:left="60" w:right="139" w:firstLine="432"/>
        <w:spacing w:after="0" w:line="263" w:lineRule="auto"/>
        <w:rPr>
          <w:sz w:val="20"/>
          <w:szCs w:val="20"/>
          <w:color w:val="auto"/>
        </w:rPr>
      </w:pPr>
      <w:r>
        <w:rPr>
          <w:rFonts w:ascii="Arial" w:cs="Arial" w:eastAsia="Arial" w:hAnsi="Arial"/>
          <w:sz w:val="18"/>
          <w:szCs w:val="18"/>
          <w:color w:val="auto"/>
        </w:rPr>
        <w:t>During the first quarter of fiscal 2022, the Company used $12.0 million for capital expenditures compared to $20.0 million for capital expenditures in the first quarter of fiscal 2021. During the first quarter of fiscal 2021, the Company paid $18.7 million for an asset acquisition.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firstLine="432"/>
        <w:spacing w:after="0" w:line="296"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Long-Term Contractual Obligations</w:t>
      </w:r>
      <w:r>
        <w:rPr>
          <w:rFonts w:ascii="Arial" w:cs="Arial" w:eastAsia="Arial" w:hAnsi="Arial"/>
          <w:sz w:val="16"/>
          <w:szCs w:val="16"/>
          <w:color w:val="auto"/>
        </w:rPr>
        <w:t xml:space="preserve"> appearing in Item 7 of the Company’s Annual Report on Form 10-K for the fiscal year ended July 3, 2021.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60" w:right="99" w:firstLine="432"/>
        <w:spacing w:after="0" w:line="279" w:lineRule="auto"/>
        <w:rPr>
          <w:sz w:val="20"/>
          <w:szCs w:val="20"/>
          <w:color w:val="auto"/>
        </w:rPr>
      </w:pPr>
      <w:r>
        <w:rPr>
          <w:rFonts w:ascii="Arial" w:cs="Arial" w:eastAsia="Arial" w:hAnsi="Arial"/>
          <w:sz w:val="17"/>
          <w:szCs w:val="17"/>
          <w:color w:val="auto"/>
        </w:rPr>
        <w:t>See Note 4, “Debt” to the Company’s consolidated financial statements included in this Quarterly Report on Form 10-Q for additional information on financing transactions including the Credit Facility, the Securitization Program, and other outstanding debt as of October 2, 2021. The Company was in compliance with all covenants under the Credit Facility and the Securitization Program as of October 2, 2021, and July 3, 2021.</w:t>
      </w:r>
    </w:p>
    <w:p>
      <w:pPr>
        <w:spacing w:after="0" w:line="171" w:lineRule="exact"/>
        <w:rPr>
          <w:sz w:val="20"/>
          <w:szCs w:val="20"/>
          <w:color w:val="auto"/>
        </w:rPr>
      </w:pPr>
    </w:p>
    <w:p>
      <w:pPr>
        <w:ind w:left="60" w:right="239" w:firstLine="427"/>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2022 was $116.7 million.</w:t>
      </w:r>
    </w:p>
    <w:p>
      <w:pPr>
        <w:spacing w:after="0" w:line="187" w:lineRule="exact"/>
        <w:rPr>
          <w:sz w:val="20"/>
          <w:szCs w:val="20"/>
          <w:color w:val="auto"/>
        </w:rPr>
      </w:pPr>
    </w:p>
    <w:p>
      <w:pPr>
        <w:ind w:left="60" w:right="59" w:firstLine="427"/>
        <w:spacing w:after="0" w:line="27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first-party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79" w:firstLine="432"/>
        <w:spacing w:after="0" w:line="263" w:lineRule="auto"/>
        <w:rPr>
          <w:sz w:val="20"/>
          <w:szCs w:val="20"/>
          <w:color w:val="auto"/>
        </w:rPr>
      </w:pPr>
      <w:r>
        <w:rPr>
          <w:rFonts w:ascii="Arial" w:cs="Arial" w:eastAsia="Arial" w:hAnsi="Arial"/>
          <w:sz w:val="18"/>
          <w:szCs w:val="18"/>
          <w:color w:val="auto"/>
        </w:rPr>
        <w:t>The Company held cash and cash equivalents of $299.1 million as of October 2, 2021, of which $236.5 million was held outside the United States. As of July 3, 2021, the Company held cash and cash equivalents of $199.7 million, of which $150.5 million was held outside of the United States.</w:t>
      </w:r>
    </w:p>
    <w:p>
      <w:pPr>
        <w:spacing w:after="0" w:line="184" w:lineRule="exact"/>
        <w:rPr>
          <w:sz w:val="20"/>
          <w:szCs w:val="20"/>
          <w:color w:val="auto"/>
        </w:rPr>
      </w:pPr>
    </w:p>
    <w:p>
      <w:pPr>
        <w:ind w:left="60" w:right="179" w:firstLine="427"/>
        <w:spacing w:after="0" w:line="255" w:lineRule="auto"/>
        <w:rPr>
          <w:sz w:val="20"/>
          <w:szCs w:val="20"/>
          <w:color w:val="auto"/>
        </w:rPr>
      </w:pPr>
      <w:r>
        <w:rPr>
          <w:rFonts w:ascii="Arial" w:cs="Arial" w:eastAsia="Arial" w:hAnsi="Arial"/>
          <w:sz w:val="18"/>
          <w:szCs w:val="18"/>
          <w:color w:val="auto"/>
        </w:rPr>
        <w:t>As of the end of the first quarter of fiscal 2022, the Company had a combined total borrowing capacity of $1.70 billion under the Credit Facility and the Securitization Program. There were $115.9 million in borrowings outstanding and $1.2 million in letters of credit issued under the Credit Facility, and $82.2 million outstanding under the Securitization Program, resulting in approximately $1.48 billion of total availability as of October 2, 2021. Availability under the Securitization Program is subject to the Company having sufficient eligible trade accounts receivable in the United States to support desired borrowings.</w:t>
      </w:r>
    </w:p>
    <w:p>
      <w:pPr>
        <w:spacing w:after="0" w:line="192" w:lineRule="exact"/>
        <w:rPr>
          <w:sz w:val="20"/>
          <w:szCs w:val="20"/>
          <w:color w:val="auto"/>
        </w:rPr>
      </w:pPr>
    </w:p>
    <w:p>
      <w:pPr>
        <w:ind w:left="60" w:right="499" w:firstLine="432"/>
        <w:spacing w:after="0" w:line="342" w:lineRule="auto"/>
        <w:rPr>
          <w:sz w:val="20"/>
          <w:szCs w:val="20"/>
          <w:color w:val="auto"/>
        </w:rPr>
      </w:pPr>
      <w:r>
        <w:rPr>
          <w:rFonts w:ascii="Arial" w:cs="Arial" w:eastAsia="Arial" w:hAnsi="Arial"/>
          <w:sz w:val="16"/>
          <w:szCs w:val="16"/>
          <w:color w:val="auto"/>
        </w:rPr>
        <w:t>During the first quarter of fiscal 2022, the Company had an average daily balance outstanding of approximately $353.0 million under the Credit Facility and approximately $139.4 million under the Securitization Program.</w:t>
      </w:r>
    </w:p>
    <w:p>
      <w:pPr>
        <w:spacing w:after="0" w:line="124" w:lineRule="exact"/>
        <w:rPr>
          <w:sz w:val="20"/>
          <w:szCs w:val="20"/>
          <w:color w:val="auto"/>
        </w:rPr>
      </w:pPr>
    </w:p>
    <w:p>
      <w:pPr>
        <w:ind w:left="60" w:right="139"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$62.5 million in cash flows for operating activities over the trailing four fiscal quarters ended October 2, 2021.</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93" w:lineRule="auto"/>
        <w:rPr>
          <w:sz w:val="20"/>
          <w:szCs w:val="20"/>
          <w:color w:val="auto"/>
        </w:rPr>
      </w:pPr>
      <w:r>
        <w:rPr>
          <w:rFonts w:ascii="Arial" w:cs="Arial" w:eastAsia="Arial" w:hAnsi="Arial"/>
          <w:sz w:val="16"/>
          <w:szCs w:val="16"/>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64" w:lineRule="exact"/>
        <w:rPr>
          <w:sz w:val="20"/>
          <w:szCs w:val="20"/>
          <w:color w:val="auto"/>
        </w:rPr>
      </w:pPr>
    </w:p>
    <w:p>
      <w:pPr>
        <w:ind w:left="60" w:right="139" w:firstLine="427"/>
        <w:spacing w:after="0" w:line="255" w:lineRule="auto"/>
        <w:rPr>
          <w:sz w:val="20"/>
          <w:szCs w:val="20"/>
          <w:color w:val="auto"/>
        </w:rPr>
      </w:pPr>
      <w:r>
        <w:rPr>
          <w:rFonts w:ascii="Arial" w:cs="Arial" w:eastAsia="Arial" w:hAnsi="Arial"/>
          <w:sz w:val="18"/>
          <w:szCs w:val="18"/>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capital markets, if needed. The Company has historically generated operating cash flows and believes it will have the ability to do so in the future.</w:t>
      </w:r>
    </w:p>
    <w:p>
      <w:pPr>
        <w:spacing w:after="0" w:line="192" w:lineRule="exact"/>
        <w:rPr>
          <w:sz w:val="20"/>
          <w:szCs w:val="20"/>
          <w:color w:val="auto"/>
        </w:rPr>
      </w:pPr>
    </w:p>
    <w:p>
      <w:pPr>
        <w:ind w:left="60" w:right="419" w:firstLine="427"/>
        <w:spacing w:after="0" w:line="296" w:lineRule="auto"/>
        <w:rPr>
          <w:sz w:val="20"/>
          <w:szCs w:val="20"/>
          <w:color w:val="auto"/>
        </w:rPr>
      </w:pPr>
      <w:r>
        <w:rPr>
          <w:rFonts w:ascii="Arial" w:cs="Arial" w:eastAsia="Arial" w:hAnsi="Arial"/>
          <w:sz w:val="16"/>
          <w:szCs w:val="16"/>
          <w:color w:val="auto"/>
        </w:rPr>
        <w:t>As of October 2, 2021, the Company may repurchase up to an aggregate of $458.5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first quarter of fiscal 2022, the Company repurchased $10.5 million of common stock.</w:t>
      </w:r>
    </w:p>
    <w:p>
      <w:pPr>
        <w:spacing w:after="0" w:line="161" w:lineRule="exact"/>
        <w:rPr>
          <w:sz w:val="20"/>
          <w:szCs w:val="20"/>
          <w:color w:val="auto"/>
        </w:rPr>
      </w:pPr>
    </w:p>
    <w:p>
      <w:pPr>
        <w:ind w:left="60" w:right="159" w:firstLine="427"/>
        <w:spacing w:after="0" w:line="311"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first quarter of fiscal 2022, the Board of Directors approved a dividend of $0.24 per share, which resulted in $23.9 million of dividend payments during the quarter.</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31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ind w:left="60" w:right="7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July 3, 2021, for further discussion of market risks associated with foreign currency exchange rates and interest rates. Avnet’s exposure to such risks has not changed materially since July 3, 2021,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66" w:lineRule="exact"/>
        <w:rPr>
          <w:sz w:val="20"/>
          <w:szCs w:val="20"/>
          <w:color w:val="auto"/>
        </w:rPr>
      </w:pPr>
    </w:p>
    <w:p>
      <w:pPr>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October 2, 2021, approximately 86% of the Company’s debt bears interest at a fixed rate and 14% of the Company’s debt bears interest at variable rates. Therefore, a hypothetical 1.0% (100 basis points) increase in interest rates would result in a $0.5 million decrease in income before income taxes in the Company’s consolidated statement of operations for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60" w:right="99" w:firstLine="432"/>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85" w:lineRule="exact"/>
        <w:rPr>
          <w:sz w:val="20"/>
          <w:szCs w:val="20"/>
          <w:color w:val="auto"/>
        </w:rPr>
      </w:pPr>
    </w:p>
    <w:p>
      <w:pPr>
        <w:ind w:left="60" w:right="59" w:firstLine="432"/>
        <w:spacing w:after="0" w:line="263" w:lineRule="auto"/>
        <w:rPr>
          <w:sz w:val="20"/>
          <w:szCs w:val="20"/>
          <w:color w:val="auto"/>
        </w:rPr>
      </w:pPr>
      <w:r>
        <w:rPr>
          <w:rFonts w:ascii="Arial" w:cs="Arial" w:eastAsia="Arial" w:hAnsi="Arial"/>
          <w:sz w:val="18"/>
          <w:szCs w:val="18"/>
          <w:color w:val="auto"/>
        </w:rPr>
        <w:t>During the first quarter of fiscal 2022,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23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78" w:lineRule="exact"/>
        <w:rPr>
          <w:sz w:val="20"/>
          <w:szCs w:val="20"/>
          <w:color w:val="auto"/>
        </w:rPr>
      </w:pPr>
    </w:p>
    <w:p>
      <w:pPr>
        <w:jc w:val="both"/>
        <w:ind w:left="60" w:right="299" w:firstLine="432"/>
        <w:spacing w:after="0" w:line="301"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5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July 3, 2021,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October 2, 2021, there have been no material changes to the risk factors set forth in the Company’s Annual Report on Form 10-K for the fiscal year ended July 3,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left="60" w:right="419" w:firstLine="432"/>
        <w:spacing w:after="0" w:line="301" w:lineRule="auto"/>
        <w:rPr>
          <w:sz w:val="20"/>
          <w:szCs w:val="20"/>
          <w:color w:val="auto"/>
        </w:rPr>
      </w:pPr>
      <w:r>
        <w:rPr>
          <w:rFonts w:ascii="Arial" w:cs="Arial" w:eastAsia="Arial" w:hAnsi="Arial"/>
          <w:sz w:val="16"/>
          <w:szCs w:val="16"/>
          <w:color w:val="auto"/>
        </w:rPr>
        <w:t>In August 2019, the Company’s Board of Directors amended the Company’s existing share repurchase program, increasing the cumulative total of authorized share repurchases to $2.95 billion of the Company’s common stock. The following table includes the Company’s monthly purchases of the Company’s common stock during the first quarter of fiscal 2022, under the share repurchase program, which is part of a publicly announced plan.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7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Purchased</w:t>
            </w:r>
          </w:p>
        </w:tc>
        <w:tc>
          <w:tcPr>
            <w:tcW w:w="1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w w:val="92"/>
              </w:rPr>
              <w:t>Purchased under the</w:t>
            </w:r>
          </w:p>
        </w:tc>
      </w:tr>
      <w:tr>
        <w:trPr>
          <w:trHeight w:val="241"/>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4 – July 31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468,992,000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August 1 – August 28</w:t>
            </w:r>
          </w:p>
        </w:tc>
        <w:tc>
          <w:tcPr>
            <w:tcW w:w="800" w:type="dxa"/>
            <w:vAlign w:val="bottom"/>
          </w:tcPr>
          <w:p>
            <w:pPr>
              <w:jc w:val="right"/>
              <w:spacing w:after="0"/>
              <w:rPr>
                <w:sz w:val="20"/>
                <w:szCs w:val="20"/>
                <w:color w:val="auto"/>
              </w:rPr>
            </w:pPr>
            <w:r>
              <w:rPr>
                <w:rFonts w:ascii="Arial" w:cs="Arial" w:eastAsia="Arial" w:hAnsi="Arial"/>
                <w:sz w:val="18"/>
                <w:szCs w:val="18"/>
                <w:color w:val="auto"/>
              </w:rPr>
              <w:t>31,415</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31,415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467,733,000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29 – October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458,489,000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399"/>
        </w:trPr>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tcBorders>
              <w:bottom w:val="single" w:sz="8" w:color="0000EE"/>
            </w:tcBorders>
            <w:gridSpan w:val="2"/>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Amendment No. 4 to the Fourth Amended and Restated Receivables Purchase Agreement, dated</w:t>
              </w:r>
            </w:hyperlink>
          </w:p>
        </w:tc>
        <w:tc>
          <w:tcPr>
            <w:tcW w:w="5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August 16, 2021, among Avnet, Inc., Avnet Receivables Corporation, Wells Fargo Bank, N.A., as</w:t>
              </w:r>
            </w:hyperlink>
          </w:p>
        </w:tc>
        <w:tc>
          <w:tcPr>
            <w:tcW w:w="5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agent, and the companies and financial institutions party thereto (incorporated herein by reference to</w:t>
              </w:r>
            </w:hyperlink>
          </w:p>
        </w:tc>
        <w:tc>
          <w:tcPr>
            <w:tcW w:w="3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gridSpan w:val="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Exhibit 10.1 to the Company’s Current Report on Form 8-K filed on August 18, 2021).</w:t>
              </w:r>
            </w:hyperlink>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6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Certification of Chief Executive Officer pursuant to Section 302 of the Sarbanes-Oxley Act of 2002.</w:t>
              </w:r>
            </w:hyperlink>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Chief Executive Officer pursuant to Section 906 of the Sarbanes-Oxley Act of 2002.</w:t>
              </w:r>
            </w:hyperlink>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40" w:right="139" w:hanging="530"/>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29, 2021</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31750</wp:posOffset>
            </wp:positionV>
            <wp:extent cx="32404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Philip R. Gallagher</w:t>
      </w:r>
    </w:p>
    <w:p>
      <w:pPr>
        <w:spacing w:after="0" w:line="7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657860</wp:posOffset>
            </wp:positionV>
            <wp:extent cx="649795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58" w:lineRule="exact"/>
        <w:rPr>
          <w:sz w:val="20"/>
          <w:szCs w:val="20"/>
          <w:color w:val="auto"/>
        </w:rPr>
      </w:pPr>
    </w:p>
    <w:p>
      <w:pPr>
        <w:ind w:left="640" w:hanging="32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14605</wp:posOffset>
            </wp:positionV>
            <wp:extent cx="3215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675005</wp:posOffset>
            </wp:positionV>
            <wp:extent cx="64979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October 2, 2021 (the “Report”), I, Philip 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29, 2021</w:t>
      </w: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right="419"/>
        <w:spacing w:after="0" w:line="324" w:lineRule="auto"/>
        <w:rPr>
          <w:sz w:val="20"/>
          <w:szCs w:val="20"/>
          <w:color w:val="auto"/>
        </w:rPr>
      </w:pPr>
      <w:r>
        <w:rPr>
          <w:rFonts w:ascii="Arial" w:cs="Arial" w:eastAsia="Arial" w:hAnsi="Arial"/>
          <w:sz w:val="18"/>
          <w:szCs w:val="18"/>
          <w:color w:val="auto"/>
        </w:rPr>
        <w:t>In connection with the Quarterly Report on Form 10-Q for the period ended October 2, 2021 (the “Report”), I, Thomas Liguori, Chief Financial Officer of Avnet, Inc. (the “Company”) hereby certify that:</w:t>
      </w:r>
    </w:p>
    <w:p>
      <w:pPr>
        <w:spacing w:after="0" w:line="62" w:lineRule="exact"/>
        <w:rPr>
          <w:sz w:val="20"/>
          <w:szCs w:val="20"/>
          <w:color w:val="auto"/>
        </w:rPr>
      </w:pPr>
    </w:p>
    <w:p>
      <w:pPr>
        <w:ind w:left="700" w:right="699" w:hanging="332"/>
        <w:spacing w:after="0" w:line="32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29, 2021</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802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Thomas Liguori</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44" Type="http://schemas.openxmlformats.org/officeDocument/2006/relationships/hyperlink" Target="https://www.sec.gov/Archives/edgar/data/8858/000110465921107076/tm21253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2021-10-29T05:22:08Z</dcterms:created>
  <dcterms:modified xsi:type="dcterms:W3CDTF">2021-10-29T05:22:08Z</dcterms:modified>
</cp:coreProperties>
</file>