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28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March 30, 2024</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5"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2"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120" w:firstLine="427"/>
        <w:spacing w:after="0" w:line="282" w:lineRule="auto"/>
        <w:rPr>
          <w:sz w:val="20"/>
          <w:szCs w:val="20"/>
          <w:color w:val="auto"/>
        </w:rPr>
      </w:pPr>
      <w:r>
        <w:rPr>
          <w:rFonts w:ascii="Times New Roman" w:cs="Times New Roman" w:eastAsia="Times New Roman" w:hAnsi="Times New Roman"/>
          <w:sz w:val="18"/>
          <w:szCs w:val="18"/>
          <w:color w:val="auto"/>
        </w:rPr>
        <w:t>As of April 27, 2024, the total number of shares outstanding of the registrant’s Common Stock was 90,380,230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798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1"/>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40" w:type="dxa"/>
            <w:vAlign w:val="bottom"/>
            <w:gridSpan w:val="13"/>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40" w:type="dxa"/>
            <w:vAlign w:val="bottom"/>
            <w:gridSpan w:val="13"/>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Balance Sheets at March 30, 2024, and July 1,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third quarters and nine months ended March 30, 2024,</w:t>
            </w:r>
          </w:p>
        </w:tc>
        <w:tc>
          <w:tcPr>
            <w:tcW w:w="32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and April 1, 2023</w:t>
            </w:r>
          </w:p>
        </w:tc>
        <w:tc>
          <w:tcPr>
            <w:tcW w:w="6200" w:type="dxa"/>
            <w:vAlign w:val="bottom"/>
            <w:gridSpan w:val="1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third quarters and nine months ended March</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30, 2024, and April 1, 2023</w:t>
            </w:r>
          </w:p>
        </w:tc>
        <w:tc>
          <w:tcPr>
            <w:tcW w:w="5360" w:type="dxa"/>
            <w:vAlign w:val="bottom"/>
            <w:tcBorders>
              <w:top w:val="single" w:sz="8" w:color="0000EE"/>
            </w:tcBorders>
            <w:gridSpan w:val="13"/>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third quarters and nine months ended March</w:t>
            </w:r>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30, 2024, and April 1, 2023</w:t>
            </w:r>
          </w:p>
        </w:tc>
        <w:tc>
          <w:tcPr>
            <w:tcW w:w="544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0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nine months ended March 30, 2024, and April 1, 2023</w:t>
            </w:r>
          </w:p>
        </w:tc>
        <w:tc>
          <w:tcPr>
            <w:tcW w:w="26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9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7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20" w:type="dxa"/>
            <w:vAlign w:val="bottom"/>
          </w:tcPr>
          <w:p>
            <w:pPr>
              <w:jc w:val="center"/>
              <w:ind w:right="3710"/>
              <w:spacing w:after="0"/>
              <w:rPr>
                <w:sz w:val="20"/>
                <w:szCs w:val="20"/>
                <w:color w:val="auto"/>
              </w:rPr>
            </w:pPr>
            <w:r>
              <w:rPr>
                <w:rFonts w:ascii="Times New Roman" w:cs="Times New Roman" w:eastAsia="Times New Roman" w:hAnsi="Times New Roman"/>
                <w:sz w:val="18"/>
                <w:szCs w:val="18"/>
                <w:b w:val="1"/>
                <w:bCs w:val="1"/>
                <w:i w:val="1"/>
                <w:iCs w:val="1"/>
                <w:color w:val="auto"/>
                <w:w w:val="99"/>
              </w:rPr>
              <w:t>Financial Statements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March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b w:val="1"/>
                <w:bCs w:val="1"/>
                <w:color w:val="auto"/>
                <w:w w:val="97"/>
              </w:rPr>
              <w:t>(Thousands,</w:t>
            </w:r>
          </w:p>
        </w:tc>
        <w:tc>
          <w:tcPr>
            <w:tcW w:w="200" w:type="dxa"/>
            <w:vAlign w:val="bottom"/>
          </w:tcPr>
          <w:p>
            <w:pPr>
              <w:spacing w:after="0"/>
              <w:rPr>
                <w:sz w:val="15"/>
                <w:szCs w:val="15"/>
                <w:color w:val="auto"/>
              </w:rPr>
            </w:pPr>
          </w:p>
        </w:tc>
        <w:tc>
          <w:tcPr>
            <w:tcW w:w="1020" w:type="dxa"/>
            <w:vAlign w:val="bottom"/>
            <w:gridSpan w:val="2"/>
          </w:tcPr>
          <w:p>
            <w:pPr>
              <w:jc w:val="right"/>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85"/>
              </w:rPr>
              <w:t>except share</w:t>
            </w:r>
          </w:p>
        </w:tc>
        <w:tc>
          <w:tcPr>
            <w:tcW w:w="10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4,315,063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4,763,788</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5,751,872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5,465,031</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200,428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233,804</w:t>
            </w:r>
          </w:p>
        </w:tc>
        <w:tc>
          <w:tcPr>
            <w:tcW w:w="10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10,485,836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10,750,853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441,557</w:t>
            </w:r>
          </w:p>
        </w:tc>
        <w:tc>
          <w:tcPr>
            <w:tcW w:w="10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780,629</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221,698</w:t>
            </w:r>
          </w:p>
        </w:tc>
        <w:tc>
          <w:tcPr>
            <w:tcW w:w="10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277,763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282,422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12,325,237</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12,477,159</w:t>
            </w:r>
          </w:p>
        </w:tc>
        <w:tc>
          <w:tcPr>
            <w:tcW w:w="10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89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548,519</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3,324,043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3,373,820</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753,130</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51,792</w:t>
            </w:r>
          </w:p>
        </w:tc>
        <w:tc>
          <w:tcPr>
            <w:tcW w:w="10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4,492,672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4,249,378</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2,406,421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2,988,029</w:t>
            </w: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190,621</w:t>
            </w:r>
          </w:p>
        </w:tc>
        <w:tc>
          <w:tcPr>
            <w:tcW w:w="10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253,620</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297,462</w:t>
            </w:r>
          </w:p>
        </w:tc>
        <w:tc>
          <w:tcPr>
            <w:tcW w:w="100" w:type="dxa"/>
            <w:vAlign w:val="bottom"/>
            <w:tcBorders>
              <w:bottom w:val="single" w:sz="8" w:color="CCEEFF"/>
            </w:tcBorders>
          </w:tcPr>
          <w:p>
            <w:pPr>
              <w:spacing w:after="0"/>
              <w:rPr>
                <w:sz w:val="19"/>
                <w:szCs w:val="19"/>
                <w:color w:val="auto"/>
              </w:rPr>
            </w:pPr>
          </w:p>
        </w:tc>
      </w:tr>
      <w:tr>
        <w:trPr>
          <w:trHeight w:val="23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7,336,140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7,725,490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03"/>
        </w:trPr>
        <w:tc>
          <w:tcPr>
            <w:tcW w:w="636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90,395,434 shares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60" w:type="dxa"/>
            <w:vAlign w:val="bottom"/>
            <w:gridSpan w:val="2"/>
          </w:tcPr>
          <w:p>
            <w:pPr>
              <w:jc w:val="center"/>
              <w:ind w:right="2750"/>
              <w:spacing w:after="0"/>
              <w:rPr>
                <w:sz w:val="20"/>
                <w:szCs w:val="20"/>
                <w:color w:val="auto"/>
              </w:rPr>
            </w:pPr>
            <w:r>
              <w:rPr>
                <w:rFonts w:ascii="Times New Roman" w:cs="Times New Roman" w:eastAsia="Times New Roman" w:hAnsi="Times New Roman"/>
                <w:sz w:val="18"/>
                <w:szCs w:val="18"/>
                <w:color w:val="auto"/>
                <w:w w:val="99"/>
              </w:rPr>
              <w:t>and 91,504,053 shares,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90,395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91,504</w:t>
            </w:r>
          </w:p>
        </w:tc>
        <w:tc>
          <w:tcPr>
            <w:tcW w:w="10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1,709,747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1,691,334</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3,625,012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3,378,212</w:t>
            </w:r>
          </w:p>
        </w:tc>
        <w:tc>
          <w:tcPr>
            <w:tcW w:w="10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(436,057)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(409,381)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4,989,097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4,751,669</w:t>
            </w:r>
          </w:p>
        </w:tc>
        <w:tc>
          <w:tcPr>
            <w:tcW w:w="100" w:type="dxa"/>
            <w:vAlign w:val="bottom"/>
            <w:tcBorders>
              <w:bottom w:val="single" w:sz="8" w:color="CCEEFF"/>
            </w:tcBorders>
          </w:tcPr>
          <w:p>
            <w:pPr>
              <w:spacing w:after="0"/>
              <w:rPr>
                <w:sz w:val="18"/>
                <w:szCs w:val="18"/>
                <w:color w:val="auto"/>
              </w:rPr>
            </w:pPr>
          </w:p>
        </w:tc>
      </w:tr>
      <w:tr>
        <w:trPr>
          <w:trHeight w:val="21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12,325,237</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12,477,159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gridSpan w:val="8"/>
          </w:tcPr>
          <w:p>
            <w:pPr>
              <w:ind w:left="84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(Thousands, except per share amounts)</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5,653,591</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6,514,619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18,194,153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19,982,273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3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4,984,318</w:t>
            </w:r>
          </w:p>
        </w:tc>
        <w:tc>
          <w:tcPr>
            <w:tcW w:w="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5,702,771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16,070,591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17,618,151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669,273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811,848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2,123,562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467,275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1,419,253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1,460,984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313,629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680,177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903,138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(175,813)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101,948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243,587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530,939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792,482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56,161</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176,910</w:t>
            </w: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88,834</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187,426</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416,033</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615,572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2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20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91,436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90,726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91,256</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92,456</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92,075</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93,616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3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0.29</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0.93</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20" w:type="dxa"/>
            <w:vAlign w:val="bottom"/>
          </w:tcPr>
          <w:p>
            <w:pPr>
              <w:spacing w:after="0"/>
              <w:rPr>
                <w:sz w:val="21"/>
                <w:szCs w:val="21"/>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220" w:type="dxa"/>
            <w:vAlign w:val="bottom"/>
          </w:tcPr>
          <w:p>
            <w:pPr>
              <w:spacing w:after="0"/>
              <w:rPr>
                <w:sz w:val="16"/>
                <w:szCs w:val="16"/>
                <w:color w:val="auto"/>
              </w:rPr>
            </w:pPr>
          </w:p>
        </w:tc>
        <w:tc>
          <w:tcPr>
            <w:tcW w:w="8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6"/>
              </w:rPr>
              <w:t>March 30,</w:t>
            </w:r>
          </w:p>
        </w:tc>
        <w:tc>
          <w:tcPr>
            <w:tcW w:w="220" w:type="dxa"/>
            <w:vAlign w:val="bottom"/>
          </w:tcPr>
          <w:p>
            <w:pPr>
              <w:spacing w:after="0"/>
              <w:rPr>
                <w:sz w:val="16"/>
                <w:szCs w:val="16"/>
                <w:color w:val="auto"/>
              </w:rPr>
            </w:pPr>
          </w:p>
        </w:tc>
        <w:tc>
          <w:tcPr>
            <w:tcW w:w="78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44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ind w:right="3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$ 416,033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$ 615,572</w:t>
            </w:r>
          </w:p>
        </w:tc>
      </w:tr>
      <w:tr>
        <w:trPr>
          <w:trHeight w:val="216"/>
        </w:trPr>
        <w:tc>
          <w:tcPr>
            <w:tcW w:w="4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101,671</w:t>
            </w:r>
          </w:p>
        </w:tc>
      </w:tr>
      <w:tr>
        <w:trPr>
          <w:trHeight w:val="216"/>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(15,407)</w:t>
            </w:r>
          </w:p>
        </w:tc>
      </w:tr>
      <w:tr>
        <w:trPr>
          <w:trHeight w:val="236"/>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w:t>
            </w:r>
          </w:p>
        </w:tc>
      </w:tr>
      <w:tr>
        <w:trPr>
          <w:trHeight w:val="210"/>
        </w:trPr>
        <w:tc>
          <w:tcPr>
            <w:tcW w:w="4400" w:type="dxa"/>
            <w:vAlign w:val="bottom"/>
            <w:tcBorders>
              <w:top w:val="single" w:sz="8" w:color="CCEEFF"/>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58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(78,604)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45,062</w:t>
            </w:r>
          </w:p>
        </w:tc>
        <w:tc>
          <w:tcPr>
            <w:tcW w:w="220" w:type="dxa"/>
            <w:vAlign w:val="bottom"/>
            <w:tcBorders>
              <w:top w:val="single" w:sz="8" w:color="CCEEFF"/>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(26,676)</w:t>
            </w:r>
          </w:p>
        </w:tc>
        <w:tc>
          <w:tcPr>
            <w:tcW w:w="220" w:type="dxa"/>
            <w:vAlign w:val="bottom"/>
            <w:tcBorders>
              <w:top w:val="single" w:sz="8" w:color="CCEEFF"/>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96,850</w:t>
            </w:r>
          </w:p>
        </w:tc>
      </w:tr>
      <w:tr>
        <w:trPr>
          <w:trHeight w:val="216"/>
        </w:trPr>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5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10,230</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232,488</w:t>
            </w:r>
          </w:p>
        </w:tc>
        <w:tc>
          <w:tcPr>
            <w:tcW w:w="2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$ 389,357</w:t>
            </w: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$ 712,422</w:t>
            </w:r>
          </w:p>
        </w:tc>
      </w:tr>
      <w:tr>
        <w:trPr>
          <w:trHeight w:val="20"/>
        </w:trPr>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91,504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$ 91,504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$ 1,691,334</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$ 3,378,212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(409,381)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4,751,669</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209,268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209,268</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(93,761)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(93,761)</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(28,320)</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(28,320)</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(26,484)</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(27,043)</w:t>
            </w: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1,702,065</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3,532,676</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(503,142)</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4,822,583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117,931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117,931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145,689</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(27,817)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(27,817)</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(1,255)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(58,595)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(59,850)</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11,847</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30,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89,760</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89,760</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1,713,881</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3,564,195</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(357,453)</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5,010,383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88,834</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88,834</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(78,604)</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(78,604)</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(28,017)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(28,017)</w:t>
            </w: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(4,134)</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w:t>
            </w:r>
          </w:p>
        </w:tc>
      </w:tr>
      <w:tr>
        <w:trPr>
          <w:trHeight w:val="189"/>
        </w:trPr>
        <w:tc>
          <w:tcPr>
            <w:tcW w:w="2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March 30, 2024</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90,395</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$ 90,395</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9"/>
              </w:rPr>
              <w:t>$ 1,709,747</w:t>
            </w: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$ 3,625,012</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(436,057)</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4,989,097</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57"/>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2"/>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4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4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2,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95,702</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$ 95,702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$ 1,656,907</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$ 2,921,399</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(481,248)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4,192,760</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184,261</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184,261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(191,797)</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(191,797)</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(26,998)</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(26,998)</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(3,445)</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(3,445)</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(144,457)</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(147,902)</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9,011</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October 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92,329</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92,329</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1,665,846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2,934,205</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(673,045)</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4,019,335</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243,886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243,886</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243,585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243,585</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(26,307)</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(26,307)</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(1,629)</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(62,795)</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(64,424)</w:t>
            </w: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13,588</w:t>
            </w:r>
          </w:p>
        </w:tc>
      </w:tr>
      <w:tr>
        <w:trPr>
          <w:trHeight w:val="203"/>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December 31, 2022</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90,735</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90,735</w:t>
            </w: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1,679,399</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3,088,989</w:t>
            </w: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(429,460)</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4,429,663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187,426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187,426</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45,062</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(26,503)</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(26,503)</w:t>
            </w:r>
          </w:p>
        </w:tc>
      </w:tr>
      <w:tr>
        <w:trPr>
          <w:trHeight w:val="22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(726)</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190"/>
        </w:trPr>
        <w:tc>
          <w:tcPr>
            <w:tcW w:w="2640" w:type="dxa"/>
            <w:vAlign w:val="bottom"/>
            <w:tcBorders>
              <w:top w:val="single" w:sz="8" w:color="CCEEFF"/>
            </w:tcBorders>
          </w:tcPr>
          <w:p>
            <w:pPr>
              <w:ind w:left="20"/>
              <w:spacing w:after="0" w:line="189" w:lineRule="exact"/>
              <w:rPr>
                <w:sz w:val="20"/>
                <w:szCs w:val="20"/>
                <w:color w:val="auto"/>
              </w:rPr>
            </w:pPr>
            <w:r>
              <w:rPr>
                <w:rFonts w:ascii="Times New Roman" w:cs="Times New Roman" w:eastAsia="Times New Roman" w:hAnsi="Times New Roman"/>
                <w:sz w:val="17"/>
                <w:szCs w:val="17"/>
                <w:b w:val="1"/>
                <w:bCs w:val="1"/>
                <w:color w:val="auto"/>
              </w:rPr>
              <w:t>Balance, April 1, 2023</w:t>
            </w: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91,414</w:t>
            </w:r>
          </w:p>
        </w:tc>
        <w:tc>
          <w:tcPr>
            <w:tcW w:w="180" w:type="dxa"/>
            <w:vAlign w:val="bottom"/>
            <w:tcBorders>
              <w:top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$ 91,414</w:t>
            </w:r>
          </w:p>
        </w:tc>
        <w:tc>
          <w:tcPr>
            <w:tcW w:w="180" w:type="dxa"/>
            <w:vAlign w:val="bottom"/>
            <w:tcBorders>
              <w:top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99"/>
              </w:rPr>
              <w:t>$ 1,678,673</w:t>
            </w: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$ 3,249,912</w:t>
            </w: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(384,398)</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4,635,601</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6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416,033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(242,698)</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415,730</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Issuance of notes, net of discounts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accounts receivable securitization,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senior unsecured credit facility,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bank credit facilities and other debt, net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provided by financing activities</w:t>
            </w: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(284,487)</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(199,581)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(154,130)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(decrease) increase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end of period</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vMerge w:val="restart"/>
          </w:tcPr>
          <w:p>
            <w:pPr>
              <w:jc w:val="center"/>
              <w:ind w:left="93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64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88"/>
              </w:rPr>
              <w:t>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1520" w:right="2060"/>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229"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2023 balances to correspond to the fiscal 2024 consolidated financial statement presentation.</w:t>
      </w:r>
    </w:p>
    <w:p>
      <w:pPr>
        <w:spacing w:after="0" w:line="183"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57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1, 2023.</w:t>
      </w:r>
    </w:p>
    <w:p>
      <w:pPr>
        <w:spacing w:after="0" w:line="15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In September 2022, the FASB issued ASU No. 2022-04, Liabilities (subtopic 405-50): Supplier Finance Programs (“ASU No. 2022-04”) to enhance the transparency of certain supplier finance programs to assist financial statement users in understanding the effect of such programs on a company’s working capital, liquidity, and cash flows. The new guidance requires qualitative and quantitative disclosure sufficient to enable users of the financial statements to understand the nature, activity during the period, changes from period to period, and potential magnitude of such programs. The Company adopted this guidance in the first quarter of fiscal 2024, except for the amendment on roll-forward information, which is effective for the Company in fiscal 2025. The Company’s adoption of ASU No. 2022-04 did not have a material impact on the Company’s consolidated financial statements.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5"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also provides further disclosure comparability. ASU No. 2023-09 will be effective for the Company in fiscal year 2026 and early adoption is permitted. The Company is currently evaluating the impact of adopting ASU No. 2023-09 on its disclosures.</w:t>
      </w:r>
    </w:p>
    <w:p>
      <w:pPr>
        <w:spacing w:after="0" w:line="183"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No. 2023-07”) which improves segment disclosure requirements, primarily through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ASU No. 2023-07 will be effective for the Company in fiscal year 2025, and interim periods beginning in fiscal year 2026 with early adoption permitted. The Company is currently evaluating the impact of adopting ASU No. 2023-07 on its disclosures.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480" w:right="7539" w:hanging="430"/>
        <w:spacing w:after="0" w:line="532" w:lineRule="auto"/>
        <w:tabs>
          <w:tab w:leader="none" w:pos="233"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spacing w:after="0" w:line="1"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220" w:type="dxa"/>
            <w:vAlign w:val="bottom"/>
          </w:tcPr>
          <w:p>
            <w:pPr>
              <w:spacing w:after="0"/>
              <w:rPr>
                <w:sz w:val="18"/>
                <w:szCs w:val="18"/>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4,427,588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4,876,631</w:t>
            </w:r>
          </w:p>
        </w:tc>
        <w:tc>
          <w:tcPr>
            <w:tcW w:w="20" w:type="dxa"/>
            <w:vAlign w:val="bottom"/>
          </w:tcPr>
          <w:p>
            <w:pPr>
              <w:spacing w:after="0"/>
              <w:rPr>
                <w:sz w:val="18"/>
                <w:szCs w:val="18"/>
                <w:color w:val="auto"/>
              </w:rPr>
            </w:pPr>
          </w:p>
        </w:tc>
      </w:tr>
      <w:tr>
        <w:trPr>
          <w:trHeight w:val="234"/>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(112,525)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20" w:type="dxa"/>
            <w:vAlign w:val="bottom"/>
          </w:tcPr>
          <w:p>
            <w:pPr>
              <w:spacing w:after="0"/>
              <w:rPr>
                <w:sz w:val="20"/>
                <w:szCs w:val="20"/>
                <w:color w:val="auto"/>
              </w:rPr>
            </w:pPr>
          </w:p>
        </w:tc>
      </w:tr>
    </w:tbl>
    <w:p>
      <w:pPr>
        <w:spacing w:after="0" w:line="179"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nine months of fiscal 2024 and fiscal 2023:</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Pr>
          <w:p>
            <w:pPr>
              <w:spacing w:after="0"/>
              <w:rPr>
                <w:sz w:val="18"/>
                <w:szCs w:val="18"/>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6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6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113,902</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8"/>
                <w:szCs w:val="18"/>
                <w:color w:val="auto"/>
              </w:rPr>
            </w:pP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(14,868)</w:t>
            </w:r>
          </w:p>
        </w:tc>
        <w:tc>
          <w:tcPr>
            <w:tcW w:w="20" w:type="dxa"/>
            <w:vAlign w:val="bottom"/>
          </w:tcPr>
          <w:p>
            <w:pPr>
              <w:spacing w:after="0"/>
              <w:rPr>
                <w:sz w:val="18"/>
                <w:szCs w:val="18"/>
                <w:color w:val="auto"/>
              </w:rPr>
            </w:pPr>
          </w:p>
        </w:tc>
      </w:tr>
      <w:tr>
        <w:trPr>
          <w:trHeight w:val="23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0" w:type="dxa"/>
            <w:vAlign w:val="bottom"/>
          </w:tcPr>
          <w:p>
            <w:pPr>
              <w:spacing w:after="0"/>
              <w:rPr>
                <w:sz w:val="20"/>
                <w:szCs w:val="20"/>
                <w:color w:val="auto"/>
              </w:rPr>
            </w:pPr>
          </w:p>
        </w:tc>
      </w:tr>
      <w:tr>
        <w:trPr>
          <w:trHeight w:val="203"/>
        </w:trPr>
        <w:tc>
          <w:tcPr>
            <w:tcW w:w="624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112,525</w:t>
            </w:r>
          </w:p>
        </w:tc>
        <w:tc>
          <w:tcPr>
            <w:tcW w:w="16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110,222</w:t>
            </w:r>
          </w:p>
        </w:tc>
        <w:tc>
          <w:tcPr>
            <w:tcW w:w="20" w:type="dxa"/>
            <w:vAlign w:val="bottom"/>
          </w:tcPr>
          <w:p>
            <w:pPr>
              <w:spacing w:after="0"/>
              <w:rPr>
                <w:sz w:val="17"/>
                <w:szCs w:val="17"/>
                <w:color w:val="auto"/>
              </w:rPr>
            </w:pPr>
          </w:p>
        </w:tc>
      </w:tr>
      <w:tr>
        <w:trPr>
          <w:trHeight w:val="20"/>
        </w:trPr>
        <w:tc>
          <w:tcPr>
            <w:tcW w:w="6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 Classified within inventories are electronic components held for supply chain service engagements where the Company is acting as an agent on behalf of an Original Equipment Manufacturer or in some cases the component supplier. Given that these supply chain services involve purchasing and warehousing components as part of the services, the Company classifies the underlying components within inventories on the consolidated balance sheets. Components held for supply chain services where the Company is acting as an agent represented approximately 11% of inventories as of March 30, 2024, and approximately 8% of inventories as of July 1, 2023.</w:t>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nine months ended March 30,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July 1, 2023 </w:t>
            </w:r>
            <w:r>
              <w:rPr>
                <w:rFonts w:ascii="Times New Roman" w:cs="Times New Roman" w:eastAsia="Times New Roman" w:hAnsi="Times New Roman"/>
                <w:sz w:val="25"/>
                <w:szCs w:val="25"/>
                <w:color w:val="auto"/>
                <w:vertAlign w:val="superscript"/>
              </w:rPr>
              <w:t>(1)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483,800</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780,629</w:t>
            </w:r>
          </w:p>
        </w:tc>
      </w:tr>
      <w:tr>
        <w:trPr>
          <w:trHeight w:val="223"/>
        </w:trPr>
        <w:tc>
          <w:tcPr>
            <w:tcW w:w="20" w:type="dxa"/>
            <w:vAlign w:val="bottom"/>
          </w:tcPr>
          <w:p>
            <w:pPr>
              <w:spacing w:after="0"/>
              <w:rPr>
                <w:sz w:val="19"/>
                <w:szCs w:val="19"/>
                <w:color w:val="auto"/>
              </w:rPr>
            </w:pPr>
          </w:p>
        </w:tc>
        <w:tc>
          <w:tcPr>
            <w:tcW w:w="38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March 30, 2024 </w:t>
            </w:r>
            <w:r>
              <w:rPr>
                <w:rFonts w:ascii="Times New Roman" w:cs="Times New Roman" w:eastAsia="Times New Roman" w:hAnsi="Times New Roman"/>
                <w:sz w:val="25"/>
                <w:szCs w:val="25"/>
                <w:color w:val="auto"/>
                <w:vertAlign w:val="superscript"/>
              </w:rPr>
              <w:t>(1)</w:t>
            </w: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296,362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484,144</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780,506</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9"/>
        </w:trPr>
        <w:tc>
          <w:tcPr>
            <w:tcW w:w="20" w:type="dxa"/>
            <w:vAlign w:val="bottom"/>
            <w:tcBorders>
              <w:bottom w:val="single" w:sz="8" w:color="0D0D0D"/>
            </w:tcBorders>
          </w:tcPr>
          <w:p>
            <w:pPr>
              <w:spacing w:after="0"/>
              <w:rPr>
                <w:sz w:val="7"/>
                <w:szCs w:val="7"/>
                <w:color w:val="auto"/>
              </w:rPr>
            </w:pPr>
          </w:p>
        </w:tc>
        <w:tc>
          <w:tcPr>
            <w:tcW w:w="2220" w:type="dxa"/>
            <w:vAlign w:val="bottom"/>
            <w:tcBorders>
              <w:bottom w:val="single" w:sz="8" w:color="0D0D0D"/>
            </w:tcBorders>
          </w:tcPr>
          <w:p>
            <w:pPr>
              <w:spacing w:after="0"/>
              <w:rPr>
                <w:sz w:val="7"/>
                <w:szCs w:val="7"/>
                <w:color w:val="auto"/>
              </w:rPr>
            </w:pPr>
          </w:p>
        </w:tc>
        <w:tc>
          <w:tcPr>
            <w:tcW w:w="16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60" w:type="dxa"/>
            <w:vAlign w:val="bottom"/>
          </w:tcPr>
          <w:p>
            <w:pPr>
              <w:spacing w:after="0"/>
              <w:rPr>
                <w:sz w:val="7"/>
                <w:szCs w:val="7"/>
                <w:color w:val="auto"/>
              </w:rPr>
            </w:pPr>
          </w:p>
        </w:tc>
      </w:tr>
    </w:tbl>
    <w:p>
      <w:pPr>
        <w:spacing w:after="0" w:line="67" w:lineRule="exact"/>
        <w:rPr>
          <w:sz w:val="20"/>
          <w:szCs w:val="20"/>
          <w:color w:val="auto"/>
        </w:rPr>
      </w:pPr>
    </w:p>
    <w:p>
      <w:pPr>
        <w:ind w:left="300" w:hanging="250"/>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3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508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09"/>
        </w:trPr>
        <w:tc>
          <w:tcPr>
            <w:tcW w:w="5080" w:type="dxa"/>
            <w:vAlign w:val="bottom"/>
            <w:tcBorders>
              <w:bottom w:val="single" w:sz="8" w:color="CCEEFF"/>
            </w:tcBorders>
          </w:tcPr>
          <w:p>
            <w:pPr>
              <w:spacing w:after="0"/>
              <w:rPr>
                <w:sz w:val="18"/>
                <w:szCs w:val="18"/>
                <w:color w:val="auto"/>
              </w:rPr>
            </w:pPr>
          </w:p>
        </w:tc>
        <w:tc>
          <w:tcPr>
            <w:tcW w:w="1800" w:type="dxa"/>
            <w:vAlign w:val="bottom"/>
            <w:tcBorders>
              <w:bottom w:val="single" w:sz="8" w:color="auto"/>
            </w:tcBorders>
            <w:gridSpan w:val="3"/>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170"/>
              <w:spacing w:after="0" w:line="202" w:lineRule="exact"/>
              <w:rPr>
                <w:sz w:val="20"/>
                <w:szCs w:val="20"/>
                <w:color w:val="auto"/>
              </w:rPr>
            </w:pPr>
            <w:r>
              <w:rPr>
                <w:rFonts w:ascii="Times New Roman" w:cs="Times New Roman" w:eastAsia="Times New Roman" w:hAnsi="Times New Roman"/>
                <w:sz w:val="18"/>
                <w:szCs w:val="18"/>
                <w:b w:val="1"/>
                <w:bCs w:val="1"/>
                <w:color w:val="auto"/>
              </w:rPr>
              <w:t>Carrying Balance</w:t>
            </w:r>
          </w:p>
        </w:tc>
        <w:tc>
          <w:tcPr>
            <w:tcW w:w="60" w:type="dxa"/>
            <w:vAlign w:val="bottom"/>
            <w:tcBorders>
              <w:bottom w:val="single" w:sz="8" w:color="CCEEFF"/>
            </w:tcBorders>
          </w:tcPr>
          <w:p>
            <w:pPr>
              <w:spacing w:after="0"/>
              <w:rPr>
                <w:sz w:val="18"/>
                <w:szCs w:val="18"/>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securitization program (due December 2024)</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140" w:type="dxa"/>
            <w:vAlign w:val="bottom"/>
          </w:tcPr>
          <w:p>
            <w:pPr>
              <w:spacing w:after="0"/>
              <w:rPr>
                <w:sz w:val="18"/>
                <w:szCs w:val="18"/>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475,700</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5.61 %</w:t>
            </w: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72,819</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70,636</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5080" w:type="dxa"/>
            <w:vAlign w:val="bottom"/>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548,519</w:t>
            </w:r>
          </w:p>
        </w:tc>
        <w:tc>
          <w:tcPr>
            <w:tcW w:w="1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70,636</w:t>
            </w:r>
          </w:p>
        </w:tc>
        <w:tc>
          <w:tcPr>
            <w:tcW w:w="60" w:type="dxa"/>
            <w:vAlign w:val="bottom"/>
          </w:tcPr>
          <w:p>
            <w:pPr>
              <w:spacing w:after="0"/>
              <w:rPr>
                <w:sz w:val="17"/>
                <w:szCs w:val="17"/>
                <w:color w:val="auto"/>
              </w:rPr>
            </w:pPr>
          </w:p>
        </w:tc>
      </w:tr>
      <w:tr>
        <w:trPr>
          <w:trHeight w:val="20"/>
        </w:trPr>
        <w:tc>
          <w:tcPr>
            <w:tcW w:w="5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4" w:lineRule="auto"/>
        <w:rPr>
          <w:sz w:val="20"/>
          <w:szCs w:val="20"/>
          <w:color w:val="auto"/>
        </w:rPr>
      </w:pPr>
      <w:r>
        <w:rPr>
          <w:rFonts w:ascii="Times New Roman" w:cs="Times New Roman" w:eastAsia="Times New Roman" w:hAnsi="Times New Roman"/>
          <w:sz w:val="18"/>
          <w:szCs w:val="18"/>
          <w:color w:val="auto"/>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$700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$1.13 billion and $1.27 billion at March 30, 2024, and July 1, 2023, respectively. The Securitization Program contains certain covenants relating to the quality of the receivables sold.</w:t>
      </w:r>
    </w:p>
    <w:p>
      <w:pPr>
        <w:spacing w:after="0" w:line="188"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July 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6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2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200" w:type="dxa"/>
            <w:vAlign w:val="bottom"/>
            <w:tcBorders>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230"/>
              <w:spacing w:after="0" w:line="202" w:lineRule="exact"/>
              <w:rPr>
                <w:sz w:val="20"/>
                <w:szCs w:val="20"/>
                <w:color w:val="auto"/>
              </w:rPr>
            </w:pPr>
            <w:r>
              <w:rPr>
                <w:rFonts w:ascii="Times New Roman" w:cs="Times New Roman" w:eastAsia="Times New Roman" w:hAnsi="Times New Roman"/>
                <w:sz w:val="18"/>
                <w:szCs w:val="18"/>
                <w:b w:val="1"/>
                <w:bCs w:val="1"/>
                <w:color w:val="auto"/>
                <w:w w:val="88"/>
              </w:rPr>
              <w:t>Rate</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 securitization program</w:t>
            </w:r>
          </w:p>
        </w:tc>
        <w:tc>
          <w:tcPr>
            <w:tcW w:w="94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555,800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Credit Facility</w:t>
            </w: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5.25 %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796,552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4.74 %</w:t>
            </w:r>
          </w:p>
        </w:tc>
        <w:tc>
          <w:tcPr>
            <w:tcW w:w="20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2026</w:t>
            </w: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4.63 %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May 2031</w:t>
            </w:r>
          </w:p>
        </w:tc>
        <w:tc>
          <w:tcPr>
            <w:tcW w:w="17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3.00 %</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June 2032</w:t>
            </w:r>
          </w:p>
        </w:tc>
        <w:tc>
          <w:tcPr>
            <w:tcW w:w="17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5.50 %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March 2028</w:t>
            </w:r>
          </w:p>
        </w:tc>
        <w:tc>
          <w:tcPr>
            <w:tcW w:w="172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6.25 %</w:t>
            </w: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2,418,727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3,002,352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9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300"/>
              <w:spacing w:after="0" w:line="203" w:lineRule="exact"/>
              <w:rPr>
                <w:sz w:val="20"/>
                <w:szCs w:val="20"/>
                <w:color w:val="auto"/>
              </w:rPr>
            </w:pPr>
            <w:r>
              <w:rPr>
                <w:rFonts w:ascii="Times New Roman" w:cs="Times New Roman" w:eastAsia="Times New Roman" w:hAnsi="Times New Roman"/>
                <w:sz w:val="18"/>
                <w:szCs w:val="18"/>
                <w:color w:val="auto"/>
              </w:rPr>
              <w:t>Long-term debt</w:t>
            </w: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2,406,421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2,988,029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40" w:type="dxa"/>
            <w:vAlign w:val="bottom"/>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7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March 30, 2024, and July 1, 2023, there were $0.9 million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March 30, 2024, and July 1, 2023.</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As of March 30, 2024, the carrying value and fair value of the Company’s total debt was $2.95 billion and $2.90</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billion, respectively. At July 1, 2023, the carrying value and fair value of the Company’s total debt was $3.06 billion and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$2.98 billion, respectively. Fair value for public notes was estimated based on quoted market prices (Level 1) and, for other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forms of debt, fair value approximates carrying value due to the market based variable nature of the interest rates on those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debt facilities (Level 2).</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29"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Substantially all the Company’s leases are classified as operating leases and are predominately related to real property for distribution centers, office space, and integration facilities with a lease term of up to 14 years. The Company’s equipment leases are primarily for automobiles and distribution center equipment and are not material to the consolidated financial statements.</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related to the Company’s operating leases were as follows (in thousands):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190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00" w:type="dxa"/>
            <w:vAlign w:val="bottom"/>
          </w:tcPr>
          <w:p>
            <w:pPr>
              <w:spacing w:after="0"/>
              <w:rPr>
                <w:sz w:val="21"/>
                <w:szCs w:val="21"/>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Nine Months Ended</w:t>
            </w:r>
          </w:p>
        </w:tc>
      </w:tr>
      <w:tr>
        <w:trPr>
          <w:trHeight w:val="207"/>
        </w:trPr>
        <w:tc>
          <w:tcPr>
            <w:tcW w:w="5280" w:type="dxa"/>
            <w:vAlign w:val="bottom"/>
          </w:tcPr>
          <w:p>
            <w:pPr>
              <w:spacing w:after="0"/>
              <w:rPr>
                <w:sz w:val="18"/>
                <w:szCs w:val="18"/>
                <w:color w:val="auto"/>
              </w:rPr>
            </w:pPr>
          </w:p>
        </w:tc>
        <w:tc>
          <w:tcPr>
            <w:tcW w:w="9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April 1,</w:t>
            </w:r>
          </w:p>
        </w:tc>
        <w:tc>
          <w:tcPr>
            <w:tcW w:w="100" w:type="dxa"/>
            <w:vAlign w:val="bottom"/>
          </w:tcPr>
          <w:p>
            <w:pPr>
              <w:spacing w:after="0"/>
              <w:rPr>
                <w:sz w:val="18"/>
                <w:szCs w:val="18"/>
                <w:color w:val="auto"/>
              </w:rPr>
            </w:pPr>
          </w:p>
        </w:tc>
        <w:tc>
          <w:tcPr>
            <w:tcW w:w="9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5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w:t>
            </w:r>
          </w:p>
        </w:tc>
      </w:tr>
      <w:tr>
        <w:trPr>
          <w:trHeight w:val="223"/>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17,071</w:t>
            </w:r>
          </w:p>
        </w:tc>
      </w:tr>
      <w:tr>
        <w:trPr>
          <w:trHeight w:val="216"/>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69,207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64,907</w:t>
            </w:r>
          </w:p>
        </w:tc>
      </w:tr>
      <w:tr>
        <w:trPr>
          <w:trHeight w:val="20"/>
        </w:trPr>
        <w:tc>
          <w:tcPr>
            <w:tcW w:w="5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minimum operating lease payments as of March 30, 2024, are as follows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0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2024</w:t>
            </w:r>
          </w:p>
        </w:tc>
        <w:tc>
          <w:tcPr>
            <w:tcW w:w="40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16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operating lease payments</w:t>
            </w:r>
          </w:p>
        </w:tc>
        <w:tc>
          <w:tcPr>
            <w:tcW w:w="3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imputed interest on operating lease liabilities</w:t>
            </w:r>
          </w:p>
        </w:tc>
        <w:tc>
          <w:tcPr>
            <w:tcW w:w="3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40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6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680" w:type="dxa"/>
            <w:vAlign w:val="bottom"/>
            <w:vMerge w:val="restart"/>
          </w:tcPr>
          <w:p>
            <w:pPr>
              <w:jc w:val="right"/>
              <w:ind w:right="30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information pertaining to operating leases consists of the following:</w:t>
            </w: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3"/>
        </w:trPr>
        <w:tc>
          <w:tcPr>
            <w:tcW w:w="6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6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40" w:type="dxa"/>
            <w:vAlign w:val="bottom"/>
          </w:tcPr>
          <w:p>
            <w:pPr>
              <w:spacing w:after="0"/>
              <w:rPr>
                <w:sz w:val="16"/>
                <w:szCs w:val="16"/>
                <w:color w:val="auto"/>
              </w:rPr>
            </w:pPr>
          </w:p>
        </w:tc>
        <w:tc>
          <w:tcPr>
            <w:tcW w:w="1080" w:type="dxa"/>
            <w:vAlign w:val="bottom"/>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6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Term and Discount Rate</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61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Cash Flow Information (in thousands)</w:t>
            </w: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43"/>
        </w:trPr>
        <w:tc>
          <w:tcPr>
            <w:tcW w:w="6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operating lease liabilities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42,996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43,030</w:t>
            </w:r>
          </w:p>
        </w:tc>
      </w:tr>
      <w:tr>
        <w:trPr>
          <w:trHeight w:val="243"/>
        </w:trPr>
        <w:tc>
          <w:tcPr>
            <w:tcW w:w="6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assets obtained from new operating lease liabilities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42,544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34,318</w:t>
            </w:r>
          </w:p>
        </w:tc>
      </w:tr>
    </w:tbl>
    <w:p>
      <w:pPr>
        <w:spacing w:after="0" w:line="2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Derivative financial instruments</w:t>
      </w:r>
    </w:p>
    <w:p>
      <w:pPr>
        <w:spacing w:after="0" w:line="229" w:lineRule="exact"/>
        <w:rPr>
          <w:sz w:val="20"/>
          <w:szCs w:val="20"/>
          <w:color w:val="auto"/>
        </w:rPr>
      </w:pPr>
    </w:p>
    <w:p>
      <w:pPr>
        <w:ind w:left="60" w:right="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99" w:firstLine="427"/>
        <w:spacing w:after="0" w:line="270" w:lineRule="auto"/>
        <w:rPr>
          <w:sz w:val="20"/>
          <w:szCs w:val="20"/>
          <w:color w:val="auto"/>
        </w:rPr>
      </w:pPr>
      <w:r>
        <w:rPr>
          <w:rFonts w:ascii="Times New Roman" w:cs="Times New Roman" w:eastAsia="Times New Roman" w:hAnsi="Times New Roman"/>
          <w:sz w:val="17"/>
          <w:szCs w:val="17"/>
          <w:color w:val="auto"/>
        </w:rPr>
        <w:t>The Company uses economic hedges to reduce this risk utilizing natural hedging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offsetting receivables and payables in the same foreign currency) and creating offsetting positions using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79" w:lineRule="exact"/>
        <w:rPr>
          <w:sz w:val="20"/>
          <w:szCs w:val="20"/>
          <w:color w:val="auto"/>
        </w:rPr>
      </w:pPr>
    </w:p>
    <w:p>
      <w:pPr>
        <w:ind w:left="60" w:right="119" w:firstLine="427"/>
        <w:spacing w:after="0" w:line="254" w:lineRule="auto"/>
        <w:rPr>
          <w:sz w:val="20"/>
          <w:szCs w:val="20"/>
          <w:color w:val="auto"/>
        </w:rPr>
      </w:pPr>
      <w:r>
        <w:rPr>
          <w:rFonts w:ascii="Times New Roman" w:cs="Times New Roman" w:eastAsia="Times New Roman" w:hAnsi="Times New Roman"/>
          <w:sz w:val="18"/>
          <w:szCs w:val="18"/>
          <w:color w:val="auto"/>
        </w:rPr>
        <w:t>In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40"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30,</w:t>
            </w:r>
          </w:p>
        </w:tc>
        <w:tc>
          <w:tcPr>
            <w:tcW w:w="160" w:type="dxa"/>
            <w:vAlign w:val="bottom"/>
          </w:tcPr>
          <w:p>
            <w:pPr>
              <w:spacing w:after="0"/>
              <w:rPr>
                <w:sz w:val="18"/>
                <w:szCs w:val="18"/>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1,</w:t>
            </w:r>
          </w:p>
        </w:tc>
      </w:tr>
      <w:tr>
        <w:trPr>
          <w:trHeight w:val="245"/>
        </w:trPr>
        <w:tc>
          <w:tcPr>
            <w:tcW w:w="67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6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80" w:type="dxa"/>
            <w:vAlign w:val="bottom"/>
            <w:gridSpan w:val="4"/>
          </w:tcPr>
          <w:p>
            <w:pPr>
              <w:jc w:val="right"/>
              <w:ind w:right="5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8,456</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69,104</w:t>
            </w: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68,594</w:t>
            </w:r>
          </w:p>
        </w:tc>
      </w:tr>
      <w:tr>
        <w:trPr>
          <w:trHeight w:val="21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22,849</w:t>
            </w:r>
          </w:p>
        </w:tc>
      </w:tr>
    </w:tbl>
    <w:p>
      <w:pPr>
        <w:spacing w:after="0" w:line="198"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235"/>
        </w:trPr>
        <w:tc>
          <w:tcPr>
            <w:tcW w:w="1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gridSpan w:val="5"/>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Third Quarters Ended</w:t>
            </w:r>
          </w:p>
        </w:tc>
        <w:tc>
          <w:tcPr>
            <w:tcW w:w="120" w:type="dxa"/>
            <w:vAlign w:val="bottom"/>
          </w:tcPr>
          <w:p>
            <w:pPr>
              <w:spacing w:after="0"/>
              <w:rPr>
                <w:sz w:val="20"/>
                <w:szCs w:val="20"/>
                <w:color w:val="auto"/>
              </w:rPr>
            </w:pPr>
          </w:p>
        </w:tc>
        <w:tc>
          <w:tcPr>
            <w:tcW w:w="1840" w:type="dxa"/>
            <w:vAlign w:val="bottom"/>
            <w:gridSpan w:val="5"/>
          </w:tcPr>
          <w:p>
            <w:pPr>
              <w:ind w:left="12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177"/>
        </w:trPr>
        <w:tc>
          <w:tcPr>
            <w:tcW w:w="15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March 30,</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15"/>
              <w:spacing w:after="0" w:line="176" w:lineRule="exact"/>
              <w:rPr>
                <w:sz w:val="20"/>
                <w:szCs w:val="20"/>
                <w:color w:val="auto"/>
              </w:rPr>
            </w:pPr>
            <w:r>
              <w:rPr>
                <w:rFonts w:ascii="Times New Roman" w:cs="Times New Roman" w:eastAsia="Times New Roman" w:hAnsi="Times New Roman"/>
                <w:sz w:val="17"/>
                <w:szCs w:val="17"/>
                <w:b w:val="1"/>
                <w:bCs w:val="1"/>
                <w:color w:val="auto"/>
              </w:rPr>
              <w:t>April 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ind w:left="40"/>
              <w:spacing w:after="0" w:line="176" w:lineRule="exact"/>
              <w:rPr>
                <w:sz w:val="20"/>
                <w:szCs w:val="20"/>
                <w:color w:val="auto"/>
              </w:rPr>
            </w:pPr>
            <w:r>
              <w:rPr>
                <w:rFonts w:ascii="Times New Roman" w:cs="Times New Roman" w:eastAsia="Times New Roman" w:hAnsi="Times New Roman"/>
                <w:sz w:val="17"/>
                <w:szCs w:val="17"/>
                <w:b w:val="1"/>
                <w:bCs w:val="1"/>
                <w:color w:val="auto"/>
              </w:rPr>
              <w:t>March 30,</w:t>
            </w: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b w:val="1"/>
                <w:bCs w:val="1"/>
                <w:color w:val="auto"/>
                <w:w w:val="96"/>
              </w:rPr>
              <w:t>April 1,</w:t>
            </w:r>
          </w:p>
        </w:tc>
        <w:tc>
          <w:tcPr>
            <w:tcW w:w="20" w:type="dxa"/>
            <w:vAlign w:val="bottom"/>
          </w:tcPr>
          <w:p>
            <w:pPr>
              <w:spacing w:after="0"/>
              <w:rPr>
                <w:sz w:val="15"/>
                <w:szCs w:val="15"/>
                <w:color w:val="auto"/>
              </w:rPr>
            </w:pPr>
          </w:p>
        </w:tc>
      </w:tr>
      <w:tr>
        <w:trPr>
          <w:trHeight w:val="235"/>
        </w:trPr>
        <w:tc>
          <w:tcPr>
            <w:tcW w:w="15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20"/>
                <w:szCs w:val="20"/>
                <w:color w:val="auto"/>
              </w:rPr>
            </w:pPr>
          </w:p>
        </w:tc>
      </w:tr>
      <w:tr>
        <w:trPr>
          <w:trHeight w:val="189"/>
        </w:trPr>
        <w:tc>
          <w:tcPr>
            <w:tcW w:w="15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4"/>
          </w:tcPr>
          <w:p>
            <w:pPr>
              <w:jc w:val="right"/>
              <w:ind w:right="615"/>
              <w:spacing w:after="0" w:line="189" w:lineRule="exact"/>
              <w:rPr>
                <w:sz w:val="20"/>
                <w:szCs w:val="20"/>
                <w:color w:val="auto"/>
              </w:rPr>
            </w:pPr>
            <w:r>
              <w:rPr>
                <w:rFonts w:ascii="Times New Roman" w:cs="Times New Roman" w:eastAsia="Times New Roman" w:hAnsi="Times New Roman"/>
                <w:sz w:val="17"/>
                <w:szCs w:val="17"/>
                <w:b w:val="1"/>
                <w:bCs w:val="1"/>
                <w:color w:val="auto"/>
              </w:rPr>
              <w:t>(Thousands)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Economic hedges</w:t>
            </w:r>
          </w:p>
        </w:tc>
        <w:tc>
          <w:tcPr>
            <w:tcW w:w="3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(21,867)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29,543</w:t>
            </w:r>
          </w:p>
        </w:tc>
        <w:tc>
          <w:tcPr>
            <w:tcW w:w="20" w:type="dxa"/>
            <w:vAlign w:val="bottom"/>
          </w:tcPr>
          <w:p>
            <w:pPr>
              <w:spacing w:after="0"/>
              <w:rPr>
                <w:sz w:val="17"/>
                <w:szCs w:val="17"/>
                <w:color w:val="auto"/>
              </w:rPr>
            </w:pPr>
          </w:p>
        </w:tc>
      </w:tr>
      <w:tr>
        <w:trPr>
          <w:trHeight w:val="222"/>
        </w:trPr>
        <w:tc>
          <w:tcPr>
            <w:tcW w:w="1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Cross currency swap</w:t>
            </w:r>
          </w:p>
        </w:tc>
        <w:tc>
          <w:tcPr>
            <w:tcW w:w="3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and other financing expense,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3,352</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20" w:type="dxa"/>
            <w:vAlign w:val="bottom"/>
          </w:tcPr>
          <w:p>
            <w:pPr>
              <w:spacing w:after="0"/>
              <w:rPr>
                <w:sz w:val="19"/>
                <w:szCs w:val="19"/>
                <w:color w:val="auto"/>
              </w:rPr>
            </w:pPr>
          </w:p>
        </w:tc>
      </w:tr>
    </w:tbl>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9"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40"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ind w:left="60" w:right="160" w:firstLine="427"/>
        <w:spacing w:after="0" w:line="266" w:lineRule="auto"/>
        <w:rPr>
          <w:sz w:val="20"/>
          <w:szCs w:val="20"/>
          <w:color w:val="auto"/>
        </w:rPr>
      </w:pPr>
      <w:r>
        <w:rPr>
          <w:rFonts w:ascii="Times New Roman" w:cs="Times New Roman" w:eastAsia="Times New Roman" w:hAnsi="Times New Roman"/>
          <w:sz w:val="18"/>
          <w:szCs w:val="18"/>
          <w:color w:val="auto"/>
        </w:rPr>
        <w:t>As of March 30, 2024, and July 1, 2023, the Company had aggregate estimated liabilities of $17.2 million and $22.7 million, respectively, classified within accrued expenses and other for such compliance-related matters that were reasonably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214" w:lineRule="exact"/>
        <w:rPr>
          <w:sz w:val="20"/>
          <w:szCs w:val="20"/>
          <w:color w:val="auto"/>
        </w:rPr>
      </w:pPr>
    </w:p>
    <w:p>
      <w:pPr>
        <w:ind w:left="60" w:right="140" w:firstLine="427"/>
        <w:spacing w:after="0" w:line="258" w:lineRule="auto"/>
        <w:rPr>
          <w:sz w:val="20"/>
          <w:szCs w:val="20"/>
          <w:color w:val="auto"/>
        </w:rPr>
      </w:pPr>
      <w:r>
        <w:rPr>
          <w:rFonts w:ascii="Times New Roman" w:cs="Times New Roman" w:eastAsia="Times New Roman" w:hAnsi="Times New Roman"/>
          <w:sz w:val="18"/>
          <w:szCs w:val="18"/>
          <w:color w:val="auto"/>
        </w:rPr>
        <w:t>During the first nine months of fiscal 2024 and the first nine months of fiscal 2023, the Company recorded a gain on legal settlements and other of $86.5 million and $61.7 million, respectively, in connection with the settlement of claims filed against certain manufacturers of capacitors. During the first nine months of fiscal 2024 and fiscal 2023, the Company received $90.7 million and $51.2 million, respectively, in cash related to these settlements, which were classified as operating cash flows in the Company’s Consolidated Statements of Cash Flows.</w:t>
      </w:r>
    </w:p>
    <w:p>
      <w:pPr>
        <w:spacing w:after="0" w:line="183" w:lineRule="exact"/>
        <w:rPr>
          <w:sz w:val="20"/>
          <w:szCs w:val="20"/>
          <w:color w:val="auto"/>
        </w:rPr>
      </w:pPr>
    </w:p>
    <w:p>
      <w:pPr>
        <w:ind w:left="60" w:right="280" w:firstLine="427"/>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2024, the Company reached an $86.5 million settlement with a manufacturer of capacitors which was also realized in cash that same quarter. This settlement is included in the gains on legal settlements discussed above.</w:t>
      </w:r>
    </w:p>
    <w:p>
      <w:pPr>
        <w:sectPr>
          <w:pgSz w:w="11900" w:h="16838" w:orient="portrait"/>
          <w:cols w:equalWidth="0" w:num="1">
            <w:col w:w="9020"/>
          </w:cols>
          <w:pgMar w:left="1440" w:top="540" w:right="14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229" w:lineRule="exact"/>
        <w:rPr>
          <w:sz w:val="20"/>
          <w:szCs w:val="20"/>
          <w:color w:val="auto"/>
        </w:rPr>
      </w:pPr>
    </w:p>
    <w:p>
      <w:pPr>
        <w:ind w:left="60" w:right="79" w:firstLine="427"/>
        <w:spacing w:after="0" w:line="282" w:lineRule="auto"/>
        <w:rPr>
          <w:sz w:val="20"/>
          <w:szCs w:val="20"/>
          <w:color w:val="auto"/>
        </w:rPr>
      </w:pPr>
      <w:r>
        <w:rPr>
          <w:rFonts w:ascii="Times New Roman" w:cs="Times New Roman" w:eastAsia="Times New Roman" w:hAnsi="Times New Roman"/>
          <w:sz w:val="18"/>
          <w:szCs w:val="18"/>
          <w:color w:val="auto"/>
        </w:rPr>
        <w:t>The below discussion of the effective tax rate for the periods presented in the consolidated statements of operations is in comparison to the 21% U.S. statutory federal income tax rate.</w:t>
      </w:r>
    </w:p>
    <w:p>
      <w:pPr>
        <w:spacing w:after="0" w:line="162" w:lineRule="exact"/>
        <w:rPr>
          <w:sz w:val="20"/>
          <w:szCs w:val="20"/>
          <w:color w:val="auto"/>
        </w:rPr>
      </w:pPr>
    </w:p>
    <w:p>
      <w:pPr>
        <w:ind w:left="60" w:right="99" w:firstLine="427"/>
        <w:spacing w:after="0" w:line="266"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12.9% in the third quarter of fiscal 2024. During the third quarter of fiscal 2024, the Company’s effective tax rate was favorably impacted primarily by (i) decreases to unrecognized tax benefit reserves net of settlements and (ii) the mix of income in lower tax foreign jurisdictions.</w:t>
      </w:r>
    </w:p>
    <w:p>
      <w:pPr>
        <w:spacing w:after="0" w:line="176" w:lineRule="exact"/>
        <w:rPr>
          <w:sz w:val="20"/>
          <w:szCs w:val="20"/>
          <w:color w:val="auto"/>
        </w:rPr>
      </w:pPr>
    </w:p>
    <w:p>
      <w:pPr>
        <w:ind w:left="60" w:right="439" w:firstLine="427"/>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2023, the Company’s effective tax rate on its income before taxes was 23.1%. During the third quarter of fiscal 2023, the Company’s effective tax rate was unfavorably impacted primarily by (i) the impact of U.S state taxes and (ii) the mix of income in higher tax jurisdictions, partially offset by (iii) decreases to unrecognized tax benefit reserves net of settlements.</w:t>
      </w:r>
    </w:p>
    <w:p>
      <w:pPr>
        <w:spacing w:after="0" w:line="180" w:lineRule="exact"/>
        <w:rPr>
          <w:sz w:val="20"/>
          <w:szCs w:val="20"/>
          <w:color w:val="auto"/>
        </w:rPr>
      </w:pPr>
    </w:p>
    <w:p>
      <w:pPr>
        <w:jc w:val="both"/>
        <w:ind w:left="60" w:right="59" w:firstLine="432"/>
        <w:spacing w:after="0" w:line="266" w:lineRule="auto"/>
        <w:rPr>
          <w:sz w:val="20"/>
          <w:szCs w:val="20"/>
          <w:color w:val="auto"/>
        </w:rPr>
      </w:pPr>
      <w:r>
        <w:rPr>
          <w:rFonts w:ascii="Times New Roman" w:cs="Times New Roman" w:eastAsia="Times New Roman" w:hAnsi="Times New Roman"/>
          <w:sz w:val="18"/>
          <w:szCs w:val="18"/>
          <w:color w:val="auto"/>
        </w:rPr>
        <w:t>For the first nine months of fiscal 2024, the Company’s effective tax rate on its income before taxes was 21.6%. The effective tax rate for the first nine months of fiscal 2024 was unfavorably impacted primarily by (i) the impact of U.S. state taxes, partially offset by (ii) decreases to valuation allowances.</w:t>
      </w:r>
    </w:p>
    <w:p>
      <w:pPr>
        <w:spacing w:after="0" w:line="176" w:lineRule="exact"/>
        <w:rPr>
          <w:sz w:val="20"/>
          <w:szCs w:val="20"/>
          <w:color w:val="auto"/>
        </w:rPr>
      </w:pPr>
    </w:p>
    <w:p>
      <w:pPr>
        <w:jc w:val="both"/>
        <w:ind w:left="60" w:right="59" w:firstLine="432"/>
        <w:spacing w:after="0" w:line="261" w:lineRule="auto"/>
        <w:rPr>
          <w:sz w:val="20"/>
          <w:szCs w:val="20"/>
          <w:color w:val="auto"/>
        </w:rPr>
      </w:pPr>
      <w:r>
        <w:rPr>
          <w:rFonts w:ascii="Times New Roman" w:cs="Times New Roman" w:eastAsia="Times New Roman" w:hAnsi="Times New Roman"/>
          <w:sz w:val="18"/>
          <w:szCs w:val="18"/>
          <w:color w:val="auto"/>
        </w:rPr>
        <w:t>During the first nine months of fiscal 2023, the Company’s effective tax rate on its income before taxes was 22.3%. The effective tax rate for the first nine months of fiscal 2023 was unfavorably impacted primarily by (i) the mix of income in higher tax jurisdictions and (ii) the impact of U.S. state taxes, partially offset by (iii) decreases to unrecognized tax benefit reserves net of settlements.</w:t>
      </w:r>
    </w:p>
    <w:p>
      <w:pPr>
        <w:spacing w:after="0" w:line="180" w:lineRule="exact"/>
        <w:rPr>
          <w:sz w:val="20"/>
          <w:szCs w:val="20"/>
          <w:color w:val="auto"/>
        </w:rPr>
      </w:pPr>
    </w:p>
    <w:p>
      <w:pPr>
        <w:jc w:val="both"/>
        <w:ind w:left="60" w:right="59" w:firstLine="432"/>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introduced a framework to implement a global minimum corporate tax of 15%, referred to as Pillar Two. It is uncertain whether the U.S. will enact legislation to adopt Pillar Two. Pillar Two rules have been enacted in certain countries where the Company has operations and those will be effective in fiscal year 2025. The Company is currently evaluating the application, implementation, and tax impact of the Pillar Two rules for reporting and compliance purposes.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Pension plan</w:t>
      </w:r>
    </w:p>
    <w:p>
      <w:pPr>
        <w:spacing w:after="0" w:line="229"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was as follows: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19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80" w:type="dxa"/>
            <w:vAlign w:val="bottom"/>
          </w:tcPr>
          <w:p>
            <w:pPr>
              <w:spacing w:after="0"/>
              <w:rPr>
                <w:sz w:val="21"/>
                <w:szCs w:val="21"/>
                <w:color w:val="auto"/>
              </w:rPr>
            </w:pPr>
          </w:p>
        </w:tc>
        <w:tc>
          <w:tcPr>
            <w:tcW w:w="16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5240" w:type="dxa"/>
            <w:vAlign w:val="bottom"/>
          </w:tcPr>
          <w:p>
            <w:pPr>
              <w:spacing w:after="0"/>
              <w:rPr>
                <w:sz w:val="16"/>
                <w:szCs w:val="16"/>
                <w:color w:val="auto"/>
              </w:rPr>
            </w:pPr>
          </w:p>
        </w:tc>
        <w:tc>
          <w:tcPr>
            <w:tcW w:w="10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c>
          <w:tcPr>
            <w:tcW w:w="100" w:type="dxa"/>
            <w:vAlign w:val="bottom"/>
          </w:tcPr>
          <w:p>
            <w:pPr>
              <w:spacing w:after="0"/>
              <w:rPr>
                <w:sz w:val="16"/>
                <w:szCs w:val="16"/>
                <w:color w:val="auto"/>
              </w:rPr>
            </w:pPr>
          </w:p>
        </w:tc>
        <w:tc>
          <w:tcPr>
            <w:tcW w:w="96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4"/>
              </w:rPr>
              <w:t>April 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4"/>
          </w:tcPr>
          <w:p>
            <w:pPr>
              <w:jc w:val="right"/>
              <w:ind w:right="3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(9,986)</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(12,215)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(29,956)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periodic pension benefit within other (expense) income, net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ind w:left="438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5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40"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379" w:firstLine="427"/>
        <w:spacing w:after="0" w:line="282" w:lineRule="auto"/>
        <w:rPr>
          <w:sz w:val="20"/>
          <w:szCs w:val="20"/>
          <w:color w:val="auto"/>
        </w:rPr>
      </w:pPr>
      <w:r>
        <w:rPr>
          <w:rFonts w:ascii="Times New Roman" w:cs="Times New Roman" w:eastAsia="Times New Roman" w:hAnsi="Times New Roman"/>
          <w:sz w:val="18"/>
          <w:szCs w:val="18"/>
          <w:color w:val="auto"/>
        </w:rPr>
        <w:t>The Company made $6.0 million of contributions during the first nine months of fiscal 2024 and expects to make additional contributions to the Plan of $2.0 million in the fourth quarter of fiscal 2024.</w:t>
      </w:r>
    </w:p>
    <w:p>
      <w:pPr>
        <w:spacing w:after="0" w:line="158" w:lineRule="exact"/>
        <w:rPr>
          <w:sz w:val="20"/>
          <w:szCs w:val="20"/>
          <w:color w:val="auto"/>
        </w:rPr>
      </w:pPr>
    </w:p>
    <w:p>
      <w:pPr>
        <w:ind w:left="480" w:right="6619" w:hanging="430"/>
        <w:spacing w:after="0" w:line="503" w:lineRule="auto"/>
        <w:tabs>
          <w:tab w:leader="none" w:pos="323"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Shareholders’ equity </w:t>
      </w:r>
      <w:r>
        <w:rPr>
          <w:rFonts w:ascii="Times New Roman" w:cs="Times New Roman" w:eastAsia="Times New Roman" w:hAnsi="Times New Roman"/>
          <w:sz w:val="18"/>
          <w:szCs w:val="18"/>
          <w:i w:val="1"/>
          <w:iCs w:val="1"/>
          <w:color w:val="auto"/>
        </w:rPr>
        <w:t>Share repurchase program</w:t>
      </w:r>
    </w:p>
    <w:p>
      <w:pPr>
        <w:ind w:left="60" w:right="159" w:firstLine="427"/>
        <w:spacing w:after="0" w:line="282" w:lineRule="auto"/>
        <w:rPr>
          <w:sz w:val="20"/>
          <w:szCs w:val="20"/>
          <w:color w:val="auto"/>
        </w:rPr>
      </w:pPr>
      <w:r>
        <w:rPr>
          <w:rFonts w:ascii="Times New Roman" w:cs="Times New Roman" w:eastAsia="Times New Roman" w:hAnsi="Times New Roman"/>
          <w:sz w:val="18"/>
          <w:szCs w:val="18"/>
          <w:color w:val="auto"/>
        </w:rPr>
        <w:t>During the third quarter of fiscal 2024, the Company did not repurchase any shares under this program. As of March 30, 2024, the Company had $232.5 million remaining under its share repurchase authorization.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227"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In February 2024, the Company’s Board of Directors approved a dividend of $0.31 per common share and dividend payments of $28.0 million were made in March 2024.</w:t>
      </w:r>
    </w:p>
    <w:p>
      <w:pPr>
        <w:sectPr>
          <w:pgSz w:w="11900" w:h="16838" w:orient="portrait"/>
          <w:cols w:equalWidth="0" w:num="1">
            <w:col w:w="9019"/>
          </w:cols>
          <w:pgMar w:left="1440" w:top="540" w:right="1440" w:bottom="1440" w:gutter="0" w:footer="0" w:header="0"/>
        </w:sectPr>
      </w:pP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003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70039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ind w:left="280" w:hanging="258"/>
        <w:spacing w:after="0" w:line="260" w:lineRule="auto"/>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 effect</w:t>
      </w:r>
    </w:p>
    <w:p>
      <w:pPr>
        <w:spacing w:after="0" w:line="1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Additional cash flow information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940" w:type="dxa"/>
            <w:vAlign w:val="bottom"/>
            <w:tcBorders>
              <w:top w:val="single" w:sz="8" w:color="auto"/>
            </w:tcBorders>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8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00" w:type="dxa"/>
            <w:vAlign w:val="bottom"/>
          </w:tcPr>
          <w:p>
            <w:pPr>
              <w:spacing w:after="0"/>
              <w:rPr>
                <w:sz w:val="16"/>
                <w:szCs w:val="16"/>
                <w:color w:val="auto"/>
              </w:rPr>
            </w:pPr>
          </w:p>
        </w:tc>
        <w:tc>
          <w:tcPr>
            <w:tcW w:w="9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30,</w:t>
            </w:r>
          </w:p>
        </w:tc>
        <w:tc>
          <w:tcPr>
            <w:tcW w:w="8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April 1,</w:t>
            </w:r>
          </w:p>
        </w:tc>
      </w:tr>
      <w:tr>
        <w:trPr>
          <w:trHeight w:val="238"/>
        </w:trPr>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22713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71395" cy="17145"/>
                    </a:xfrm>
                    <a:prstGeom prst="rect">
                      <a:avLst/>
                    </a:prstGeom>
                    <a:noFill/>
                  </pic:spPr>
                </pic:pic>
              </a:graphicData>
            </a:graphic>
          </wp:anchor>
        </w:drawing>
      </w:r>
    </w:p>
    <w:p>
      <w:pPr>
        <w:ind w:left="460"/>
        <w:spacing w:after="0"/>
        <w:rPr>
          <w:sz w:val="20"/>
          <w:szCs w:val="20"/>
          <w:color w:val="auto"/>
        </w:rPr>
      </w:pPr>
      <w:r>
        <w:rPr>
          <w:rFonts w:ascii="Times New Roman" w:cs="Times New Roman" w:eastAsia="Times New Roman" w:hAnsi="Times New Roman"/>
          <w:sz w:val="18"/>
          <w:szCs w:val="18"/>
          <w:b w:val="1"/>
          <w:bCs w:val="1"/>
          <w:color w:val="auto"/>
        </w:rPr>
        <w:t>(Thousands, except per share data)</w:t>
      </w:r>
    </w:p>
    <w:p>
      <w:pPr>
        <w:spacing w:after="0" w:line="220" w:lineRule="exact"/>
        <w:rPr>
          <w:sz w:val="20"/>
          <w:szCs w:val="20"/>
          <w:color w:val="auto"/>
        </w:rPr>
      </w:pPr>
    </w:p>
    <w:p>
      <w:pPr>
        <w:ind w:left="280" w:hanging="267"/>
        <w:spacing w:after="0"/>
        <w:tabs>
          <w:tab w:leader="none" w:pos="280" w:val="left"/>
        </w:tabs>
        <w:numPr>
          <w:ilvl w:val="0"/>
          <w:numId w:val="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88,834  $ 187,426  $ 416,033  $ 615,572</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92,226</w:t>
            </w:r>
          </w:p>
        </w:tc>
      </w:tr>
      <w:tr>
        <w:trPr>
          <w:trHeight w:val="241"/>
        </w:trPr>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1,390</w:t>
            </w:r>
          </w:p>
        </w:tc>
      </w:tr>
      <w:tr>
        <w:trPr>
          <w:trHeight w:val="216"/>
        </w:trPr>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91,256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92,456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93,616</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0.98</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97"/>
        </w:trPr>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6.58</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85"/>
        </w:trPr>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bl>
    <w:p>
      <w:pPr>
        <w:spacing w:after="0" w:line="614" w:lineRule="exact"/>
        <w:rPr>
          <w:sz w:val="20"/>
          <w:szCs w:val="20"/>
          <w:color w:val="auto"/>
        </w:rPr>
      </w:pPr>
    </w:p>
    <w:p>
      <w:pPr>
        <w:sectPr>
          <w:pgSz w:w="11900" w:h="16838" w:orient="portrait"/>
          <w:cols w:equalWidth="0" w:num="2">
            <w:col w:w="4980" w:space="420"/>
            <w:col w:w="3619"/>
          </w:cols>
          <w:pgMar w:left="1440" w:top="540" w:right="1440" w:bottom="1440" w:gutter="0" w:footer="0" w:header="0"/>
          <w:type w:val="continuous"/>
        </w:sectPr>
      </w:pP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37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5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 w:type="dxa"/>
            <w:vAlign w:val="bottom"/>
          </w:tcPr>
          <w:p>
            <w:pPr>
              <w:spacing w:after="0"/>
              <w:rPr>
                <w:sz w:val="16"/>
                <w:szCs w:val="16"/>
                <w:color w:val="auto"/>
              </w:rPr>
            </w:pPr>
          </w:p>
        </w:tc>
      </w:tr>
      <w:tr>
        <w:trPr>
          <w:trHeight w:val="245"/>
        </w:trPr>
        <w:tc>
          <w:tcPr>
            <w:tcW w:w="37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37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13,406</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21,322</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2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263,735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172,425</w:t>
            </w:r>
          </w:p>
        </w:tc>
        <w:tc>
          <w:tcPr>
            <w:tcW w:w="20" w:type="dxa"/>
            <w:vAlign w:val="bottom"/>
          </w:tcPr>
          <w:p>
            <w:pPr>
              <w:spacing w:after="0"/>
              <w:rPr>
                <w:sz w:val="18"/>
                <w:szCs w:val="18"/>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2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173,387</w:t>
            </w:r>
          </w:p>
        </w:tc>
        <w:tc>
          <w:tcPr>
            <w:tcW w:w="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154,997</w:t>
            </w:r>
          </w:p>
        </w:tc>
        <w:tc>
          <w:tcPr>
            <w:tcW w:w="20" w:type="dxa"/>
            <w:vAlign w:val="bottom"/>
          </w:tcPr>
          <w:p>
            <w:pPr>
              <w:spacing w:after="0"/>
              <w:rPr>
                <w:sz w:val="18"/>
                <w:szCs w:val="18"/>
                <w:color w:val="auto"/>
              </w:rPr>
            </w:pPr>
          </w:p>
        </w:tc>
      </w:tr>
      <w:tr>
        <w:trPr>
          <w:trHeight w:val="864"/>
        </w:trPr>
        <w:tc>
          <w:tcPr>
            <w:tcW w:w="3760" w:type="dxa"/>
            <w:vAlign w:val="bottom"/>
          </w:tcPr>
          <w:p>
            <w:pPr>
              <w:spacing w:after="0"/>
              <w:rPr>
                <w:sz w:val="24"/>
                <w:szCs w:val="24"/>
                <w:color w:val="auto"/>
              </w:rPr>
            </w:pPr>
          </w:p>
        </w:tc>
        <w:tc>
          <w:tcPr>
            <w:tcW w:w="2840" w:type="dxa"/>
            <w:vAlign w:val="bottom"/>
          </w:tcPr>
          <w:p>
            <w:pPr>
              <w:jc w:val="right"/>
              <w:ind w:right="195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37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23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March 30, 2024, and July 1, 2023, was $4.9 million and $3.7 million, respectively, of cash equivalents, which was primarily comprised of investment grade money market funds and overnight time deposits.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Third Quarters Ended</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4"/>
          </w:tcPr>
          <w:p>
            <w:pPr>
              <w:jc w:val="right"/>
              <w:ind w:right="4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5,245,771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6,059,635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16,972,294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18,693,353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407,820</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454,984</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1,221,859</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5,653,591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6,514,619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18,194,153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737,487</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40,911</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1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346,155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190,151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313,629</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680,177</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903,138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1,403,364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1,714,943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4,565,394</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2,053,095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2,393,406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6,474,695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6,778,823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2,197,132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2,406,270</w:t>
            </w:r>
          </w:p>
        </w:tc>
        <w:tc>
          <w:tcPr>
            <w:tcW w:w="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7,154,064</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8,128,428</w:t>
            </w:r>
          </w:p>
        </w:tc>
        <w:tc>
          <w:tcPr>
            <w:tcW w:w="0" w:type="dxa"/>
            <w:vAlign w:val="bottom"/>
          </w:tcPr>
          <w:p>
            <w:pPr>
              <w:spacing w:after="0"/>
              <w:rPr>
                <w:sz w:val="1"/>
                <w:szCs w:val="1"/>
                <w:color w:val="auto"/>
              </w:rPr>
            </w:pPr>
          </w:p>
        </w:tc>
      </w:tr>
      <w:tr>
        <w:trPr>
          <w:trHeight w:val="203"/>
        </w:trPr>
        <w:tc>
          <w:tcPr>
            <w:tcW w:w="39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5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5,653,591</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6,514,619</w:t>
            </w:r>
          </w:p>
        </w:tc>
        <w:tc>
          <w:tcPr>
            <w:tcW w:w="2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18,194,153</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19,982,273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Restructuring expenses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229" w:lineRule="exact"/>
        <w:rPr>
          <w:sz w:val="20"/>
          <w:szCs w:val="20"/>
          <w:color w:val="auto"/>
        </w:rPr>
      </w:pPr>
    </w:p>
    <w:p>
      <w:pPr>
        <w:ind w:left="60" w:right="59" w:firstLine="432"/>
        <w:spacing w:after="0" w:line="266" w:lineRule="auto"/>
        <w:rPr>
          <w:sz w:val="20"/>
          <w:szCs w:val="20"/>
          <w:color w:val="auto"/>
        </w:rPr>
      </w:pPr>
      <w:r>
        <w:rPr>
          <w:rFonts w:ascii="Times New Roman" w:cs="Times New Roman" w:eastAsia="Times New Roman" w:hAnsi="Times New Roman"/>
          <w:sz w:val="18"/>
          <w:szCs w:val="18"/>
          <w:color w:val="auto"/>
        </w:rPr>
        <w:t>During fiscal 2024, the Company executed certain restructuring actions to reduce future operating expenses including specific restructuring actions to reduce expenses within the Farnell operating group. The following table presents the activity during the first nine months of fiscal 2024 related to the restructuring liabilities established during fiscal 2024:</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21"/>
                <w:szCs w:val="21"/>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1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 restructuring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17,576</w:t>
            </w:r>
          </w:p>
        </w:tc>
        <w:tc>
          <w:tcPr>
            <w:tcW w:w="20" w:type="dxa"/>
            <w:vAlign w:val="bottom"/>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0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(6,839)</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20" w:type="dxa"/>
            <w:vAlign w:val="bottom"/>
          </w:tcPr>
          <w:p>
            <w:pPr>
              <w:spacing w:after="0"/>
              <w:rPr>
                <w:sz w:val="18"/>
                <w:szCs w:val="18"/>
                <w:color w:val="auto"/>
              </w:rPr>
            </w:pPr>
          </w:p>
        </w:tc>
      </w:tr>
      <w:tr>
        <w:trPr>
          <w:trHeight w:val="236"/>
        </w:trPr>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r>
      <w:tr>
        <w:trPr>
          <w:trHeight w:val="203"/>
        </w:trPr>
        <w:tc>
          <w:tcPr>
            <w:tcW w:w="428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March 30, 2024</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9,756</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998</w:t>
            </w: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10,754</w:t>
            </w:r>
          </w:p>
        </w:tc>
        <w:tc>
          <w:tcPr>
            <w:tcW w:w="2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15</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59" w:firstLine="427"/>
        <w:spacing w:after="0" w:line="258" w:lineRule="auto"/>
        <w:rPr>
          <w:sz w:val="20"/>
          <w:szCs w:val="20"/>
          <w:color w:val="auto"/>
        </w:rPr>
      </w:pPr>
      <w:r>
        <w:rPr>
          <w:rFonts w:ascii="Times New Roman" w:cs="Times New Roman" w:eastAsia="Times New Roman" w:hAnsi="Times New Roman"/>
          <w:sz w:val="18"/>
          <w:szCs w:val="18"/>
          <w:color w:val="auto"/>
        </w:rPr>
        <w:t>Severance expense recorded in the first nine months of fiscal 2024 related to the reduction, or planned reduction, of approximately 400 employees, primarily in operations, warehouse, and business support functions. Of the $17.6 million in restructuring expenses recorded in the first nine months of fiscal 2024, $3.1 million related to EC, $9.1 million related to Farnell, and $5.4 million related to Corporate. The Company expects the majority of the remaining severance amounts to be paid by December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2023</w:t>
      </w:r>
    </w:p>
    <w:p>
      <w:pPr>
        <w:spacing w:after="0" w:line="22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During fiscal 2023, the Company incurred restructuring expenses primarily related to the planned closure of a Farnell distribution center intended to reduce future operating expenses. The Company expects the majority of the remaining amounts to be paid by December 2024. The following table presents the activity during the first nine months of fiscal 2024 related to the remaining restructuring liabilities established during fiscal 2023:</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5"/>
        </w:trPr>
        <w:tc>
          <w:tcPr>
            <w:tcW w:w="4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140" w:type="dxa"/>
            <w:vAlign w:val="bottom"/>
          </w:tcPr>
          <w:p>
            <w:pPr>
              <w:spacing w:after="0"/>
              <w:rPr>
                <w:sz w:val="21"/>
                <w:szCs w:val="21"/>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Exit Costs</w:t>
            </w:r>
          </w:p>
        </w:tc>
        <w:tc>
          <w:tcPr>
            <w:tcW w:w="300" w:type="dxa"/>
            <w:vAlign w:val="bottom"/>
          </w:tcPr>
          <w:p>
            <w:pPr>
              <w:spacing w:after="0"/>
              <w:rPr>
                <w:sz w:val="21"/>
                <w:szCs w:val="21"/>
                <w:color w:val="auto"/>
              </w:rPr>
            </w:pPr>
          </w:p>
        </w:tc>
        <w:tc>
          <w:tcPr>
            <w:tcW w:w="10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4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(Thousands)</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1, 2023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(15,316)</w:t>
            </w:r>
          </w:p>
        </w:tc>
        <w:tc>
          <w:tcPr>
            <w:tcW w:w="1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(15,316)</w:t>
            </w:r>
          </w:p>
        </w:tc>
      </w:tr>
      <w:tr>
        <w:trPr>
          <w:trHeight w:val="236"/>
        </w:trPr>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March 30, 2024</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317</w:t>
            </w:r>
          </w:p>
        </w:tc>
        <w:tc>
          <w:tcPr>
            <w:tcW w:w="2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506</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823</w:t>
            </w: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9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1, 2023,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repatriating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March 30, 2024,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July 1, 2023.</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32"/>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0" w:lineRule="exact"/>
        <w:rPr>
          <w:sz w:val="20"/>
          <w:szCs w:val="20"/>
          <w:color w:val="auto"/>
        </w:rPr>
      </w:pPr>
    </w:p>
    <w:p>
      <w:pPr>
        <w:ind w:left="720" w:right="6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Third Quarters Ended</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194"/>
        </w:trPr>
        <w:tc>
          <w:tcPr>
            <w:tcW w:w="4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c>
          <w:tcPr>
            <w:tcW w:w="180" w:type="dxa"/>
            <w:vAlign w:val="bottom"/>
          </w:tcPr>
          <w:p>
            <w:pPr>
              <w:spacing w:after="0"/>
              <w:rPr>
                <w:sz w:val="16"/>
                <w:szCs w:val="16"/>
                <w:color w:val="auto"/>
              </w:rPr>
            </w:pPr>
          </w:p>
        </w:tc>
        <w:tc>
          <w:tcPr>
            <w:tcW w:w="1060" w:type="dxa"/>
            <w:vAlign w:val="bottom"/>
            <w:gridSpan w:val="3"/>
          </w:tcPr>
          <w:p>
            <w:pPr>
              <w:ind w:left="40"/>
              <w:spacing w:after="0" w:line="194" w:lineRule="exact"/>
              <w:rPr>
                <w:sz w:val="20"/>
                <w:szCs w:val="20"/>
                <w:color w:val="auto"/>
              </w:rPr>
            </w:pPr>
            <w:r>
              <w:rPr>
                <w:rFonts w:ascii="Times New Roman" w:cs="Times New Roman" w:eastAsia="Times New Roman" w:hAnsi="Times New Roman"/>
                <w:sz w:val="18"/>
                <w:szCs w:val="18"/>
                <w:b w:val="1"/>
                <w:bCs w:val="1"/>
                <w:color w:val="auto"/>
              </w:rPr>
              <w:t>March 30,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April 1,</w:t>
            </w:r>
          </w:p>
        </w:tc>
      </w:tr>
      <w:tr>
        <w:trPr>
          <w:trHeight w:val="245"/>
        </w:trPr>
        <w:tc>
          <w:tcPr>
            <w:tcW w:w="4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gridSpan w:val="4"/>
          </w:tcPr>
          <w:p>
            <w:pPr>
              <w:jc w:val="right"/>
              <w:ind w:right="41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190,151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680,177</w:t>
            </w:r>
          </w:p>
        </w:tc>
        <w:tc>
          <w:tcPr>
            <w:tcW w:w="1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903,138</w:t>
            </w:r>
          </w:p>
        </w:tc>
      </w:tr>
      <w:tr>
        <w:trPr>
          <w:trHeight w:val="216"/>
        </w:trPr>
        <w:tc>
          <w:tcPr>
            <w:tcW w:w="4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r>
      <w:tr>
        <w:trPr>
          <w:trHeight w:val="203"/>
        </w:trPr>
        <w:tc>
          <w:tcPr>
            <w:tcW w:w="40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6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202,710</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314,505</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706,610</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908,313</w:t>
            </w:r>
          </w:p>
        </w:tc>
      </w:tr>
      <w:tr>
        <w:trPr>
          <w:trHeight w:val="20"/>
        </w:trPr>
        <w:tc>
          <w:tcPr>
            <w:tcW w:w="4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5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179" w:firstLine="427"/>
        <w:spacing w:after="0" w:line="256"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229" w:lineRule="exact"/>
        <w:rPr>
          <w:sz w:val="20"/>
          <w:szCs w:val="20"/>
          <w:color w:val="auto"/>
        </w:rPr>
      </w:pPr>
    </w:p>
    <w:p>
      <w:pPr>
        <w:ind w:left="60" w:right="159" w:firstLine="432"/>
        <w:spacing w:after="0" w:line="254"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elevated inventory levels and decreased sales, resulting in lower operating income. The duration of the current downturn is uncertain, although there are some encouraging signs, such as indications of potential sequential growth in Asia and increases in IP&amp;E orders in EMEA and Farnell. The Company expects sales in the fourth quarter of fiscal 2024 to be 3% to 8% lower than third quarter sales, which will negatively impact operating income and diluted earnings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5"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6"/>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60" w:type="dxa"/>
            <w:vAlign w:val="bottom"/>
          </w:tcPr>
          <w:p>
            <w:pPr>
              <w:spacing w:after="0"/>
              <w:rPr>
                <w:sz w:val="19"/>
                <w:szCs w:val="19"/>
                <w:color w:val="auto"/>
              </w:rPr>
            </w:pPr>
          </w:p>
        </w:tc>
        <w:tc>
          <w:tcPr>
            <w:tcW w:w="2800" w:type="dxa"/>
            <w:vAlign w:val="bottom"/>
            <w:tcBorders>
              <w:bottom w:val="single" w:sz="8" w:color="auto"/>
            </w:tcBorders>
            <w:gridSpan w:val="5"/>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37"/>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2024</w:t>
            </w:r>
          </w:p>
        </w:tc>
        <w:tc>
          <w:tcPr>
            <w:tcW w:w="1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Q3 2023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60" w:type="dxa"/>
            <w:vAlign w:val="bottom"/>
          </w:tcPr>
          <w:p>
            <w:pPr>
              <w:spacing w:after="0"/>
              <w:rPr>
                <w:sz w:val="20"/>
                <w:szCs w:val="20"/>
                <w:color w:val="auto"/>
              </w:rPr>
            </w:pPr>
          </w:p>
        </w:tc>
        <w:tc>
          <w:tcPr>
            <w:tcW w:w="8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Q3 2024</w:t>
            </w:r>
          </w:p>
        </w:tc>
        <w:tc>
          <w:tcPr>
            <w:tcW w:w="140" w:type="dxa"/>
            <w:vAlign w:val="bottom"/>
          </w:tcPr>
          <w:p>
            <w:pPr>
              <w:spacing w:after="0"/>
              <w:rPr>
                <w:sz w:val="20"/>
                <w:szCs w:val="20"/>
                <w:color w:val="auto"/>
              </w:rPr>
            </w:pPr>
          </w:p>
        </w:tc>
        <w:tc>
          <w:tcPr>
            <w:tcW w:w="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Q3 2023</w:t>
            </w: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9"/>
        </w:trPr>
        <w:tc>
          <w:tcPr>
            <w:tcW w:w="3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1860" w:type="dxa"/>
            <w:vAlign w:val="bottom"/>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in millions, unless otherwise</w:t>
            </w:r>
          </w:p>
        </w:tc>
        <w:tc>
          <w:tcPr>
            <w:tcW w:w="14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Times New Roman" w:cs="Times New Roman" w:eastAsia="Times New Roman" w:hAnsi="Times New Roman"/>
                <w:sz w:val="16"/>
                <w:szCs w:val="16"/>
                <w:i w:val="1"/>
                <w:iCs w:val="1"/>
                <w:color w:val="auto"/>
                <w:w w:val="73"/>
              </w:rPr>
              <w:t>stated)</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5,654</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  6,515</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(861)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18,194</w:t>
            </w: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  19,982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(1,788)</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669</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812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(143)</w:t>
            </w:r>
          </w:p>
        </w:tc>
        <w:tc>
          <w:tcPr>
            <w:tcW w:w="16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2,124</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2,364</w:t>
            </w:r>
          </w:p>
        </w:tc>
        <w:tc>
          <w:tcPr>
            <w:tcW w:w="14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(241)</w:t>
            </w:r>
          </w:p>
        </w:tc>
      </w:tr>
      <w:tr>
        <w:trPr>
          <w:trHeight w:val="198"/>
        </w:trPr>
        <w:tc>
          <w:tcPr>
            <w:tcW w:w="31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4"/>
        </w:trPr>
        <w:tc>
          <w:tcPr>
            <w:tcW w:w="3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467</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498</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1,419</w:t>
            </w: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1,461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(42)</w:t>
            </w:r>
          </w:p>
        </w:tc>
      </w:tr>
      <w:tr>
        <w:trPr>
          <w:trHeight w:val="198"/>
        </w:trPr>
        <w:tc>
          <w:tcPr>
            <w:tcW w:w="31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Restructuring, integration and other</w:t>
            </w: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3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expenses</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12</w:t>
            </w:r>
          </w:p>
        </w:tc>
        <w:tc>
          <w:tcPr>
            <w:tcW w:w="140" w:type="dxa"/>
            <w:vAlign w:val="bottom"/>
          </w:tcPr>
          <w:p>
            <w:pPr>
              <w:spacing w:after="0"/>
              <w:rPr>
                <w:sz w:val="20"/>
                <w:szCs w:val="20"/>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12</w:t>
            </w:r>
          </w:p>
        </w:tc>
        <w:tc>
          <w:tcPr>
            <w:tcW w:w="160" w:type="dxa"/>
            <w:vAlign w:val="bottom"/>
          </w:tcPr>
          <w:p>
            <w:pPr>
              <w:spacing w:after="0"/>
              <w:rPr>
                <w:sz w:val="20"/>
                <w:szCs w:val="20"/>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24</w:t>
            </w:r>
          </w:p>
        </w:tc>
        <w:tc>
          <w:tcPr>
            <w:tcW w:w="140" w:type="dxa"/>
            <w:vAlign w:val="bottom"/>
          </w:tcPr>
          <w:p>
            <w:pPr>
              <w:spacing w:after="0"/>
              <w:rPr>
                <w:sz w:val="20"/>
                <w:szCs w:val="20"/>
                <w:color w:val="auto"/>
              </w:rPr>
            </w:pPr>
          </w:p>
        </w:tc>
        <w:tc>
          <w:tcPr>
            <w:tcW w:w="8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24</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190</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(123)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680</w:t>
            </w: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903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(223)</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(21)</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98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w:t>
            </w:r>
          </w:p>
        </w:tc>
        <w:tc>
          <w:tcPr>
            <w:tcW w:w="8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(219)</w:t>
            </w:r>
          </w:p>
        </w:tc>
        <w:tc>
          <w:tcPr>
            <w:tcW w:w="9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(176)</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260" w:type="dxa"/>
            <w:vAlign w:val="bottom"/>
          </w:tcPr>
          <w:p>
            <w:pPr>
              <w:spacing w:after="0"/>
              <w:rPr>
                <w:sz w:val="18"/>
                <w:szCs w:val="18"/>
                <w:color w:val="auto"/>
              </w:rPr>
            </w:pP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86</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62</w:t>
            </w:r>
          </w:p>
        </w:tc>
        <w:tc>
          <w:tcPr>
            <w:tcW w:w="14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25</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13</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115</w:t>
            </w: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177</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(62)</w:t>
            </w: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89</w:t>
            </w:r>
          </w:p>
        </w:tc>
        <w:tc>
          <w:tcPr>
            <w:tcW w:w="8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(99)</w:t>
            </w:r>
          </w:p>
        </w:tc>
        <w:tc>
          <w:tcPr>
            <w:tcW w:w="160" w:type="dxa"/>
            <w:vAlign w:val="bottom"/>
          </w:tcPr>
          <w:p>
            <w:pPr>
              <w:spacing w:after="0"/>
              <w:rPr>
                <w:sz w:val="18"/>
                <w:szCs w:val="18"/>
                <w:color w:val="auto"/>
              </w:rPr>
            </w:pPr>
          </w:p>
        </w:tc>
        <w:tc>
          <w:tcPr>
            <w:tcW w:w="80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416</w:t>
            </w:r>
          </w:p>
        </w:tc>
        <w:tc>
          <w:tcPr>
            <w:tcW w:w="9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616</w:t>
            </w:r>
          </w:p>
        </w:tc>
        <w:tc>
          <w:tcPr>
            <w:tcW w:w="140" w:type="dxa"/>
            <w:vAlign w:val="bottom"/>
          </w:tcPr>
          <w:p>
            <w:pPr>
              <w:spacing w:after="0"/>
              <w:rPr>
                <w:sz w:val="18"/>
                <w:szCs w:val="18"/>
                <w:color w:val="auto"/>
              </w:rPr>
            </w:pPr>
          </w:p>
        </w:tc>
        <w:tc>
          <w:tcPr>
            <w:tcW w:w="9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(200)</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0.97</w:t>
            </w:r>
          </w:p>
        </w:tc>
        <w:tc>
          <w:tcPr>
            <w:tcW w:w="8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4.52</w:t>
            </w:r>
          </w:p>
        </w:tc>
        <w:tc>
          <w:tcPr>
            <w:tcW w:w="96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6.58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(2.06)</w:t>
            </w:r>
          </w:p>
        </w:tc>
      </w:tr>
      <w:tr>
        <w:trPr>
          <w:trHeight w:val="216"/>
        </w:trPr>
        <w:tc>
          <w:tcPr>
            <w:tcW w:w="3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16"/>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(62)bps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(16)bps</w:t>
            </w:r>
          </w:p>
        </w:tc>
      </w:tr>
      <w:tr>
        <w:trPr>
          <w:trHeight w:val="216"/>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(145)bps</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(78)bps</w:t>
            </w: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23.1 %</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(1,020)bps</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(68)bps</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16"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following table presents sales decline rates for the third quarter and first nine months of fiscal 2024 as compared to fiscal 2023, by geographic region and operating group.</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720" w:type="dxa"/>
            <w:vAlign w:val="bottom"/>
          </w:tcPr>
          <w:p>
            <w:pPr>
              <w:spacing w:after="0"/>
              <w:rPr>
                <w:sz w:val="21"/>
                <w:szCs w:val="21"/>
                <w:color w:val="auto"/>
              </w:rPr>
            </w:pPr>
          </w:p>
        </w:tc>
        <w:tc>
          <w:tcPr>
            <w:tcW w:w="21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21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10"/>
        </w:trPr>
        <w:tc>
          <w:tcPr>
            <w:tcW w:w="4720" w:type="dxa"/>
            <w:vAlign w:val="bottom"/>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March</w:t>
            </w:r>
          </w:p>
        </w:tc>
        <w:tc>
          <w:tcPr>
            <w:tcW w:w="10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30, 2024</w:t>
            </w:r>
          </w:p>
        </w:tc>
        <w:tc>
          <w:tcPr>
            <w:tcW w:w="1020" w:type="dxa"/>
            <w:vAlign w:val="bottom"/>
            <w:tcBorders>
              <w:top w:val="single" w:sz="8" w:color="auto"/>
              <w:bottom w:val="single" w:sz="8" w:color="auto"/>
            </w:tcBorders>
          </w:tcPr>
          <w:p>
            <w:pPr>
              <w:spacing w:after="0"/>
              <w:rPr>
                <w:sz w:val="18"/>
                <w:szCs w:val="18"/>
                <w:color w:val="auto"/>
              </w:rPr>
            </w:pPr>
          </w:p>
        </w:tc>
      </w:tr>
      <w:tr>
        <w:trPr>
          <w:trHeight w:val="194"/>
        </w:trPr>
        <w:tc>
          <w:tcPr>
            <w:tcW w:w="47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4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4720" w:type="dxa"/>
            <w:vAlign w:val="bottom"/>
          </w:tcPr>
          <w:p>
            <w:pPr>
              <w:spacing w:after="0"/>
              <w:rPr>
                <w:sz w:val="18"/>
                <w:szCs w:val="18"/>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1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4720" w:type="dxa"/>
            <w:vAlign w:val="bottom"/>
          </w:tcPr>
          <w:p>
            <w:pPr>
              <w:spacing w:after="0"/>
              <w:rPr>
                <w:sz w:val="18"/>
                <w:szCs w:val="18"/>
                <w:color w:val="auto"/>
              </w:rPr>
            </w:pPr>
          </w:p>
        </w:tc>
        <w:tc>
          <w:tcPr>
            <w:tcW w:w="2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Year-Year %  Constant</w:t>
            </w:r>
          </w:p>
        </w:tc>
        <w:tc>
          <w:tcPr>
            <w:tcW w:w="2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Year-Year %   Constant</w:t>
            </w:r>
          </w:p>
        </w:tc>
      </w:tr>
      <w:tr>
        <w:trPr>
          <w:trHeight w:val="245"/>
        </w:trPr>
        <w:tc>
          <w:tcPr>
            <w:tcW w:w="4720" w:type="dxa"/>
            <w:vAlign w:val="bottom"/>
          </w:tcPr>
          <w:p>
            <w:pPr>
              <w:spacing w:after="0"/>
              <w:rPr>
                <w:sz w:val="21"/>
                <w:szCs w:val="21"/>
                <w:color w:val="auto"/>
              </w:rPr>
            </w:pP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216"/>
        </w:trPr>
        <w:tc>
          <w:tcPr>
            <w:tcW w:w="4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0"/>
                <w:szCs w:val="20"/>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bl>
    <w:p>
      <w:pPr>
        <w:spacing w:after="0" w:line="179" w:lineRule="exact"/>
        <w:rPr>
          <w:sz w:val="20"/>
          <w:szCs w:val="20"/>
          <w:color w:val="auto"/>
        </w:rPr>
      </w:pPr>
    </w:p>
    <w:p>
      <w:pPr>
        <w:ind w:left="60" w:right="159" w:firstLine="427"/>
        <w:spacing w:after="0" w:line="256" w:lineRule="auto"/>
        <w:rPr>
          <w:sz w:val="20"/>
          <w:szCs w:val="20"/>
          <w:color w:val="auto"/>
        </w:rPr>
      </w:pPr>
      <w:r>
        <w:rPr>
          <w:rFonts w:ascii="Times New Roman" w:cs="Times New Roman" w:eastAsia="Times New Roman" w:hAnsi="Times New Roman"/>
          <w:sz w:val="18"/>
          <w:szCs w:val="18"/>
          <w:color w:val="auto"/>
        </w:rPr>
        <w:t>Sales of $5.65 billion for the third quarter of fiscal 2024 decreased $861.0 million, or 13.2%, as compared to $6.51 billion for the same quarter last year. Sales for the first nine months of fiscal 2024 were $18.19 billion, a decrease of $1.79 billion, or 9.0%, as compared to sales of $19.98 billion for the first nine months of fiscal 2023. The decrease in sales on both a quarterly and year-to-date comparison basis is driven by a reduction in sales volume primarily due to the on-going market downturn occurring across the electronic components industry and, to a lesser extent, an unfavorable product mix of lower priced electronic components.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EC sales of $5.25 billion in the third quarter of fiscal 2024 decreased $813.9 million, or 13.4%, from the prior year third quarter sales of $6.06 billion, with all three regions contributing to the decrease. The decrease in sales is primarily due to sales volume decreases due to the market downturn in the electronic components industry and, to a lesser extent, an unfavorable product mix of lower priced electronic components.</w:t>
      </w:r>
    </w:p>
    <w:p>
      <w:pPr>
        <w:spacing w:after="0" w:line="180"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Farnell sales for the third quarter of fiscal 2024 were $407.8 million, reflecting a decrease of $47.2 million, or 10.4%, compared to the same period in the prior year. Farnell sales in constant currency for the third quarter of fiscal 2024 decreased by 11.2% year over year. The decrease in sales in the third quarter of fiscal 2024 is primarily due to lower demand, including lower demand for on-the-board electronic components, partially offset by increases in availability and demand for single board computers.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ind w:left="60" w:right="99" w:firstLine="432"/>
        <w:spacing w:after="0" w:line="261" w:lineRule="auto"/>
        <w:rPr>
          <w:sz w:val="20"/>
          <w:szCs w:val="20"/>
          <w:color w:val="auto"/>
        </w:rPr>
      </w:pPr>
      <w:r>
        <w:rPr>
          <w:rFonts w:ascii="Times New Roman" w:cs="Times New Roman" w:eastAsia="Times New Roman" w:hAnsi="Times New Roman"/>
          <w:sz w:val="18"/>
          <w:szCs w:val="18"/>
          <w:color w:val="auto"/>
        </w:rPr>
        <w:t>The Company’s gross profit is primarily affected by sales volume and geographic sales mix. Gross profit for the third quarter of fiscal 2024 was $142.6 million, or 17.6% lower than the third quarter of fiscal 2023. Gross profit for the first nine months of fiscal 2024 was $240.6 million, or 10.2% lower than the first nine months of fiscal 2023. These decreases are primarily due to sales volume decreases in both operating groups in all three regions.</w:t>
      </w:r>
    </w:p>
    <w:p>
      <w:pPr>
        <w:spacing w:after="0" w:line="180" w:lineRule="exact"/>
        <w:rPr>
          <w:sz w:val="20"/>
          <w:szCs w:val="20"/>
          <w:color w:val="auto"/>
        </w:rPr>
      </w:pPr>
    </w:p>
    <w:p>
      <w:pPr>
        <w:ind w:left="60" w:right="79" w:firstLine="432"/>
        <w:spacing w:after="0" w:line="256" w:lineRule="auto"/>
        <w:rPr>
          <w:sz w:val="20"/>
          <w:szCs w:val="20"/>
          <w:color w:val="auto"/>
        </w:rPr>
      </w:pPr>
      <w:r>
        <w:rPr>
          <w:rFonts w:ascii="Times New Roman" w:cs="Times New Roman" w:eastAsia="Times New Roman" w:hAnsi="Times New Roman"/>
          <w:sz w:val="18"/>
          <w:szCs w:val="18"/>
          <w:color w:val="auto"/>
        </w:rPr>
        <w:t>Gross profit margin decreased by 62 basis points to 11.8% for the third quarter of fiscal 2024 when compared to the third quarter of fiscal 2023 and decreased by 16 basis points to 11.7% for the first nine months of fiscal 2024 when compared to the first nine months of fiscal 2023. The quarter and year to date decreases in gross profit margin are primarily due to an increase in product mix to lower margin electronic components and, to a lesser extent, shifts in geographic sales mix. Sales in the higher gross profit margin western regions represented approximately 61% of sales in the third quarter of fiscal 2024, versus 63% during the third quarter of fiscal 2023.</w:t>
      </w:r>
    </w:p>
    <w:p>
      <w:pPr>
        <w:spacing w:after="0" w:line="187"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EC gross profit margin decreased year over year largely due to an increase in product mix to lower margin electronic components. Farnell gross profit margin decreased year over year, primarily due to lower sales of higher margin on-the-board electronic components.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22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decreased $30.9 million or 6.2% from the third quarter of fiscal 2023 and decreased $41.7 million, or 2.9%, from the first nine months of fiscal 2023. The quarterly and year-to-date decreases in SG&amp;A expenses are primarily due to decreases in variable operating expenses associated with the decrease in sales volumes discussed above, partially offset by increases in costs due to inflation. Additionally, the first nine months of fiscal 2024 benefited from the impact of changes in foreign currency translation rates.</w:t>
      </w:r>
    </w:p>
    <w:p>
      <w:pPr>
        <w:spacing w:after="0" w:line="183" w:lineRule="exact"/>
        <w:rPr>
          <w:sz w:val="20"/>
          <w:szCs w:val="20"/>
          <w:color w:val="auto"/>
        </w:rPr>
      </w:pPr>
    </w:p>
    <w:p>
      <w:pPr>
        <w:ind w:left="60" w:right="179" w:firstLine="427"/>
        <w:spacing w:after="0" w:line="274" w:lineRule="auto"/>
        <w:rPr>
          <w:sz w:val="20"/>
          <w:szCs w:val="20"/>
          <w:color w:val="auto"/>
        </w:rPr>
      </w:pPr>
      <w:r>
        <w:rPr>
          <w:rFonts w:ascii="Times New Roman" w:cs="Times New Roman" w:eastAsia="Times New Roman" w:hAnsi="Times New Roman"/>
          <w:sz w:val="17"/>
          <w:szCs w:val="17"/>
          <w:color w:val="auto"/>
        </w:rPr>
        <w:t>Management monitors SG&amp;A expenses as a percentage of sales and as a percentage of gross profit. In the third quarter of fiscal 2024, SG&amp;A expenses were 8.3% of sales and 69.8% of gross profit, as compared with 7.6% and 61.4%, respectively, in the third quarter of fiscal 2023. SG&amp;A expenses were 7.8% of sales and 66.8% of gross profit in the first nine months of fiscal 2024 compared with 7.3% and 61.8%, respectively, in the first nine months of fiscal 2023. The year-over-year increases in SG&amp;A expenses as a percentage of both sales and gross profit are primarily due to the decrease in sales and gross profit without a proportional reduction in SG&amp;A expenses, resulting in lower operating leverage.</w:t>
      </w:r>
    </w:p>
    <w:p>
      <w:pPr>
        <w:spacing w:after="0" w:line="16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229"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2024, the Company implemented a plan to reduce SG&amp;A expenses at Farnell and deliver $50 million to $70 million in annual benefits. Additionally, the Company began expense reduction initiatives within EC and for corporate expenses, which are expected to yield additional annual cost savings of between $40 million to $60 million when completed.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399" w:firstLine="427"/>
        <w:spacing w:after="0" w:line="272" w:lineRule="auto"/>
        <w:rPr>
          <w:sz w:val="20"/>
          <w:szCs w:val="20"/>
          <w:color w:val="auto"/>
        </w:rPr>
      </w:pPr>
      <w:r>
        <w:rPr>
          <w:rFonts w:ascii="Times New Roman" w:cs="Times New Roman" w:eastAsia="Times New Roman" w:hAnsi="Times New Roman"/>
          <w:sz w:val="17"/>
          <w:szCs w:val="17"/>
          <w:color w:val="auto"/>
        </w:rPr>
        <w:t>The Company recorded restructuring, integration, and other expenses of $11.8 million during the third quarter of fiscal 2024, comprised of severance and other employee-related expenses of $14.8 million for reductions in headcount, $2.3 million of integration expense for the consolidation of certain warehouses, and other costs of $0.2 million.</w:t>
      </w:r>
    </w:p>
    <w:p>
      <w:pPr>
        <w:spacing w:after="0" w:line="2"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Additionally, the Company recorded a reduction of $5.5 million to environmental remediation reserves after entering into a favorable consent decree with a state agency for a certain environmental cleanup matter. The after-tax impact of restructuring, integration, and other expenses were $9.1 million and $0.10 per share on a diluted basis. Approximately half of the planned annual expense reductions were completed by the end of the third quarter of fiscal 2024 and the remaining actions will be completed by the end of fiscal 2024.</w:t>
      </w:r>
    </w:p>
    <w:p>
      <w:pPr>
        <w:spacing w:after="0" w:line="187" w:lineRule="exact"/>
        <w:rPr>
          <w:sz w:val="20"/>
          <w:szCs w:val="20"/>
          <w:color w:val="auto"/>
        </w:rPr>
      </w:pPr>
    </w:p>
    <w:p>
      <w:pPr>
        <w:ind w:left="60" w:right="59" w:firstLine="427"/>
        <w:spacing w:after="0" w:line="254" w:lineRule="auto"/>
        <w:rPr>
          <w:sz w:val="20"/>
          <w:szCs w:val="20"/>
          <w:color w:val="auto"/>
        </w:rPr>
      </w:pPr>
      <w:r>
        <w:rPr>
          <w:rFonts w:ascii="Times New Roman" w:cs="Times New Roman" w:eastAsia="Times New Roman" w:hAnsi="Times New Roman"/>
          <w:sz w:val="18"/>
          <w:szCs w:val="18"/>
          <w:color w:val="auto"/>
        </w:rPr>
        <w:t>During the first nine months of fiscal 2024, the Company incurred restructuring costs of $17.6 million and integration and other expenses of $6.6 million and $5.5 million, respectively. Restructuring expenses consisted of severance and other employee-related expenses of $17.6 million associated with the reduction, or planned reduction of approximately 400 employees predominately in the Company’s Farnell operating group, integration costs of $6.6 million related to the Company’s consolidation of several smaller warehouses, and other costs of $5.5 million related to certain legal and accounting costs associated with M&amp;A activity that did not lead to a transaction. Additionally, the Company recorded a reduction of $5.6 million, primarily related to environmental remediation reserves as discussed above. The after-tax impact of restructuring, integration, and other expenses were $18.4 million and $0.20 per share on a diluted basis.</w:t>
      </w:r>
    </w:p>
    <w:p>
      <w:pPr>
        <w:spacing w:after="0" w:line="192"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 xml:space="preserve">The Company expects to incur incremental restructuring, integration, and other expenses in the fourth quarter of fiscal 2024 similar to the amounts incurred in the third quarter of fiscal 2024. </w:t>
      </w:r>
      <w:r>
        <w:rPr>
          <w:rFonts w:ascii="Times New Roman" w:cs="Times New Roman" w:eastAsia="Times New Roman" w:hAnsi="Times New Roman"/>
          <w:sz w:val="18"/>
          <w:szCs w:val="18"/>
          <w:color w:val="252525"/>
        </w:rPr>
        <w:t>See Note 14 “Restructuring expenses”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Company’s consolidated financial statements included in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ind w:left="60" w:right="79" w:firstLine="432"/>
        <w:spacing w:after="0" w:line="253" w:lineRule="auto"/>
        <w:rPr>
          <w:sz w:val="20"/>
          <w:szCs w:val="20"/>
          <w:color w:val="auto"/>
        </w:rPr>
      </w:pPr>
      <w:r>
        <w:rPr>
          <w:rFonts w:ascii="Times New Roman" w:cs="Times New Roman" w:eastAsia="Times New Roman" w:hAnsi="Times New Roman"/>
          <w:sz w:val="18"/>
          <w:szCs w:val="18"/>
          <w:color w:val="auto"/>
        </w:rPr>
        <w:t>Operating income for the third quarter of fiscal 2024 was $190.2 million, a decrease of $123.5 million or 39.4%, year over year. Operating income margin for the third quarter of fiscal 2024 was 3.4%, a decrease of 145 basis points compared to 4.8% in the third quarter of fiscal 2023. On a year-to-date basis, operating income was $680.2 million for the first nine months of fiscal 2024, a decrease of $223.0 million, or 24.7%, from the first nine months of fiscal 2023. Operating income margin was 3.7% in the first nine months of fiscal 2024, a decrease of 78 basis points compared to 4.5% in the first nine months of fiscal 2023. The decreases in operating income and operating income margin for both the quarter and year-to-date periods are primarily due to the decrease in gross profit primarily from lower sales without a proportionate decrease in SG&amp;A expenses, as discussed above. Additionally, the Company incurred restructuring, integration, and other expenses during the third quarter and first nine months of fiscal 2024, whereas there were no such expenses in the third quarter or first nine months of fiscal 2023. Finally, the first nine months of fiscal 2024 benefited from the impact of changes in foreign currency translation rates.</w:t>
      </w:r>
    </w:p>
    <w:p>
      <w:pPr>
        <w:spacing w:after="0" w:line="192" w:lineRule="exact"/>
        <w:rPr>
          <w:sz w:val="20"/>
          <w:szCs w:val="20"/>
          <w:color w:val="auto"/>
        </w:rPr>
      </w:pPr>
    </w:p>
    <w:p>
      <w:pPr>
        <w:ind w:left="60" w:right="59" w:firstLine="427"/>
        <w:spacing w:after="0" w:line="255" w:lineRule="auto"/>
        <w:rPr>
          <w:sz w:val="20"/>
          <w:szCs w:val="20"/>
          <w:color w:val="auto"/>
        </w:rPr>
      </w:pPr>
      <w:r>
        <w:rPr>
          <w:rFonts w:ascii="Times New Roman" w:cs="Times New Roman" w:eastAsia="Times New Roman" w:hAnsi="Times New Roman"/>
          <w:sz w:val="18"/>
          <w:szCs w:val="18"/>
          <w:color w:val="auto"/>
        </w:rPr>
        <w:t>Comparing the third quarter of fiscal 2024 to the third quarter of fiscal 2023, EC operating income decreased 29.0% to $216.8 million, and EC operating income margin decreased 91 basis points to 4.1%, with all three regions contributing to the decrease. Farnell operating income decreased 60.1% to $16.3 million in the third quarter of fiscal 2024 and Farnell operating income margin decreased 499 basis points year over year to 4.0%. The decreases in operating income and operating income margin in both operating groups are due to the decrease in gross profit primarily from lower sales without a proportionate decrease in SG&amp;A expenses. Corporate operating expenses were $30.4 million in the third quarter of fiscal 2024, a decrease of 3.8% when compared with $31.6 million in the third quarter of fiscal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Income, Net</w:t>
      </w:r>
    </w:p>
    <w:p>
      <w:pPr>
        <w:spacing w:after="0" w:line="229" w:lineRule="exact"/>
        <w:rPr>
          <w:sz w:val="20"/>
          <w:szCs w:val="20"/>
          <w:color w:val="auto"/>
        </w:rPr>
      </w:pPr>
    </w:p>
    <w:p>
      <w:pPr>
        <w:ind w:left="60" w:right="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Interest and other financing expenses in the third quarter of fiscal 2024 were $73.5 million, an increase of $1.8 million as compared to $71.7 million in the third quarter of fiscal 2023. Interest and other financing expenses in the first nine months of fiscal 2024 were $218.6 million, an increase of $42.8 million as compared to $175.8 million in the first nine months of fiscal 2023. </w:t>
      </w:r>
      <w:r>
        <w:rPr>
          <w:rFonts w:ascii="Times New Roman" w:cs="Times New Roman" w:eastAsia="Times New Roman" w:hAnsi="Times New Roman"/>
          <w:sz w:val="18"/>
          <w:szCs w:val="18"/>
          <w:color w:val="252525"/>
        </w:rPr>
        <w:t>The increases in interest and other financing expenses in the third quarter and first nine months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fiscal 2024 compared to fiscal 2023 are primarily a result of higher outstanding borrowings and increases in average borrowing rates.</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99" w:firstLine="432"/>
        <w:spacing w:after="0" w:line="258" w:lineRule="auto"/>
        <w:rPr>
          <w:sz w:val="20"/>
          <w:szCs w:val="20"/>
          <w:color w:val="auto"/>
        </w:rPr>
      </w:pPr>
      <w:r>
        <w:rPr>
          <w:rFonts w:ascii="Times New Roman" w:cs="Times New Roman" w:eastAsia="Times New Roman" w:hAnsi="Times New Roman"/>
          <w:sz w:val="18"/>
          <w:szCs w:val="18"/>
          <w:color w:val="auto"/>
        </w:rPr>
        <w:t>The Company had other expenses of $14.7 million in the third quarter of fiscal 2024 compared to other income of $1.7 million in the third quarter of fiscal 2023. The $16.4 million increase in other expenses in the third quarter of fiscal 2024 is primarily due to foreign currency translation losses. The Company had other expenses of $17.1 million in the first nine months of fiscal 2024, compared to other income of $3.5 million in the first nine months of fiscal 2023. The increase in other expenses is primarily due to foreign currency translation losses.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52525"/>
        </w:rPr>
        <w:t>Gain on Legal Settlements and other</w:t>
      </w:r>
    </w:p>
    <w:p>
      <w:pPr>
        <w:spacing w:after="0" w:line="229" w:lineRule="exact"/>
        <w:rPr>
          <w:sz w:val="20"/>
          <w:szCs w:val="20"/>
          <w:color w:val="auto"/>
        </w:rPr>
      </w:pPr>
    </w:p>
    <w:p>
      <w:pPr>
        <w:ind w:left="60" w:right="159" w:firstLine="432"/>
        <w:spacing w:after="0" w:line="266" w:lineRule="auto"/>
        <w:rPr>
          <w:sz w:val="20"/>
          <w:szCs w:val="20"/>
          <w:color w:val="auto"/>
        </w:rPr>
      </w:pPr>
      <w:r>
        <w:rPr>
          <w:rFonts w:ascii="Times New Roman" w:cs="Times New Roman" w:eastAsia="Times New Roman" w:hAnsi="Times New Roman"/>
          <w:sz w:val="18"/>
          <w:szCs w:val="18"/>
          <w:color w:val="auto"/>
        </w:rPr>
        <w:t>During the first nine months of fiscal 2024 and the first nine months of fiscal 2023, the Company recorded a gain on legal settlements and other of $86.5 million and $61.7 million, respectively, in connection with the settlements of claims filed against certain manufacturers of capacitors.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29" w:lineRule="exact"/>
        <w:rPr>
          <w:sz w:val="20"/>
          <w:szCs w:val="20"/>
          <w:color w:val="auto"/>
        </w:rPr>
      </w:pPr>
    </w:p>
    <w:p>
      <w:pPr>
        <w:ind w:left="60" w:right="79" w:firstLine="427"/>
        <w:spacing w:after="0" w:line="253" w:lineRule="auto"/>
        <w:rPr>
          <w:sz w:val="20"/>
          <w:szCs w:val="20"/>
          <w:color w:val="auto"/>
        </w:rPr>
      </w:pPr>
      <w:r>
        <w:rPr>
          <w:rFonts w:ascii="Times New Roman" w:cs="Times New Roman" w:eastAsia="Times New Roman" w:hAnsi="Times New Roman"/>
          <w:sz w:val="18"/>
          <w:szCs w:val="18"/>
          <w:color w:val="auto"/>
        </w:rPr>
        <w:t xml:space="preserve">Income tax expenses were $13.1 million and $114.9 million for the third quarter and first nine months of fiscal 2024, respectively, reflecting an effective tax rate of 12.9% and 21.6%, respectively. In comparison, for the third quarter and first nine months of fiscal 2023, income tax expenses were $56.2 million and $176.9 million, respectively, reflecting an effective tax rate of 23.1% and 22.3%, respectively. The decrease in the effective tax rate for the third quarter of fiscal 2024 as compared to the third quarter of fiscal 2023 was primarily due to the mix of income in lower tax foreign jurisdictions and decreases to unrecognized tax benefit reserves, net of settlements. The decrease in the effective tax rate for the first nine months of fiscal 2024 as compared to the first nine months of fiscal 2023 was primarily due to the mix of income in lower tax foreign jurisdictions, partially offset by increases to unrecognized tax benefit reserves, net of settlements. See Note 8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third quarter of fiscal 2024 was $88.8 million, or $0.97 per share on a diluted basis, as compared with $187.4 million, or $2.03 per share on a diluted basis, in the third quarter of fiscal 2023.</w:t>
      </w:r>
    </w:p>
    <w:p>
      <w:pPr>
        <w:spacing w:after="0" w:line="176" w:lineRule="exact"/>
        <w:rPr>
          <w:sz w:val="20"/>
          <w:szCs w:val="20"/>
          <w:color w:val="auto"/>
        </w:rPr>
      </w:pPr>
    </w:p>
    <w:p>
      <w:pPr>
        <w:jc w:val="both"/>
        <w:ind w:left="60" w:right="41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first nine months of fiscal 2024 was $416.0 million, or $4.52 per share on a diluted basis, as compared with $615.6 million, or $6.58 per share on a diluted basis, in the first nine months of fiscal 2023.</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92" w:lineRule="exact"/>
        <w:rPr>
          <w:sz w:val="20"/>
          <w:szCs w:val="20"/>
          <w:color w:val="auto"/>
        </w:rPr>
      </w:pPr>
    </w:p>
    <w:p>
      <w:pPr>
        <w:ind w:left="60" w:right="59" w:firstLine="432"/>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$499 million for the third quarter of fiscal 2024. Net cash provided by operating activities was $415.7 million for the first nine months of fiscal 2024, compared to net cash used by operating activities of $948.2 million for the first nine months of fiscal 2023. The $1.4 billion increase in net cash provided by operating activities year over year is primarily due to improvements in cash used for working capital and other as working capital levels have begun to be more in line with sales, offset by lower cash provided by net income. Cash used for working capital and other was $152.6 million during the first nine months of fiscal 2024, compared to $1.70 billion during the first nine months of fiscal 2023, with the difference attributable primarily to inventories. During the first nine months of fiscal 2024, the Company used less cash for inventories as less inventory was purchased due to inventory levels already being elevated and because of lower sales. The Company also had decreases in accounts receivable due to lower sales when compared to the prior year. The Company received $90.7 million of cash from legal settlements during the first nine months of fiscal 2024 as compared to $51.2 million of cash received from legal settlements during the first nine months of fiscal 2023.</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92" w:lineRule="exact"/>
        <w:rPr>
          <w:sz w:val="20"/>
          <w:szCs w:val="20"/>
          <w:color w:val="auto"/>
        </w:rPr>
      </w:pPr>
    </w:p>
    <w:p>
      <w:pPr>
        <w:ind w:left="60" w:right="99" w:firstLine="432"/>
        <w:spacing w:after="0" w:line="255" w:lineRule="auto"/>
        <w:rPr>
          <w:sz w:val="20"/>
          <w:szCs w:val="20"/>
          <w:color w:val="auto"/>
        </w:rPr>
      </w:pPr>
      <w:r>
        <w:rPr>
          <w:rFonts w:ascii="Times New Roman" w:cs="Times New Roman" w:eastAsia="Times New Roman" w:hAnsi="Times New Roman"/>
          <w:sz w:val="18"/>
          <w:szCs w:val="18"/>
          <w:color w:val="auto"/>
        </w:rPr>
        <w:t>Net repayments of debt totaled $106.3 million during the first nine months of fiscal 2024, including the repayment of $49.1 million under the Credit Facility and $80.1 million under the Securitization Program, offset by net proceeds of $22.9 million for other debt. This compares to $1.43 billion of net borrowing during the first nine months of the prior fiscal year. The Company paid cash dividends to shareholders of $0.93 per share, or $84.2 million, during the first nine months of fiscal 2024 as compared to $0.87 per share, or $79.8 million, during the first nine months of fiscal 2023. The Company has repurchased $86.0 million of common stock under the share repurchase plan through the third quarter of fiscal 2024 compared to $221.3 million in the same period of the prior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92" w:lineRule="exact"/>
        <w:rPr>
          <w:sz w:val="20"/>
          <w:szCs w:val="20"/>
          <w:color w:val="auto"/>
        </w:rPr>
      </w:pPr>
    </w:p>
    <w:p>
      <w:pPr>
        <w:ind w:left="60" w:right="79" w:firstLine="427"/>
        <w:spacing w:after="0" w:line="312" w:lineRule="auto"/>
        <w:rPr>
          <w:sz w:val="20"/>
          <w:szCs w:val="20"/>
          <w:color w:val="auto"/>
        </w:rPr>
      </w:pPr>
      <w:r>
        <w:rPr>
          <w:rFonts w:ascii="Times New Roman" w:cs="Times New Roman" w:eastAsia="Times New Roman" w:hAnsi="Times New Roman"/>
          <w:sz w:val="17"/>
          <w:szCs w:val="17"/>
          <w:color w:val="auto"/>
        </w:rPr>
        <w:t>The Company’s purchases of property, plant and equipment increased during the first nine months of fiscal 2024 by $62.4 million, when compared to the same period in fiscal 2023, primarily due to distribution center investments in EMEA.</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July 1, 2023.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2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March 30, 2024. The Company was in compliance with all covenants under the Credit Facility and the Securitization Program as of March 30, 2024, and July 1, 2023.</w:t>
      </w:r>
    </w:p>
    <w:p>
      <w:pPr>
        <w:spacing w:after="0" w:line="180"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third quarter of fiscal 2024 was $96.4 million.</w:t>
      </w:r>
    </w:p>
    <w:p>
      <w:pPr>
        <w:spacing w:after="0" w:line="180" w:lineRule="exact"/>
        <w:rPr>
          <w:sz w:val="20"/>
          <w:szCs w:val="20"/>
          <w:color w:val="auto"/>
        </w:rPr>
      </w:pPr>
    </w:p>
    <w:p>
      <w:pPr>
        <w:ind w:left="60" w:right="339" w:firstLine="427"/>
        <w:spacing w:after="0" w:line="258" w:lineRule="auto"/>
        <w:rPr>
          <w:sz w:val="20"/>
          <w:szCs w:val="20"/>
          <w:color w:val="auto"/>
        </w:rPr>
      </w:pPr>
      <w:r>
        <w:rPr>
          <w:rFonts w:ascii="Times New Roman" w:cs="Times New Roman" w:eastAsia="Times New Roman" w:hAnsi="Times New Roman"/>
          <w:sz w:val="18"/>
          <w:szCs w:val="18"/>
          <w:color w:val="auto"/>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7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$218.5 million as of March 30, 2024, of which $114.2 million was held outside the United States. As of July 1, 2023, the Company held cash and cash equivalents of $288.2 million, of which $194.5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$650.3 million in cash flows from operating activities over the trailing four fiscal quarters ended March 30, 2024.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89" w:lineRule="exact"/>
        <w:rPr>
          <w:sz w:val="20"/>
          <w:szCs w:val="20"/>
          <w:color w:val="auto"/>
        </w:rPr>
      </w:pPr>
    </w:p>
    <w:p>
      <w:pPr>
        <w:ind w:left="60" w:right="159" w:firstLine="427"/>
        <w:spacing w:after="0" w:line="256" w:lineRule="auto"/>
        <w:rPr>
          <w:sz w:val="20"/>
          <w:szCs w:val="20"/>
          <w:color w:val="auto"/>
        </w:rPr>
      </w:pPr>
      <w:r>
        <w:rPr>
          <w:rFonts w:ascii="Times New Roman" w:cs="Times New Roman" w:eastAsia="Times New Roman" w:hAnsi="Times New Roman"/>
          <w:sz w:val="18"/>
          <w:szCs w:val="18"/>
          <w:color w:val="auto"/>
        </w:rPr>
        <w:t>As of the end of the third quarter of fiscal 2024, the Company had a combined total borrowing capacity of $2.20 billion under the Credit Facility and the Securitization Program. There were $745.1 million of borrowings outstanding and $0.9 million in letters of credit issued under the Credit Facility, and $475.7 million outstanding under the Securitization Program, resulting in approximately $889.7 million of total committed availability as of March 30, 2024. Availability under the Securitization Program is subject to the Company having sufficient eligible trade accounts receivable in the United States to support desired borrowings.</w:t>
      </w:r>
    </w:p>
    <w:p>
      <w:pPr>
        <w:spacing w:after="0" w:line="187" w:lineRule="exact"/>
        <w:rPr>
          <w:sz w:val="20"/>
          <w:szCs w:val="20"/>
          <w:color w:val="auto"/>
        </w:rPr>
      </w:pPr>
    </w:p>
    <w:p>
      <w:pPr>
        <w:ind w:left="60" w:right="159" w:firstLine="432"/>
        <w:spacing w:after="0" w:line="266" w:lineRule="auto"/>
        <w:rPr>
          <w:sz w:val="20"/>
          <w:szCs w:val="20"/>
          <w:color w:val="auto"/>
        </w:rPr>
      </w:pPr>
      <w:r>
        <w:rPr>
          <w:rFonts w:ascii="Times New Roman" w:cs="Times New Roman" w:eastAsia="Times New Roman" w:hAnsi="Times New Roman"/>
          <w:sz w:val="18"/>
          <w:szCs w:val="18"/>
          <w:color w:val="auto"/>
        </w:rPr>
        <w:t>During the third quarter and first nine months of fiscal 2024, the Company had an average daily balance outstanding of approximately $1.23 billion under the Credit Facility, and approximately $620.3 million and $619.2 million, respectively, under the Securitization Program.</w:t>
      </w:r>
    </w:p>
    <w:p>
      <w:pPr>
        <w:spacing w:after="0" w:line="176" w:lineRule="exact"/>
        <w:rPr>
          <w:sz w:val="20"/>
          <w:szCs w:val="20"/>
          <w:color w:val="auto"/>
        </w:rPr>
      </w:pPr>
    </w:p>
    <w:p>
      <w:pPr>
        <w:ind w:left="60" w:right="199" w:firstLine="427"/>
        <w:spacing w:after="0" w:line="256" w:lineRule="auto"/>
        <w:rPr>
          <w:sz w:val="20"/>
          <w:szCs w:val="20"/>
          <w:color w:val="auto"/>
        </w:rPr>
      </w:pPr>
      <w:r>
        <w:rPr>
          <w:rFonts w:ascii="Times New Roman" w:cs="Times New Roman" w:eastAsia="Times New Roman" w:hAnsi="Times New Roman"/>
          <w:sz w:val="18"/>
          <w:szCs w:val="18"/>
          <w:color w:val="auto"/>
        </w:rPr>
        <w:t>As of March 30, 2024, the Company may repurchase up to an aggregate of $232.5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third quarter of fiscal 2024, the Company did not repurchase any shares. The Company expects to use cash to repurchase shares during the fourth quarter of fiscal 2024.</w:t>
      </w:r>
    </w:p>
    <w:p>
      <w:pPr>
        <w:spacing w:after="0" w:line="187"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third quarter of fiscal 2024, the Board of Directors approved a dividend of $0.31 per share, which resulted in $28.0 million of dividend payments during the quarter.</w:t>
      </w:r>
    </w:p>
    <w:p>
      <w:pPr>
        <w:spacing w:after="0" w:line="176"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8"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July 1, 2023, for further discussion of market risks associated with foreign currency exchange rates and interest rates. Avnet’s exposure to such risks has not changed materially since July 1, 2023, as the Company continues to economically hedge the majority of its foreign currency exchange exposures. Thus, any increase or decrease in the fair value of the Company’s forward foreign currency exchange contracts is generally offset by an</w:t>
      </w:r>
    </w:p>
    <w:p>
      <w:pPr>
        <w:sectPr>
          <w:pgSz w:w="11900" w:h="16838" w:orient="portrait"/>
          <w:cols w:equalWidth="0" w:num="1">
            <w:col w:w="9019"/>
          </w:cols>
          <w:pgMar w:left="1440" w:top="540"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opposite effect on the related economically hedged position. For interest rate risk, the Company continues to maintain a combination of fixed and variable rate debt to mitigate the exposure to fluctuations in market interest rates.</w:t>
      </w:r>
    </w:p>
    <w:p>
      <w:pPr>
        <w:spacing w:after="0" w:line="160"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March 30, 2024, approximately 56% of the Company’s debt bears interest at a fixed rate and 44% of the Company’s debt bears interest at variable rates. Therefore, a hypothetical 1.0% (100 basis points) increase in interest rates would result in a $3.2 million decrease in income before income taxes in the Company’s consolidated statement of operations for the third quarter of fiscal 2024.</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22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third quarter of fiscal 2024,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60" w:right="239" w:firstLine="432"/>
        <w:spacing w:after="0" w:line="256" w:lineRule="auto"/>
        <w:rPr>
          <w:sz w:val="20"/>
          <w:szCs w:val="20"/>
          <w:color w:val="auto"/>
        </w:rPr>
      </w:pPr>
      <w:r>
        <w:rPr>
          <w:rFonts w:ascii="Times New Roman" w:cs="Times New Roman" w:eastAsia="Times New Roman" w:hAnsi="Times New Roman"/>
          <w:sz w:val="18"/>
          <w:szCs w:val="18"/>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87"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229" w:lineRule="exact"/>
        <w:rPr>
          <w:sz w:val="20"/>
          <w:szCs w:val="20"/>
          <w:color w:val="auto"/>
        </w:rPr>
      </w:pPr>
    </w:p>
    <w:p>
      <w:pPr>
        <w:ind w:left="60" w:right="9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July 1, 2023,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March 30, 2024, there have been no material changes to the risk factors set forth in the Company’s Annual Report on Form 10-K for the fiscal year ended July 1, 2023.</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jc w:val="both"/>
        <w:ind w:left="60" w:right="639" w:firstLine="42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has approved the repurchase plan of up to an aggregate of $600 million of common stock. During the third quarter of fiscal 2024, the Company did not repurchase any shares under the share repurchase program. As of March 30, 2024, the Company had $232.5 million remaining under its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43"/>
        </w:trPr>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40" w:type="dxa"/>
            <w:vAlign w:val="bottom"/>
          </w:tcPr>
          <w:p>
            <w:pPr>
              <w:spacing w:after="0"/>
              <w:rPr>
                <w:sz w:val="21"/>
                <w:szCs w:val="21"/>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7"/>
        </w:trPr>
        <w:tc>
          <w:tcPr>
            <w:tcW w:w="10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398"/>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26"/>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5"/>
        </w:trPr>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r>
        <w:trPr>
          <w:trHeight w:val="448"/>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101.INS*</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 the instance document does not appear in the Interactive Data File because its XBRL tags are</w:t>
            </w:r>
          </w:p>
        </w:tc>
      </w:tr>
      <w:tr>
        <w:trPr>
          <w:trHeight w:val="234"/>
        </w:trPr>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101.SCH*</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6"/>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101.DEF*</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101.CAL*</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6"/>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101.LAB*</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5"/>
        </w:trPr>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101.PRE*</w:t>
            </w:r>
          </w:p>
        </w:tc>
        <w:tc>
          <w:tcPr>
            <w:tcW w:w="40" w:type="dxa"/>
            <w:vAlign w:val="bottom"/>
          </w:tcPr>
          <w:p>
            <w:pPr>
              <w:spacing w:after="0"/>
              <w:rPr>
                <w:sz w:val="24"/>
                <w:szCs w:val="24"/>
                <w:color w:val="auto"/>
              </w:rPr>
            </w:pPr>
          </w:p>
        </w:tc>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3, 2024</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31" w:name="page32"/>
    <w:bookmarkEnd w:id="3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30, 2024 (the “Report”), I, Philip R.</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Gallagher, Chief Executive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2" w:name="page33"/>
    <w:bookmarkEnd w:id="3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March 30, 2024 (the “Report”), I, Kenneth A.</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Jacobson, Chief Financial Officer of Avnet, Inc. (the “Company”) hereby certify that:</w:t>
      </w:r>
    </w:p>
    <w:p>
      <w:pPr>
        <w:spacing w:after="0" w:line="158" w:lineRule="exact"/>
        <w:rPr>
          <w:sz w:val="20"/>
          <w:szCs w:val="20"/>
          <w:color w:val="auto"/>
        </w:rPr>
      </w:pPr>
    </w:p>
    <w:p>
      <w:pPr>
        <w:ind w:left="700" w:right="69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3, 2024</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0"/>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2024-05-03T05:14:01Z</dcterms:created>
  <dcterms:modified xsi:type="dcterms:W3CDTF">2024-05-03T05:14:01Z</dcterms:modified>
</cp:coreProperties>
</file>